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D83E69">
      <w:pPr>
        <w:pStyle w:val="12"/>
        <w:jc w:val="center"/>
        <w:rPr>
          <w:rFonts w:ascii="Times New Roman" w:hAnsi="Times New Roman" w:cs="Times New Roman"/>
          <w:sz w:val="56"/>
          <w:szCs w:val="56"/>
        </w:rPr>
      </w:pPr>
    </w:p>
    <w:p w14:paraId="452AEC4B">
      <w:pPr>
        <w:pStyle w:val="12"/>
        <w:jc w:val="center"/>
        <w:rPr>
          <w:rFonts w:ascii="Times New Roman" w:hAnsi="Times New Roman" w:cs="Times New Roman"/>
          <w:sz w:val="84"/>
          <w:szCs w:val="84"/>
        </w:rPr>
      </w:pPr>
    </w:p>
    <w:p w14:paraId="1A8FCD66">
      <w:pPr>
        <w:pStyle w:val="12"/>
        <w:jc w:val="center"/>
        <w:rPr>
          <w:rFonts w:ascii="Times New Roman" w:hAnsi="Times New Roman" w:cs="Times New Roman"/>
          <w:sz w:val="84"/>
          <w:szCs w:val="84"/>
        </w:rPr>
      </w:pPr>
    </w:p>
    <w:p w14:paraId="2C691C63">
      <w:pPr>
        <w:pStyle w:val="12"/>
        <w:jc w:val="center"/>
        <w:rPr>
          <w:rFonts w:ascii="Times New Roman" w:hAnsi="Times New Roman" w:eastAsia="方正小标宋简体" w:cs="Times New Roman"/>
          <w:sz w:val="72"/>
          <w:szCs w:val="72"/>
        </w:rPr>
      </w:pPr>
      <w:r>
        <w:rPr>
          <w:rFonts w:ascii="Times New Roman" w:hAnsi="Times New Roman" w:eastAsia="方正小标宋简体" w:cs="Times New Roman"/>
          <w:sz w:val="72"/>
          <w:szCs w:val="72"/>
        </w:rPr>
        <w:t>202</w:t>
      </w:r>
      <w:r>
        <w:rPr>
          <w:rFonts w:hint="eastAsia" w:ascii="Times New Roman" w:hAnsi="Times New Roman" w:eastAsia="方正小标宋简体" w:cs="Times New Roman"/>
          <w:sz w:val="72"/>
          <w:szCs w:val="72"/>
        </w:rPr>
        <w:t>5</w:t>
      </w:r>
      <w:r>
        <w:rPr>
          <w:rFonts w:ascii="Times New Roman" w:hAnsi="Times New Roman" w:eastAsia="方正小标宋简体" w:cs="Times New Roman"/>
          <w:sz w:val="72"/>
          <w:szCs w:val="72"/>
        </w:rPr>
        <w:t>年度</w:t>
      </w:r>
    </w:p>
    <w:p w14:paraId="418E648E">
      <w:pPr>
        <w:pStyle w:val="12"/>
        <w:jc w:val="center"/>
        <w:rPr>
          <w:rFonts w:ascii="Times New Roman" w:hAnsi="Times New Roman" w:eastAsia="方正小标宋简体" w:cs="Times New Roman"/>
          <w:sz w:val="72"/>
          <w:szCs w:val="72"/>
        </w:rPr>
      </w:pPr>
      <w:r>
        <w:rPr>
          <w:rFonts w:hint="eastAsia" w:ascii="Times New Roman" w:hAnsi="Times New Roman" w:eastAsia="方正小标宋简体" w:cs="Times New Roman"/>
          <w:sz w:val="72"/>
          <w:szCs w:val="72"/>
        </w:rPr>
        <w:t>怀化市市场监督管理局</w:t>
      </w:r>
    </w:p>
    <w:p w14:paraId="2BAC9E77">
      <w:pPr>
        <w:pStyle w:val="12"/>
        <w:jc w:val="center"/>
        <w:rPr>
          <w:rFonts w:ascii="Times New Roman" w:hAnsi="Times New Roman" w:eastAsia="方正小标宋简体" w:cs="Times New Roman"/>
          <w:sz w:val="72"/>
          <w:szCs w:val="72"/>
        </w:rPr>
      </w:pPr>
      <w:r>
        <w:rPr>
          <w:rFonts w:hint="eastAsia" w:ascii="Times New Roman" w:hAnsi="Times New Roman" w:eastAsia="方正小标宋简体" w:cs="Times New Roman"/>
          <w:sz w:val="72"/>
          <w:szCs w:val="72"/>
        </w:rPr>
        <w:t>直属二局</w:t>
      </w:r>
      <w:r>
        <w:rPr>
          <w:rFonts w:ascii="Times New Roman" w:hAnsi="Times New Roman" w:eastAsia="方正小标宋简体" w:cs="Times New Roman"/>
          <w:sz w:val="72"/>
          <w:szCs w:val="72"/>
        </w:rPr>
        <w:t>部门决算</w:t>
      </w:r>
    </w:p>
    <w:p w14:paraId="6713797E">
      <w:pPr>
        <w:pStyle w:val="12"/>
        <w:jc w:val="center"/>
        <w:rPr>
          <w:rFonts w:ascii="Times New Roman" w:hAnsi="Times New Roman" w:eastAsia="方正小标宋_GBK" w:cs="Times New Roman"/>
          <w:sz w:val="56"/>
          <w:szCs w:val="56"/>
        </w:rPr>
      </w:pPr>
    </w:p>
    <w:p w14:paraId="04905B34">
      <w:pPr>
        <w:pStyle w:val="12"/>
        <w:jc w:val="center"/>
        <w:rPr>
          <w:rFonts w:ascii="Times New Roman" w:hAnsi="Times New Roman" w:cs="Times New Roman"/>
          <w:sz w:val="56"/>
          <w:szCs w:val="56"/>
        </w:rPr>
      </w:pPr>
    </w:p>
    <w:p w14:paraId="20C84C2C">
      <w:pPr>
        <w:pStyle w:val="12"/>
        <w:rPr>
          <w:rFonts w:ascii="Times New Roman" w:hAnsi="Times New Roman" w:cs="Times New Roman"/>
          <w:sz w:val="56"/>
          <w:szCs w:val="56"/>
        </w:rPr>
      </w:pPr>
    </w:p>
    <w:p w14:paraId="41E72C2C">
      <w:pPr>
        <w:pStyle w:val="12"/>
        <w:jc w:val="center"/>
        <w:rPr>
          <w:rFonts w:ascii="Times New Roman" w:hAnsi="Times New Roman" w:cs="Times New Roman"/>
          <w:sz w:val="32"/>
          <w:szCs w:val="32"/>
        </w:rPr>
      </w:pPr>
    </w:p>
    <w:p w14:paraId="50F58162">
      <w:pPr>
        <w:pStyle w:val="12"/>
        <w:jc w:val="center"/>
        <w:rPr>
          <w:rFonts w:ascii="Times New Roman" w:hAnsi="Times New Roman" w:cs="Times New Roman"/>
          <w:sz w:val="32"/>
          <w:szCs w:val="32"/>
        </w:rPr>
      </w:pPr>
    </w:p>
    <w:p w14:paraId="6EC66A75">
      <w:pPr>
        <w:pStyle w:val="12"/>
        <w:jc w:val="center"/>
        <w:rPr>
          <w:rFonts w:ascii="Times New Roman" w:hAnsi="Times New Roman" w:cs="Times New Roman"/>
          <w:sz w:val="32"/>
          <w:szCs w:val="32"/>
        </w:rPr>
      </w:pPr>
    </w:p>
    <w:p w14:paraId="64CDBA1C">
      <w:pPr>
        <w:pStyle w:val="12"/>
        <w:jc w:val="center"/>
        <w:rPr>
          <w:rFonts w:ascii="Times New Roman" w:hAnsi="Times New Roman" w:cs="Times New Roman"/>
          <w:sz w:val="32"/>
          <w:szCs w:val="32"/>
        </w:rPr>
      </w:pPr>
    </w:p>
    <w:p w14:paraId="44617D6B">
      <w:pPr>
        <w:pStyle w:val="12"/>
        <w:jc w:val="center"/>
        <w:rPr>
          <w:rFonts w:ascii="Times New Roman" w:hAnsi="Times New Roman" w:cs="Times New Roman"/>
          <w:sz w:val="32"/>
          <w:szCs w:val="32"/>
        </w:rPr>
      </w:pPr>
    </w:p>
    <w:p w14:paraId="2DCD707A">
      <w:pPr>
        <w:pStyle w:val="12"/>
        <w:jc w:val="center"/>
        <w:rPr>
          <w:rFonts w:ascii="Times New Roman" w:hAnsi="Times New Roman" w:cs="Times New Roman"/>
          <w:sz w:val="32"/>
          <w:szCs w:val="32"/>
        </w:rPr>
      </w:pPr>
    </w:p>
    <w:p w14:paraId="24EB04E3">
      <w:pPr>
        <w:pStyle w:val="12"/>
        <w:spacing w:line="600" w:lineRule="exact"/>
        <w:jc w:val="center"/>
        <w:rPr>
          <w:rFonts w:ascii="Times New Roman" w:hAnsi="Times New Roman" w:cs="Times New Roman"/>
          <w:bCs/>
          <w:sz w:val="36"/>
          <w:szCs w:val="28"/>
        </w:rPr>
      </w:pPr>
      <w:r>
        <w:rPr>
          <w:rFonts w:ascii="Times New Roman" w:hAnsi="Times New Roman" w:cs="Times New Roman"/>
          <w:bCs/>
          <w:sz w:val="36"/>
          <w:szCs w:val="28"/>
        </w:rPr>
        <w:t>目  录</w:t>
      </w:r>
    </w:p>
    <w:p w14:paraId="3613F63A">
      <w:pPr>
        <w:pStyle w:val="12"/>
        <w:spacing w:line="600" w:lineRule="exact"/>
        <w:jc w:val="center"/>
        <w:rPr>
          <w:rFonts w:ascii="Times New Roman" w:hAnsi="Times New Roman" w:cs="Times New Roman"/>
          <w:b/>
          <w:sz w:val="36"/>
          <w:szCs w:val="28"/>
        </w:rPr>
      </w:pPr>
    </w:p>
    <w:p w14:paraId="17A75B28">
      <w:pPr>
        <w:pStyle w:val="12"/>
        <w:spacing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第一部分 </w:t>
      </w:r>
      <w:r>
        <w:rPr>
          <w:rFonts w:hint="eastAsia" w:ascii="Times New Roman" w:hAnsi="Times New Roman" w:cs="Times New Roman"/>
          <w:bCs/>
          <w:sz w:val="32"/>
          <w:szCs w:val="32"/>
        </w:rPr>
        <w:t>怀化市市场监督管理局直属二局</w:t>
      </w:r>
      <w:r>
        <w:rPr>
          <w:rFonts w:ascii="Times New Roman" w:hAnsi="Times New Roman" w:cs="Times New Roman"/>
          <w:bCs/>
          <w:sz w:val="32"/>
          <w:szCs w:val="32"/>
        </w:rPr>
        <w:t>概况</w:t>
      </w:r>
    </w:p>
    <w:p w14:paraId="45223F36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一、部门职责</w:t>
      </w:r>
    </w:p>
    <w:p w14:paraId="44BFF3D6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二、机构设置及决算单位构成</w:t>
      </w:r>
    </w:p>
    <w:p w14:paraId="033D58AF">
      <w:pPr>
        <w:pStyle w:val="12"/>
        <w:spacing w:beforeLines="50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第二部分 部门决算表</w:t>
      </w:r>
    </w:p>
    <w:p w14:paraId="1C8F0AB8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一、收入支出决算总表</w:t>
      </w:r>
    </w:p>
    <w:p w14:paraId="09F116BB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二、收入决算表</w:t>
      </w:r>
    </w:p>
    <w:p w14:paraId="21E2168B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三、支出决算表</w:t>
      </w:r>
    </w:p>
    <w:p w14:paraId="1B4B8E65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四、财政拨款收入支出决算总表</w:t>
      </w:r>
    </w:p>
    <w:p w14:paraId="2CDF149B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五、一般公共预算财政拨款支出决算表</w:t>
      </w:r>
    </w:p>
    <w:p w14:paraId="1A404785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六、一般公共预算财政拨款基本支出决算明细表</w:t>
      </w:r>
    </w:p>
    <w:p w14:paraId="555C297F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七、政府性基金预算财政拨款收入支出决算表</w:t>
      </w:r>
    </w:p>
    <w:p w14:paraId="7B00DCFF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八、国有资本经营预算财政拨款支出决算表</w:t>
      </w:r>
    </w:p>
    <w:p w14:paraId="5114D10D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九、财政拨款“三公”经费支出决算表</w:t>
      </w:r>
    </w:p>
    <w:p w14:paraId="65041B29">
      <w:pPr>
        <w:pStyle w:val="12"/>
        <w:spacing w:beforeLines="50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第三部分 部门决算情况说明</w:t>
      </w:r>
    </w:p>
    <w:p w14:paraId="3FA79ED6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一、收入支出决算总体情况说明</w:t>
      </w:r>
    </w:p>
    <w:p w14:paraId="0B7B4EE5">
      <w:pPr>
        <w:spacing w:line="60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二、收入决算情况说明</w:t>
      </w:r>
    </w:p>
    <w:p w14:paraId="5BFBFC29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三、支出决算情况说明</w:t>
      </w:r>
    </w:p>
    <w:p w14:paraId="22E9201A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四、财政拨款收入支出决算总体情况说明</w:t>
      </w:r>
    </w:p>
    <w:p w14:paraId="6EE9B935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五、一般公共预算财政拨款支出决算情况说明</w:t>
      </w:r>
    </w:p>
    <w:p w14:paraId="0593898B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sectPr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 w14:paraId="1431A1E8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六、一般公共预算财政拨款基本支出决算情况说明</w:t>
      </w:r>
    </w:p>
    <w:p w14:paraId="7CE7AE24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七、财政拨款“三公”经费支出决算情况说明</w:t>
      </w:r>
    </w:p>
    <w:p w14:paraId="53F5DE2C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八、政府性基金预算收入支出决算情况</w:t>
      </w:r>
    </w:p>
    <w:p w14:paraId="7821427C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九、国有资本经营预算收入支出决算情况说明</w:t>
      </w:r>
    </w:p>
    <w:p w14:paraId="6BBA1F28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十、关于机关运行经费支出说明</w:t>
      </w:r>
    </w:p>
    <w:p w14:paraId="200B1264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一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、一般性支出情况说明</w:t>
      </w:r>
    </w:p>
    <w:p w14:paraId="42B565F2">
      <w:pPr>
        <w:autoSpaceDE w:val="0"/>
        <w:autoSpaceDN w:val="0"/>
        <w:adjustRightInd w:val="0"/>
        <w:spacing w:line="600" w:lineRule="exact"/>
        <w:jc w:val="left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二</w:t>
      </w:r>
      <w:r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  <w:t>、关于政府采购支出说明</w:t>
      </w:r>
    </w:p>
    <w:p w14:paraId="208B5B09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三</w:t>
      </w:r>
      <w:r>
        <w:rPr>
          <w:rFonts w:ascii="Times New Roman" w:hAnsi="Times New Roman" w:eastAsia="仿宋_GB2312" w:cs="Times New Roman"/>
          <w:sz w:val="32"/>
          <w:szCs w:val="32"/>
        </w:rPr>
        <w:t>、关于国有资产占用情况说明</w:t>
      </w:r>
    </w:p>
    <w:p w14:paraId="4812D991">
      <w:pPr>
        <w:pStyle w:val="12"/>
        <w:spacing w:line="60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四</w:t>
      </w:r>
      <w:r>
        <w:rPr>
          <w:rFonts w:ascii="Times New Roman" w:hAnsi="Times New Roman" w:eastAsia="仿宋_GB2312" w:cs="Times New Roman"/>
          <w:sz w:val="32"/>
          <w:szCs w:val="32"/>
        </w:rPr>
        <w:t>、关于2024年度预算绩效管理情况的说明</w:t>
      </w:r>
    </w:p>
    <w:p w14:paraId="213D330D">
      <w:pPr>
        <w:pStyle w:val="12"/>
        <w:spacing w:beforeLines="50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第四部分 名词解释</w:t>
      </w:r>
    </w:p>
    <w:p w14:paraId="423A917B">
      <w:pPr>
        <w:pStyle w:val="12"/>
        <w:spacing w:beforeLines="50" w:afterLines="50" w:line="600" w:lineRule="exact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第五部分 附件</w:t>
      </w:r>
    </w:p>
    <w:p w14:paraId="3EF118CF">
      <w:pPr>
        <w:pStyle w:val="12"/>
        <w:spacing w:line="600" w:lineRule="exact"/>
        <w:rPr>
          <w:rFonts w:ascii="Times New Roman" w:hAnsi="Times New Roman" w:cs="Times New Roman"/>
          <w:bCs/>
          <w:sz w:val="28"/>
          <w:szCs w:val="28"/>
        </w:rPr>
      </w:pPr>
    </w:p>
    <w:p w14:paraId="5BBC2F86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67F1690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2F3ECB9D">
      <w:pPr>
        <w:jc w:val="center"/>
        <w:rPr>
          <w:rFonts w:ascii="Times New Roman" w:hAnsi="Times New Roman" w:cs="Times New Roman"/>
          <w:sz w:val="72"/>
          <w:szCs w:val="72"/>
        </w:rPr>
      </w:pPr>
    </w:p>
    <w:p w14:paraId="3BE9F426">
      <w:pPr>
        <w:pStyle w:val="2"/>
        <w:rPr>
          <w:rFonts w:ascii="Times New Roman" w:hAnsi="Times New Roman" w:cs="Times New Roman"/>
        </w:rPr>
        <w:sectPr>
          <w:footerReference r:id="rId3" w:type="default"/>
          <w:pgSz w:w="11906" w:h="16838"/>
          <w:pgMar w:top="1417" w:right="1588" w:bottom="1417" w:left="1588" w:header="851" w:footer="992" w:gutter="0"/>
          <w:pgNumType w:start="1"/>
          <w:cols w:space="425" w:num="1"/>
          <w:docGrid w:type="lines" w:linePitch="312" w:charSpace="0"/>
        </w:sectPr>
      </w:pPr>
    </w:p>
    <w:p w14:paraId="3B661F26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6F15765C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第一部分</w:t>
      </w:r>
    </w:p>
    <w:p w14:paraId="07F24B5F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hint="eastAsia" w:ascii="Times New Roman" w:hAnsi="Times New Roman" w:eastAsia="方正小标宋_GBK" w:cs="Times New Roman"/>
          <w:sz w:val="52"/>
          <w:szCs w:val="52"/>
        </w:rPr>
        <w:t>怀化市市场监督管理局直属二局</w:t>
      </w:r>
      <w:r>
        <w:rPr>
          <w:rFonts w:ascii="Times New Roman" w:hAnsi="Times New Roman" w:eastAsia="方正小标宋_GBK" w:cs="Times New Roman"/>
          <w:sz w:val="52"/>
          <w:szCs w:val="52"/>
        </w:rPr>
        <w:t>概况</w:t>
      </w:r>
    </w:p>
    <w:p w14:paraId="565A7BD8">
      <w:pPr>
        <w:pStyle w:val="3"/>
        <w:ind w:left="0" w:leftChars="0" w:firstLine="0" w:firstLineChars="0"/>
        <w:rPr>
          <w:rFonts w:ascii="Times New Roman" w:hAnsi="Times New Roman" w:cs="Times New Roman"/>
        </w:rPr>
      </w:pPr>
    </w:p>
    <w:p w14:paraId="3EE097F7">
      <w:pPr>
        <w:pStyle w:val="1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both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一、</w:t>
      </w:r>
      <w:r>
        <w:rPr>
          <w:rFonts w:ascii="Times New Roman" w:hAnsi="Times New Roman" w:eastAsia="黑体" w:cs="Times New Roman"/>
          <w:sz w:val="32"/>
          <w:szCs w:val="32"/>
        </w:rPr>
        <w:t>部门职责</w:t>
      </w:r>
    </w:p>
    <w:p w14:paraId="1E7621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1.负责分局辖区市场监督管理和行政执法的有关工作。</w:t>
      </w:r>
    </w:p>
    <w:p w14:paraId="151DE2F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2.负责分局辖区各类企业、农民专业合作社和从事经营活动的单位、个人等市场主体的登记注册并监督管理，承担依法查处取缔无照经营的责任。</w:t>
      </w:r>
    </w:p>
    <w:p w14:paraId="15318D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3.承担依法规范和维护各类市场经营秩序的责任，负责监督管理市场交易行为和网络商品交易及有关服务的行为。</w:t>
      </w:r>
    </w:p>
    <w:p w14:paraId="740502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4.承担监督管理流通领域商品质量的责任，组织开展有关服务领域消费维权工作，按分工查处假冒伪劣等违法行为，指导消费者咨询、申诉、举报受理处理和网络体系建设等工作，保护经营者、消费者合法权益。</w:t>
      </w:r>
    </w:p>
    <w:p w14:paraId="01735C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5.承担查处违法直销和传销案件的责任，依法监督管理直销企业和直销员及其直销活动。</w:t>
      </w:r>
    </w:p>
    <w:p w14:paraId="3BD844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6.依法查处不正当竞争、商业贿赂、走私贩私等经济违法行为。</w:t>
      </w:r>
    </w:p>
    <w:p w14:paraId="0B7A60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7.负责依法监督管理经纪人、经纪机构及经纪活动。</w:t>
      </w:r>
    </w:p>
    <w:p w14:paraId="396ED5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8.依法实施合同行政监督管理，负责管理股权出质登记、动产抵押物登记，组织监督管理拍卖行为，负责依法查处合同欺诈等违法行为。</w:t>
      </w:r>
    </w:p>
    <w:p w14:paraId="37ADA7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9.</w:t>
      </w:r>
      <w:r>
        <w:rPr>
          <w:rFonts w:hint="eastAsia" w:ascii="Times New Roman" w:hAnsi="Times New Roman" w:eastAsia="仿宋_GB2312" w:cs="Times New Roman"/>
          <w:spacing w:val="-6"/>
          <w:sz w:val="32"/>
          <w:szCs w:val="32"/>
        </w:rPr>
        <w:t>指导分局辖区广告业发展，负责广告活动的监督管理工作。</w:t>
      </w:r>
    </w:p>
    <w:p w14:paraId="7D271E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10.负责商标监督管理工作，依法保护商标专用权和查处商标侵权行为，协调处理商标争议事宜，加强中国驰名商标、省著名商标的保护工作。负责特殊标志、官方标志的保护。</w:t>
      </w:r>
    </w:p>
    <w:p w14:paraId="275C03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11.组织指导企业、个体工商户、商品交易市场信用分类管理，研究分析并依法发布市场主体登记注册基础信息，为政府决策和社会公众提供相关信息服务。</w:t>
      </w:r>
    </w:p>
    <w:p w14:paraId="37F98F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12.</w:t>
      </w:r>
      <w:r>
        <w:rPr>
          <w:rFonts w:hint="eastAsia" w:ascii="Times New Roman" w:hAnsi="Times New Roman" w:eastAsia="仿宋_GB2312" w:cs="Times New Roman"/>
          <w:spacing w:val="-6"/>
          <w:sz w:val="32"/>
          <w:szCs w:val="32"/>
        </w:rPr>
        <w:t>负责个体工商户、私营企业经营行为的服务和监督管理。</w:t>
      </w:r>
    </w:p>
    <w:p w14:paraId="66D13B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13.承办市局及经开区管委会交办的其他事项。</w:t>
      </w:r>
    </w:p>
    <w:p w14:paraId="337AEE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ascii="Times New Roman" w:hAnsi="Times New Roman" w:eastAsia="黑体" w:cs="Times New Roman"/>
          <w:bCs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bCs/>
          <w:kern w:val="0"/>
          <w:sz w:val="32"/>
          <w:szCs w:val="32"/>
        </w:rPr>
        <w:t>二、机构设置及决算单位构成</w:t>
      </w:r>
    </w:p>
    <w:p w14:paraId="071451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kern w:val="0"/>
          <w:sz w:val="32"/>
          <w:szCs w:val="32"/>
        </w:rPr>
        <w:t>（一）内设机构设置。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怀化市市场监督管理局直属二局作为二级部门预算单位，内设股室为：办公室、信用监管股、登记注册股、特种设备安全监管股、价格监督检查和反不正当竞争股、药械化监管股、食品安全监督管理股、河西市场监管所（消费者权益保护股）。</w:t>
      </w:r>
    </w:p>
    <w:p w14:paraId="5BD11C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bCs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Cs/>
          <w:kern w:val="0"/>
          <w:sz w:val="32"/>
          <w:szCs w:val="32"/>
        </w:rPr>
        <w:t>（二）决算单位构成。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怀化市市场监督管理局直属二局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年部门决算汇总公开单位构成包括：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怀化市市场监督管理局直属二局</w:t>
      </w:r>
      <w:r>
        <w:rPr>
          <w:rFonts w:ascii="Times New Roman" w:hAnsi="Times New Roman" w:eastAsia="仿宋_GB2312" w:cs="Times New Roman"/>
          <w:bCs/>
          <w:kern w:val="0"/>
          <w:sz w:val="32"/>
          <w:szCs w:val="32"/>
        </w:rPr>
        <w:t>本级</w:t>
      </w:r>
      <w:r>
        <w:rPr>
          <w:rFonts w:hint="eastAsia" w:ascii="Times New Roman" w:hAnsi="Times New Roman" w:eastAsia="仿宋_GB2312" w:cs="Times New Roman"/>
          <w:bCs/>
          <w:kern w:val="0"/>
          <w:sz w:val="32"/>
          <w:szCs w:val="32"/>
        </w:rPr>
        <w:t>。</w:t>
      </w:r>
    </w:p>
    <w:p w14:paraId="17ACD3D6">
      <w:pPr>
        <w:pStyle w:val="12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625D6052">
      <w:pPr>
        <w:pStyle w:val="12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779C9E48">
      <w:pPr>
        <w:pStyle w:val="12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2365CD21">
      <w:pPr>
        <w:pStyle w:val="12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5DA47D3D">
      <w:pPr>
        <w:pStyle w:val="12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497291CB">
      <w:pPr>
        <w:pStyle w:val="12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1A2833C4">
      <w:pPr>
        <w:pStyle w:val="12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4A904A23">
      <w:pPr>
        <w:pStyle w:val="12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4895F1AB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05B5D1B0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6F5DE7A1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06CEC6CD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641A3500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</w:p>
    <w:p w14:paraId="3D94683B">
      <w:pPr>
        <w:pStyle w:val="12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第二部分</w:t>
      </w:r>
    </w:p>
    <w:p w14:paraId="7054228A">
      <w:pPr>
        <w:pStyle w:val="12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部门决算表</w:t>
      </w:r>
    </w:p>
    <w:p w14:paraId="56FBA0EF">
      <w:pPr>
        <w:pStyle w:val="12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hint="eastAsia" w:ascii="Times New Roman" w:hAnsi="Times New Roman" w:eastAsia="方正小标宋_GBK" w:cs="Times New Roman"/>
          <w:sz w:val="52"/>
          <w:szCs w:val="52"/>
        </w:rPr>
        <w:t>（见附件1）</w:t>
      </w:r>
    </w:p>
    <w:p w14:paraId="3B8905AA">
      <w:pPr>
        <w:widowControl/>
        <w:rPr>
          <w:rFonts w:ascii="Times New Roman" w:hAnsi="Times New Roman" w:cs="Times New Roman"/>
          <w:sz w:val="72"/>
          <w:szCs w:val="72"/>
        </w:rPr>
      </w:pPr>
    </w:p>
    <w:p w14:paraId="02CEDBBE">
      <w:pPr>
        <w:pStyle w:val="2"/>
      </w:pPr>
    </w:p>
    <w:p w14:paraId="2FF6B14B">
      <w:pPr>
        <w:pStyle w:val="12"/>
        <w:rPr>
          <w:rFonts w:ascii="Times New Roman" w:hAnsi="Times New Roman" w:cs="Times New Roman"/>
          <w:sz w:val="72"/>
          <w:szCs w:val="72"/>
        </w:rPr>
      </w:pPr>
    </w:p>
    <w:p w14:paraId="262C4039">
      <w:pPr>
        <w:pStyle w:val="12"/>
        <w:rPr>
          <w:rFonts w:ascii="Times New Roman" w:hAnsi="Times New Roman" w:cs="Times New Roman"/>
          <w:sz w:val="72"/>
          <w:szCs w:val="72"/>
        </w:rPr>
      </w:pPr>
    </w:p>
    <w:p w14:paraId="180F021D">
      <w:pPr>
        <w:pStyle w:val="12"/>
        <w:rPr>
          <w:rFonts w:ascii="Times New Roman" w:hAnsi="Times New Roman" w:cs="Times New Roman"/>
          <w:sz w:val="72"/>
          <w:szCs w:val="72"/>
        </w:rPr>
      </w:pPr>
    </w:p>
    <w:p w14:paraId="143C5F1C">
      <w:pPr>
        <w:pStyle w:val="12"/>
        <w:rPr>
          <w:rFonts w:ascii="Times New Roman" w:hAnsi="Times New Roman" w:cs="Times New Roman"/>
          <w:sz w:val="72"/>
          <w:szCs w:val="72"/>
        </w:rPr>
      </w:pPr>
    </w:p>
    <w:p w14:paraId="7DA24BB6">
      <w:pPr>
        <w:pStyle w:val="12"/>
        <w:shd w:val="clear"/>
        <w:rPr>
          <w:rFonts w:ascii="Times New Roman" w:hAnsi="Times New Roman" w:cs="Times New Roman"/>
          <w:sz w:val="72"/>
          <w:szCs w:val="72"/>
        </w:rPr>
      </w:pPr>
    </w:p>
    <w:p w14:paraId="66984752">
      <w:pPr>
        <w:pStyle w:val="12"/>
        <w:shd w:val="clear"/>
        <w:rPr>
          <w:rFonts w:ascii="Times New Roman" w:hAnsi="Times New Roman" w:cs="Times New Roman"/>
          <w:sz w:val="72"/>
          <w:szCs w:val="72"/>
        </w:rPr>
      </w:pPr>
    </w:p>
    <w:p w14:paraId="726A2A34">
      <w:pPr>
        <w:pStyle w:val="12"/>
        <w:shd w:val="clear"/>
        <w:rPr>
          <w:rFonts w:ascii="Times New Roman" w:hAnsi="Times New Roman" w:cs="Times New Roman"/>
          <w:sz w:val="72"/>
          <w:szCs w:val="72"/>
        </w:rPr>
      </w:pPr>
    </w:p>
    <w:p w14:paraId="6130F23B">
      <w:pPr>
        <w:pStyle w:val="12"/>
        <w:shd w:val="clear"/>
        <w:jc w:val="center"/>
        <w:rPr>
          <w:rFonts w:ascii="Times New Roman" w:hAnsi="Times New Roman" w:cs="Times New Roman"/>
          <w:sz w:val="72"/>
          <w:szCs w:val="72"/>
        </w:rPr>
      </w:pPr>
    </w:p>
    <w:p w14:paraId="06813B79">
      <w:pPr>
        <w:pStyle w:val="12"/>
        <w:shd w:val="clear"/>
        <w:jc w:val="center"/>
        <w:rPr>
          <w:rFonts w:ascii="Times New Roman" w:hAnsi="Times New Roman" w:eastAsia="方正小标宋_GBK" w:cs="Times New Roman"/>
          <w:sz w:val="72"/>
          <w:szCs w:val="72"/>
        </w:rPr>
      </w:pPr>
    </w:p>
    <w:p w14:paraId="5D61715A">
      <w:pPr>
        <w:pStyle w:val="12"/>
        <w:shd w:val="clear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第三部分</w:t>
      </w:r>
    </w:p>
    <w:p w14:paraId="339E70DA">
      <w:pPr>
        <w:pStyle w:val="12"/>
        <w:shd w:val="clear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202</w:t>
      </w:r>
      <w:r>
        <w:rPr>
          <w:rFonts w:hint="eastAsia" w:ascii="Times New Roman" w:hAnsi="Times New Roman" w:eastAsia="方正小标宋_GBK" w:cs="Times New Roman"/>
          <w:sz w:val="52"/>
          <w:szCs w:val="52"/>
        </w:rPr>
        <w:t>5</w:t>
      </w:r>
      <w:r>
        <w:rPr>
          <w:rFonts w:ascii="Times New Roman" w:hAnsi="Times New Roman" w:eastAsia="方正小标宋_GBK" w:cs="Times New Roman"/>
          <w:sz w:val="52"/>
          <w:szCs w:val="52"/>
        </w:rPr>
        <w:t>年度部门决算情况说明</w:t>
      </w:r>
    </w:p>
    <w:p w14:paraId="0EF93712">
      <w:pPr>
        <w:widowControl/>
        <w:shd w:val="clear"/>
        <w:jc w:val="lef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eastAsia="方正小标宋_GBK" w:cs="Times New Roman"/>
          <w:sz w:val="70"/>
          <w:szCs w:val="70"/>
        </w:rPr>
        <w:br w:type="page"/>
      </w:r>
    </w:p>
    <w:p w14:paraId="0C280EA6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一、收入支出决算总体情况说明</w:t>
      </w:r>
    </w:p>
    <w:p w14:paraId="434FE0E4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2025年度收、支总计614.70万元。与上年相比，增加51.31万元，增长9.10%，主要是因为晋级晋档，整体人员工资福利费增加。</w:t>
      </w:r>
    </w:p>
    <w:p w14:paraId="3F525326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二、收入决算情况说明</w:t>
      </w:r>
    </w:p>
    <w:p w14:paraId="60CDD7EC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2025年度收入合计614.70万元，其中：财政拨款收入614.70万元，占100%；上级补助收入0万元，占0%；事业收入0万元，占0%；经营收入0万元，占0%；附属单位上缴收入0万元，占0%；其他收入0万元，占0%。</w:t>
      </w:r>
    </w:p>
    <w:p w14:paraId="1945CA35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三、支出决算情况说明</w:t>
      </w:r>
    </w:p>
    <w:p w14:paraId="4D2EC372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2025年度支出合计614.70万元，其中：基本支出609.70万元，占99.19%；项目支出5万元，占0.81%；上缴上级支出0万元，占0%；经营支出0万元，占0%；对附属单位补助支出0万元，占0%。</w:t>
      </w:r>
    </w:p>
    <w:p w14:paraId="740E01C8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四、财政拨款收入支出决算总体情况说明</w:t>
      </w:r>
    </w:p>
    <w:p w14:paraId="6659C4DE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2025年度财政拨款收、支总计614.70万元，与上年相比，增加51.31万元，增长9.10%，主要是因为晋级晋档，整体人员工资福利费增加。</w:t>
      </w:r>
    </w:p>
    <w:p w14:paraId="446731F7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五、一般公共预算财政拨款支出决算情况说明</w:t>
      </w:r>
    </w:p>
    <w:p w14:paraId="04DD6BC9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（一）一般公共预算财政拨款支出决算总体情况</w:t>
      </w:r>
    </w:p>
    <w:p w14:paraId="79AFC6E1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2025年度财政拨款支出614.70万元，占本年支出合计的100%，与上年相比，财政拨款支出增加51.31万元，增长9.10%，主要是因为晋级晋档，整体人员工资福利费增加。</w:t>
      </w:r>
    </w:p>
    <w:p w14:paraId="5B55C730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（二）一般公共预算财政拨款支出决算结构情况</w:t>
      </w:r>
    </w:p>
    <w:p w14:paraId="438977A2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财政拨款支出614.70万元，主要用于以下方面：一般公共服务（类）支出494.82万元，占80.50%；社会保障和就业（类）支出51.23万元，占8.33%；卫生健康（类）支出21.90万元，占3.56%；住房保障（类）支出46.74万元，占7.60%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</w:p>
    <w:p w14:paraId="06E5DB9F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（三）一般公共预算财政拨款支出决算具体情况</w:t>
      </w:r>
    </w:p>
    <w:p w14:paraId="0E67DCD4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2025年度财政拨款支出年初预算数为565.75万元，支出决算数为614.70万元，完成年初预算的108.65%，其中：</w:t>
      </w:r>
    </w:p>
    <w:p w14:paraId="00D7FC8D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1.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一般公共服务（类）市场监督管理事务（款）行政运行（项）。</w:t>
      </w:r>
    </w:p>
    <w:p w14:paraId="2A9F2FD1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年初预算为447.47万元，支出决算为494.82万元，完成年初预算的110.58%，决算数大于年初预算数的主要原因是：晋级晋档，整体人员工资福利费增加。</w:t>
      </w:r>
    </w:p>
    <w:p w14:paraId="30650765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一般公共服务（类）市场监督管理事务（款）食品安全监管（项）。</w:t>
      </w:r>
    </w:p>
    <w:p w14:paraId="7E4C791E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年初预算为0万元，支出决算为5万元，决算数大于年初预算数的主要原因是：年内追加中央食品监管补助资金，年初预算未单列。</w:t>
      </w:r>
    </w:p>
    <w:p w14:paraId="1EE7703C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社会保障和就业支出（类）行政事业单位养老支出（款）机关事业单位基本养老保险缴费支出（项）。</w:t>
      </w:r>
    </w:p>
    <w:p w14:paraId="684ABB8E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年初预算为53.01万元，支出决算为51.23万元，完成年初预算的96.64%，决算数小于年初预算数的主要原因是：人员退休，基本养老保险缴费支出减少。</w:t>
      </w:r>
    </w:p>
    <w:p w14:paraId="3B95BDA5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卫生健康支出（类）行政事业单位医疗（款）行政单位医疗（项）。</w:t>
      </w:r>
    </w:p>
    <w:p w14:paraId="02AC31FD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年初预算为21.07万元，支出决算为21.90万元，完成年初预算的103.94%，决算数大于年初预算数的主要原因是：缴费基数上调，医疗保险缴费支出增加。</w:t>
      </w:r>
    </w:p>
    <w:p w14:paraId="126F333E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住房保障支出（类）住房改革支出（款）住房公积金（项）。</w:t>
      </w:r>
    </w:p>
    <w:p w14:paraId="6118B8B9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年初预算为44.20万元，支出决算为46.74万元，完成年初预算的105.75%，决算数小于年初预算数的主要原因是：缴费基数上调，住房公积金支出增加。</w:t>
      </w:r>
    </w:p>
    <w:p w14:paraId="10436164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按照支出功能分类，一般公共服务支出的支出规模较大（或占财政拨款支出总额的比重较高），主要是：行政运行，2025年度决算数为489.82万元，占财政拨款支出总额的80.50%，主要用于保障单位人员工资</w:t>
      </w:r>
      <w:r>
        <w:rPr>
          <w:rFonts w:hint="default" w:ascii="Times New Roman" w:hAnsi="Times New Roman" w:eastAsia="仿宋_GB2312" w:cs="Times New Roman"/>
          <w:b/>
          <w:bCs/>
          <w:i/>
          <w:color w:val="auto"/>
          <w:sz w:val="32"/>
          <w:szCs w:val="32"/>
        </w:rPr>
        <w:t>。</w:t>
      </w:r>
    </w:p>
    <w:p w14:paraId="45B74FC5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六、一般公共预算财政拨款基本支出决算情况说明</w:t>
      </w:r>
    </w:p>
    <w:p w14:paraId="2F0E36F5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16" w:firstLineChars="200"/>
        <w:jc w:val="both"/>
        <w:textAlignment w:val="auto"/>
        <w:rPr>
          <w:rFonts w:hint="default" w:ascii="Times New Roman" w:hAnsi="Times New Roman" w:eastAsia="仿宋_GB2312" w:cs="Times New Roman"/>
          <w:spacing w:val="-6"/>
          <w:sz w:val="32"/>
          <w:szCs w:val="32"/>
        </w:rPr>
      </w:pPr>
      <w:r>
        <w:rPr>
          <w:rFonts w:hint="default" w:ascii="Times New Roman" w:hAnsi="Times New Roman" w:eastAsia="仿宋_GB2312" w:cs="Times New Roman"/>
          <w:spacing w:val="-6"/>
          <w:sz w:val="32"/>
          <w:szCs w:val="32"/>
        </w:rPr>
        <w:t>2025年度一般公共预算财政拨款基本支出609.70万元，其中：</w:t>
      </w:r>
    </w:p>
    <w:p w14:paraId="03F23843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人员经费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569.24万元，占基本支出的93.36%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主要包括基本工资182.41万元、津贴补贴84.70万元、奖金149.63万元、机关事业单位基本养老保险缴费51.23万元、职工基本医疗保险缴费21.90万元、住房公积金46.74万元、退休费30.68万元、抚恤金0.7万元、生活补助1.24万元。</w:t>
      </w:r>
    </w:p>
    <w:p w14:paraId="00D71367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</w:rPr>
        <w:t>公用经费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40.46万元，占基本支出的6.64%，主要包括差旅费0.07万元、工会经费5.00万元、福利费9.01万元、其他交通费用26.02万元、其他商品和服务支出0.37万元。</w:t>
      </w:r>
    </w:p>
    <w:p w14:paraId="5C50F891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七、财政拨款“三公”经费支出决算情况说明</w:t>
      </w:r>
    </w:p>
    <w:p w14:paraId="3D3E2E59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（一）“三公”经费财政拨款支出决算总体情况说明</w:t>
      </w:r>
    </w:p>
    <w:p w14:paraId="723A991F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2025年度“三公”经费财政拨款支出预算为0万元，支出决算为0万元；支出数与上年数持平，决算数与预算数持平。</w:t>
      </w:r>
    </w:p>
    <w:p w14:paraId="1FF3C2E7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（二）“三公”经费财政拨款支出决算具体情况说明</w:t>
      </w:r>
    </w:p>
    <w:p w14:paraId="5656E234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1.因公出国（境）费支出预算为0万元，支出决算为0万元，支出数与上年数持平，决算数与预算数持平。2024年度安排因公出国（境）团组0个，累计0人次。</w:t>
      </w:r>
    </w:p>
    <w:p w14:paraId="071E0C78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公务用车购置费及运行维护费支出预算为0万元，支出决算为0万元，支出数与上年数持平，决算数与预算数持平。其中：公务用车购置费支出预算为0万元，支出决算为0万元，支出数与上年数持平，决算数与预算数持平。公务用车运行维护费支出预算为0万元，支出决算为0万元，支出数与上年数持平，决算数与预算数持平。截止2024年12月31日，我单位开支财政拨款的公务用车保有量为4辆。</w:t>
      </w:r>
    </w:p>
    <w:p w14:paraId="4ED64C40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3.公务接待费支出预算为0万元，支出决算为0万元，支出数与上年数持平，决算数与预算数持平。2024年度共接待来访团组0个、来宾0人次。</w:t>
      </w:r>
    </w:p>
    <w:p w14:paraId="61FE162E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八、政府性基金预算收入支出决算情况</w:t>
      </w:r>
    </w:p>
    <w:p w14:paraId="71AA68AD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本单位无政府性基金收支。</w:t>
      </w:r>
    </w:p>
    <w:p w14:paraId="1FDDE216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九、国有资本经营预算收入支出决算情况</w:t>
      </w:r>
    </w:p>
    <w:p w14:paraId="4AE85745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本单位无国有资本经营收支。</w:t>
      </w:r>
    </w:p>
    <w:p w14:paraId="5FA6E3C3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十、关于机关运行经费支出说明</w:t>
      </w:r>
    </w:p>
    <w:p w14:paraId="49ED96A1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本部门2025年度机关运行经费支出40.46万元，比年初预算数减少3.09万元，降低7.10%。主要原因是：落实过紧日子要求压减支出。</w:t>
      </w:r>
    </w:p>
    <w:p w14:paraId="6BE39CF7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十一、一般性支出情况说明</w:t>
      </w:r>
    </w:p>
    <w:p w14:paraId="11C49FF0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2024年本部门开支会议费0万元；开支培训费0万元；未举办节庆、晚会、论坛、赛事活动。</w:t>
      </w:r>
    </w:p>
    <w:p w14:paraId="10BE1265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十二、关于政府采购支出说明</w:t>
      </w:r>
    </w:p>
    <w:p w14:paraId="52C2EDD0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i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部门2024年度政府采购支出总额0万元，其中：政府采购货物支出0万元、政府采购工程支出0万元、政府采购服务支出0万元。授予中小企业合同金额0万元，占政府采购支出总额的0%，其中：授予小微企业合同金额0万元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占授予中小企业合同金额的0%。货物采购授予中小企业合同金额占货物支出金额的0%，工程采购授予中小企业合同金额占工程支出金额的0%，服务采购授予中小企业合同金额占服务支出金额的0%。</w:t>
      </w:r>
    </w:p>
    <w:p w14:paraId="64E9425A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十三、关于国有资产占用情况说明</w:t>
      </w:r>
    </w:p>
    <w:p w14:paraId="202D0027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截至2025年12月31日，部门（单位）共有车辆3辆，其中，副部（省）级及以上领导用车0辆、主要负责人用车0辆、机要通信用车0辆、应急保障用车0辆、执法执勤用车3辆、特种专业技术用车0辆、离退休干部服务用车0辆、其他用车0辆0；单位价值100万元以上设备（不含车辆）0台（套）。</w:t>
      </w:r>
    </w:p>
    <w:p w14:paraId="79A68334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十四、关于</w:t>
      </w:r>
      <w:r>
        <w:rPr>
          <w:rFonts w:hint="eastAsia" w:ascii="黑体" w:hAnsi="黑体" w:eastAsia="黑体" w:cs="黑体"/>
          <w:color w:val="auto"/>
          <w:sz w:val="32"/>
          <w:szCs w:val="32"/>
        </w:rPr>
        <w:t>2025</w:t>
      </w: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年度预算绩效情况的说明</w:t>
      </w:r>
    </w:p>
    <w:p w14:paraId="7650D81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（一）绩效评价工作开展情况。</w:t>
      </w:r>
      <w:r>
        <w:rPr>
          <w:rFonts w:hint="eastAsia" w:ascii="楷体_GB2312" w:hAnsi="楷体_GB2312" w:eastAsia="楷体_GB2312" w:cs="楷体_GB2312"/>
          <w:b w:val="0"/>
          <w:bCs/>
          <w:kern w:val="0"/>
          <w:sz w:val="32"/>
          <w:szCs w:val="32"/>
        </w:rPr>
        <w:t>一是绩效自评开展情况。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组织对2025年度本部门（单位）整体支出开展绩效自评，涉及项目1个，共涉及资金614.70万元。其中，一般公共预算项目1个614.70 万元，占一般公共预算支出总额的100%；政府性基金预算项目0个0万元，占政府性基金预算支出总额的0%；国有资本经营预算项目0个0万元，占国有资本经营预算支出总额的0%；社会保险基金预算项目0个0万元，占社会保险基金预算支出总额的0%。</w:t>
      </w:r>
    </w:p>
    <w:p w14:paraId="66E5DE7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sz w:val="32"/>
          <w:szCs w:val="32"/>
        </w:rPr>
        <w:t>（二）绩效评价结果。</w:t>
      </w:r>
      <w:r>
        <w:rPr>
          <w:rFonts w:hint="eastAsia" w:ascii="楷体_GB2312" w:hAnsi="楷体_GB2312" w:eastAsia="楷体_GB2312" w:cs="楷体_GB2312"/>
          <w:b w:val="0"/>
          <w:bCs/>
          <w:kern w:val="0"/>
          <w:sz w:val="32"/>
          <w:szCs w:val="32"/>
        </w:rPr>
        <w:t>一是绩效自评结果。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2025年度本部门（单位）整体支出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全年预算数624.69万元，执行数614.70万元，完成预算的98.40%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，绩效自评得分</w:t>
      </w:r>
      <w:r>
        <w:rPr>
          <w:rFonts w:hint="default" w:ascii="Times New Roman" w:hAnsi="Times New Roman" w:eastAsia="仿宋_GB2312" w:cs="Times New Roman"/>
          <w:sz w:val="32"/>
          <w:szCs w:val="32"/>
        </w:rPr>
        <w:t>98分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，评价等级为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“优秀”。绩效目标完成情况：一是持续强化食品、药品、医疗器械、化妆品、特种设备和产品质量安全监管，加强市场监管安全风险防控和隐患排查整治，坚决把事故风险隐患消除在萌芽状态；二是进一步强化消费维权工作，坚决杜绝市场监管安全事故和重大舆情事件；三是持续深化商事制度改革，依法维护公平有序的市场环境，深化“互联网+监管”改革，认真落实“双随机、一公开”监管；四是进一步加强知识产权、商标广告、反不正当竞争、价格计量等监管力度，健全公平竞争审查制度，加大反垄断和反不正当竞争执法力度，维护市场公平正义。发现的主要问题及原因：从三级绩效指标设置和完成情况来看，基本上完成了设定的总体目标，不存在未完成现象。生态效益指标有所偏离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主要是因为业务本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身对生态系统无实质性干预或改善作用，导致所设生态效益指标在实际业务执行中难以体现，出现偏离现象。下步改进措施：为防止后续出现绩效指标偏离，将进一步优化目标设定流程、建立弹性调整机制、强化实施过程监控、完善绩效评级体系。</w:t>
      </w:r>
    </w:p>
    <w:p w14:paraId="6699CA8F">
      <w:pPr>
        <w:pStyle w:val="1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/>
        <w:spacing w:line="62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kern w:val="2"/>
          <w:sz w:val="32"/>
          <w:szCs w:val="32"/>
        </w:rPr>
        <w:t>（三）评价结果应用情况。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按规定上报和公开绩效自评结果，根据结果，进一步完善财政资金使用，加强市场监督管理。</w:t>
      </w:r>
    </w:p>
    <w:p w14:paraId="7D7038F1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03DC4BDD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468589A9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522CC934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34709BC7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7374E32C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418325BC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0FA763D2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29636997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77014F9D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7A0DC4FA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第四部分    名词解释</w:t>
      </w:r>
    </w:p>
    <w:p w14:paraId="03E26ACE">
      <w:pPr>
        <w:widowControl/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</w:p>
    <w:p w14:paraId="07A6A931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一、机关运行经费：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是指各部门的公用经费，包括办公及印刷费、邮电费、差旅费、会议费、福利费、日常维修费、专用材料及一般设备购置费、办公用房水电费、办公用房取暖费、办公用房物 业管理费、公务用车运行维护费以及其他费用。</w:t>
      </w:r>
    </w:p>
    <w:p w14:paraId="77619C69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jc w:val="both"/>
        <w:textAlignment w:val="auto"/>
        <w:rPr>
          <w:rFonts w:ascii="Times New Roman" w:hAnsi="Times New Roman" w:cs="Times New Roman"/>
          <w:sz w:val="72"/>
          <w:szCs w:val="72"/>
        </w:rPr>
      </w:pPr>
      <w:r>
        <w:rPr>
          <w:rFonts w:hint="eastAsia" w:ascii="黑体" w:hAnsi="黑体" w:eastAsia="黑体" w:cs="黑体"/>
          <w:sz w:val="32"/>
          <w:szCs w:val="32"/>
        </w:rPr>
        <w:t>二、“三公”经费：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指通过财政拨款资金安排的因公出国（境）费、公务用车购置及运行费和公务接待费支出。</w:t>
      </w:r>
    </w:p>
    <w:p w14:paraId="68BEAD9B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17A33A33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488B83EF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2996945B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5A1D0FA1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502D6D77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0EB55D81">
      <w:pPr>
        <w:pStyle w:val="12"/>
        <w:jc w:val="both"/>
        <w:rPr>
          <w:rFonts w:ascii="Times New Roman" w:hAnsi="Times New Roman" w:cs="Times New Roman"/>
          <w:sz w:val="72"/>
          <w:szCs w:val="72"/>
        </w:rPr>
      </w:pPr>
    </w:p>
    <w:p w14:paraId="3010271F">
      <w:pPr>
        <w:pStyle w:val="12"/>
        <w:spacing w:line="360" w:lineRule="auto"/>
        <w:jc w:val="center"/>
        <w:rPr>
          <w:rFonts w:hint="eastAsia" w:ascii="Times New Roman" w:hAnsi="Times New Roman" w:eastAsia="方正小标宋_GBK" w:cs="Times New Roman"/>
          <w:sz w:val="52"/>
          <w:szCs w:val="52"/>
        </w:rPr>
      </w:pPr>
    </w:p>
    <w:p w14:paraId="5CA8E160">
      <w:pPr>
        <w:pStyle w:val="12"/>
        <w:spacing w:line="360" w:lineRule="auto"/>
        <w:jc w:val="center"/>
        <w:rPr>
          <w:rFonts w:hint="eastAsia" w:ascii="Times New Roman" w:hAnsi="Times New Roman" w:eastAsia="方正小标宋_GBK" w:cs="Times New Roman"/>
          <w:sz w:val="52"/>
          <w:szCs w:val="52"/>
        </w:rPr>
      </w:pPr>
    </w:p>
    <w:p w14:paraId="4DD68DD9">
      <w:pPr>
        <w:pStyle w:val="12"/>
        <w:spacing w:line="360" w:lineRule="auto"/>
        <w:jc w:val="center"/>
        <w:rPr>
          <w:rFonts w:hint="eastAsia" w:ascii="Times New Roman" w:hAnsi="Times New Roman" w:eastAsia="方正小标宋_GBK" w:cs="Times New Roman"/>
          <w:sz w:val="52"/>
          <w:szCs w:val="52"/>
        </w:rPr>
      </w:pPr>
    </w:p>
    <w:p w14:paraId="702F5249">
      <w:pPr>
        <w:pStyle w:val="12"/>
        <w:spacing w:line="360" w:lineRule="auto"/>
        <w:jc w:val="center"/>
        <w:rPr>
          <w:rFonts w:ascii="Times New Roman" w:hAnsi="Times New Roman" w:eastAsia="方正小标宋_GBK" w:cs="Times New Roman"/>
          <w:sz w:val="52"/>
          <w:szCs w:val="52"/>
        </w:rPr>
      </w:pPr>
      <w:r>
        <w:rPr>
          <w:rFonts w:ascii="Times New Roman" w:hAnsi="Times New Roman" w:eastAsia="方正小标宋_GBK" w:cs="Times New Roman"/>
          <w:sz w:val="52"/>
          <w:szCs w:val="52"/>
        </w:rPr>
        <w:t>第五部分   附 件</w:t>
      </w:r>
    </w:p>
    <w:p w14:paraId="11343A2B">
      <w:pPr>
        <w:rPr>
          <w:rFonts w:ascii="Times New Roman" w:hAnsi="Times New Roman" w:cs="Times New Roman"/>
          <w:sz w:val="72"/>
          <w:szCs w:val="72"/>
        </w:rPr>
      </w:pPr>
    </w:p>
    <w:p w14:paraId="36E72CC5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一、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怀化市市场监督管理局直属二局2025年度决算公开表</w:t>
      </w:r>
    </w:p>
    <w:p w14:paraId="5F210243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二、怀化市市场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监督管理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</w:rPr>
        <w:t>局直属二局2025年度整体支出绩效评价报告</w:t>
      </w:r>
    </w:p>
    <w:p w14:paraId="52B475DE">
      <w:pPr>
        <w:pStyle w:val="12"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397EF9C7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35E6C13D">
      <w:pPr>
        <w:pStyle w:val="12"/>
        <w:jc w:val="center"/>
        <w:rPr>
          <w:rFonts w:ascii="Times New Roman" w:hAnsi="Times New Roman" w:cs="Times New Roman"/>
          <w:sz w:val="72"/>
          <w:szCs w:val="72"/>
        </w:rPr>
      </w:pPr>
    </w:p>
    <w:p w14:paraId="49CFAB0C">
      <w:pPr>
        <w:jc w:val="left"/>
        <w:rPr>
          <w:rFonts w:ascii="Times New Roman" w:hAnsi="Times New Roman" w:cs="Times New Roman"/>
          <w:color w:val="000000"/>
          <w:kern w:val="0"/>
          <w:sz w:val="32"/>
          <w:szCs w:val="32"/>
        </w:rPr>
      </w:pPr>
    </w:p>
    <w:sectPr>
      <w:footerReference r:id="rId4" w:type="default"/>
      <w:pgSz w:w="11906" w:h="16838"/>
      <w:pgMar w:top="1417" w:right="1588" w:bottom="1417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60DDB8"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368CAF">
    <w:pPr>
      <w:pStyle w:val="6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vY9gwLAIAAFUEAAAOAAAAZHJz&#10;L2Uyb0RvYy54bWytVM2O0zAQviPxDpbvNGlRV1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95O&#10;0/bC1QNwqZEjkugeG63Q7Jue2d7kZxBzpusMb/mmQvIt8+GBObQCHoxhCfdYCmmQxPQWJaVxX/91&#10;HuNRIXgpqdFaGdWYJErkB43KATAMhhuM/WDoo7oz6NUxhtDy1sQFF+RgFs6oL5igVcwBF9McmTIa&#10;BvMudO2NCeRitWqD0GuWha3eWR6ho3jero4BAra6RlE6JXqt0G1tZfrJiO38576NevobLB8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FgAA&#10;AGRycy9QSwECFAAUAAAACACHTuJAs0lY7tAAAAAFAQAADwAAAAAAAAABACAAAAA4AAAAZHJzL2Rv&#10;d25yZXYueG1sUEsBAhQAFAAAAAgAh07iQK9j2DAsAgAAVQQAAA4AAAAAAAAAAQAgAAAANQEAAGRy&#10;cy9lMm9Eb2MueG1sUEsFBgAAAAAGAAYAWQEAANM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0F0EDAC0">
                <w:pPr>
                  <w:pStyle w:val="6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4506F9"/>
    <w:rsid w:val="0000001A"/>
    <w:rsid w:val="00021147"/>
    <w:rsid w:val="0002229B"/>
    <w:rsid w:val="000273BD"/>
    <w:rsid w:val="0003620C"/>
    <w:rsid w:val="00037AAA"/>
    <w:rsid w:val="00040CBC"/>
    <w:rsid w:val="000415B7"/>
    <w:rsid w:val="00041E3F"/>
    <w:rsid w:val="00055DAA"/>
    <w:rsid w:val="00061F7B"/>
    <w:rsid w:val="000658A3"/>
    <w:rsid w:val="00074155"/>
    <w:rsid w:val="00080785"/>
    <w:rsid w:val="000A3F69"/>
    <w:rsid w:val="000B20F1"/>
    <w:rsid w:val="000C5742"/>
    <w:rsid w:val="000D1249"/>
    <w:rsid w:val="00103957"/>
    <w:rsid w:val="00152C6D"/>
    <w:rsid w:val="00162D39"/>
    <w:rsid w:val="001678BD"/>
    <w:rsid w:val="00182373"/>
    <w:rsid w:val="001A67DB"/>
    <w:rsid w:val="001B67D1"/>
    <w:rsid w:val="001C3C29"/>
    <w:rsid w:val="001D2B79"/>
    <w:rsid w:val="001D51E5"/>
    <w:rsid w:val="001E080D"/>
    <w:rsid w:val="001E53D0"/>
    <w:rsid w:val="001F0C3B"/>
    <w:rsid w:val="00202C82"/>
    <w:rsid w:val="00214427"/>
    <w:rsid w:val="00220689"/>
    <w:rsid w:val="00221AFD"/>
    <w:rsid w:val="00226CB7"/>
    <w:rsid w:val="00252450"/>
    <w:rsid w:val="00264552"/>
    <w:rsid w:val="00264EF9"/>
    <w:rsid w:val="00265724"/>
    <w:rsid w:val="0027426B"/>
    <w:rsid w:val="00296D60"/>
    <w:rsid w:val="002E0A30"/>
    <w:rsid w:val="002F3549"/>
    <w:rsid w:val="0030077D"/>
    <w:rsid w:val="003114B8"/>
    <w:rsid w:val="003130C4"/>
    <w:rsid w:val="00316C4B"/>
    <w:rsid w:val="0032192B"/>
    <w:rsid w:val="0033283E"/>
    <w:rsid w:val="003479BD"/>
    <w:rsid w:val="0037197D"/>
    <w:rsid w:val="003768D5"/>
    <w:rsid w:val="0038245C"/>
    <w:rsid w:val="003926B9"/>
    <w:rsid w:val="003C2E17"/>
    <w:rsid w:val="003C47E6"/>
    <w:rsid w:val="003C4FC2"/>
    <w:rsid w:val="00401F9A"/>
    <w:rsid w:val="00416E61"/>
    <w:rsid w:val="0042790C"/>
    <w:rsid w:val="00447B80"/>
    <w:rsid w:val="004506F9"/>
    <w:rsid w:val="00460E3A"/>
    <w:rsid w:val="00462315"/>
    <w:rsid w:val="00464320"/>
    <w:rsid w:val="004717A2"/>
    <w:rsid w:val="00473DF3"/>
    <w:rsid w:val="00487911"/>
    <w:rsid w:val="00490F48"/>
    <w:rsid w:val="00491741"/>
    <w:rsid w:val="004B0CEE"/>
    <w:rsid w:val="004C2A0A"/>
    <w:rsid w:val="004F5EFB"/>
    <w:rsid w:val="00500E5F"/>
    <w:rsid w:val="005122EF"/>
    <w:rsid w:val="0051441A"/>
    <w:rsid w:val="00517C33"/>
    <w:rsid w:val="00517D5F"/>
    <w:rsid w:val="00523644"/>
    <w:rsid w:val="0053743B"/>
    <w:rsid w:val="0054069E"/>
    <w:rsid w:val="00544866"/>
    <w:rsid w:val="00552A3D"/>
    <w:rsid w:val="005574DE"/>
    <w:rsid w:val="00574CC8"/>
    <w:rsid w:val="005767CC"/>
    <w:rsid w:val="00590D9F"/>
    <w:rsid w:val="00595D26"/>
    <w:rsid w:val="005A74E6"/>
    <w:rsid w:val="005B404E"/>
    <w:rsid w:val="005D4D55"/>
    <w:rsid w:val="005E0E6C"/>
    <w:rsid w:val="005E2CFB"/>
    <w:rsid w:val="005F2103"/>
    <w:rsid w:val="005F3D1C"/>
    <w:rsid w:val="005F4189"/>
    <w:rsid w:val="006171EE"/>
    <w:rsid w:val="0062378F"/>
    <w:rsid w:val="00641842"/>
    <w:rsid w:val="00651EEC"/>
    <w:rsid w:val="00686673"/>
    <w:rsid w:val="00691E8C"/>
    <w:rsid w:val="006A22C4"/>
    <w:rsid w:val="006A351B"/>
    <w:rsid w:val="006B0422"/>
    <w:rsid w:val="006B1FE6"/>
    <w:rsid w:val="006B5C55"/>
    <w:rsid w:val="006C1B53"/>
    <w:rsid w:val="006D7730"/>
    <w:rsid w:val="006E5284"/>
    <w:rsid w:val="006F2693"/>
    <w:rsid w:val="006F3EB5"/>
    <w:rsid w:val="006F56C8"/>
    <w:rsid w:val="00702E34"/>
    <w:rsid w:val="00704395"/>
    <w:rsid w:val="00710FE7"/>
    <w:rsid w:val="00717621"/>
    <w:rsid w:val="00720FF1"/>
    <w:rsid w:val="00727A53"/>
    <w:rsid w:val="00743404"/>
    <w:rsid w:val="007502DE"/>
    <w:rsid w:val="00787B42"/>
    <w:rsid w:val="007C0662"/>
    <w:rsid w:val="007C4539"/>
    <w:rsid w:val="007C709D"/>
    <w:rsid w:val="007E1772"/>
    <w:rsid w:val="007F3657"/>
    <w:rsid w:val="00810F0C"/>
    <w:rsid w:val="00811AA2"/>
    <w:rsid w:val="00812ED5"/>
    <w:rsid w:val="008277D9"/>
    <w:rsid w:val="0084478C"/>
    <w:rsid w:val="00855590"/>
    <w:rsid w:val="0086638C"/>
    <w:rsid w:val="008764FA"/>
    <w:rsid w:val="00876FCB"/>
    <w:rsid w:val="00882D36"/>
    <w:rsid w:val="008A1079"/>
    <w:rsid w:val="008A3E8D"/>
    <w:rsid w:val="008A5055"/>
    <w:rsid w:val="008D17F4"/>
    <w:rsid w:val="008E4986"/>
    <w:rsid w:val="009237C4"/>
    <w:rsid w:val="00944C48"/>
    <w:rsid w:val="00950252"/>
    <w:rsid w:val="00967F5D"/>
    <w:rsid w:val="009A0F95"/>
    <w:rsid w:val="009B3ADF"/>
    <w:rsid w:val="009C31C5"/>
    <w:rsid w:val="009C3B52"/>
    <w:rsid w:val="009E6817"/>
    <w:rsid w:val="009E6E9A"/>
    <w:rsid w:val="00A01D2B"/>
    <w:rsid w:val="00A1392A"/>
    <w:rsid w:val="00A42218"/>
    <w:rsid w:val="00A70249"/>
    <w:rsid w:val="00A70B02"/>
    <w:rsid w:val="00A71D9F"/>
    <w:rsid w:val="00A861EF"/>
    <w:rsid w:val="00A92E9F"/>
    <w:rsid w:val="00AB18FF"/>
    <w:rsid w:val="00B26269"/>
    <w:rsid w:val="00B33BEA"/>
    <w:rsid w:val="00B57C9F"/>
    <w:rsid w:val="00B63572"/>
    <w:rsid w:val="00B845B3"/>
    <w:rsid w:val="00B85D8B"/>
    <w:rsid w:val="00BB4A40"/>
    <w:rsid w:val="00BD6022"/>
    <w:rsid w:val="00BD6C3E"/>
    <w:rsid w:val="00BE3674"/>
    <w:rsid w:val="00C10681"/>
    <w:rsid w:val="00C10822"/>
    <w:rsid w:val="00C15C89"/>
    <w:rsid w:val="00C27C0D"/>
    <w:rsid w:val="00C3049A"/>
    <w:rsid w:val="00C31B1E"/>
    <w:rsid w:val="00C32F2E"/>
    <w:rsid w:val="00C71A41"/>
    <w:rsid w:val="00C729CC"/>
    <w:rsid w:val="00C73888"/>
    <w:rsid w:val="00C77645"/>
    <w:rsid w:val="00CE04C3"/>
    <w:rsid w:val="00CE34BE"/>
    <w:rsid w:val="00CE76A0"/>
    <w:rsid w:val="00D148C6"/>
    <w:rsid w:val="00D17A8A"/>
    <w:rsid w:val="00D415BA"/>
    <w:rsid w:val="00D63780"/>
    <w:rsid w:val="00D644EE"/>
    <w:rsid w:val="00DD06FF"/>
    <w:rsid w:val="00DD5FE9"/>
    <w:rsid w:val="00E00C7A"/>
    <w:rsid w:val="00E37D6C"/>
    <w:rsid w:val="00E537B5"/>
    <w:rsid w:val="00E55B68"/>
    <w:rsid w:val="00E561AE"/>
    <w:rsid w:val="00E67BE6"/>
    <w:rsid w:val="00E8683C"/>
    <w:rsid w:val="00EA2B72"/>
    <w:rsid w:val="00EB684F"/>
    <w:rsid w:val="00ED0091"/>
    <w:rsid w:val="00F74360"/>
    <w:rsid w:val="00FB462F"/>
    <w:rsid w:val="00FE16FA"/>
    <w:rsid w:val="00FE328A"/>
    <w:rsid w:val="00FE6269"/>
    <w:rsid w:val="00FF5CD6"/>
    <w:rsid w:val="123E2B1B"/>
    <w:rsid w:val="172C533E"/>
    <w:rsid w:val="1A396060"/>
    <w:rsid w:val="1D97DEFF"/>
    <w:rsid w:val="1DFF72E5"/>
    <w:rsid w:val="1EFC6F07"/>
    <w:rsid w:val="2F7C5E3B"/>
    <w:rsid w:val="2FDF85B8"/>
    <w:rsid w:val="2FFFEE04"/>
    <w:rsid w:val="34DF85B0"/>
    <w:rsid w:val="3B8F36BC"/>
    <w:rsid w:val="42937435"/>
    <w:rsid w:val="491FF225"/>
    <w:rsid w:val="4D727562"/>
    <w:rsid w:val="4FFD214C"/>
    <w:rsid w:val="5777D4F5"/>
    <w:rsid w:val="589C59F1"/>
    <w:rsid w:val="59DD8326"/>
    <w:rsid w:val="5DEF592A"/>
    <w:rsid w:val="5FC6BB1E"/>
    <w:rsid w:val="5FF720F1"/>
    <w:rsid w:val="67FF5C0B"/>
    <w:rsid w:val="6EFC0924"/>
    <w:rsid w:val="6FB74722"/>
    <w:rsid w:val="6FEF8B7E"/>
    <w:rsid w:val="70741DA4"/>
    <w:rsid w:val="71A6591B"/>
    <w:rsid w:val="737D59BA"/>
    <w:rsid w:val="77C37683"/>
    <w:rsid w:val="79D19834"/>
    <w:rsid w:val="79FF515B"/>
    <w:rsid w:val="7BF549BF"/>
    <w:rsid w:val="7E9E1962"/>
    <w:rsid w:val="7E9F11B4"/>
    <w:rsid w:val="7F37EC1E"/>
    <w:rsid w:val="7F7DCD9D"/>
    <w:rsid w:val="7F970A6F"/>
    <w:rsid w:val="7FC1FFF3"/>
    <w:rsid w:val="7FC69637"/>
    <w:rsid w:val="7FDF8620"/>
    <w:rsid w:val="7FE8C8F7"/>
    <w:rsid w:val="7FFB242F"/>
    <w:rsid w:val="7FFDB408"/>
    <w:rsid w:val="7FFE4EEB"/>
    <w:rsid w:val="95FB2B98"/>
    <w:rsid w:val="9A639BC2"/>
    <w:rsid w:val="9BFA491D"/>
    <w:rsid w:val="9FF7D786"/>
    <w:rsid w:val="ABBFB23D"/>
    <w:rsid w:val="B6AFFE39"/>
    <w:rsid w:val="C3B4DA5A"/>
    <w:rsid w:val="CBFF70E0"/>
    <w:rsid w:val="CFF50B82"/>
    <w:rsid w:val="CFFFAD89"/>
    <w:rsid w:val="DFFE359E"/>
    <w:rsid w:val="DFFE4FFD"/>
    <w:rsid w:val="EEABED75"/>
    <w:rsid w:val="F56FDF51"/>
    <w:rsid w:val="F6B69F17"/>
    <w:rsid w:val="F77F1D61"/>
    <w:rsid w:val="F7FED3A9"/>
    <w:rsid w:val="F8C9DB26"/>
    <w:rsid w:val="F97E8EAE"/>
    <w:rsid w:val="FB36E1A6"/>
    <w:rsid w:val="FB3BE134"/>
    <w:rsid w:val="FCFF4275"/>
    <w:rsid w:val="FD7FEEEA"/>
    <w:rsid w:val="FDFFB577"/>
    <w:rsid w:val="FEEA50FE"/>
    <w:rsid w:val="FF7D47A9"/>
    <w:rsid w:val="FF7F63BE"/>
    <w:rsid w:val="FFCF21CB"/>
    <w:rsid w:val="FFFF0432"/>
    <w:rsid w:val="FFFF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semiHidden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 First Indent 2"/>
    <w:basedOn w:val="4"/>
    <w:next w:val="1"/>
    <w:unhideWhenUsed/>
    <w:qFormat/>
    <w:uiPriority w:val="99"/>
    <w:pPr>
      <w:ind w:firstLine="420" w:firstLineChars="200"/>
    </w:pPr>
  </w:style>
  <w:style w:type="paragraph" w:styleId="4">
    <w:name w:val="Body Text Indent"/>
    <w:basedOn w:val="1"/>
    <w:next w:val="3"/>
    <w:unhideWhenUsed/>
    <w:qFormat/>
    <w:uiPriority w:val="99"/>
    <w:pPr>
      <w:widowControl/>
      <w:spacing w:after="120"/>
      <w:ind w:left="420" w:leftChars="200"/>
      <w:jc w:val="left"/>
    </w:pPr>
    <w:rPr>
      <w:rFonts w:ascii="宋体" w:hAnsi="宋体" w:eastAsia="宋体" w:cs="宋体"/>
      <w:kern w:val="0"/>
      <w:sz w:val="24"/>
    </w:rPr>
  </w:style>
  <w:style w:type="paragraph" w:styleId="5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页眉 Char"/>
    <w:basedOn w:val="9"/>
    <w:link w:val="7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6"/>
    <w:qFormat/>
    <w:uiPriority w:val="99"/>
    <w:rPr>
      <w:sz w:val="18"/>
      <w:szCs w:val="18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 w:hAnsiTheme="minorHAnsi"/>
      <w:color w:val="000000"/>
      <w:sz w:val="24"/>
      <w:szCs w:val="24"/>
      <w:lang w:val="en-US" w:eastAsia="zh-CN" w:bidi="ar-SA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9"/>
    <w:link w:val="5"/>
    <w:semiHidden/>
    <w:qFormat/>
    <w:uiPriority w:val="99"/>
    <w:rPr>
      <w:sz w:val="18"/>
      <w:szCs w:val="18"/>
    </w:rPr>
  </w:style>
  <w:style w:type="character" w:customStyle="1" w:styleId="15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1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9138bdea-3ed0-4a84-9f96-2a4d768fd003</errorID>
      <errorWord xmlns="http://schemas.wps.cn/vas-ai-hub/contract-review">1、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1.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  D7FC8D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1.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147ce725-9c12-4b59-8ba0-85e258f116db</errorID>
      <errorWord xmlns="http://schemas.wps.cn/vas-ai-hub/contract-review">2、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2.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30650765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2.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2c67cac4-869d-424c-9c0c-34d502778971</errorID>
      <errorWord xmlns="http://schemas.wps.cn/vas-ai-hub/contract-review">3、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3.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1EE7703C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3.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27a22643-aed0-4576-8db8-41d5e6664da3</errorID>
      <errorWord xmlns="http://schemas.wps.cn/vas-ai-hub/contract-review">4、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4.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3B95BDA5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4.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cc5781e2-2de2-4085-96f8-c63802dcee97</errorID>
      <errorWord xmlns="http://schemas.wps.cn/vas-ai-hub/contract-review">5、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5.</item>
      </candidateList>
      <explain xmlns="http://schemas.wps.cn/vas-ai-hub/contract-review"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 xmlns="http://schemas.wps.cn/vas-ai-hub/contract-review">126F333E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5.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7b64f1b2-abf8-4325-b2ea-f10bf9e69944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L2_HalfPunc_CN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 3F23843</paraID>
      <start xmlns="http://schemas.wps.cn/vas-ai-hub/contract-review">25</start>
      <end xmlns="http://schemas.wps.cn/vas-ai-hub/contract-review">26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4337f378-ac00-44b9-9099-e9361db85852</errorID>
      <errorWord xmlns="http://schemas.wps.cn/vas-ai-hub/contract-review">截止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截至</item>
      </candidateList>
      <explain xmlns="http://schemas.wps.cn/vas-ai-hub/contract-review">存在发音相同字词的误用。</explain>
      <paraID xmlns="http://schemas.wps.cn/vas-ai-hub/contract-review"> 71E0C78</paraID>
      <start xmlns="http://schemas.wps.cn/vas-ai-hub/contract-review">148</start>
      <end xmlns="http://schemas.wps.cn/vas-ai-hub/contract-review">150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d2f7a20a-325d-4539-bb66-b3f03996671a</errorID>
      <errorWord xmlns="http://schemas.wps.cn/vas-ai-hub/contract-review">是因为于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是因为</item>
      </candidateList>
      <explain xmlns="http://schemas.wps.cn/vas-ai-hub/contract-review"/>
      <paraID xmlns="http://schemas.wps.cn/vas-ai-hub/contract-review">66E5DE7F</paraID>
      <start xmlns="http://schemas.wps.cn/vas-ai-hub/contract-review">400</start>
      <end xmlns="http://schemas.wps.cn/vas-ai-hub/contract-review">404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4d628aec-a44f-4f6d-bfb6-4f16319fcadf</errorID>
      <errorWord xmlns="http://schemas.wps.cn/vas-ai-hub/contract-review">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下一</item>
      </candidateList>
      <explain xmlns="http://schemas.wps.cn/vas-ai-hub/contract-review"/>
      <paraID xmlns="http://schemas.wps.cn/vas-ai-hub/contract-review">66E5DE7F</paraID>
      <start xmlns="http://schemas.wps.cn/vas-ai-hub/contract-review">455</start>
      <end xmlns="http://schemas.wps.cn/vas-ai-hub/contract-review">456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6832efb-34bc-4b1b-91e3-4a43fad3b8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16</Pages>
  <Words>4601</Words>
  <Characters>5036</Characters>
  <Lines>37</Lines>
  <Paragraphs>10</Paragraphs>
  <TotalTime>2</TotalTime>
  <ScaleCrop>false</ScaleCrop>
  <LinksUpToDate>false</LinksUpToDate>
  <CharactersWithSpaces>5052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2025-08-20T02:17:00Z</dcterms:created>
  <dc:creator>李航 null</dc:creator>
  <cp:lastModifiedBy>A梦</cp:lastModifiedBy>
  <cp:lastPrinted>2024-08-10T10:20:00Z</cp:lastPrinted>
  <dcterms:modified xsi:type="dcterms:W3CDTF">2026-10-15T16:21:33Z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4F0B27C0AAC35EFA9177686ADDD5E058</vt:lpwstr>
  </property>
  <property fmtid="{D5CDD505-2E9C-101B-9397-08002B2CF9AE}" pid="4" name="KSOTemplateDocerSaveRecord">
    <vt:lpwstr>eyJoZGlkIjoiNWJhOTRmMGYwNjE4ZTZiNTIwZWY0M2JhNTEzMDg4NjciLCJ1c2VySWQiOiIyMzk3NDE0MzEifQ==</vt:lpwstr>
  </property>
</Properties>
</file>