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379D0">
      <w:pPr>
        <w:pStyle w:val="15"/>
        <w:jc w:val="center"/>
        <w:rPr>
          <w:rFonts w:ascii="Times New Roman" w:hAnsi="Times New Roman" w:cs="Times New Roman"/>
          <w:sz w:val="56"/>
          <w:szCs w:val="56"/>
        </w:rPr>
      </w:pPr>
    </w:p>
    <w:p w14:paraId="4677C743">
      <w:pPr>
        <w:pStyle w:val="15"/>
        <w:jc w:val="center"/>
        <w:rPr>
          <w:rFonts w:ascii="Times New Roman" w:hAnsi="Times New Roman" w:cs="Times New Roman"/>
          <w:sz w:val="84"/>
          <w:szCs w:val="84"/>
        </w:rPr>
      </w:pPr>
    </w:p>
    <w:p w14:paraId="64211595">
      <w:pPr>
        <w:pStyle w:val="15"/>
        <w:jc w:val="center"/>
        <w:rPr>
          <w:rFonts w:ascii="Times New Roman" w:hAnsi="Times New Roman" w:cs="Times New Roman"/>
          <w:sz w:val="84"/>
          <w:szCs w:val="84"/>
        </w:rPr>
      </w:pPr>
    </w:p>
    <w:p w14:paraId="19F3242E">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62214D4">
      <w:pPr>
        <w:pStyle w:val="15"/>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怀化市检验检测中心</w:t>
      </w:r>
    </w:p>
    <w:p w14:paraId="4D4FEA98">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C0ABAF1">
      <w:pPr>
        <w:pStyle w:val="15"/>
        <w:jc w:val="center"/>
        <w:rPr>
          <w:rFonts w:ascii="Times New Roman" w:hAnsi="Times New Roman" w:eastAsia="方正小标宋_GBK" w:cs="Times New Roman"/>
          <w:sz w:val="56"/>
          <w:szCs w:val="56"/>
        </w:rPr>
      </w:pPr>
    </w:p>
    <w:p w14:paraId="5A70FFC7">
      <w:pPr>
        <w:pStyle w:val="15"/>
        <w:jc w:val="center"/>
        <w:rPr>
          <w:rFonts w:ascii="Times New Roman" w:hAnsi="Times New Roman" w:cs="Times New Roman"/>
          <w:sz w:val="56"/>
          <w:szCs w:val="56"/>
        </w:rPr>
      </w:pPr>
    </w:p>
    <w:p w14:paraId="6E810819">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92F5638">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7803EF2">
      <w:pPr>
        <w:pStyle w:val="15"/>
        <w:spacing w:line="600" w:lineRule="exact"/>
        <w:jc w:val="center"/>
        <w:rPr>
          <w:rFonts w:ascii="Times New Roman" w:hAnsi="Times New Roman" w:cs="Times New Roman"/>
          <w:b/>
          <w:sz w:val="36"/>
          <w:szCs w:val="28"/>
        </w:rPr>
      </w:pPr>
    </w:p>
    <w:p w14:paraId="0F253822">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怀化市检验检测中心</w:t>
      </w:r>
      <w:r>
        <w:rPr>
          <w:rFonts w:ascii="Times New Roman" w:hAnsi="Times New Roman" w:cs="Times New Roman"/>
          <w:bCs/>
          <w:sz w:val="32"/>
          <w:szCs w:val="32"/>
        </w:rPr>
        <w:t>概况</w:t>
      </w:r>
    </w:p>
    <w:p w14:paraId="4F89CBC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9A3CDA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EA2DAC1">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28770D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590B24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6D162D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54CEC8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2B997D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24215F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21B0A0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5FFABB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D37B1A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2221D99">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6F7C9C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80B09A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F055B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36391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3BA1E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1A2671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F8EED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6369C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FE32B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D892EF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rPr>
        <w:t>国有资本经营预算收入支出</w:t>
      </w:r>
      <w:r>
        <w:rPr>
          <w:rFonts w:hint="eastAsia" w:ascii="Times New Roman" w:hAnsi="Times New Roman" w:eastAsia="仿宋_GB2312" w:cs="Times New Roman"/>
          <w:color w:val="000000"/>
          <w:kern w:val="0"/>
          <w:sz w:val="32"/>
          <w:szCs w:val="32"/>
        </w:rPr>
        <w:t>决算情况</w:t>
      </w:r>
      <w:r>
        <w:rPr>
          <w:rFonts w:hint="eastAsia" w:ascii="Times New Roman" w:hAnsi="Times New Roman" w:eastAsia="仿宋_GB2312" w:cs="Times New Roman"/>
          <w:color w:val="000000"/>
          <w:kern w:val="0"/>
          <w:sz w:val="32"/>
          <w:szCs w:val="32"/>
          <w:lang w:val="en-US" w:eastAsia="zh-CN"/>
        </w:rPr>
        <w:t>说明</w:t>
      </w:r>
    </w:p>
    <w:p w14:paraId="6D0CB3AC">
      <w:pPr>
        <w:autoSpaceDE w:val="0"/>
        <w:autoSpaceDN w:val="0"/>
        <w:adjustRightInd w:val="0"/>
        <w:spacing w:line="600" w:lineRule="exact"/>
        <w:jc w:val="left"/>
      </w:pPr>
      <w:r>
        <w:rPr>
          <w:rFonts w:ascii="Times New Roman" w:hAnsi="Times New Roman" w:eastAsia="仿宋_GB2312" w:cs="Times New Roman"/>
          <w:color w:val="000000"/>
          <w:kern w:val="0"/>
          <w:sz w:val="32"/>
          <w:szCs w:val="32"/>
        </w:rPr>
        <w:t>十、关于机关运行经费支出说明</w:t>
      </w:r>
    </w:p>
    <w:p w14:paraId="633DA5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5545C3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7D763BF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348802E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028BF9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AA66E3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C42152F">
      <w:pPr>
        <w:pStyle w:val="15"/>
        <w:spacing w:line="600" w:lineRule="exact"/>
        <w:rPr>
          <w:rFonts w:ascii="Times New Roman" w:hAnsi="Times New Roman" w:cs="Times New Roman"/>
          <w:bCs/>
          <w:sz w:val="28"/>
          <w:szCs w:val="28"/>
        </w:rPr>
      </w:pPr>
    </w:p>
    <w:p w14:paraId="3115D669">
      <w:pPr>
        <w:jc w:val="center"/>
        <w:rPr>
          <w:rFonts w:ascii="Times New Roman" w:hAnsi="Times New Roman" w:cs="Times New Roman"/>
          <w:sz w:val="72"/>
          <w:szCs w:val="72"/>
        </w:rPr>
      </w:pPr>
    </w:p>
    <w:p w14:paraId="63F23B7A">
      <w:pPr>
        <w:jc w:val="center"/>
        <w:rPr>
          <w:rFonts w:ascii="Times New Roman" w:hAnsi="Times New Roman" w:cs="Times New Roman"/>
          <w:sz w:val="72"/>
          <w:szCs w:val="72"/>
        </w:rPr>
      </w:pPr>
    </w:p>
    <w:p w14:paraId="5A524804">
      <w:pPr>
        <w:jc w:val="center"/>
        <w:rPr>
          <w:rFonts w:ascii="Times New Roman" w:hAnsi="Times New Roman" w:cs="Times New Roman"/>
          <w:sz w:val="72"/>
          <w:szCs w:val="72"/>
        </w:rPr>
      </w:pPr>
    </w:p>
    <w:p w14:paraId="2B500372">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756D663">
      <w:pPr>
        <w:rPr>
          <w:rFonts w:ascii="Times New Roman" w:hAnsi="Times New Roman" w:eastAsia="方正小标宋_GBK" w:cs="Times New Roman"/>
          <w:sz w:val="72"/>
          <w:szCs w:val="72"/>
        </w:rPr>
      </w:pPr>
    </w:p>
    <w:p w14:paraId="485DAEF3">
      <w:pPr>
        <w:pStyle w:val="15"/>
        <w:spacing w:line="360" w:lineRule="auto"/>
        <w:jc w:val="both"/>
        <w:rPr>
          <w:rFonts w:ascii="Times New Roman" w:hAnsi="Times New Roman" w:eastAsia="方正小标宋_GBK" w:cs="Times New Roman"/>
          <w:sz w:val="52"/>
          <w:szCs w:val="52"/>
        </w:rPr>
      </w:pPr>
    </w:p>
    <w:p w14:paraId="68370C55">
      <w:pPr>
        <w:pStyle w:val="15"/>
        <w:spacing w:line="360" w:lineRule="auto"/>
        <w:jc w:val="center"/>
        <w:rPr>
          <w:rFonts w:ascii="Times New Roman" w:hAnsi="Times New Roman" w:eastAsia="方正小标宋_GBK" w:cs="Times New Roman"/>
          <w:sz w:val="52"/>
          <w:szCs w:val="52"/>
        </w:rPr>
      </w:pPr>
    </w:p>
    <w:p w14:paraId="75BB1A91">
      <w:pPr>
        <w:pStyle w:val="15"/>
        <w:spacing w:line="360" w:lineRule="auto"/>
        <w:jc w:val="center"/>
        <w:rPr>
          <w:rFonts w:ascii="Times New Roman" w:hAnsi="Times New Roman" w:eastAsia="方正小标宋_GBK" w:cs="Times New Roman"/>
          <w:sz w:val="52"/>
          <w:szCs w:val="52"/>
        </w:rPr>
      </w:pPr>
    </w:p>
    <w:p w14:paraId="43CC0E73">
      <w:pPr>
        <w:pStyle w:val="15"/>
        <w:spacing w:line="360" w:lineRule="auto"/>
        <w:jc w:val="center"/>
        <w:rPr>
          <w:rFonts w:ascii="Times New Roman" w:hAnsi="Times New Roman" w:eastAsia="方正小标宋_GBK" w:cs="Times New Roman"/>
          <w:sz w:val="52"/>
          <w:szCs w:val="52"/>
        </w:rPr>
      </w:pPr>
    </w:p>
    <w:p w14:paraId="00D7D1F6">
      <w:pPr>
        <w:pStyle w:val="15"/>
        <w:spacing w:line="360" w:lineRule="auto"/>
        <w:jc w:val="center"/>
        <w:rPr>
          <w:rFonts w:ascii="Times New Roman" w:hAnsi="Times New Roman" w:eastAsia="方正小标宋_GBK" w:cs="Times New Roman"/>
          <w:sz w:val="52"/>
          <w:szCs w:val="52"/>
        </w:rPr>
      </w:pPr>
    </w:p>
    <w:p w14:paraId="6E0FE30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614EA4D">
      <w:pPr>
        <w:pStyle w:val="15"/>
        <w:spacing w:line="360" w:lineRule="auto"/>
        <w:jc w:val="center"/>
        <w:rPr>
          <w:rFonts w:ascii="Times New Roman" w:hAnsi="Times New Roman" w:eastAsia="方正小标宋_GBK" w:cs="Times New Roman"/>
          <w:sz w:val="52"/>
          <w:szCs w:val="52"/>
        </w:rPr>
      </w:pPr>
    </w:p>
    <w:p w14:paraId="7B56DF30">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怀化市检验检测中心</w:t>
      </w:r>
    </w:p>
    <w:p w14:paraId="134AA9FB">
      <w:pPr>
        <w:pStyle w:val="15"/>
        <w:spacing w:line="360" w:lineRule="auto"/>
        <w:jc w:val="center"/>
        <w:rPr>
          <w:rFonts w:hint="eastAsia" w:ascii="Times New Roman" w:hAnsi="Times New Roman" w:eastAsia="方正小标宋_GBK" w:cs="Times New Roman"/>
          <w:sz w:val="52"/>
          <w:szCs w:val="52"/>
        </w:rPr>
      </w:pPr>
    </w:p>
    <w:p w14:paraId="0A73298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4643968C">
      <w:pPr>
        <w:pStyle w:val="4"/>
        <w:ind w:left="0" w:leftChars="0" w:firstLine="0" w:firstLineChars="0"/>
        <w:rPr>
          <w:rFonts w:ascii="Times New Roman" w:hAnsi="Times New Roman" w:cs="Times New Roman"/>
        </w:rPr>
      </w:pPr>
    </w:p>
    <w:p w14:paraId="67FBF574">
      <w:pPr>
        <w:pStyle w:val="16"/>
        <w:spacing w:line="600" w:lineRule="exact"/>
        <w:ind w:firstLine="0" w:firstLineChars="0"/>
        <w:jc w:val="left"/>
        <w:rPr>
          <w:rFonts w:hint="eastAsia" w:ascii="Times New Roman" w:hAnsi="Times New Roman" w:eastAsia="黑体" w:cs="Times New Roman"/>
          <w:sz w:val="32"/>
          <w:szCs w:val="32"/>
        </w:rPr>
      </w:pPr>
    </w:p>
    <w:p w14:paraId="718C6DA9">
      <w:pPr>
        <w:pStyle w:val="16"/>
        <w:spacing w:line="600" w:lineRule="exact"/>
        <w:ind w:firstLine="0" w:firstLineChars="0"/>
        <w:jc w:val="left"/>
        <w:rPr>
          <w:rFonts w:hint="eastAsia" w:ascii="Times New Roman" w:hAnsi="Times New Roman" w:eastAsia="黑体" w:cs="Times New Roman"/>
          <w:sz w:val="32"/>
          <w:szCs w:val="32"/>
        </w:rPr>
      </w:pPr>
    </w:p>
    <w:p w14:paraId="6EABF222">
      <w:pPr>
        <w:pStyle w:val="16"/>
        <w:spacing w:line="600" w:lineRule="exact"/>
        <w:ind w:firstLine="0" w:firstLineChars="0"/>
        <w:jc w:val="left"/>
        <w:rPr>
          <w:rFonts w:hint="eastAsia" w:ascii="Times New Roman" w:hAnsi="Times New Roman" w:eastAsia="黑体" w:cs="Times New Roman"/>
          <w:sz w:val="32"/>
          <w:szCs w:val="32"/>
        </w:rPr>
      </w:pPr>
    </w:p>
    <w:p w14:paraId="5E37FBF9">
      <w:pPr>
        <w:pStyle w:val="16"/>
        <w:spacing w:line="600" w:lineRule="exact"/>
        <w:ind w:firstLine="0" w:firstLineChars="0"/>
        <w:jc w:val="left"/>
        <w:rPr>
          <w:rFonts w:hint="eastAsia" w:ascii="Times New Roman" w:hAnsi="Times New Roman" w:eastAsia="黑体" w:cs="Times New Roman"/>
          <w:sz w:val="32"/>
          <w:szCs w:val="32"/>
        </w:rPr>
      </w:pPr>
    </w:p>
    <w:p w14:paraId="56689BF1">
      <w:pPr>
        <w:pStyle w:val="16"/>
        <w:spacing w:line="600" w:lineRule="exact"/>
        <w:ind w:firstLine="0" w:firstLineChars="0"/>
        <w:jc w:val="left"/>
        <w:rPr>
          <w:rFonts w:hint="eastAsia" w:ascii="Times New Roman" w:hAnsi="Times New Roman" w:eastAsia="黑体" w:cs="Times New Roman"/>
          <w:sz w:val="32"/>
          <w:szCs w:val="32"/>
        </w:rPr>
      </w:pPr>
    </w:p>
    <w:p w14:paraId="1D4FEDFC">
      <w:pPr>
        <w:pStyle w:val="16"/>
        <w:spacing w:line="600" w:lineRule="exact"/>
        <w:ind w:firstLine="0" w:firstLineChars="0"/>
        <w:jc w:val="left"/>
        <w:rPr>
          <w:rFonts w:hint="eastAsia" w:ascii="Times New Roman" w:hAnsi="Times New Roman" w:eastAsia="黑体" w:cs="Times New Roman"/>
          <w:sz w:val="32"/>
          <w:szCs w:val="32"/>
        </w:rPr>
      </w:pPr>
    </w:p>
    <w:p w14:paraId="39D63528">
      <w:pPr>
        <w:pStyle w:val="16"/>
        <w:spacing w:line="600" w:lineRule="exact"/>
        <w:ind w:firstLine="0" w:firstLineChars="0"/>
        <w:jc w:val="left"/>
        <w:rPr>
          <w:rFonts w:hint="eastAsia" w:ascii="Times New Roman" w:hAnsi="Times New Roman" w:eastAsia="黑体" w:cs="Times New Roman"/>
          <w:sz w:val="32"/>
          <w:szCs w:val="32"/>
        </w:rPr>
      </w:pPr>
    </w:p>
    <w:p w14:paraId="6AB9020F">
      <w:pPr>
        <w:pStyle w:val="16"/>
        <w:spacing w:line="600" w:lineRule="exact"/>
        <w:ind w:firstLine="0" w:firstLineChars="0"/>
        <w:jc w:val="left"/>
        <w:rPr>
          <w:rFonts w:hint="eastAsia" w:ascii="Times New Roman" w:hAnsi="Times New Roman" w:eastAsia="黑体" w:cs="Times New Roman"/>
          <w:sz w:val="32"/>
          <w:szCs w:val="32"/>
        </w:rPr>
      </w:pPr>
    </w:p>
    <w:p w14:paraId="09D3FE1E">
      <w:pPr>
        <w:pStyle w:val="16"/>
        <w:spacing w:line="600" w:lineRule="exact"/>
        <w:ind w:firstLine="0" w:firstLineChars="0"/>
        <w:jc w:val="left"/>
        <w:rPr>
          <w:rFonts w:hint="eastAsia" w:ascii="Times New Roman" w:hAnsi="Times New Roman" w:eastAsia="黑体" w:cs="Times New Roman"/>
          <w:sz w:val="32"/>
          <w:szCs w:val="32"/>
        </w:rPr>
      </w:pPr>
    </w:p>
    <w:p w14:paraId="1EECD480">
      <w:pPr>
        <w:pStyle w:val="16"/>
        <w:spacing w:line="600" w:lineRule="exact"/>
        <w:ind w:firstLine="0" w:firstLineChars="0"/>
        <w:jc w:val="left"/>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一、</w:t>
      </w:r>
      <w:r>
        <w:rPr>
          <w:rFonts w:ascii="Times New Roman" w:hAnsi="Times New Roman" w:eastAsia="黑体" w:cs="Times New Roman"/>
          <w:b/>
          <w:bCs/>
          <w:sz w:val="32"/>
          <w:szCs w:val="32"/>
        </w:rPr>
        <w:t>部门职责</w:t>
      </w:r>
    </w:p>
    <w:p w14:paraId="21BA61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黑体" w:cs="Times New Roman"/>
          <w:bCs/>
          <w:kern w:val="0"/>
          <w:sz w:val="32"/>
          <w:szCs w:val="32"/>
        </w:rPr>
      </w:pPr>
      <w:r>
        <w:rPr>
          <w:rFonts w:hint="eastAsia" w:ascii="仿宋" w:hAnsi="仿宋" w:eastAsia="仿宋"/>
          <w:color w:val="000000"/>
          <w:sz w:val="32"/>
          <w:shd w:val="clear" w:color="auto" w:fill="FFFFFF"/>
        </w:rPr>
        <w:t>主要职责是依法为全市食品、药品、化妆品质量监督、标准制订修订、技术仲裁等提供技术服务；开展工业产品质量检验检测，质量标准、地理标志保护产品及工业产品发展等科研工作；研究和建立社会公用计量标准，开展授权范围内的量值传递，执行计量器具强制检定工作，开展能源计量审查，研究起草计量检定规程、规范等。</w:t>
      </w:r>
    </w:p>
    <w:p w14:paraId="2F2F65AE">
      <w:pPr>
        <w:widowControl/>
        <w:spacing w:line="600" w:lineRule="exact"/>
        <w:rPr>
          <w:rFonts w:ascii="Times New Roman" w:hAnsi="Times New Roman" w:eastAsia="黑体" w:cs="Times New Roman"/>
          <w:b/>
          <w:bCs w:val="0"/>
          <w:kern w:val="0"/>
          <w:sz w:val="32"/>
          <w:szCs w:val="32"/>
        </w:rPr>
      </w:pPr>
      <w:r>
        <w:rPr>
          <w:rFonts w:ascii="Times New Roman" w:hAnsi="Times New Roman" w:eastAsia="黑体" w:cs="Times New Roman"/>
          <w:b/>
          <w:bCs w:val="0"/>
          <w:kern w:val="0"/>
          <w:sz w:val="32"/>
          <w:szCs w:val="32"/>
        </w:rPr>
        <w:t>二、机构设置及决算单位构成</w:t>
      </w:r>
    </w:p>
    <w:p w14:paraId="0C4E36AB">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27" w:firstLineChars="196"/>
        <w:jc w:val="left"/>
        <w:textAlignment w:val="auto"/>
        <w:outlineLvl w:val="9"/>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怀化市检验检测中心</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Times New Roman"/>
          <w:bCs/>
          <w:kern w:val="0"/>
          <w:sz w:val="32"/>
          <w:szCs w:val="32"/>
          <w:lang w:eastAsia="zh-CN"/>
        </w:rPr>
        <w:t>办公室、党群人事部、科技财务部、业务拓展部、质量技术部、食品检验检测部、农产品检验检测部、药品检验检测部、化妆品医疗器械检验检测部、工业产品检验检测部、竹木生态制品检验检测部、强制检定部、工作计量器具校准部、医学计量部、能源计量部。</w:t>
      </w:r>
    </w:p>
    <w:p w14:paraId="68E49717">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rPr>
        <w:t>怀化市检验检测中心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怀化市检验检测中心</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7BD47963">
      <w:pPr>
        <w:pStyle w:val="8"/>
        <w:rPr>
          <w:rFonts w:hint="eastAsia" w:ascii="Times New Roman" w:hAnsi="Times New Roman" w:eastAsia="仿宋_GB2312" w:cs="Times New Roman"/>
          <w:bCs/>
          <w:kern w:val="0"/>
          <w:sz w:val="32"/>
          <w:szCs w:val="32"/>
          <w:lang w:eastAsia="zh-CN"/>
        </w:rPr>
      </w:pPr>
    </w:p>
    <w:p w14:paraId="4D30E064">
      <w:pPr>
        <w:pStyle w:val="4"/>
        <w:rPr>
          <w:rFonts w:hint="eastAsia" w:ascii="Times New Roman" w:hAnsi="Times New Roman" w:eastAsia="仿宋_GB2312" w:cs="Times New Roman"/>
          <w:bCs/>
          <w:kern w:val="0"/>
          <w:sz w:val="32"/>
          <w:szCs w:val="32"/>
          <w:lang w:eastAsia="zh-CN"/>
        </w:rPr>
      </w:pPr>
    </w:p>
    <w:p w14:paraId="169CC8DE">
      <w:pPr>
        <w:rPr>
          <w:rFonts w:hint="eastAsia" w:ascii="Times New Roman" w:hAnsi="Times New Roman" w:eastAsia="仿宋_GB2312" w:cs="Times New Roman"/>
          <w:bCs/>
          <w:kern w:val="0"/>
          <w:sz w:val="32"/>
          <w:szCs w:val="32"/>
          <w:lang w:eastAsia="zh-CN"/>
        </w:rPr>
      </w:pPr>
    </w:p>
    <w:p w14:paraId="73BFC937">
      <w:pPr>
        <w:pStyle w:val="8"/>
        <w:rPr>
          <w:rFonts w:hint="eastAsia" w:ascii="Times New Roman" w:hAnsi="Times New Roman" w:eastAsia="仿宋_GB2312" w:cs="Times New Roman"/>
          <w:bCs/>
          <w:kern w:val="0"/>
          <w:sz w:val="32"/>
          <w:szCs w:val="32"/>
          <w:lang w:eastAsia="zh-CN"/>
        </w:rPr>
      </w:pPr>
    </w:p>
    <w:p w14:paraId="1EC3798B">
      <w:pPr>
        <w:pStyle w:val="4"/>
        <w:rPr>
          <w:rFonts w:hint="eastAsia" w:ascii="Times New Roman" w:hAnsi="Times New Roman" w:eastAsia="仿宋_GB2312" w:cs="Times New Roman"/>
          <w:bCs/>
          <w:kern w:val="0"/>
          <w:sz w:val="32"/>
          <w:szCs w:val="32"/>
          <w:lang w:eastAsia="zh-CN"/>
        </w:rPr>
      </w:pPr>
    </w:p>
    <w:p w14:paraId="63DE00F3">
      <w:pPr>
        <w:rPr>
          <w:rFonts w:hint="eastAsia" w:ascii="Times New Roman" w:hAnsi="Times New Roman" w:eastAsia="仿宋_GB2312" w:cs="Times New Roman"/>
          <w:bCs/>
          <w:kern w:val="0"/>
          <w:sz w:val="32"/>
          <w:szCs w:val="32"/>
          <w:lang w:eastAsia="zh-CN"/>
        </w:rPr>
      </w:pPr>
    </w:p>
    <w:p w14:paraId="360E20D6">
      <w:pPr>
        <w:pStyle w:val="8"/>
        <w:rPr>
          <w:rFonts w:hint="eastAsia" w:ascii="Times New Roman" w:hAnsi="Times New Roman" w:eastAsia="仿宋_GB2312" w:cs="Times New Roman"/>
          <w:bCs/>
          <w:kern w:val="0"/>
          <w:sz w:val="32"/>
          <w:szCs w:val="32"/>
          <w:lang w:eastAsia="zh-CN"/>
        </w:rPr>
      </w:pPr>
    </w:p>
    <w:p w14:paraId="421BA832">
      <w:pPr>
        <w:pStyle w:val="4"/>
        <w:rPr>
          <w:rFonts w:hint="eastAsia" w:ascii="Times New Roman" w:hAnsi="Times New Roman" w:eastAsia="仿宋_GB2312" w:cs="Times New Roman"/>
          <w:bCs/>
          <w:kern w:val="0"/>
          <w:sz w:val="32"/>
          <w:szCs w:val="32"/>
          <w:lang w:eastAsia="zh-CN"/>
        </w:rPr>
      </w:pPr>
    </w:p>
    <w:p w14:paraId="7FD223DC">
      <w:pPr>
        <w:pStyle w:val="15"/>
        <w:spacing w:line="360" w:lineRule="auto"/>
        <w:jc w:val="center"/>
        <w:rPr>
          <w:rFonts w:hint="eastAsia" w:ascii="Times New Roman" w:hAnsi="Times New Roman" w:eastAsia="方正小标宋_GBK" w:cs="Times New Roman"/>
          <w:sz w:val="52"/>
          <w:szCs w:val="52"/>
        </w:rPr>
      </w:pPr>
    </w:p>
    <w:p w14:paraId="2C9B2F87">
      <w:pPr>
        <w:pStyle w:val="15"/>
        <w:spacing w:line="360" w:lineRule="auto"/>
        <w:jc w:val="center"/>
        <w:rPr>
          <w:rFonts w:hint="eastAsia" w:ascii="Times New Roman" w:hAnsi="Times New Roman" w:eastAsia="方正小标宋_GBK" w:cs="Times New Roman"/>
          <w:sz w:val="52"/>
          <w:szCs w:val="52"/>
        </w:rPr>
      </w:pPr>
    </w:p>
    <w:p w14:paraId="665513F4">
      <w:pPr>
        <w:pStyle w:val="15"/>
        <w:spacing w:line="360" w:lineRule="auto"/>
        <w:jc w:val="center"/>
        <w:rPr>
          <w:rFonts w:hint="eastAsia" w:ascii="Times New Roman" w:hAnsi="Times New Roman" w:eastAsia="方正小标宋_GBK" w:cs="Times New Roman"/>
          <w:sz w:val="52"/>
          <w:szCs w:val="52"/>
        </w:rPr>
      </w:pPr>
    </w:p>
    <w:p w14:paraId="39565DFE">
      <w:pPr>
        <w:pStyle w:val="15"/>
        <w:spacing w:line="360" w:lineRule="auto"/>
        <w:jc w:val="center"/>
        <w:rPr>
          <w:rFonts w:hint="eastAsia" w:ascii="Times New Roman" w:hAnsi="Times New Roman" w:eastAsia="方正小标宋_GBK" w:cs="Times New Roman"/>
          <w:sz w:val="52"/>
          <w:szCs w:val="52"/>
        </w:rPr>
      </w:pPr>
    </w:p>
    <w:p w14:paraId="1EC60608">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第二部分</w:t>
      </w:r>
    </w:p>
    <w:p w14:paraId="1B099C60">
      <w:pPr>
        <w:pStyle w:val="15"/>
        <w:spacing w:line="360" w:lineRule="auto"/>
        <w:jc w:val="center"/>
        <w:rPr>
          <w:rFonts w:hint="eastAsia" w:ascii="Times New Roman" w:hAnsi="Times New Roman" w:eastAsia="方正小标宋_GBK" w:cs="Times New Roman"/>
          <w:sz w:val="52"/>
          <w:szCs w:val="52"/>
        </w:rPr>
      </w:pPr>
    </w:p>
    <w:p w14:paraId="1B64D913">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部门决算表</w:t>
      </w:r>
    </w:p>
    <w:p w14:paraId="114D47B6">
      <w:pPr>
        <w:jc w:val="center"/>
        <w:rPr>
          <w:sz w:val="72"/>
          <w:szCs w:val="72"/>
        </w:rPr>
      </w:pPr>
    </w:p>
    <w:p w14:paraId="0FC4230B">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见附件</w:t>
      </w:r>
    </w:p>
    <w:p w14:paraId="117EF2FA">
      <w:pPr>
        <w:rPr>
          <w:rFonts w:hint="eastAsia"/>
          <w:lang w:eastAsia="zh-CN"/>
        </w:rPr>
      </w:pPr>
    </w:p>
    <w:p w14:paraId="5D19BCD9">
      <w:pPr>
        <w:jc w:val="left"/>
        <w:rPr>
          <w:rFonts w:ascii="Times New Roman" w:hAnsi="Times New Roman" w:eastAsia="仿宋_GB2312" w:cs="Times New Roman"/>
          <w:sz w:val="28"/>
          <w:szCs w:val="32"/>
        </w:rPr>
      </w:pPr>
    </w:p>
    <w:p w14:paraId="658F0B74">
      <w:pPr>
        <w:jc w:val="center"/>
        <w:rPr>
          <w:rFonts w:ascii="Times New Roman" w:hAnsi="Times New Roman" w:eastAsia="黑体" w:cs="Times New Roman"/>
          <w:sz w:val="28"/>
          <w:szCs w:val="28"/>
        </w:rPr>
      </w:pPr>
    </w:p>
    <w:p w14:paraId="689E99A7">
      <w:pPr>
        <w:jc w:val="center"/>
        <w:rPr>
          <w:rFonts w:ascii="Times New Roman" w:hAnsi="Times New Roman" w:eastAsia="黑体" w:cs="Times New Roman"/>
          <w:sz w:val="28"/>
          <w:szCs w:val="28"/>
        </w:rPr>
      </w:pPr>
    </w:p>
    <w:p w14:paraId="4462FAF0">
      <w:pPr>
        <w:jc w:val="center"/>
        <w:rPr>
          <w:rFonts w:ascii="Times New Roman" w:hAnsi="Times New Roman" w:eastAsia="黑体" w:cs="Times New Roman"/>
          <w:sz w:val="28"/>
          <w:szCs w:val="28"/>
        </w:rPr>
      </w:pPr>
    </w:p>
    <w:p w14:paraId="3C6741B6">
      <w:pPr>
        <w:jc w:val="center"/>
        <w:rPr>
          <w:rFonts w:ascii="Times New Roman" w:hAnsi="Times New Roman" w:eastAsia="黑体" w:cs="Times New Roman"/>
          <w:sz w:val="28"/>
          <w:szCs w:val="28"/>
        </w:rPr>
      </w:pPr>
    </w:p>
    <w:p w14:paraId="1AEF096E">
      <w:pPr>
        <w:jc w:val="center"/>
        <w:rPr>
          <w:rFonts w:ascii="Times New Roman" w:hAnsi="Times New Roman" w:eastAsia="黑体" w:cs="Times New Roman"/>
          <w:sz w:val="28"/>
          <w:szCs w:val="28"/>
        </w:rPr>
      </w:pPr>
    </w:p>
    <w:p w14:paraId="7AB97296">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D394678">
      <w:pPr>
        <w:pStyle w:val="15"/>
        <w:rPr>
          <w:rFonts w:ascii="Times New Roman" w:hAnsi="Times New Roman" w:cs="Times New Roman"/>
          <w:sz w:val="72"/>
          <w:szCs w:val="72"/>
        </w:rPr>
      </w:pPr>
    </w:p>
    <w:p w14:paraId="3B429CCA">
      <w:pPr>
        <w:pStyle w:val="15"/>
        <w:spacing w:line="360" w:lineRule="auto"/>
        <w:jc w:val="center"/>
        <w:rPr>
          <w:rFonts w:ascii="Times New Roman" w:hAnsi="Times New Roman" w:eastAsia="方正小标宋_GBK" w:cs="Times New Roman"/>
          <w:sz w:val="52"/>
          <w:szCs w:val="52"/>
        </w:rPr>
      </w:pPr>
    </w:p>
    <w:p w14:paraId="3C92B6FF">
      <w:pPr>
        <w:pStyle w:val="15"/>
        <w:spacing w:line="360" w:lineRule="auto"/>
        <w:jc w:val="center"/>
        <w:rPr>
          <w:rFonts w:ascii="Times New Roman" w:hAnsi="Times New Roman" w:eastAsia="方正小标宋_GBK" w:cs="Times New Roman"/>
          <w:sz w:val="52"/>
          <w:szCs w:val="52"/>
        </w:rPr>
      </w:pPr>
    </w:p>
    <w:p w14:paraId="64BE07AE">
      <w:pPr>
        <w:pStyle w:val="15"/>
        <w:spacing w:line="360" w:lineRule="auto"/>
        <w:jc w:val="center"/>
        <w:rPr>
          <w:rFonts w:ascii="Times New Roman" w:hAnsi="Times New Roman" w:eastAsia="方正小标宋_GBK" w:cs="Times New Roman"/>
          <w:sz w:val="52"/>
          <w:szCs w:val="52"/>
        </w:rPr>
      </w:pPr>
    </w:p>
    <w:p w14:paraId="10386314">
      <w:pPr>
        <w:pStyle w:val="15"/>
        <w:spacing w:line="360" w:lineRule="auto"/>
        <w:jc w:val="center"/>
        <w:rPr>
          <w:rFonts w:ascii="Times New Roman" w:hAnsi="Times New Roman" w:eastAsia="方正小标宋_GBK" w:cs="Times New Roman"/>
          <w:sz w:val="52"/>
          <w:szCs w:val="52"/>
        </w:rPr>
      </w:pPr>
    </w:p>
    <w:p w14:paraId="29B7B3F0">
      <w:pPr>
        <w:pStyle w:val="15"/>
        <w:spacing w:line="360" w:lineRule="auto"/>
        <w:jc w:val="center"/>
        <w:rPr>
          <w:rFonts w:ascii="Times New Roman" w:hAnsi="Times New Roman" w:eastAsia="方正小标宋_GBK" w:cs="Times New Roman"/>
          <w:sz w:val="52"/>
          <w:szCs w:val="52"/>
        </w:rPr>
      </w:pPr>
    </w:p>
    <w:p w14:paraId="448B8805">
      <w:pPr>
        <w:pStyle w:val="15"/>
        <w:spacing w:line="360" w:lineRule="auto"/>
        <w:jc w:val="center"/>
        <w:rPr>
          <w:rFonts w:ascii="Times New Roman" w:hAnsi="Times New Roman" w:eastAsia="方正小标宋_GBK" w:cs="Times New Roman"/>
          <w:sz w:val="52"/>
          <w:szCs w:val="52"/>
        </w:rPr>
      </w:pPr>
    </w:p>
    <w:p w14:paraId="6914878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14BAE3E">
      <w:pPr>
        <w:pStyle w:val="15"/>
        <w:spacing w:line="360" w:lineRule="auto"/>
        <w:jc w:val="center"/>
        <w:rPr>
          <w:rFonts w:ascii="Times New Roman" w:hAnsi="Times New Roman" w:eastAsia="方正小标宋_GBK" w:cs="Times New Roman"/>
          <w:sz w:val="52"/>
          <w:szCs w:val="52"/>
        </w:rPr>
      </w:pPr>
    </w:p>
    <w:p w14:paraId="7F5633C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D3B5331">
      <w:pPr>
        <w:widowControl/>
        <w:jc w:val="left"/>
        <w:rPr>
          <w:rFonts w:ascii="Times New Roman" w:hAnsi="Times New Roman" w:cs="Times New Roman"/>
          <w:sz w:val="32"/>
          <w:szCs w:val="32"/>
        </w:rPr>
      </w:pPr>
      <w:r>
        <w:br w:type="page"/>
      </w:r>
    </w:p>
    <w:p w14:paraId="4AE69626">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一、收入支出决算总体情况说明</w:t>
      </w:r>
    </w:p>
    <w:p w14:paraId="6E450876">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79.15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4.51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部分</w:t>
      </w:r>
      <w:r>
        <w:rPr>
          <w:rFonts w:hint="eastAsia" w:ascii="Times New Roman" w:hAnsi="Times New Roman" w:eastAsia="仿宋_GB2312" w:cs="Times New Roman"/>
          <w:sz w:val="32"/>
          <w:szCs w:val="32"/>
          <w:highlight w:val="none"/>
          <w:lang w:val="en-US" w:eastAsia="zh-CN"/>
        </w:rPr>
        <w:t>项目资金未下达到位,存在冻结的项目资金。</w:t>
      </w:r>
    </w:p>
    <w:p w14:paraId="77A5122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市场监管领域抽检（流通领域商品抽检）、计量强制检定、产品质量监督检验费、食品药品保化品监测经费等重点支出，体现在有关支出科目中。</w:t>
      </w:r>
    </w:p>
    <w:p w14:paraId="0FC70AA4">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二、收入决算情况说明</w:t>
      </w:r>
    </w:p>
    <w:p w14:paraId="01BD882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F3EA3F5">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三、支出决算情况说明</w:t>
      </w:r>
    </w:p>
    <w:p w14:paraId="434DB2E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1393.57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83.16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282.28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16.84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715DE10">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四、财政拨款收入支出决算总体情况说明</w:t>
      </w:r>
    </w:p>
    <w:p w14:paraId="254A6712">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78.15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4.46</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因为部分</w:t>
      </w:r>
      <w:r>
        <w:rPr>
          <w:rFonts w:hint="eastAsia" w:ascii="Times New Roman" w:hAnsi="Times New Roman" w:eastAsia="仿宋_GB2312" w:cs="Times New Roman"/>
          <w:sz w:val="32"/>
          <w:szCs w:val="32"/>
          <w:highlight w:val="none"/>
          <w:lang w:val="en-US" w:eastAsia="zh-CN"/>
        </w:rPr>
        <w:t>项目资金未下达到位,存在冻结的项目资金</w:t>
      </w:r>
      <w:r>
        <w:rPr>
          <w:rFonts w:hint="eastAsia" w:ascii="Times New Roman" w:hAnsi="Times New Roman" w:eastAsia="仿宋_GB2312" w:cs="Times New Roman"/>
          <w:sz w:val="32"/>
          <w:szCs w:val="32"/>
          <w:highlight w:val="none"/>
          <w:lang w:eastAsia="zh-CN"/>
        </w:rPr>
        <w:t>。</w:t>
      </w:r>
    </w:p>
    <w:p w14:paraId="410490CF">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五、一般公共预算财政拨款支出决算情况说明</w:t>
      </w:r>
    </w:p>
    <w:p w14:paraId="106466DC">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363A1D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78.15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4.46</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因为部分</w:t>
      </w:r>
      <w:r>
        <w:rPr>
          <w:rFonts w:hint="eastAsia" w:ascii="Times New Roman" w:hAnsi="Times New Roman" w:eastAsia="仿宋_GB2312" w:cs="Times New Roman"/>
          <w:sz w:val="32"/>
          <w:szCs w:val="32"/>
          <w:highlight w:val="none"/>
          <w:lang w:val="en-US" w:eastAsia="zh-CN"/>
        </w:rPr>
        <w:t>项目资金未下达到位,存在冻结的项目资金</w:t>
      </w:r>
      <w:r>
        <w:rPr>
          <w:rFonts w:hint="eastAsia" w:ascii="Times New Roman" w:hAnsi="Times New Roman" w:eastAsia="仿宋_GB2312" w:cs="Times New Roman"/>
          <w:sz w:val="32"/>
          <w:szCs w:val="32"/>
          <w:highlight w:val="none"/>
          <w:lang w:eastAsia="zh-CN"/>
        </w:rPr>
        <w:t>。</w:t>
      </w:r>
    </w:p>
    <w:p w14:paraId="1F31FA01">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1160AB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1415.3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84.45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112.19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6.69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45.85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2.74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102.52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6.12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5A3417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E89039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1631.87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102.70</w:t>
      </w:r>
      <w:r>
        <w:rPr>
          <w:rFonts w:ascii="Times New Roman" w:hAnsi="Times New Roman" w:eastAsia="仿宋_GB2312" w:cs="Times New Roman"/>
          <w:sz w:val="32"/>
          <w:szCs w:val="32"/>
        </w:rPr>
        <w:t>%，其中：</w:t>
      </w:r>
    </w:p>
    <w:p w14:paraId="4B2E13A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药品事务</w:t>
      </w:r>
      <w:r>
        <w:rPr>
          <w:rFonts w:ascii="Times New Roman" w:hAnsi="Times New Roman" w:eastAsia="仿宋_GB2312" w:cs="Times New Roman"/>
          <w:sz w:val="32"/>
          <w:szCs w:val="32"/>
        </w:rPr>
        <w:t>（项）。</w:t>
      </w:r>
    </w:p>
    <w:p w14:paraId="535134A2">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93.58</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由于预算数为0，无法计算百分比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追加上级专款，药械化抽检专项经费61.23万元，药械化抽检专项经费20.15万元，年初预算食品药品保化品监测经费12.2万元放在事业运行</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实际下达</w:t>
      </w:r>
      <w:r>
        <w:rPr>
          <w:rFonts w:hint="eastAsia" w:ascii="Times New Roman" w:hAnsi="Times New Roman" w:eastAsia="仿宋_GB2312" w:cs="Times New Roman"/>
          <w:sz w:val="32"/>
          <w:szCs w:val="32"/>
        </w:rPr>
        <w:t>药品事务</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highlight w:val="none"/>
          <w:lang w:val="en-US" w:eastAsia="zh-CN"/>
        </w:rPr>
        <w:t>。</w:t>
      </w:r>
    </w:p>
    <w:p w14:paraId="775D21A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事业运行</w:t>
      </w:r>
      <w:r>
        <w:rPr>
          <w:rFonts w:ascii="Times New Roman" w:hAnsi="Times New Roman" w:eastAsia="仿宋_GB2312" w:cs="Times New Roman"/>
          <w:sz w:val="32"/>
          <w:szCs w:val="32"/>
        </w:rPr>
        <w:t>（项）。</w:t>
      </w:r>
    </w:p>
    <w:p w14:paraId="45FEF22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1112.31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1076.69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96.80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highlight w:val="none"/>
          <w:lang w:val="en-US" w:eastAsia="zh-CN"/>
        </w:rPr>
        <w:t>预决算关于</w:t>
      </w:r>
      <w:r>
        <w:rPr>
          <w:rFonts w:hint="eastAsia" w:ascii="Times New Roman" w:hAnsi="Times New Roman" w:eastAsia="仿宋_GB2312"/>
          <w:sz w:val="32"/>
          <w:szCs w:val="32"/>
          <w:highlight w:val="none"/>
        </w:rPr>
        <w:t>事业运行</w:t>
      </w:r>
      <w:r>
        <w:rPr>
          <w:rFonts w:hint="eastAsia" w:ascii="Times New Roman" w:hAnsi="Times New Roman" w:eastAsia="仿宋_GB2312"/>
          <w:sz w:val="32"/>
          <w:szCs w:val="32"/>
          <w:highlight w:val="none"/>
          <w:lang w:val="en-US" w:eastAsia="zh-CN"/>
        </w:rPr>
        <w:t>中项目支出的统计口径不一致</w:t>
      </w:r>
      <w:r>
        <w:rPr>
          <w:rFonts w:ascii="Times New Roman" w:hAnsi="Times New Roman" w:eastAsia="仿宋_GB2312" w:cs="Times New Roman"/>
          <w:sz w:val="32"/>
          <w:szCs w:val="32"/>
        </w:rPr>
        <w:t>。</w:t>
      </w:r>
    </w:p>
    <w:p w14:paraId="4504321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其他市场监督管理事务</w:t>
      </w:r>
      <w:r>
        <w:rPr>
          <w:rFonts w:ascii="Times New Roman" w:hAnsi="Times New Roman" w:eastAsia="仿宋_GB2312" w:cs="Times New Roman"/>
          <w:sz w:val="32"/>
          <w:szCs w:val="32"/>
        </w:rPr>
        <w:t>（项）。</w:t>
      </w:r>
    </w:p>
    <w:p w14:paraId="29C5842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188.7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76.24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highlight w:val="none"/>
          <w:lang w:val="en-US" w:eastAsia="zh-CN"/>
        </w:rPr>
        <w:t>项目资金未下达到位,存在冻结的项目资金。</w:t>
      </w:r>
    </w:p>
    <w:p w14:paraId="0AA74D8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58612BCA">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56.33</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由于预算数为0，无法计算百分比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追加</w:t>
      </w:r>
      <w:r>
        <w:rPr>
          <w:rFonts w:hint="eastAsia" w:ascii="Times New Roman" w:hAnsi="Times New Roman" w:eastAsia="仿宋_GB2312" w:cs="Times New Roman"/>
          <w:sz w:val="32"/>
          <w:szCs w:val="32"/>
        </w:rPr>
        <w:t>2025年在职及离退休人员工资津补贴等工资福利支出</w:t>
      </w:r>
      <w:r>
        <w:rPr>
          <w:rFonts w:hint="eastAsia" w:ascii="Times New Roman" w:hAnsi="Times New Roman" w:eastAsia="仿宋_GB2312" w:cs="Times New Roman"/>
          <w:sz w:val="32"/>
          <w:szCs w:val="32"/>
          <w:highlight w:val="none"/>
          <w:lang w:val="en-US" w:eastAsia="zh-CN"/>
        </w:rPr>
        <w:t>。</w:t>
      </w:r>
    </w:p>
    <w:p w14:paraId="56C1B2B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427A63B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122.26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112.19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91.76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highlight w:val="none"/>
          <w:lang w:val="en-US" w:eastAsia="zh-CN"/>
        </w:rPr>
        <w:t>财政保障职工养老保险缴费单位部分，根据本年实际支出财政减少预算。</w:t>
      </w:r>
    </w:p>
    <w:p w14:paraId="59DC7D1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66FD75A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45.85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94.30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highlight w:val="none"/>
          <w:lang w:val="en-US" w:eastAsia="zh-CN"/>
        </w:rPr>
        <w:t>财政保障职工</w:t>
      </w:r>
      <w:r>
        <w:rPr>
          <w:rFonts w:hint="eastAsia" w:ascii="Times New Roman" w:hAnsi="Times New Roman" w:eastAsia="仿宋_GB2312" w:cs="Times New Roman"/>
          <w:sz w:val="32"/>
          <w:szCs w:val="32"/>
          <w:highlight w:val="none"/>
        </w:rPr>
        <w:t>医疗</w:t>
      </w:r>
      <w:r>
        <w:rPr>
          <w:rFonts w:hint="eastAsia" w:ascii="Times New Roman" w:hAnsi="Times New Roman" w:eastAsia="仿宋_GB2312" w:cs="Times New Roman"/>
          <w:sz w:val="32"/>
          <w:szCs w:val="32"/>
          <w:highlight w:val="none"/>
          <w:lang w:val="en-US" w:eastAsia="zh-CN"/>
        </w:rPr>
        <w:t>保险缴费单位部分，根据本年实际支出财政减少预算。</w:t>
      </w:r>
    </w:p>
    <w:p w14:paraId="12AE0FC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4730787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101.18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102.52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101.32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highlight w:val="none"/>
          <w:lang w:val="en-US" w:eastAsia="zh-CN"/>
        </w:rPr>
        <w:t>财政保障职工</w:t>
      </w:r>
      <w:r>
        <w:rPr>
          <w:rFonts w:hint="eastAsia" w:ascii="Times New Roman" w:hAnsi="Times New Roman" w:eastAsia="仿宋_GB2312" w:cs="Times New Roman"/>
          <w:sz w:val="32"/>
          <w:szCs w:val="32"/>
          <w:highlight w:val="none"/>
        </w:rPr>
        <w:t>住房公积金</w:t>
      </w:r>
      <w:r>
        <w:rPr>
          <w:rFonts w:hint="eastAsia" w:ascii="Times New Roman" w:hAnsi="Times New Roman" w:eastAsia="仿宋_GB2312" w:cs="Times New Roman"/>
          <w:sz w:val="32"/>
          <w:szCs w:val="32"/>
          <w:highlight w:val="none"/>
          <w:lang w:val="en-US" w:eastAsia="zh-CN"/>
        </w:rPr>
        <w:t>缴费单位部分，根据本年实际支出财政增加预算。</w:t>
      </w:r>
    </w:p>
    <w:p w14:paraId="65DBEA7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按照支出功能分类，一般公共服务支出占财政拨款支出总额的比重较高，主要是：市场监督管理事务，2025年度决算数为1415.3万元，占财政拨款支出总额的</w:t>
      </w:r>
      <w:r>
        <w:rPr>
          <w:rFonts w:hint="eastAsia" w:ascii="Times New Roman" w:hAnsi="Times New Roman" w:eastAsia="仿宋_GB2312" w:cs="Times New Roman"/>
          <w:sz w:val="32"/>
          <w:szCs w:val="32"/>
          <w:lang w:val="en-US" w:eastAsia="zh-CN"/>
        </w:rPr>
        <w:t>84.45</w:t>
      </w:r>
      <w:r>
        <w:rPr>
          <w:rFonts w:hint="eastAsia" w:ascii="Times New Roman" w:hAnsi="Times New Roman" w:eastAsia="仿宋_GB2312" w:cs="Times New Roman"/>
          <w:sz w:val="32"/>
          <w:szCs w:val="32"/>
        </w:rPr>
        <w:t>%，主要用于保障本单位人员经费、日常运行及履职相关工作开展。</w:t>
      </w:r>
    </w:p>
    <w:p w14:paraId="00A33ECA">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六、一般公共预算财政拨款基本支出决算情况说明</w:t>
      </w:r>
    </w:p>
    <w:p w14:paraId="529E82B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1393.57</w:t>
      </w:r>
      <w:r>
        <w:rPr>
          <w:rFonts w:ascii="Times New Roman" w:hAnsi="Times New Roman" w:eastAsia="仿宋_GB2312" w:cs="Times New Roman"/>
          <w:sz w:val="32"/>
          <w:szCs w:val="32"/>
        </w:rPr>
        <w:t>万元，其中：</w:t>
      </w:r>
    </w:p>
    <w:p w14:paraId="63902F1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1308.95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93.93</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 xml:space="preserve"> 绩效工资</w:t>
      </w:r>
      <w:r>
        <w:rPr>
          <w:rFonts w:hint="eastAsia" w:ascii="Times New Roman" w:hAnsi="Times New Roman" w:eastAsia="仿宋_GB2312" w:cs="Times New Roman"/>
          <w:sz w:val="32"/>
          <w:szCs w:val="32"/>
          <w:lang w:eastAsia="zh-CN"/>
        </w:rPr>
        <w:t>、机关事业单位基本养老保险缴费、职工基本医疗保险缴费、其他社会保障缴费、住房公积金、抚恤金、生活补助、奖励金、其他对个人和家庭的补助</w:t>
      </w:r>
      <w:r>
        <w:rPr>
          <w:rFonts w:ascii="Times New Roman" w:hAnsi="Times New Roman" w:eastAsia="仿宋_GB2312" w:cs="Times New Roman"/>
          <w:sz w:val="32"/>
          <w:szCs w:val="32"/>
        </w:rPr>
        <w:t>。</w:t>
      </w:r>
    </w:p>
    <w:p w14:paraId="5094C8B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84.62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6.07</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差旅费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、专用材料费、劳务费、工会经费、福利费、公务用车运行维护费、其他交通费用、其他商品和服务支出</w:t>
      </w:r>
      <w:r>
        <w:rPr>
          <w:rFonts w:ascii="Times New Roman" w:hAnsi="Times New Roman" w:eastAsia="仿宋_GB2312" w:cs="Times New Roman"/>
          <w:sz w:val="32"/>
          <w:szCs w:val="32"/>
        </w:rPr>
        <w:t>。</w:t>
      </w:r>
    </w:p>
    <w:p w14:paraId="000C711A">
      <w:pPr>
        <w:pStyle w:val="15"/>
        <w:overflowPunct w:val="0"/>
        <w:autoSpaceDE/>
        <w:autoSpaceDN/>
        <w:spacing w:line="600" w:lineRule="exact"/>
        <w:ind w:firstLine="640" w:firstLineChars="200"/>
        <w:jc w:val="both"/>
        <w:rPr>
          <w:rFonts w:ascii="Times New Roman" w:hAnsi="Times New Roman" w:eastAsia="仿宋_GB2312" w:cs="Times New Roman"/>
          <w:b/>
          <w:bCs w:val="0"/>
          <w:sz w:val="32"/>
          <w:szCs w:val="32"/>
        </w:rPr>
      </w:pPr>
      <w:r>
        <w:rPr>
          <w:rFonts w:ascii="Times New Roman" w:hAnsi="Times New Roman" w:cs="Times New Roman"/>
          <w:b/>
          <w:bCs w:val="0"/>
          <w:sz w:val="32"/>
          <w:szCs w:val="32"/>
        </w:rPr>
        <w:t>七、财政拨款“三公”经费支出决算情况说明</w:t>
      </w:r>
    </w:p>
    <w:p w14:paraId="18E8AB9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1CDB65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。决算数大于上年数的主要原因是本年度</w:t>
      </w:r>
      <w:r>
        <w:rPr>
          <w:rFonts w:hint="eastAsia" w:ascii="Times New Roman" w:hAnsi="Times New Roman" w:eastAsia="仿宋_GB2312" w:cs="Times New Roman"/>
          <w:sz w:val="32"/>
          <w:szCs w:val="32"/>
          <w:lang w:eastAsia="zh-CN"/>
        </w:rPr>
        <w:t>燃油价格上涨</w:t>
      </w:r>
      <w:r>
        <w:rPr>
          <w:rFonts w:ascii="Times New Roman" w:hAnsi="Times New Roman" w:eastAsia="仿宋_GB2312" w:cs="Times New Roman"/>
          <w:sz w:val="32"/>
          <w:szCs w:val="32"/>
        </w:rPr>
        <w:t>，加之部分车辆老化，维修保养支出有所增长。</w:t>
      </w:r>
    </w:p>
    <w:p w14:paraId="6EF1155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8EB727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预算数的主要原因是本单位厉行节俭，严控“三公”经费，</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hint="eastAsia" w:ascii="仿宋_GB2312" w:hAnsi="仿宋" w:eastAsia="仿宋_GB2312" w:cs="仿宋"/>
          <w:color w:val="000000"/>
          <w:sz w:val="32"/>
          <w:szCs w:val="32"/>
          <w:lang w:val="en-US" w:eastAsia="zh-CN"/>
        </w:rPr>
        <w:t>上年数持平的</w:t>
      </w:r>
      <w:r>
        <w:rPr>
          <w:rFonts w:hint="eastAsia" w:ascii="Times New Roman" w:hAnsi="Times New Roman" w:eastAsia="仿宋_GB2312"/>
          <w:sz w:val="32"/>
          <w:szCs w:val="32"/>
        </w:rPr>
        <w:t>主要原因</w:t>
      </w:r>
      <w:r>
        <w:rPr>
          <w:rFonts w:hint="eastAsia" w:ascii="Times New Roman" w:hAnsi="Times New Roman" w:eastAsia="仿宋_GB2312"/>
          <w:sz w:val="32"/>
          <w:szCs w:val="32"/>
          <w:lang w:val="en-US" w:eastAsia="zh-CN"/>
        </w:rPr>
        <w:t>本年度未发生</w:t>
      </w:r>
      <w:r>
        <w:rPr>
          <w:rFonts w:hint="eastAsia" w:ascii="Times New Roman" w:hAnsi="Times New Roman" w:eastAsia="仿宋_GB2312"/>
          <w:sz w:val="32"/>
          <w:szCs w:val="32"/>
        </w:rPr>
        <w:t>因公出国（境）费</w:t>
      </w:r>
      <w:r>
        <w:rPr>
          <w:rFonts w:hint="eastAsia" w:ascii="仿宋_GB2312" w:hAnsi="仿宋" w:eastAsia="仿宋_GB2312" w:cs="仿宋"/>
          <w:color w:val="000000"/>
          <w:sz w:val="32"/>
          <w:szCs w:val="32"/>
          <w:lang w:val="en-US" w:eastAsia="zh-CN"/>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48A4151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8.33</w:t>
      </w:r>
      <w:r>
        <w:rPr>
          <w:rFonts w:ascii="Times New Roman" w:hAnsi="Times New Roman" w:eastAsia="仿宋_GB2312" w:cs="Times New Roman"/>
          <w:sz w:val="32"/>
          <w:szCs w:val="32"/>
        </w:rPr>
        <w:t>%。其中：</w:t>
      </w:r>
    </w:p>
    <w:p w14:paraId="7D70CC16">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决算数与年初预算数持平，与上年数持平，主要原因是未购置公务用车。</w:t>
      </w:r>
    </w:p>
    <w:p w14:paraId="14B2C2D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万元，主要是</w:t>
      </w:r>
      <w:r>
        <w:rPr>
          <w:rFonts w:hint="eastAsia" w:ascii="Times New Roman" w:hAnsi="Times New Roman" w:eastAsia="仿宋_GB2312"/>
          <w:sz w:val="32"/>
          <w:szCs w:val="32"/>
          <w:highlight w:val="none"/>
          <w:lang w:eastAsia="zh-CN"/>
        </w:rPr>
        <w:t>油料费、维修费、保险费、</w:t>
      </w:r>
      <w:r>
        <w:rPr>
          <w:rFonts w:hint="eastAsia" w:ascii="Times New Roman" w:hAnsi="Times New Roman" w:eastAsia="仿宋_GB2312"/>
          <w:sz w:val="32"/>
          <w:szCs w:val="32"/>
          <w:highlight w:val="none"/>
          <w:lang w:val="en-US" w:eastAsia="zh-CN"/>
        </w:rPr>
        <w:t>过路费等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18.52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。决算数大于上年数的主要原因是本年度</w:t>
      </w:r>
      <w:r>
        <w:rPr>
          <w:rFonts w:hint="eastAsia" w:ascii="Times New Roman" w:hAnsi="Times New Roman" w:eastAsia="仿宋_GB2312" w:cs="Times New Roman"/>
          <w:sz w:val="32"/>
          <w:szCs w:val="32"/>
          <w:lang w:eastAsia="zh-CN"/>
        </w:rPr>
        <w:t>燃油价格上涨</w:t>
      </w:r>
      <w:r>
        <w:rPr>
          <w:rFonts w:ascii="Times New Roman" w:hAnsi="Times New Roman" w:eastAsia="仿宋_GB2312" w:cs="Times New Roman"/>
          <w:sz w:val="32"/>
          <w:szCs w:val="32"/>
        </w:rPr>
        <w:t>，加之部分车辆老化，维修保养支出有所增长。截</w:t>
      </w:r>
      <w:r>
        <w:rPr>
          <w:rFonts w:hint="eastAsia" w:ascii="Times New Roman" w:hAnsi="Times New Roman" w:eastAsia="仿宋_GB2312" w:cs="Times New Roman"/>
          <w:sz w:val="32"/>
          <w:szCs w:val="32"/>
          <w:lang w:eastAsia="zh-CN"/>
        </w:rPr>
        <w:t>至</w:t>
      </w:r>
      <w:bookmarkStart w:id="0" w:name="_GoBack"/>
      <w:bookmarkEnd w:id="0"/>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仿宋_GB2312" w:hAnsi="仿宋_GB2312" w:eastAsia="仿宋_GB2312" w:cs="仿宋_GB2312"/>
          <w:color w:val="000000"/>
          <w:spacing w:val="0"/>
          <w:position w:val="0"/>
          <w:sz w:val="32"/>
          <w:szCs w:val="32"/>
          <w:highlight w:val="none"/>
          <w:lang w:val="en-US" w:eastAsia="zh-CN"/>
        </w:rPr>
        <w:t>6</w:t>
      </w:r>
      <w:r>
        <w:rPr>
          <w:rFonts w:ascii="Times New Roman" w:hAnsi="Times New Roman" w:eastAsia="仿宋_GB2312" w:cs="Times New Roman"/>
          <w:sz w:val="32"/>
          <w:szCs w:val="32"/>
          <w:highlight w:val="none"/>
        </w:rPr>
        <w:t>辆</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453DF37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1.27</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由于</w:t>
      </w:r>
      <w:r>
        <w:rPr>
          <w:rFonts w:hint="eastAsia" w:ascii="Times New Roman" w:hAnsi="Times New Roman" w:eastAsia="仿宋_GB2312"/>
          <w:sz w:val="32"/>
          <w:szCs w:val="32"/>
          <w:lang w:eastAsia="zh-CN"/>
        </w:rPr>
        <w:t>本年</w:t>
      </w:r>
      <w:r>
        <w:rPr>
          <w:rFonts w:ascii="Times New Roman" w:hAnsi="Times New Roman" w:eastAsia="仿宋_GB2312" w:cs="Times New Roman"/>
          <w:sz w:val="32"/>
          <w:szCs w:val="32"/>
        </w:rPr>
        <w:t>支出决算</w:t>
      </w:r>
      <w:r>
        <w:rPr>
          <w:rFonts w:hint="eastAsia" w:ascii="Times New Roman" w:hAnsi="Times New Roman" w:eastAsia="仿宋_GB2312"/>
          <w:sz w:val="32"/>
          <w:szCs w:val="32"/>
        </w:rPr>
        <w:t>为0，无法计算百分比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rPr>
        <w:t>本年度未安排</w:t>
      </w:r>
      <w:r>
        <w:rPr>
          <w:rFonts w:ascii="Times New Roman" w:hAnsi="Times New Roman" w:eastAsia="仿宋_GB2312" w:cs="Times New Roman"/>
          <w:sz w:val="32"/>
          <w:szCs w:val="32"/>
        </w:rPr>
        <w:t>公务接待</w:t>
      </w:r>
      <w:r>
        <w:rPr>
          <w:rFonts w:hint="eastAsia" w:ascii="Times New Roman" w:hAnsi="Times New Roman" w:eastAsia="仿宋_GB2312"/>
          <w:sz w:val="32"/>
          <w:szCs w:val="32"/>
        </w:rPr>
        <w:t>。</w:t>
      </w:r>
    </w:p>
    <w:p w14:paraId="6E0CD6DA">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八、政府性基金预算收入支出决算情况</w:t>
      </w:r>
    </w:p>
    <w:p w14:paraId="28CE1579">
      <w:pPr>
        <w:pStyle w:val="15"/>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本年度无</w:t>
      </w:r>
      <w:r>
        <w:rPr>
          <w:rFonts w:hint="eastAsia" w:ascii="Times New Roman" w:hAnsi="Times New Roman" w:eastAsia="仿宋_GB2312"/>
          <w:sz w:val="32"/>
          <w:szCs w:val="32"/>
          <w:lang w:val="en-US" w:eastAsia="zh-CN"/>
        </w:rPr>
        <w:t>政府性基金预算收支。</w:t>
      </w:r>
    </w:p>
    <w:p w14:paraId="3F68D315">
      <w:pPr>
        <w:autoSpaceDE w:val="0"/>
        <w:autoSpaceDN w:val="0"/>
        <w:adjustRightInd w:val="0"/>
        <w:spacing w:line="600" w:lineRule="exact"/>
        <w:ind w:firstLine="640" w:firstLineChars="200"/>
        <w:jc w:val="left"/>
        <w:rPr>
          <w:rFonts w:ascii="Times New Roman" w:hAnsi="Times New Roman" w:eastAsia="仿宋_GB2312" w:cs="Times New Roman"/>
          <w:b/>
          <w:bCs/>
          <w:color w:val="000000"/>
          <w:kern w:val="0"/>
          <w:sz w:val="32"/>
          <w:szCs w:val="32"/>
        </w:rPr>
      </w:pPr>
      <w:r>
        <w:rPr>
          <w:rFonts w:hint="eastAsia" w:ascii="Times New Roman" w:hAnsi="Times New Roman" w:eastAsia="仿宋_GB2312" w:cs="Times New Roman"/>
          <w:b/>
          <w:bCs/>
          <w:color w:val="000000"/>
          <w:kern w:val="0"/>
          <w:sz w:val="32"/>
          <w:szCs w:val="32"/>
          <w:lang w:val="en-US" w:eastAsia="zh-CN"/>
        </w:rPr>
        <w:t>九、国有资本经营预算收入支出</w:t>
      </w:r>
      <w:r>
        <w:rPr>
          <w:rFonts w:hint="eastAsia" w:ascii="Times New Roman" w:hAnsi="Times New Roman" w:eastAsia="仿宋_GB2312" w:cs="Times New Roman"/>
          <w:b/>
          <w:bCs/>
          <w:color w:val="000000"/>
          <w:kern w:val="0"/>
          <w:sz w:val="32"/>
          <w:szCs w:val="32"/>
        </w:rPr>
        <w:t>决算情况</w:t>
      </w:r>
      <w:r>
        <w:rPr>
          <w:rFonts w:hint="eastAsia" w:ascii="Times New Roman" w:hAnsi="Times New Roman" w:eastAsia="仿宋_GB2312" w:cs="Times New Roman"/>
          <w:b/>
          <w:bCs/>
          <w:color w:val="000000"/>
          <w:kern w:val="0"/>
          <w:sz w:val="32"/>
          <w:szCs w:val="32"/>
          <w:lang w:val="en-US" w:eastAsia="zh-CN"/>
        </w:rPr>
        <w:t>说明</w:t>
      </w:r>
    </w:p>
    <w:p w14:paraId="382B2C9C">
      <w:pPr>
        <w:pStyle w:val="15"/>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kern w:val="2"/>
          <w:sz w:val="32"/>
          <w:szCs w:val="32"/>
        </w:rPr>
        <w:t>202</w:t>
      </w:r>
      <w:r>
        <w:rPr>
          <w:rFonts w:hint="eastAsia" w:ascii="Times New Roman" w:hAnsi="Times New Roman" w:eastAsia="仿宋_GB2312" w:cs="Times New Roman"/>
          <w:color w:val="auto"/>
          <w:kern w:val="2"/>
          <w:sz w:val="32"/>
          <w:szCs w:val="32"/>
          <w:lang w:val="en-US" w:eastAsia="zh-CN"/>
        </w:rPr>
        <w:t>5</w:t>
      </w:r>
      <w:r>
        <w:rPr>
          <w:rFonts w:hint="eastAsia" w:ascii="Times New Roman" w:hAnsi="Times New Roman" w:eastAsia="仿宋_GB2312" w:cs="Times New Roman"/>
          <w:color w:val="auto"/>
          <w:kern w:val="2"/>
          <w:sz w:val="32"/>
          <w:szCs w:val="32"/>
        </w:rPr>
        <w:t>年度本</w:t>
      </w:r>
      <w:r>
        <w:rPr>
          <w:rFonts w:hint="eastAsia" w:ascii="Times New Roman" w:hAnsi="Times New Roman" w:eastAsia="仿宋_GB2312"/>
          <w:sz w:val="32"/>
          <w:szCs w:val="32"/>
          <w:lang w:val="en-US" w:eastAsia="zh-CN"/>
        </w:rPr>
        <w:t>单位</w:t>
      </w:r>
      <w:r>
        <w:rPr>
          <w:rFonts w:hint="eastAsia" w:ascii="Times New Roman" w:hAnsi="Times New Roman" w:eastAsia="仿宋_GB2312" w:cs="Times New Roman"/>
          <w:color w:val="auto"/>
          <w:kern w:val="2"/>
          <w:sz w:val="32"/>
          <w:szCs w:val="32"/>
        </w:rPr>
        <w:t>无国有资本经营预算收入支出。</w:t>
      </w:r>
    </w:p>
    <w:p w14:paraId="01075A89">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hint="eastAsia" w:ascii="Times New Roman" w:hAnsi="Times New Roman" w:cs="Times New Roman"/>
          <w:b/>
          <w:bCs w:val="0"/>
          <w:sz w:val="32"/>
          <w:szCs w:val="32"/>
          <w:lang w:eastAsia="zh-CN"/>
        </w:rPr>
        <w:t>十</w:t>
      </w:r>
      <w:r>
        <w:rPr>
          <w:rFonts w:ascii="Times New Roman" w:hAnsi="Times New Roman" w:cs="Times New Roman"/>
          <w:b/>
          <w:bCs w:val="0"/>
          <w:sz w:val="32"/>
          <w:szCs w:val="32"/>
        </w:rPr>
        <w:t>、关于机关运行经费支出说明</w:t>
      </w:r>
    </w:p>
    <w:p w14:paraId="35E2C01E">
      <w:pPr>
        <w:pStyle w:val="15"/>
        <w:overflowPunct w:val="0"/>
        <w:autoSpaceDE/>
        <w:autoSpaceDN/>
        <w:spacing w:line="600" w:lineRule="exact"/>
        <w:ind w:firstLine="640" w:firstLineChars="200"/>
        <w:jc w:val="both"/>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本单位属于事业单位，故没有机关运行经费支出。</w:t>
      </w:r>
    </w:p>
    <w:p w14:paraId="7C062DA3">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十</w:t>
      </w:r>
      <w:r>
        <w:rPr>
          <w:rFonts w:hint="eastAsia" w:ascii="Times New Roman" w:hAnsi="Times New Roman" w:cs="Times New Roman"/>
          <w:b/>
          <w:bCs w:val="0"/>
          <w:sz w:val="32"/>
          <w:szCs w:val="32"/>
          <w:lang w:eastAsia="zh-CN"/>
        </w:rPr>
        <w:t>一</w:t>
      </w:r>
      <w:r>
        <w:rPr>
          <w:rFonts w:ascii="Times New Roman" w:hAnsi="Times New Roman" w:cs="Times New Roman"/>
          <w:b/>
          <w:bCs w:val="0"/>
          <w:sz w:val="32"/>
          <w:szCs w:val="32"/>
        </w:rPr>
        <w:t>、一般性支出情况说明</w:t>
      </w:r>
    </w:p>
    <w:p w14:paraId="564D77A1">
      <w:pPr>
        <w:pStyle w:val="9"/>
        <w:keepNext w:val="0"/>
        <w:keepLines w:val="0"/>
        <w:pageBreakBefore w:val="0"/>
        <w:widowControl/>
        <w:suppressLineNumbers w:val="0"/>
        <w:kinsoku/>
        <w:wordWrap/>
        <w:overflowPunct/>
        <w:topLinePunct w:val="0"/>
        <w:bidi w:val="0"/>
        <w:snapToGrid/>
        <w:spacing w:before="0" w:beforeAutospacing="0" w:afterAutospacing="0" w:line="600" w:lineRule="exact"/>
        <w:ind w:left="0" w:firstLine="640" w:firstLineChars="200"/>
        <w:jc w:val="left"/>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highlight w:val="none"/>
          <w:lang w:val="en-US" w:eastAsia="zh-CN"/>
        </w:rPr>
        <w:t>2.52</w:t>
      </w:r>
      <w:r>
        <w:rPr>
          <w:rFonts w:ascii="Times New Roman" w:hAnsi="Times New Roman" w:eastAsia="仿宋_GB2312" w:cs="Times New Roman"/>
          <w:sz w:val="32"/>
          <w:szCs w:val="32"/>
        </w:rPr>
        <w:t>万元，</w:t>
      </w:r>
      <w:r>
        <w:rPr>
          <w:rFonts w:hint="eastAsia" w:ascii="Times New Roman" w:hAnsi="Times New Roman" w:eastAsia="仿宋_GB2312"/>
          <w:sz w:val="32"/>
          <w:szCs w:val="32"/>
          <w:highlight w:val="none"/>
        </w:rPr>
        <w:t>用于开展</w:t>
      </w:r>
      <w:r>
        <w:rPr>
          <w:rFonts w:hint="eastAsia" w:ascii="Times New Roman" w:hAnsi="Times New Roman" w:eastAsia="仿宋_GB2312"/>
          <w:sz w:val="32"/>
          <w:szCs w:val="32"/>
          <w:highlight w:val="none"/>
          <w:lang w:eastAsia="zh-CN"/>
        </w:rPr>
        <w:t>业务能力</w:t>
      </w:r>
      <w:r>
        <w:rPr>
          <w:rFonts w:hint="eastAsia" w:ascii="Times New Roman" w:hAnsi="Times New Roman" w:eastAsia="仿宋_GB2312"/>
          <w:sz w:val="32"/>
          <w:szCs w:val="32"/>
          <w:highlight w:val="none"/>
        </w:rPr>
        <w:t>培训，人数</w:t>
      </w:r>
      <w:r>
        <w:rPr>
          <w:rFonts w:hint="eastAsia" w:ascii="Times New Roman" w:hAnsi="Times New Roman" w:eastAsia="仿宋_GB2312" w:cs="Times New Roman"/>
          <w:sz w:val="32"/>
          <w:szCs w:val="32"/>
          <w:highlight w:val="none"/>
          <w:lang w:val="en-US" w:eastAsia="zh-CN"/>
        </w:rPr>
        <w:t>53</w:t>
      </w:r>
      <w:r>
        <w:rPr>
          <w:rFonts w:hint="eastAsia" w:ascii="Times New Roman" w:hAnsi="Times New Roman" w:eastAsia="仿宋_GB2312"/>
          <w:sz w:val="32"/>
          <w:szCs w:val="32"/>
          <w:highlight w:val="none"/>
        </w:rPr>
        <w:t>人，内容为</w:t>
      </w:r>
      <w:r>
        <w:rPr>
          <w:rFonts w:hint="eastAsia" w:ascii="Times New Roman" w:hAnsi="Times New Roman" w:eastAsia="仿宋_GB2312"/>
          <w:sz w:val="32"/>
          <w:szCs w:val="32"/>
          <w:highlight w:val="none"/>
          <w:lang w:eastAsia="zh-CN"/>
        </w:rPr>
        <w:t>食品安全抽检监测业务能力提升、</w:t>
      </w:r>
      <w:r>
        <w:rPr>
          <w:rFonts w:hint="eastAsia" w:ascii="Times New Roman" w:hAnsi="Times New Roman" w:eastAsia="仿宋_GB2312" w:cs="Times New Roman"/>
          <w:sz w:val="32"/>
          <w:szCs w:val="32"/>
          <w:highlight w:val="none"/>
        </w:rPr>
        <w:t>生物实验室安全员培训</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2</w:t>
      </w:r>
      <w:r>
        <w:rPr>
          <w:rFonts w:hint="eastAsia" w:ascii="Times New Roman" w:hAnsi="Times New Roman" w:eastAsia="仿宋_GB2312" w:cs="Times New Roman"/>
          <w:sz w:val="32"/>
          <w:szCs w:val="32"/>
          <w:highlight w:val="none"/>
        </w:rPr>
        <w:t>024年-2025年继续教育培训</w:t>
      </w:r>
      <w:r>
        <w:rPr>
          <w:rFonts w:hint="eastAsia" w:ascii="Times New Roman" w:hAnsi="Times New Roman" w:eastAsia="仿宋_GB2312"/>
          <w:sz w:val="32"/>
          <w:szCs w:val="32"/>
          <w:highlight w:val="none"/>
          <w:lang w:eastAsia="zh-CN"/>
        </w:rPr>
        <w:t>等</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未举办</w:t>
      </w:r>
      <w:r>
        <w:rPr>
          <w:rFonts w:hint="eastAsia" w:ascii="Times New Roman" w:hAnsi="Times New Roman" w:eastAsia="仿宋_GB2312"/>
          <w:sz w:val="32"/>
          <w:szCs w:val="32"/>
          <w:highlight w:val="none"/>
        </w:rPr>
        <w:t>节庆、晚会、论坛、赛事活动</w:t>
      </w:r>
      <w:r>
        <w:rPr>
          <w:rFonts w:hint="eastAsia" w:ascii="Times New Roman" w:hAnsi="Times New Roman" w:eastAsia="仿宋_GB2312"/>
          <w:sz w:val="32"/>
          <w:szCs w:val="32"/>
          <w:lang w:eastAsia="zh-CN"/>
        </w:rPr>
        <w:t>。</w:t>
      </w:r>
    </w:p>
    <w:p w14:paraId="4484B1E0">
      <w:pPr>
        <w:pStyle w:val="15"/>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十</w:t>
      </w:r>
      <w:r>
        <w:rPr>
          <w:rFonts w:hint="eastAsia" w:ascii="Times New Roman" w:hAnsi="Times New Roman" w:cs="Times New Roman"/>
          <w:b/>
          <w:bCs w:val="0"/>
          <w:sz w:val="32"/>
          <w:szCs w:val="32"/>
          <w:lang w:eastAsia="zh-CN"/>
        </w:rPr>
        <w:t>二</w:t>
      </w:r>
      <w:r>
        <w:rPr>
          <w:rFonts w:ascii="Times New Roman" w:hAnsi="Times New Roman" w:cs="Times New Roman"/>
          <w:b/>
          <w:bCs w:val="0"/>
          <w:sz w:val="32"/>
          <w:szCs w:val="32"/>
        </w:rPr>
        <w:t>、关于政府采购支出说明</w:t>
      </w:r>
    </w:p>
    <w:p w14:paraId="4B97123E">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highlight w:val="none"/>
        </w:rPr>
        <w:t>112.38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highlight w:val="none"/>
        </w:rPr>
        <w:t>70.08</w:t>
      </w:r>
      <w:r>
        <w:rPr>
          <w:rFonts w:ascii="Times New Roman" w:hAnsi="Times New Roman" w:eastAsia="仿宋_GB2312" w:cs="Times New Roman"/>
          <w:sz w:val="32"/>
          <w:szCs w:val="32"/>
          <w:highlight w:val="none"/>
        </w:rPr>
        <w:t>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rPr>
        <w:t>42.3</w:t>
      </w:r>
      <w:r>
        <w:rPr>
          <w:rFonts w:ascii="Times New Roman" w:hAnsi="Times New Roman" w:eastAsia="仿宋_GB2312" w:cs="Times New Roman"/>
          <w:sz w:val="32"/>
          <w:szCs w:val="32"/>
          <w:highlight w:val="none"/>
        </w:rPr>
        <w:t>万</w:t>
      </w:r>
      <w:r>
        <w:rPr>
          <w:rFonts w:ascii="Times New Roman" w:hAnsi="Times New Roman" w:eastAsia="仿宋_GB2312" w:cs="Times New Roman"/>
          <w:sz w:val="32"/>
          <w:szCs w:val="32"/>
        </w:rPr>
        <w:t>元。授予中小企业合同金额</w:t>
      </w:r>
      <w:r>
        <w:rPr>
          <w:rFonts w:hint="eastAsia" w:ascii="Times New Roman" w:hAnsi="Times New Roman" w:eastAsia="仿宋_GB2312" w:cs="Times New Roman"/>
          <w:sz w:val="32"/>
          <w:szCs w:val="32"/>
          <w:highlight w:val="none"/>
        </w:rPr>
        <w:t>112.38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highlight w:val="none"/>
        </w:rPr>
        <w:t>112.38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62.36</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37.64</w:t>
      </w:r>
      <w:r>
        <w:rPr>
          <w:rFonts w:ascii="Times New Roman" w:hAnsi="Times New Roman" w:eastAsia="仿宋_GB2312" w:cs="Times New Roman"/>
          <w:color w:val="auto"/>
          <w:sz w:val="32"/>
          <w:szCs w:val="32"/>
        </w:rPr>
        <w:t>%。</w:t>
      </w:r>
    </w:p>
    <w:p w14:paraId="2A3CAECC">
      <w:pPr>
        <w:pStyle w:val="15"/>
        <w:overflowPunct w:val="0"/>
        <w:autoSpaceDE/>
        <w:autoSpaceDN/>
        <w:spacing w:line="600" w:lineRule="exact"/>
        <w:ind w:firstLine="640" w:firstLineChars="200"/>
        <w:jc w:val="both"/>
        <w:rPr>
          <w:rFonts w:ascii="Times New Roman" w:hAnsi="Times New Roman" w:cs="Times New Roman"/>
          <w:b/>
          <w:bCs w:val="0"/>
          <w:color w:val="auto"/>
          <w:sz w:val="32"/>
          <w:szCs w:val="32"/>
        </w:rPr>
      </w:pPr>
      <w:r>
        <w:rPr>
          <w:rFonts w:ascii="Times New Roman" w:hAnsi="Times New Roman" w:cs="Times New Roman"/>
          <w:b/>
          <w:bCs w:val="0"/>
          <w:color w:val="auto"/>
          <w:sz w:val="32"/>
          <w:szCs w:val="32"/>
        </w:rPr>
        <w:t>十</w:t>
      </w:r>
      <w:r>
        <w:rPr>
          <w:rFonts w:hint="eastAsia" w:ascii="Times New Roman" w:hAnsi="Times New Roman" w:cs="Times New Roman"/>
          <w:b/>
          <w:bCs w:val="0"/>
          <w:color w:val="auto"/>
          <w:sz w:val="32"/>
          <w:szCs w:val="32"/>
          <w:lang w:eastAsia="zh-CN"/>
        </w:rPr>
        <w:t>三</w:t>
      </w:r>
      <w:r>
        <w:rPr>
          <w:rFonts w:ascii="Times New Roman" w:hAnsi="Times New Roman" w:cs="Times New Roman"/>
          <w:b/>
          <w:bCs w:val="0"/>
          <w:color w:val="auto"/>
          <w:sz w:val="32"/>
          <w:szCs w:val="32"/>
        </w:rPr>
        <w:t>、关于国有资产占用情况说明</w:t>
      </w:r>
    </w:p>
    <w:p w14:paraId="5D1410C7">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辆</w:t>
      </w:r>
      <w:r>
        <w:rPr>
          <w:rFonts w:ascii="Times New Roman" w:hAnsi="Times New Roman" w:eastAsia="仿宋_GB2312" w:cs="Times New Roman"/>
          <w:color w:val="auto"/>
          <w:sz w:val="32"/>
          <w:szCs w:val="32"/>
        </w:rPr>
        <w:t>，其中，副部（省）级及以上领导用车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sz w:val="32"/>
          <w:szCs w:val="32"/>
          <w:lang w:val="en-US" w:eastAsia="zh-CN"/>
        </w:rPr>
        <w:t>业务用车</w:t>
      </w:r>
      <w:r>
        <w:rPr>
          <w:rFonts w:ascii="Times New Roman" w:hAnsi="Times New Roman" w:eastAsia="仿宋_GB2312" w:cs="Times New Roman"/>
          <w:color w:val="auto"/>
          <w:sz w:val="32"/>
          <w:szCs w:val="32"/>
        </w:rPr>
        <w:t>；单位价值100万元以上设备（不含车辆）</w:t>
      </w:r>
      <w:r>
        <w:rPr>
          <w:rFonts w:hint="default" w:ascii="Times New Roman" w:hAnsi="Times New Roman" w:eastAsia="仿宋_GB2312" w:cs="Times New Roman"/>
          <w:color w:val="auto"/>
          <w:sz w:val="32"/>
          <w:szCs w:val="32"/>
          <w:lang w:val="en"/>
        </w:rPr>
        <w:t>4</w:t>
      </w:r>
      <w:r>
        <w:rPr>
          <w:rFonts w:ascii="Times New Roman" w:hAnsi="Times New Roman" w:eastAsia="仿宋_GB2312" w:cs="Times New Roman"/>
          <w:color w:val="auto"/>
          <w:sz w:val="32"/>
          <w:szCs w:val="32"/>
        </w:rPr>
        <w:t>台（套）。</w:t>
      </w:r>
    </w:p>
    <w:p w14:paraId="49D38EC4">
      <w:pPr>
        <w:pStyle w:val="15"/>
        <w:overflowPunct w:val="0"/>
        <w:autoSpaceDE/>
        <w:autoSpaceDN/>
        <w:spacing w:line="600" w:lineRule="exact"/>
        <w:ind w:firstLine="640" w:firstLineChars="200"/>
        <w:jc w:val="both"/>
        <w:rPr>
          <w:rFonts w:ascii="Times New Roman" w:hAnsi="Times New Roman" w:cs="Times New Roman"/>
          <w:b/>
          <w:bCs w:val="0"/>
          <w:color w:val="auto"/>
          <w:sz w:val="32"/>
          <w:szCs w:val="32"/>
        </w:rPr>
      </w:pPr>
      <w:r>
        <w:rPr>
          <w:rFonts w:ascii="Times New Roman" w:hAnsi="Times New Roman" w:cs="Times New Roman"/>
          <w:b/>
          <w:bCs w:val="0"/>
          <w:color w:val="auto"/>
          <w:sz w:val="32"/>
          <w:szCs w:val="32"/>
        </w:rPr>
        <w:t>十</w:t>
      </w:r>
      <w:r>
        <w:rPr>
          <w:rFonts w:hint="eastAsia" w:ascii="Times New Roman" w:hAnsi="Times New Roman" w:cs="Times New Roman"/>
          <w:b/>
          <w:bCs w:val="0"/>
          <w:color w:val="auto"/>
          <w:sz w:val="32"/>
          <w:szCs w:val="32"/>
          <w:lang w:eastAsia="zh-CN"/>
        </w:rPr>
        <w:t>四</w:t>
      </w:r>
      <w:r>
        <w:rPr>
          <w:rFonts w:ascii="Times New Roman" w:hAnsi="Times New Roman" w:cs="Times New Roman"/>
          <w:b/>
          <w:bCs w:val="0"/>
          <w:color w:val="auto"/>
          <w:sz w:val="32"/>
          <w:szCs w:val="32"/>
        </w:rPr>
        <w:t>、关于</w:t>
      </w:r>
      <w:r>
        <w:rPr>
          <w:rFonts w:ascii="Times New Roman" w:hAnsi="Times New Roman" w:eastAsia="仿宋_GB2312" w:cs="Times New Roman"/>
          <w:b/>
          <w:bCs w:val="0"/>
          <w:color w:val="auto"/>
          <w:sz w:val="32"/>
          <w:szCs w:val="32"/>
        </w:rPr>
        <w:t>202</w:t>
      </w:r>
      <w:r>
        <w:rPr>
          <w:rFonts w:hint="eastAsia" w:ascii="Times New Roman" w:hAnsi="Times New Roman" w:eastAsia="仿宋_GB2312" w:cs="Times New Roman"/>
          <w:b/>
          <w:bCs w:val="0"/>
          <w:color w:val="auto"/>
          <w:sz w:val="32"/>
          <w:szCs w:val="32"/>
          <w:lang w:val="en-US" w:eastAsia="zh-CN"/>
        </w:rPr>
        <w:t>5</w:t>
      </w:r>
      <w:r>
        <w:rPr>
          <w:rFonts w:ascii="Times New Roman" w:hAnsi="Times New Roman" w:cs="Times New Roman"/>
          <w:b/>
          <w:bCs w:val="0"/>
          <w:color w:val="auto"/>
          <w:sz w:val="32"/>
          <w:szCs w:val="32"/>
        </w:rPr>
        <w:t>年度预算绩效情况的说明</w:t>
      </w:r>
    </w:p>
    <w:p w14:paraId="78B8AC32">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282.28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282.28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0741ED8C">
      <w:pPr>
        <w:keepNext w:val="0"/>
        <w:keepLines w:val="0"/>
        <w:pageBreakBefore w:val="0"/>
        <w:widowControl w:val="0"/>
        <w:kinsoku/>
        <w:wordWrap/>
        <w:overflowPunct/>
        <w:topLinePunct w:val="0"/>
        <w:autoSpaceDE w:val="0"/>
        <w:bidi w:val="0"/>
        <w:snapToGrid/>
        <w:spacing w:line="624" w:lineRule="atLeast"/>
        <w:ind w:firstLine="640" w:firstLineChars="200"/>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w:t>
      </w:r>
      <w:r>
        <w:rPr>
          <w:rFonts w:ascii="Times New Roman" w:hAnsi="Times New Roman" w:eastAsia="仿宋_GB2312" w:cs="Times New Roman"/>
          <w:sz w:val="32"/>
          <w:szCs w:val="32"/>
        </w:rPr>
        <w:t>支出全年预算数</w:t>
      </w:r>
      <w:r>
        <w:rPr>
          <w:rFonts w:hint="eastAsia" w:ascii="Times New Roman" w:hAnsi="Times New Roman" w:eastAsia="仿宋_GB2312" w:cs="Times New Roman"/>
          <w:sz w:val="32"/>
          <w:szCs w:val="32"/>
        </w:rPr>
        <w:t>1708.02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1675.85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98.12</w:t>
      </w:r>
      <w:r>
        <w:rPr>
          <w:rFonts w:ascii="Times New Roman" w:hAnsi="Times New Roman" w:eastAsia="仿宋_GB2312" w:cs="Times New Roman"/>
          <w:sz w:val="32"/>
          <w:szCs w:val="32"/>
        </w:rPr>
        <w:t>%，评价等级为“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default" w:ascii="Times New Roman" w:hAnsi="Times New Roman" w:eastAsia="仿宋_GB2312" w:cs="Times New Roman"/>
          <w:sz w:val="32"/>
          <w:szCs w:val="32"/>
          <w:highlight w:val="none"/>
          <w:lang w:val="en-US" w:eastAsia="zh-CN"/>
        </w:rPr>
        <w:t>完成预算内计划下</w:t>
      </w:r>
      <w:r>
        <w:rPr>
          <w:rFonts w:hint="eastAsia" w:ascii="Times New Roman" w:hAnsi="Times New Roman" w:eastAsia="仿宋_GB2312" w:cs="Times New Roman"/>
          <w:sz w:val="32"/>
          <w:szCs w:val="32"/>
          <w:highlight w:val="none"/>
          <w:lang w:val="en-US" w:eastAsia="zh-CN"/>
        </w:rPr>
        <w:t>达的</w:t>
      </w:r>
      <w:r>
        <w:rPr>
          <w:rFonts w:hint="default" w:ascii="Times New Roman" w:hAnsi="Times New Roman" w:eastAsia="仿宋_GB2312" w:cs="Times New Roman"/>
          <w:sz w:val="32"/>
          <w:szCs w:val="32"/>
          <w:highlight w:val="none"/>
          <w:lang w:val="en-US" w:eastAsia="zh-CN"/>
        </w:rPr>
        <w:t>任务</w:t>
      </w:r>
      <w:r>
        <w:rPr>
          <w:rFonts w:hint="eastAsia" w:ascii="Times New Roman" w:hAnsi="Times New Roman" w:eastAsia="仿宋_GB2312" w:cs="Times New Roman"/>
          <w:sz w:val="32"/>
          <w:szCs w:val="32"/>
          <w:highlight w:val="none"/>
          <w:lang w:val="en-US" w:eastAsia="zh-CN"/>
        </w:rPr>
        <w:t>，全部完成</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基层检验机构的</w:t>
      </w:r>
      <w:r>
        <w:rPr>
          <w:rFonts w:hint="eastAsia" w:ascii="Times New Roman" w:hAnsi="Times New Roman" w:eastAsia="仿宋_GB2312" w:cs="Times New Roman"/>
          <w:sz w:val="32"/>
          <w:szCs w:val="32"/>
          <w:lang w:val="en-US" w:eastAsia="zh-CN"/>
        </w:rPr>
        <w:t>能力有待提高</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科研</w:t>
      </w:r>
      <w:r>
        <w:rPr>
          <w:rFonts w:hint="eastAsia" w:ascii="Times New Roman" w:hAnsi="Times New Roman" w:eastAsia="仿宋_GB2312" w:cs="Times New Roman"/>
          <w:sz w:val="32"/>
          <w:szCs w:val="32"/>
        </w:rPr>
        <w:t>项目</w:t>
      </w:r>
      <w:r>
        <w:rPr>
          <w:rFonts w:hint="eastAsia" w:ascii="Times New Roman" w:hAnsi="Times New Roman" w:eastAsia="仿宋_GB2312" w:cs="Times New Roman"/>
          <w:sz w:val="32"/>
          <w:szCs w:val="32"/>
          <w:lang w:val="en-US" w:eastAsia="zh-CN"/>
        </w:rPr>
        <w:t>有待加强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lang w:val="en-US" w:eastAsia="zh-CN"/>
        </w:rPr>
        <w:t>检验经费保障不到位</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四是</w:t>
      </w:r>
      <w:r>
        <w:rPr>
          <w:rFonts w:hint="eastAsia" w:ascii="Times New Roman" w:hAnsi="Times New Roman" w:eastAsia="仿宋_GB2312" w:cs="Times New Roman"/>
          <w:sz w:val="32"/>
          <w:szCs w:val="32"/>
          <w:lang w:val="en-US" w:eastAsia="zh-CN"/>
        </w:rPr>
        <w:t>能力建设保障不足。</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建议</w:t>
      </w:r>
      <w:r>
        <w:rPr>
          <w:rFonts w:hint="eastAsia" w:ascii="Times New Roman" w:hAnsi="Times New Roman" w:eastAsia="仿宋_GB2312" w:cs="Times New Roman"/>
          <w:sz w:val="32"/>
          <w:szCs w:val="32"/>
        </w:rPr>
        <w:t>加强基层检验机构的</w:t>
      </w:r>
      <w:r>
        <w:rPr>
          <w:rFonts w:hint="eastAsia" w:ascii="Times New Roman" w:hAnsi="Times New Roman" w:eastAsia="仿宋_GB2312" w:cs="Times New Roman"/>
          <w:sz w:val="32"/>
          <w:szCs w:val="32"/>
          <w:lang w:val="en-US" w:eastAsia="zh-CN"/>
        </w:rPr>
        <w:t>能力</w:t>
      </w:r>
      <w:r>
        <w:rPr>
          <w:rFonts w:hint="eastAsia" w:ascii="Times New Roman" w:hAnsi="Times New Roman" w:eastAsia="仿宋_GB2312" w:cs="Times New Roman"/>
          <w:sz w:val="32"/>
          <w:szCs w:val="32"/>
        </w:rPr>
        <w:t>建设</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房</w:t>
      </w:r>
      <w:r>
        <w:rPr>
          <w:rFonts w:hint="eastAsia" w:ascii="仿宋" w:hAnsi="仿宋" w:eastAsia="仿宋" w:cs="仿宋"/>
          <w:color w:val="000000"/>
          <w:sz w:val="32"/>
          <w:szCs w:val="32"/>
        </w:rPr>
        <w:t>屋配套设施、大型检测仪器设备，检验资质的能力储备与提高，应由省级相关部门统一规划，当地政府和省财政加大投入，了解检验</w:t>
      </w:r>
      <w:r>
        <w:rPr>
          <w:rFonts w:hint="eastAsia" w:ascii="仿宋" w:hAnsi="仿宋" w:eastAsia="仿宋" w:cs="仿宋"/>
          <w:color w:val="000000"/>
          <w:sz w:val="32"/>
          <w:szCs w:val="32"/>
          <w:lang w:eastAsia="zh-CN"/>
        </w:rPr>
        <w:t>检测</w:t>
      </w:r>
      <w:r>
        <w:rPr>
          <w:rFonts w:hint="eastAsia" w:ascii="仿宋" w:hAnsi="仿宋" w:eastAsia="仿宋" w:cs="仿宋"/>
          <w:color w:val="000000"/>
          <w:sz w:val="32"/>
          <w:szCs w:val="32"/>
        </w:rPr>
        <w:t>的重要性和必要性，保证正常的</w:t>
      </w:r>
      <w:r>
        <w:rPr>
          <w:rFonts w:hint="eastAsia" w:ascii="仿宋" w:hAnsi="仿宋" w:eastAsia="仿宋" w:cs="仿宋"/>
          <w:color w:val="000000"/>
          <w:sz w:val="32"/>
          <w:szCs w:val="32"/>
          <w:lang w:eastAsia="zh-CN"/>
        </w:rPr>
        <w:t>检验检测</w:t>
      </w:r>
      <w:r>
        <w:rPr>
          <w:rFonts w:hint="eastAsia" w:ascii="仿宋" w:hAnsi="仿宋" w:eastAsia="仿宋" w:cs="仿宋"/>
          <w:color w:val="000000"/>
          <w:sz w:val="32"/>
          <w:szCs w:val="32"/>
        </w:rPr>
        <w:t>监督工作开展</w:t>
      </w:r>
      <w:r>
        <w:rPr>
          <w:rFonts w:ascii="Times New Roman" w:hAnsi="Times New Roman" w:eastAsia="仿宋_GB2312" w:cs="Times New Roman"/>
          <w:sz w:val="32"/>
          <w:szCs w:val="32"/>
        </w:rPr>
        <w:t>；二是</w:t>
      </w:r>
      <w:r>
        <w:rPr>
          <w:rFonts w:hint="eastAsia" w:ascii="仿宋" w:hAnsi="仿宋" w:eastAsia="仿宋" w:cs="仿宋"/>
          <w:color w:val="000000"/>
          <w:sz w:val="32"/>
          <w:szCs w:val="32"/>
          <w:lang w:val="en-US" w:eastAsia="zh-CN"/>
        </w:rPr>
        <w:t>建议加强省、市机构科研工作联动</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侧重本地区特色产业技术攻关，</w:t>
      </w:r>
      <w:r>
        <w:rPr>
          <w:rFonts w:hint="eastAsia" w:ascii="仿宋" w:hAnsi="仿宋" w:eastAsia="仿宋" w:cs="仿宋"/>
          <w:color w:val="000000"/>
          <w:sz w:val="32"/>
          <w:szCs w:val="32"/>
        </w:rPr>
        <w:t>解决</w:t>
      </w:r>
      <w:r>
        <w:rPr>
          <w:rFonts w:hint="eastAsia" w:ascii="仿宋" w:hAnsi="仿宋" w:eastAsia="仿宋" w:cs="仿宋"/>
          <w:color w:val="000000"/>
          <w:sz w:val="32"/>
          <w:szCs w:val="32"/>
          <w:lang w:val="en-US" w:eastAsia="zh-CN"/>
        </w:rPr>
        <w:t>本地区产业发展技术发展</w:t>
      </w:r>
      <w:r>
        <w:rPr>
          <w:rFonts w:hint="eastAsia" w:ascii="仿宋" w:hAnsi="仿宋" w:eastAsia="仿宋" w:cs="仿宋"/>
          <w:color w:val="000000"/>
          <w:sz w:val="32"/>
          <w:szCs w:val="32"/>
        </w:rPr>
        <w:t>中存在的问题，加强</w:t>
      </w:r>
      <w:r>
        <w:rPr>
          <w:rFonts w:hint="eastAsia" w:ascii="仿宋" w:hAnsi="仿宋" w:eastAsia="仿宋" w:cs="仿宋"/>
          <w:color w:val="000000"/>
          <w:sz w:val="32"/>
          <w:szCs w:val="32"/>
          <w:lang w:val="en-US" w:eastAsia="zh-CN"/>
        </w:rPr>
        <w:t>技术</w:t>
      </w:r>
      <w:r>
        <w:rPr>
          <w:rFonts w:hint="eastAsia" w:ascii="仿宋" w:hAnsi="仿宋" w:eastAsia="仿宋" w:cs="仿宋"/>
          <w:color w:val="000000"/>
          <w:sz w:val="32"/>
          <w:szCs w:val="32"/>
        </w:rPr>
        <w:t>交流学习，促进</w:t>
      </w:r>
      <w:r>
        <w:rPr>
          <w:rFonts w:hint="eastAsia" w:ascii="仿宋" w:hAnsi="仿宋" w:eastAsia="仿宋" w:cs="仿宋"/>
          <w:color w:val="000000"/>
          <w:sz w:val="32"/>
          <w:szCs w:val="32"/>
          <w:lang w:val="en-US" w:eastAsia="zh-CN"/>
        </w:rPr>
        <w:t>产业</w:t>
      </w:r>
      <w:r>
        <w:rPr>
          <w:rFonts w:hint="eastAsia" w:ascii="仿宋" w:hAnsi="仿宋" w:eastAsia="仿宋" w:cs="仿宋"/>
          <w:color w:val="000000"/>
          <w:sz w:val="32"/>
          <w:szCs w:val="32"/>
        </w:rPr>
        <w:t>人才培养</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三是建议检验经费保障到位；四是建议市财政资金和政策支持，对设备进行更换</w:t>
      </w:r>
      <w:r>
        <w:rPr>
          <w:rFonts w:ascii="Times New Roman" w:hAnsi="Times New Roman" w:eastAsia="仿宋_GB2312" w:cs="Times New Roman"/>
          <w:kern w:val="0"/>
          <w:sz w:val="32"/>
          <w:szCs w:val="32"/>
        </w:rPr>
        <w:t>。</w:t>
      </w:r>
    </w:p>
    <w:p w14:paraId="3F7C6DD7">
      <w:pPr>
        <w:keepNext w:val="0"/>
        <w:keepLines w:val="0"/>
        <w:pageBreakBefore w:val="0"/>
        <w:widowControl w:val="0"/>
        <w:kinsoku/>
        <w:wordWrap/>
        <w:overflowPunct/>
        <w:topLinePunct w:val="0"/>
        <w:autoSpaceDE/>
        <w:autoSpaceDN/>
        <w:bidi w:val="0"/>
        <w:adjustRightInd/>
        <w:snapToGrid/>
        <w:spacing w:line="624" w:lineRule="atLeas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p>
    <w:p w14:paraId="38B7AD26">
      <w:pPr>
        <w:pStyle w:val="15"/>
        <w:overflowPunct w:val="0"/>
        <w:autoSpaceDE/>
        <w:autoSpaceDN/>
        <w:spacing w:line="600" w:lineRule="exact"/>
        <w:ind w:firstLine="632" w:firstLineChars="200"/>
        <w:jc w:val="both"/>
        <w:rPr>
          <w:rFonts w:hint="eastAsia" w:ascii="仿宋" w:hAnsi="仿宋" w:eastAsia="仿宋" w:cs="Times New Roman"/>
          <w:spacing w:val="-2"/>
          <w:sz w:val="32"/>
          <w:szCs w:val="32"/>
          <w:lang w:val="en-US" w:eastAsia="zh-CN"/>
        </w:rPr>
      </w:pPr>
      <w:r>
        <w:rPr>
          <w:rFonts w:hint="eastAsia" w:ascii="仿宋" w:hAnsi="仿宋" w:eastAsia="仿宋" w:cs="Times New Roman"/>
          <w:spacing w:val="-2"/>
          <w:sz w:val="32"/>
          <w:szCs w:val="32"/>
          <w:lang w:val="en-US" w:eastAsia="zh-CN"/>
        </w:rPr>
        <w:t>认真落实预算绩效管理要求，扎实开展绩效监控、绩效自评及绩效评价结果应用工作</w:t>
      </w:r>
      <w:r>
        <w:rPr>
          <w:rFonts w:ascii="宋体" w:hAnsi="宋体" w:eastAsia="宋体" w:cs="宋体"/>
          <w:sz w:val="24"/>
          <w:szCs w:val="24"/>
        </w:rPr>
        <w:t>，</w:t>
      </w:r>
      <w:r>
        <w:rPr>
          <w:rFonts w:hint="eastAsia" w:ascii="仿宋" w:hAnsi="仿宋" w:eastAsia="仿宋" w:cs="Times New Roman"/>
          <w:spacing w:val="-2"/>
          <w:sz w:val="32"/>
          <w:szCs w:val="32"/>
          <w:lang w:val="en-US" w:eastAsia="zh-CN"/>
        </w:rPr>
        <w:t>将评价结果作为次年预算编制、资金安排的重要依据。按规定将绩效自评结果随同决算对外公开，主动接受监督。</w:t>
      </w:r>
    </w:p>
    <w:p w14:paraId="7719D0D9">
      <w:pPr>
        <w:pStyle w:val="15"/>
        <w:spacing w:line="360" w:lineRule="auto"/>
        <w:jc w:val="center"/>
        <w:rPr>
          <w:rFonts w:ascii="Times New Roman" w:hAnsi="Times New Roman" w:eastAsia="方正小标宋_GBK" w:cs="Times New Roman"/>
          <w:sz w:val="52"/>
          <w:szCs w:val="52"/>
        </w:rPr>
      </w:pPr>
    </w:p>
    <w:p w14:paraId="3E233A6B">
      <w:pPr>
        <w:pStyle w:val="15"/>
        <w:spacing w:line="360" w:lineRule="auto"/>
        <w:jc w:val="center"/>
        <w:rPr>
          <w:rFonts w:ascii="Times New Roman" w:hAnsi="Times New Roman" w:eastAsia="方正小标宋_GBK" w:cs="Times New Roman"/>
          <w:sz w:val="52"/>
          <w:szCs w:val="52"/>
        </w:rPr>
      </w:pPr>
    </w:p>
    <w:p w14:paraId="58550B3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97479D3">
      <w:pPr>
        <w:widowControl/>
        <w:jc w:val="left"/>
        <w:rPr>
          <w:rFonts w:ascii="Times New Roman" w:hAnsi="Times New Roman" w:cs="Times New Roman"/>
          <w:color w:val="000000"/>
          <w:kern w:val="0"/>
          <w:sz w:val="32"/>
          <w:szCs w:val="32"/>
        </w:rPr>
      </w:pPr>
    </w:p>
    <w:p w14:paraId="0752B29C">
      <w:pPr>
        <w:pStyle w:val="15"/>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32F87D7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E4B8929">
      <w:pPr>
        <w:pStyle w:val="15"/>
        <w:jc w:val="center"/>
        <w:rPr>
          <w:rFonts w:ascii="Times New Roman" w:hAnsi="Times New Roman" w:cs="Times New Roman"/>
          <w:sz w:val="72"/>
          <w:szCs w:val="72"/>
        </w:rPr>
      </w:pPr>
    </w:p>
    <w:p w14:paraId="41E6381B">
      <w:pPr>
        <w:pStyle w:val="15"/>
        <w:jc w:val="center"/>
        <w:rPr>
          <w:rFonts w:ascii="Times New Roman" w:hAnsi="Times New Roman" w:cs="Times New Roman"/>
          <w:sz w:val="72"/>
          <w:szCs w:val="72"/>
        </w:rPr>
      </w:pPr>
    </w:p>
    <w:p w14:paraId="393D5A49">
      <w:pPr>
        <w:pStyle w:val="15"/>
        <w:jc w:val="center"/>
        <w:rPr>
          <w:rFonts w:ascii="Times New Roman" w:hAnsi="Times New Roman" w:cs="Times New Roman"/>
          <w:sz w:val="72"/>
          <w:szCs w:val="72"/>
        </w:rPr>
      </w:pPr>
    </w:p>
    <w:p w14:paraId="174485B3">
      <w:pPr>
        <w:pStyle w:val="15"/>
        <w:jc w:val="both"/>
        <w:rPr>
          <w:rFonts w:ascii="Times New Roman" w:hAnsi="Times New Roman" w:cs="Times New Roman"/>
          <w:sz w:val="72"/>
          <w:szCs w:val="72"/>
        </w:rPr>
      </w:pPr>
    </w:p>
    <w:p w14:paraId="1D8C10FE">
      <w:pPr>
        <w:pStyle w:val="15"/>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69C2C9A5">
      <w:pPr>
        <w:pStyle w:val="15"/>
        <w:numPr>
          <w:ilvl w:val="0"/>
          <w:numId w:val="0"/>
        </w:numPr>
        <w:spacing w:line="360" w:lineRule="auto"/>
        <w:jc w:val="both"/>
        <w:rPr>
          <w:rFonts w:ascii="Times New Roman" w:hAnsi="Times New Roman" w:eastAsia="方正小标宋_GBK" w:cs="Times New Roman"/>
          <w:sz w:val="52"/>
          <w:szCs w:val="52"/>
        </w:rPr>
      </w:pPr>
    </w:p>
    <w:p w14:paraId="68C2F5D2">
      <w:pP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附件一  2025年部门决算公开表</w:t>
      </w:r>
    </w:p>
    <w:p w14:paraId="152EBF8C">
      <w:pPr>
        <w:rPr>
          <w:rFonts w:ascii="Times New Roman" w:hAnsi="Times New Roman" w:cs="Times New Roman"/>
          <w:sz w:val="72"/>
          <w:szCs w:val="72"/>
        </w:rPr>
      </w:pPr>
      <w:r>
        <w:rPr>
          <w:rFonts w:hint="eastAsia" w:ascii="Times New Roman" w:hAnsi="Times New Roman" w:eastAsia="仿宋_GB2312" w:cs="黑体"/>
          <w:color w:val="000000"/>
          <w:kern w:val="0"/>
          <w:sz w:val="32"/>
          <w:szCs w:val="32"/>
          <w:lang w:val="en-US" w:eastAsia="zh-CN" w:bidi="ar-SA"/>
        </w:rPr>
        <w:t xml:space="preserve">附件二  </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0F89F399">
      <w:pPr>
        <w:pStyle w:val="15"/>
        <w:spacing w:line="600" w:lineRule="exact"/>
        <w:ind w:firstLine="640" w:firstLineChars="200"/>
        <w:rPr>
          <w:rFonts w:ascii="Times New Roman" w:hAnsi="Times New Roman" w:eastAsia="仿宋_GB2312" w:cs="Times New Roman"/>
          <w:sz w:val="32"/>
          <w:szCs w:val="32"/>
        </w:rPr>
      </w:pPr>
    </w:p>
    <w:p w14:paraId="7FBD3F27">
      <w:pPr>
        <w:pStyle w:val="15"/>
        <w:jc w:val="center"/>
        <w:rPr>
          <w:rFonts w:ascii="Times New Roman" w:hAnsi="Times New Roman" w:cs="Times New Roman"/>
          <w:sz w:val="72"/>
          <w:szCs w:val="72"/>
        </w:rPr>
      </w:pPr>
    </w:p>
    <w:p w14:paraId="431C7F30">
      <w:pPr>
        <w:pStyle w:val="15"/>
        <w:jc w:val="center"/>
        <w:rPr>
          <w:rFonts w:ascii="Times New Roman" w:hAnsi="Times New Roman" w:cs="Times New Roman"/>
          <w:sz w:val="72"/>
          <w:szCs w:val="72"/>
        </w:rPr>
      </w:pPr>
    </w:p>
    <w:p w14:paraId="76A04A8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9E36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B3BA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ABD8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E4A93">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061E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F2061E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13693"/>
    <w:multiLevelType w:val="singleLevel"/>
    <w:tmpl w:val="83C13693"/>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2561E"/>
    <w:rsid w:val="002C61F7"/>
    <w:rsid w:val="003F23CE"/>
    <w:rsid w:val="00DF14BB"/>
    <w:rsid w:val="015850F4"/>
    <w:rsid w:val="018C1643"/>
    <w:rsid w:val="019F1377"/>
    <w:rsid w:val="01B3152C"/>
    <w:rsid w:val="01BE7323"/>
    <w:rsid w:val="01C012ED"/>
    <w:rsid w:val="01C0753F"/>
    <w:rsid w:val="01EA636A"/>
    <w:rsid w:val="02105DD0"/>
    <w:rsid w:val="02693733"/>
    <w:rsid w:val="03032388"/>
    <w:rsid w:val="030D40BE"/>
    <w:rsid w:val="032558AB"/>
    <w:rsid w:val="03265180"/>
    <w:rsid w:val="03457CFC"/>
    <w:rsid w:val="03600692"/>
    <w:rsid w:val="03942A31"/>
    <w:rsid w:val="039C3694"/>
    <w:rsid w:val="03E70DB3"/>
    <w:rsid w:val="04367644"/>
    <w:rsid w:val="046539B2"/>
    <w:rsid w:val="049727D9"/>
    <w:rsid w:val="04AB3B8E"/>
    <w:rsid w:val="05150D0B"/>
    <w:rsid w:val="053A3164"/>
    <w:rsid w:val="05465FAD"/>
    <w:rsid w:val="054D1990"/>
    <w:rsid w:val="054D733B"/>
    <w:rsid w:val="056B1570"/>
    <w:rsid w:val="05720B50"/>
    <w:rsid w:val="05791EDF"/>
    <w:rsid w:val="05CC30D8"/>
    <w:rsid w:val="06404F3B"/>
    <w:rsid w:val="067D155B"/>
    <w:rsid w:val="069C40D7"/>
    <w:rsid w:val="07397B77"/>
    <w:rsid w:val="077C7A64"/>
    <w:rsid w:val="077E37DC"/>
    <w:rsid w:val="07935F9B"/>
    <w:rsid w:val="07996868"/>
    <w:rsid w:val="07A07BF6"/>
    <w:rsid w:val="07A56FBB"/>
    <w:rsid w:val="07DD49A7"/>
    <w:rsid w:val="07DD5D59"/>
    <w:rsid w:val="08033CE1"/>
    <w:rsid w:val="081E4FBF"/>
    <w:rsid w:val="083D71F3"/>
    <w:rsid w:val="087B7D1C"/>
    <w:rsid w:val="08BD20E2"/>
    <w:rsid w:val="08C16076"/>
    <w:rsid w:val="08E92ED7"/>
    <w:rsid w:val="08FC6047"/>
    <w:rsid w:val="0926237D"/>
    <w:rsid w:val="09440A55"/>
    <w:rsid w:val="09903C9B"/>
    <w:rsid w:val="09A20999"/>
    <w:rsid w:val="09AB2883"/>
    <w:rsid w:val="09B16C3F"/>
    <w:rsid w:val="09CF6571"/>
    <w:rsid w:val="09DC47EA"/>
    <w:rsid w:val="0A0855DF"/>
    <w:rsid w:val="0A2368BD"/>
    <w:rsid w:val="0A3D797F"/>
    <w:rsid w:val="0A8C7FBE"/>
    <w:rsid w:val="0B001E72"/>
    <w:rsid w:val="0B41349E"/>
    <w:rsid w:val="0B674587"/>
    <w:rsid w:val="0BAE21B6"/>
    <w:rsid w:val="0BBF6171"/>
    <w:rsid w:val="0C321039"/>
    <w:rsid w:val="0C5745FC"/>
    <w:rsid w:val="0CE00A95"/>
    <w:rsid w:val="0D076022"/>
    <w:rsid w:val="0D1D3A97"/>
    <w:rsid w:val="0D305579"/>
    <w:rsid w:val="0D4155F5"/>
    <w:rsid w:val="0D531267"/>
    <w:rsid w:val="0DA16476"/>
    <w:rsid w:val="0DC12675"/>
    <w:rsid w:val="0DD5584A"/>
    <w:rsid w:val="0E0B38F0"/>
    <w:rsid w:val="0E770F85"/>
    <w:rsid w:val="0E855450"/>
    <w:rsid w:val="0EE54141"/>
    <w:rsid w:val="0EFB5712"/>
    <w:rsid w:val="0EFE38B6"/>
    <w:rsid w:val="0F2F5234"/>
    <w:rsid w:val="0F7D081D"/>
    <w:rsid w:val="100759DD"/>
    <w:rsid w:val="100920B1"/>
    <w:rsid w:val="10333112"/>
    <w:rsid w:val="104430E9"/>
    <w:rsid w:val="108856CC"/>
    <w:rsid w:val="10AB3828"/>
    <w:rsid w:val="10B14C22"/>
    <w:rsid w:val="110805A9"/>
    <w:rsid w:val="116577BB"/>
    <w:rsid w:val="11E903EC"/>
    <w:rsid w:val="11F309F4"/>
    <w:rsid w:val="12187D0A"/>
    <w:rsid w:val="12485112"/>
    <w:rsid w:val="12665599"/>
    <w:rsid w:val="12A04F4F"/>
    <w:rsid w:val="1300779B"/>
    <w:rsid w:val="130A23C8"/>
    <w:rsid w:val="13203999"/>
    <w:rsid w:val="13A02D2C"/>
    <w:rsid w:val="13AB3BAB"/>
    <w:rsid w:val="13E26EA1"/>
    <w:rsid w:val="13E42C19"/>
    <w:rsid w:val="141B480E"/>
    <w:rsid w:val="143A6CDD"/>
    <w:rsid w:val="14A95C11"/>
    <w:rsid w:val="14BC3B96"/>
    <w:rsid w:val="14E31122"/>
    <w:rsid w:val="15237771"/>
    <w:rsid w:val="15325C06"/>
    <w:rsid w:val="15393438"/>
    <w:rsid w:val="1557566D"/>
    <w:rsid w:val="15632263"/>
    <w:rsid w:val="158C5316"/>
    <w:rsid w:val="15915022"/>
    <w:rsid w:val="159E5049"/>
    <w:rsid w:val="15B036FB"/>
    <w:rsid w:val="15F228BD"/>
    <w:rsid w:val="162C6AF9"/>
    <w:rsid w:val="167A18C1"/>
    <w:rsid w:val="168D120F"/>
    <w:rsid w:val="17120C5F"/>
    <w:rsid w:val="17143815"/>
    <w:rsid w:val="172B0B5F"/>
    <w:rsid w:val="18025D64"/>
    <w:rsid w:val="183A374F"/>
    <w:rsid w:val="184719C8"/>
    <w:rsid w:val="188D1AD1"/>
    <w:rsid w:val="18FC6C57"/>
    <w:rsid w:val="195919B3"/>
    <w:rsid w:val="19874772"/>
    <w:rsid w:val="19B4308D"/>
    <w:rsid w:val="1A2A0318"/>
    <w:rsid w:val="1A907657"/>
    <w:rsid w:val="1ABD2416"/>
    <w:rsid w:val="1AD27C6F"/>
    <w:rsid w:val="1ADA6B24"/>
    <w:rsid w:val="1AE71241"/>
    <w:rsid w:val="1AE94FB9"/>
    <w:rsid w:val="1B697EA8"/>
    <w:rsid w:val="1BC82E20"/>
    <w:rsid w:val="1BFE4A94"/>
    <w:rsid w:val="1C6B037B"/>
    <w:rsid w:val="1CAC629E"/>
    <w:rsid w:val="1D047E88"/>
    <w:rsid w:val="1D491D3F"/>
    <w:rsid w:val="1DD106B2"/>
    <w:rsid w:val="1DF47EFC"/>
    <w:rsid w:val="1E0A3BC4"/>
    <w:rsid w:val="1E7F010E"/>
    <w:rsid w:val="1E8F5E77"/>
    <w:rsid w:val="1E9B0CC0"/>
    <w:rsid w:val="1EBC5701"/>
    <w:rsid w:val="1F4153C3"/>
    <w:rsid w:val="1F9A4AD4"/>
    <w:rsid w:val="1FBA6F24"/>
    <w:rsid w:val="1FCD6C57"/>
    <w:rsid w:val="201B3E66"/>
    <w:rsid w:val="20523600"/>
    <w:rsid w:val="209239FD"/>
    <w:rsid w:val="209F6845"/>
    <w:rsid w:val="20B3409F"/>
    <w:rsid w:val="20E215E3"/>
    <w:rsid w:val="20EE50D7"/>
    <w:rsid w:val="213A47C0"/>
    <w:rsid w:val="217355DC"/>
    <w:rsid w:val="21737674"/>
    <w:rsid w:val="219C0FD7"/>
    <w:rsid w:val="21C10A3D"/>
    <w:rsid w:val="227635D6"/>
    <w:rsid w:val="22765384"/>
    <w:rsid w:val="22E36792"/>
    <w:rsid w:val="22F4274D"/>
    <w:rsid w:val="23570727"/>
    <w:rsid w:val="240E783E"/>
    <w:rsid w:val="24207C9D"/>
    <w:rsid w:val="24635DDC"/>
    <w:rsid w:val="2483022C"/>
    <w:rsid w:val="249064A5"/>
    <w:rsid w:val="249266C1"/>
    <w:rsid w:val="24EE7D9B"/>
    <w:rsid w:val="25407ECB"/>
    <w:rsid w:val="254259F1"/>
    <w:rsid w:val="259D0E7A"/>
    <w:rsid w:val="26123616"/>
    <w:rsid w:val="26296BB1"/>
    <w:rsid w:val="264D28A0"/>
    <w:rsid w:val="26695200"/>
    <w:rsid w:val="26B24DF9"/>
    <w:rsid w:val="26C8461C"/>
    <w:rsid w:val="270A253F"/>
    <w:rsid w:val="27271343"/>
    <w:rsid w:val="27383550"/>
    <w:rsid w:val="278A752B"/>
    <w:rsid w:val="27FE6547"/>
    <w:rsid w:val="288F53F1"/>
    <w:rsid w:val="28A21FEF"/>
    <w:rsid w:val="28DC43AF"/>
    <w:rsid w:val="29033126"/>
    <w:rsid w:val="290A2B5A"/>
    <w:rsid w:val="2935593C"/>
    <w:rsid w:val="2936586D"/>
    <w:rsid w:val="29BB3FC4"/>
    <w:rsid w:val="2A224043"/>
    <w:rsid w:val="2A3F69A3"/>
    <w:rsid w:val="2AAA6513"/>
    <w:rsid w:val="2ABE5B1A"/>
    <w:rsid w:val="2AD4533E"/>
    <w:rsid w:val="2AF7636C"/>
    <w:rsid w:val="2B12230A"/>
    <w:rsid w:val="2B6C5576"/>
    <w:rsid w:val="2C016606"/>
    <w:rsid w:val="2C4E1120"/>
    <w:rsid w:val="2C534988"/>
    <w:rsid w:val="2C772A32"/>
    <w:rsid w:val="2CAB3EFE"/>
    <w:rsid w:val="2CBD7BB8"/>
    <w:rsid w:val="2CD535EF"/>
    <w:rsid w:val="2CD74080"/>
    <w:rsid w:val="2CDA4DD2"/>
    <w:rsid w:val="2CF27CFD"/>
    <w:rsid w:val="2CF33A75"/>
    <w:rsid w:val="2D0363AE"/>
    <w:rsid w:val="2D17796B"/>
    <w:rsid w:val="2D336429"/>
    <w:rsid w:val="2D964B2C"/>
    <w:rsid w:val="2D9E60D7"/>
    <w:rsid w:val="2DCC67A0"/>
    <w:rsid w:val="2E313FCE"/>
    <w:rsid w:val="2E351701"/>
    <w:rsid w:val="2E556795"/>
    <w:rsid w:val="2E652751"/>
    <w:rsid w:val="2EC851B9"/>
    <w:rsid w:val="2EFF2BA5"/>
    <w:rsid w:val="2F402EB8"/>
    <w:rsid w:val="2F407445"/>
    <w:rsid w:val="2FAE5BD9"/>
    <w:rsid w:val="2FC11C09"/>
    <w:rsid w:val="2FD302BA"/>
    <w:rsid w:val="2FD92D9A"/>
    <w:rsid w:val="2FFB511A"/>
    <w:rsid w:val="3025488D"/>
    <w:rsid w:val="30450A8C"/>
    <w:rsid w:val="309A0DD7"/>
    <w:rsid w:val="30CB2D3F"/>
    <w:rsid w:val="30E9005F"/>
    <w:rsid w:val="31101099"/>
    <w:rsid w:val="3135259D"/>
    <w:rsid w:val="313A1C72"/>
    <w:rsid w:val="31E71DFA"/>
    <w:rsid w:val="321150C9"/>
    <w:rsid w:val="32764F2C"/>
    <w:rsid w:val="32807B59"/>
    <w:rsid w:val="32990C1B"/>
    <w:rsid w:val="331D7A9E"/>
    <w:rsid w:val="33661445"/>
    <w:rsid w:val="3369683F"/>
    <w:rsid w:val="337A0A4C"/>
    <w:rsid w:val="337E678E"/>
    <w:rsid w:val="33EA3E24"/>
    <w:rsid w:val="33EC7B9C"/>
    <w:rsid w:val="342A06C4"/>
    <w:rsid w:val="34580D8D"/>
    <w:rsid w:val="34DA3E98"/>
    <w:rsid w:val="34EF0FC6"/>
    <w:rsid w:val="35270760"/>
    <w:rsid w:val="35492DCC"/>
    <w:rsid w:val="354B08F2"/>
    <w:rsid w:val="355157DD"/>
    <w:rsid w:val="35973B37"/>
    <w:rsid w:val="359F0C3E"/>
    <w:rsid w:val="35D153E6"/>
    <w:rsid w:val="35F25212"/>
    <w:rsid w:val="36745C27"/>
    <w:rsid w:val="36B129D7"/>
    <w:rsid w:val="36DD37CC"/>
    <w:rsid w:val="36F54FB9"/>
    <w:rsid w:val="37215DAE"/>
    <w:rsid w:val="374E0226"/>
    <w:rsid w:val="37A83DDA"/>
    <w:rsid w:val="37C1407A"/>
    <w:rsid w:val="38417D8A"/>
    <w:rsid w:val="38471845"/>
    <w:rsid w:val="38825FAB"/>
    <w:rsid w:val="388303A3"/>
    <w:rsid w:val="38DB3D3B"/>
    <w:rsid w:val="38EC7CF6"/>
    <w:rsid w:val="38FB492D"/>
    <w:rsid w:val="39153335"/>
    <w:rsid w:val="39470AAA"/>
    <w:rsid w:val="39D37108"/>
    <w:rsid w:val="3A105739"/>
    <w:rsid w:val="3A192D6D"/>
    <w:rsid w:val="3A231E3E"/>
    <w:rsid w:val="3A4F678F"/>
    <w:rsid w:val="3A912595"/>
    <w:rsid w:val="3AFD61EB"/>
    <w:rsid w:val="3AFE01B5"/>
    <w:rsid w:val="3B245E6D"/>
    <w:rsid w:val="3B6224F2"/>
    <w:rsid w:val="3B7010B2"/>
    <w:rsid w:val="3B724229"/>
    <w:rsid w:val="3B7F30A4"/>
    <w:rsid w:val="3BBC42F8"/>
    <w:rsid w:val="3BEB24E7"/>
    <w:rsid w:val="3BFD046C"/>
    <w:rsid w:val="3CC72F54"/>
    <w:rsid w:val="3CDC62D4"/>
    <w:rsid w:val="3D1B32A0"/>
    <w:rsid w:val="3D271C45"/>
    <w:rsid w:val="3DCC6348"/>
    <w:rsid w:val="3E6B5B61"/>
    <w:rsid w:val="3E7F19F3"/>
    <w:rsid w:val="3FC714BD"/>
    <w:rsid w:val="400E49F6"/>
    <w:rsid w:val="405C7E57"/>
    <w:rsid w:val="408D1DBF"/>
    <w:rsid w:val="409273D5"/>
    <w:rsid w:val="412070D7"/>
    <w:rsid w:val="412D276B"/>
    <w:rsid w:val="41394819"/>
    <w:rsid w:val="414601C0"/>
    <w:rsid w:val="41A05B22"/>
    <w:rsid w:val="41C23CEA"/>
    <w:rsid w:val="41D37CA5"/>
    <w:rsid w:val="41F8595E"/>
    <w:rsid w:val="42191A02"/>
    <w:rsid w:val="42334BE8"/>
    <w:rsid w:val="427A6373"/>
    <w:rsid w:val="428B4A24"/>
    <w:rsid w:val="4290203A"/>
    <w:rsid w:val="42A11B51"/>
    <w:rsid w:val="42DF6B1E"/>
    <w:rsid w:val="43140575"/>
    <w:rsid w:val="436A4639"/>
    <w:rsid w:val="438020AF"/>
    <w:rsid w:val="43911BC6"/>
    <w:rsid w:val="43F65ECD"/>
    <w:rsid w:val="441F1B34"/>
    <w:rsid w:val="44AE49FA"/>
    <w:rsid w:val="451C1963"/>
    <w:rsid w:val="45617CBE"/>
    <w:rsid w:val="45B139BA"/>
    <w:rsid w:val="45DE4E6B"/>
    <w:rsid w:val="463F7FFF"/>
    <w:rsid w:val="46780E1B"/>
    <w:rsid w:val="46A71700"/>
    <w:rsid w:val="46C91677"/>
    <w:rsid w:val="46CB53EF"/>
    <w:rsid w:val="46DF0E9A"/>
    <w:rsid w:val="46F030A7"/>
    <w:rsid w:val="470E79D1"/>
    <w:rsid w:val="47555600"/>
    <w:rsid w:val="47855EE6"/>
    <w:rsid w:val="478D6B48"/>
    <w:rsid w:val="47C85DD2"/>
    <w:rsid w:val="47F866B8"/>
    <w:rsid w:val="4800731A"/>
    <w:rsid w:val="482E032B"/>
    <w:rsid w:val="48DB5B77"/>
    <w:rsid w:val="499A379E"/>
    <w:rsid w:val="49BC3715"/>
    <w:rsid w:val="49EC224C"/>
    <w:rsid w:val="49F66C27"/>
    <w:rsid w:val="49FE1F7F"/>
    <w:rsid w:val="4A161077"/>
    <w:rsid w:val="4AC72371"/>
    <w:rsid w:val="4B1D4687"/>
    <w:rsid w:val="4B58746D"/>
    <w:rsid w:val="4B8A48F9"/>
    <w:rsid w:val="4B971D44"/>
    <w:rsid w:val="4C0D46FC"/>
    <w:rsid w:val="4C254AA8"/>
    <w:rsid w:val="4C720BE2"/>
    <w:rsid w:val="4CC56D84"/>
    <w:rsid w:val="4CD9638C"/>
    <w:rsid w:val="4CF55004"/>
    <w:rsid w:val="4D0452B9"/>
    <w:rsid w:val="4D826A23"/>
    <w:rsid w:val="4D862070"/>
    <w:rsid w:val="4DA16EA9"/>
    <w:rsid w:val="4DA16F9D"/>
    <w:rsid w:val="4DC112FA"/>
    <w:rsid w:val="4DC66910"/>
    <w:rsid w:val="4E2B2C17"/>
    <w:rsid w:val="4E524648"/>
    <w:rsid w:val="4E830CA5"/>
    <w:rsid w:val="4E8567CB"/>
    <w:rsid w:val="4EBC7D13"/>
    <w:rsid w:val="50597F0F"/>
    <w:rsid w:val="50681F00"/>
    <w:rsid w:val="506D7517"/>
    <w:rsid w:val="50AF5D81"/>
    <w:rsid w:val="50F25C6E"/>
    <w:rsid w:val="511B6F73"/>
    <w:rsid w:val="51220301"/>
    <w:rsid w:val="51295B34"/>
    <w:rsid w:val="5167040A"/>
    <w:rsid w:val="51B55619"/>
    <w:rsid w:val="51BF0246"/>
    <w:rsid w:val="51CB6BEB"/>
    <w:rsid w:val="51D318AC"/>
    <w:rsid w:val="52105E6C"/>
    <w:rsid w:val="522D3402"/>
    <w:rsid w:val="52302EF2"/>
    <w:rsid w:val="526D1A50"/>
    <w:rsid w:val="52D63A99"/>
    <w:rsid w:val="52F061DD"/>
    <w:rsid w:val="531F5E2E"/>
    <w:rsid w:val="532644A8"/>
    <w:rsid w:val="537806AC"/>
    <w:rsid w:val="53CB2ED2"/>
    <w:rsid w:val="53E73A84"/>
    <w:rsid w:val="540D34EB"/>
    <w:rsid w:val="540E7263"/>
    <w:rsid w:val="54273E81"/>
    <w:rsid w:val="549A4653"/>
    <w:rsid w:val="54A86D6F"/>
    <w:rsid w:val="54B576DE"/>
    <w:rsid w:val="54D03085"/>
    <w:rsid w:val="54D20290"/>
    <w:rsid w:val="54EC75A4"/>
    <w:rsid w:val="550B72FE"/>
    <w:rsid w:val="55175CA3"/>
    <w:rsid w:val="55322ADD"/>
    <w:rsid w:val="55FA184D"/>
    <w:rsid w:val="56004989"/>
    <w:rsid w:val="560C332E"/>
    <w:rsid w:val="56334F4E"/>
    <w:rsid w:val="564D4072"/>
    <w:rsid w:val="56AA1C8B"/>
    <w:rsid w:val="56ED13B1"/>
    <w:rsid w:val="572648C3"/>
    <w:rsid w:val="573B7193"/>
    <w:rsid w:val="578A4CFC"/>
    <w:rsid w:val="57A37CC2"/>
    <w:rsid w:val="5827444F"/>
    <w:rsid w:val="583E4885"/>
    <w:rsid w:val="58782EFD"/>
    <w:rsid w:val="588840E5"/>
    <w:rsid w:val="58A957AC"/>
    <w:rsid w:val="58D345D7"/>
    <w:rsid w:val="591B0458"/>
    <w:rsid w:val="599C2C1B"/>
    <w:rsid w:val="59B368E2"/>
    <w:rsid w:val="59F12F67"/>
    <w:rsid w:val="59F20A8D"/>
    <w:rsid w:val="5A112DD4"/>
    <w:rsid w:val="5A113609"/>
    <w:rsid w:val="5A5C0D28"/>
    <w:rsid w:val="5B1F3B03"/>
    <w:rsid w:val="5B4672E2"/>
    <w:rsid w:val="5B7420A1"/>
    <w:rsid w:val="5BB16E51"/>
    <w:rsid w:val="5BF40AEC"/>
    <w:rsid w:val="5C5E440D"/>
    <w:rsid w:val="5C631A90"/>
    <w:rsid w:val="5C902F0B"/>
    <w:rsid w:val="5CDB3A5A"/>
    <w:rsid w:val="5CED4F6D"/>
    <w:rsid w:val="5CF74D38"/>
    <w:rsid w:val="5D235B2D"/>
    <w:rsid w:val="5D443CF5"/>
    <w:rsid w:val="5D535CE6"/>
    <w:rsid w:val="5DB669A1"/>
    <w:rsid w:val="5DC6470A"/>
    <w:rsid w:val="5DD60DF1"/>
    <w:rsid w:val="5DE77D7B"/>
    <w:rsid w:val="5E9D36BD"/>
    <w:rsid w:val="5EA52572"/>
    <w:rsid w:val="5EAE7678"/>
    <w:rsid w:val="5EB629D1"/>
    <w:rsid w:val="5EC92704"/>
    <w:rsid w:val="5ED74E21"/>
    <w:rsid w:val="5F000AC8"/>
    <w:rsid w:val="5F105C3D"/>
    <w:rsid w:val="5F21609C"/>
    <w:rsid w:val="5F2E22CA"/>
    <w:rsid w:val="5F8605F5"/>
    <w:rsid w:val="5FAF36A8"/>
    <w:rsid w:val="60566219"/>
    <w:rsid w:val="60663C1E"/>
    <w:rsid w:val="608A7C71"/>
    <w:rsid w:val="60913514"/>
    <w:rsid w:val="609B7552"/>
    <w:rsid w:val="60C50CA9"/>
    <w:rsid w:val="60DA29A7"/>
    <w:rsid w:val="60FB0B6F"/>
    <w:rsid w:val="60FF240D"/>
    <w:rsid w:val="61621928"/>
    <w:rsid w:val="61932B55"/>
    <w:rsid w:val="61AF3E33"/>
    <w:rsid w:val="624502F4"/>
    <w:rsid w:val="624D0F56"/>
    <w:rsid w:val="625F6A4A"/>
    <w:rsid w:val="62B31701"/>
    <w:rsid w:val="62B611F1"/>
    <w:rsid w:val="62E23D94"/>
    <w:rsid w:val="63676048"/>
    <w:rsid w:val="638C3D00"/>
    <w:rsid w:val="63F57AF7"/>
    <w:rsid w:val="6470717E"/>
    <w:rsid w:val="64E75692"/>
    <w:rsid w:val="652C7DB8"/>
    <w:rsid w:val="65424FBE"/>
    <w:rsid w:val="664A412A"/>
    <w:rsid w:val="665C55A3"/>
    <w:rsid w:val="66770C98"/>
    <w:rsid w:val="668A09CB"/>
    <w:rsid w:val="66900ABE"/>
    <w:rsid w:val="67112E9A"/>
    <w:rsid w:val="674566A0"/>
    <w:rsid w:val="678371C8"/>
    <w:rsid w:val="67B305A2"/>
    <w:rsid w:val="67C41CBB"/>
    <w:rsid w:val="68182006"/>
    <w:rsid w:val="682B7F8C"/>
    <w:rsid w:val="68464DC5"/>
    <w:rsid w:val="684B23DC"/>
    <w:rsid w:val="68B7537B"/>
    <w:rsid w:val="68C06926"/>
    <w:rsid w:val="68C83A2C"/>
    <w:rsid w:val="68D26659"/>
    <w:rsid w:val="694C1F68"/>
    <w:rsid w:val="69A55B1C"/>
    <w:rsid w:val="69EF7FDC"/>
    <w:rsid w:val="6A9C0CCD"/>
    <w:rsid w:val="6AAD6F18"/>
    <w:rsid w:val="6B2B3DFF"/>
    <w:rsid w:val="6B3D0747"/>
    <w:rsid w:val="6B4A697B"/>
    <w:rsid w:val="6B581098"/>
    <w:rsid w:val="6B5F326D"/>
    <w:rsid w:val="6B797260"/>
    <w:rsid w:val="6BBA3B00"/>
    <w:rsid w:val="6BDB5825"/>
    <w:rsid w:val="6C066F44"/>
    <w:rsid w:val="6C1825D5"/>
    <w:rsid w:val="6C1D7BEB"/>
    <w:rsid w:val="6C30791F"/>
    <w:rsid w:val="6C315445"/>
    <w:rsid w:val="6CBA175F"/>
    <w:rsid w:val="6CEB5F3B"/>
    <w:rsid w:val="6DA87988"/>
    <w:rsid w:val="6DF332FA"/>
    <w:rsid w:val="6E311496"/>
    <w:rsid w:val="6E9C573F"/>
    <w:rsid w:val="6EB20ABF"/>
    <w:rsid w:val="6EC24A7A"/>
    <w:rsid w:val="6ED21161"/>
    <w:rsid w:val="6F0B01CF"/>
    <w:rsid w:val="6F9836F2"/>
    <w:rsid w:val="6F9E54E7"/>
    <w:rsid w:val="6FB2689C"/>
    <w:rsid w:val="6FD809F9"/>
    <w:rsid w:val="6FD9207B"/>
    <w:rsid w:val="6FEF189F"/>
    <w:rsid w:val="7036127C"/>
    <w:rsid w:val="70553DF8"/>
    <w:rsid w:val="70650194"/>
    <w:rsid w:val="707B1384"/>
    <w:rsid w:val="71072C18"/>
    <w:rsid w:val="71950224"/>
    <w:rsid w:val="719721EE"/>
    <w:rsid w:val="719D6674"/>
    <w:rsid w:val="71D64AC4"/>
    <w:rsid w:val="71F413EE"/>
    <w:rsid w:val="72192C03"/>
    <w:rsid w:val="726A345E"/>
    <w:rsid w:val="72A1635F"/>
    <w:rsid w:val="72A526E9"/>
    <w:rsid w:val="72C36C5D"/>
    <w:rsid w:val="733F0D8F"/>
    <w:rsid w:val="735465E8"/>
    <w:rsid w:val="736A5E0C"/>
    <w:rsid w:val="73770CB6"/>
    <w:rsid w:val="73AB01D2"/>
    <w:rsid w:val="73F751C6"/>
    <w:rsid w:val="743633C1"/>
    <w:rsid w:val="74471CA9"/>
    <w:rsid w:val="74751701"/>
    <w:rsid w:val="74EE481B"/>
    <w:rsid w:val="754E52B9"/>
    <w:rsid w:val="75CD4430"/>
    <w:rsid w:val="75EA6D90"/>
    <w:rsid w:val="76045978"/>
    <w:rsid w:val="76876CD5"/>
    <w:rsid w:val="76A5715B"/>
    <w:rsid w:val="7702635B"/>
    <w:rsid w:val="77674410"/>
    <w:rsid w:val="77955421"/>
    <w:rsid w:val="779F4ACF"/>
    <w:rsid w:val="77BF6F51"/>
    <w:rsid w:val="77F739E6"/>
    <w:rsid w:val="781E5417"/>
    <w:rsid w:val="782A5B6A"/>
    <w:rsid w:val="784C3351"/>
    <w:rsid w:val="787C3EEC"/>
    <w:rsid w:val="78827754"/>
    <w:rsid w:val="78961451"/>
    <w:rsid w:val="78C53AE4"/>
    <w:rsid w:val="78EE6B97"/>
    <w:rsid w:val="78FB3062"/>
    <w:rsid w:val="79336CA0"/>
    <w:rsid w:val="797177C8"/>
    <w:rsid w:val="797D616D"/>
    <w:rsid w:val="79BF4C1E"/>
    <w:rsid w:val="79DA711C"/>
    <w:rsid w:val="79E461EC"/>
    <w:rsid w:val="7A212F9C"/>
    <w:rsid w:val="7A4153ED"/>
    <w:rsid w:val="7AAF3071"/>
    <w:rsid w:val="7AC21BCB"/>
    <w:rsid w:val="7AD16771"/>
    <w:rsid w:val="7AD718AD"/>
    <w:rsid w:val="7AE85868"/>
    <w:rsid w:val="7B022DCE"/>
    <w:rsid w:val="7B723B4E"/>
    <w:rsid w:val="7B825CBD"/>
    <w:rsid w:val="7B9559F0"/>
    <w:rsid w:val="7BD52290"/>
    <w:rsid w:val="7C016BE2"/>
    <w:rsid w:val="7C266648"/>
    <w:rsid w:val="7C313CCD"/>
    <w:rsid w:val="7C594C70"/>
    <w:rsid w:val="7C8C1416"/>
    <w:rsid w:val="7C95557C"/>
    <w:rsid w:val="7CA0289E"/>
    <w:rsid w:val="7CA51C63"/>
    <w:rsid w:val="7CAD4FBB"/>
    <w:rsid w:val="7CF76237"/>
    <w:rsid w:val="7D572A32"/>
    <w:rsid w:val="7D9F66B2"/>
    <w:rsid w:val="7DA2115B"/>
    <w:rsid w:val="7E1C41A7"/>
    <w:rsid w:val="7EC42148"/>
    <w:rsid w:val="7ED95BF4"/>
    <w:rsid w:val="7F2A28F3"/>
    <w:rsid w:val="7F406C73"/>
    <w:rsid w:val="7F6F0306"/>
    <w:rsid w:val="7FA53D28"/>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kern w:val="0"/>
      <w:sz w:val="20"/>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5"/>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2052-11.8.2.12009</vt:lpwstr>
  </property>
  <property xmlns="http://schemas.openxmlformats.org/officeDocument/2006/custom-properties" fmtid="{D5CDD505-2E9C-101B-9397-08002B2CF9AE}" pid="3" name="ICV">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b35adb-ddbe-4a2d-a789-264f5ed68ff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5251</Words>
  <Characters>5769</Characters>
  <Lines>69</Lines>
  <Paragraphs>19</Paragraphs>
  <TotalTime>13</TotalTime>
  <ScaleCrop>false</ScaleCrop>
  <LinksUpToDate>false</LinksUpToDate>
  <CharactersWithSpaces>5807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2026-10-15T16:26:40Z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eyJoZGlkIjoiNzBhZmYxZjI3MTM3Zjk4YzBhNDYwNjQ4ZGUzMjJhODMiLCJ1c2VySWQiOiIzNDQwMDQzNTQifQ==</vt:lpwstr>
  </property>
</Properties>
</file>