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F9F87">
      <w:pPr>
        <w:pStyle w:val="12"/>
        <w:jc w:val="center"/>
        <w:rPr>
          <w:color w:val="auto"/>
          <w:sz w:val="56"/>
          <w:szCs w:val="56"/>
          <w:highlight w:val="none"/>
        </w:rPr>
      </w:pPr>
    </w:p>
    <w:p w14:paraId="23D40076">
      <w:pPr>
        <w:pStyle w:val="12"/>
        <w:jc w:val="center"/>
        <w:rPr>
          <w:color w:val="auto"/>
          <w:sz w:val="56"/>
          <w:szCs w:val="56"/>
          <w:highlight w:val="none"/>
        </w:rPr>
      </w:pPr>
    </w:p>
    <w:p w14:paraId="10CE82F8">
      <w:pPr>
        <w:pStyle w:val="12"/>
        <w:jc w:val="center"/>
        <w:rPr>
          <w:color w:val="auto"/>
          <w:sz w:val="84"/>
          <w:szCs w:val="84"/>
          <w:highlight w:val="none"/>
        </w:rPr>
      </w:pPr>
    </w:p>
    <w:p w14:paraId="13D750F9">
      <w:pPr>
        <w:pStyle w:val="12"/>
        <w:jc w:val="center"/>
        <w:rPr>
          <w:color w:val="auto"/>
          <w:sz w:val="84"/>
          <w:szCs w:val="84"/>
          <w:highlight w:val="none"/>
        </w:rPr>
      </w:pPr>
    </w:p>
    <w:p w14:paraId="2FC063F7">
      <w:pPr>
        <w:pStyle w:val="12"/>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202</w:t>
      </w:r>
      <w:r>
        <w:rPr>
          <w:rFonts w:hint="eastAsia" w:ascii="方正小标宋_GBK" w:hAnsi="方正小标宋_GBK" w:eastAsia="方正小标宋_GBK" w:cs="方正小标宋_GBK"/>
          <w:color w:val="auto"/>
          <w:sz w:val="84"/>
          <w:szCs w:val="84"/>
          <w:highlight w:val="none"/>
          <w:lang w:val="en-US" w:eastAsia="zh-CN"/>
        </w:rPr>
        <w:t>2</w:t>
      </w:r>
      <w:r>
        <w:rPr>
          <w:rFonts w:hint="eastAsia" w:ascii="方正小标宋_GBK" w:hAnsi="方正小标宋_GBK" w:eastAsia="方正小标宋_GBK" w:cs="方正小标宋_GBK"/>
          <w:color w:val="auto"/>
          <w:sz w:val="84"/>
          <w:szCs w:val="84"/>
          <w:highlight w:val="none"/>
        </w:rPr>
        <w:t>年度</w:t>
      </w:r>
    </w:p>
    <w:p w14:paraId="1A7FA080">
      <w:pPr>
        <w:pStyle w:val="12"/>
        <w:jc w:val="center"/>
        <w:rPr>
          <w:rFonts w:hint="eastAsia" w:ascii="方正小标宋_GBK" w:hAnsi="方正小标宋_GBK" w:eastAsia="方正小标宋_GBK" w:cs="方正小标宋_GBK"/>
          <w:color w:val="auto"/>
          <w:sz w:val="84"/>
          <w:szCs w:val="84"/>
          <w:highlight w:val="none"/>
          <w:lang w:val="en-US" w:eastAsia="zh-CN"/>
        </w:rPr>
      </w:pPr>
      <w:r>
        <w:rPr>
          <w:rFonts w:hint="eastAsia" w:ascii="方正小标宋_GBK" w:hAnsi="方正小标宋_GBK" w:eastAsia="方正小标宋_GBK" w:cs="方正小标宋_GBK"/>
          <w:color w:val="auto"/>
          <w:sz w:val="84"/>
          <w:szCs w:val="84"/>
          <w:highlight w:val="none"/>
          <w:lang w:val="en-US" w:eastAsia="zh-CN"/>
        </w:rPr>
        <w:t>怀化市政府驻广州办事处</w:t>
      </w:r>
    </w:p>
    <w:p w14:paraId="1DB97594">
      <w:pPr>
        <w:pStyle w:val="12"/>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部门决算</w:t>
      </w:r>
    </w:p>
    <w:p w14:paraId="24EB5109">
      <w:pPr>
        <w:pStyle w:val="12"/>
        <w:jc w:val="center"/>
        <w:rPr>
          <w:rFonts w:hint="eastAsia" w:ascii="方正小标宋_GBK" w:hAnsi="方正小标宋_GBK" w:eastAsia="方正小标宋_GBK" w:cs="方正小标宋_GBK"/>
          <w:color w:val="auto"/>
          <w:sz w:val="56"/>
          <w:szCs w:val="56"/>
          <w:highlight w:val="none"/>
        </w:rPr>
      </w:pPr>
    </w:p>
    <w:p w14:paraId="2161F6A6">
      <w:pPr>
        <w:pStyle w:val="12"/>
        <w:jc w:val="center"/>
        <w:rPr>
          <w:color w:val="auto"/>
          <w:sz w:val="56"/>
          <w:szCs w:val="56"/>
          <w:highlight w:val="none"/>
        </w:rPr>
      </w:pPr>
    </w:p>
    <w:p w14:paraId="5DD9BD31">
      <w:pPr>
        <w:pStyle w:val="12"/>
        <w:jc w:val="center"/>
        <w:rPr>
          <w:color w:val="auto"/>
          <w:sz w:val="56"/>
          <w:szCs w:val="56"/>
          <w:highlight w:val="none"/>
        </w:rPr>
      </w:pPr>
    </w:p>
    <w:p w14:paraId="48213F9A">
      <w:pPr>
        <w:pStyle w:val="12"/>
        <w:jc w:val="center"/>
        <w:rPr>
          <w:color w:val="auto"/>
          <w:sz w:val="56"/>
          <w:szCs w:val="56"/>
          <w:highlight w:val="none"/>
        </w:rPr>
      </w:pPr>
    </w:p>
    <w:p w14:paraId="0C636312">
      <w:pPr>
        <w:pStyle w:val="12"/>
        <w:jc w:val="center"/>
        <w:rPr>
          <w:color w:val="auto"/>
          <w:sz w:val="32"/>
          <w:szCs w:val="32"/>
          <w:highlight w:val="none"/>
        </w:rPr>
      </w:pPr>
    </w:p>
    <w:p w14:paraId="07CAF311">
      <w:pPr>
        <w:pStyle w:val="12"/>
        <w:jc w:val="center"/>
        <w:rPr>
          <w:color w:val="auto"/>
          <w:sz w:val="32"/>
          <w:szCs w:val="32"/>
          <w:highlight w:val="none"/>
        </w:rPr>
      </w:pPr>
    </w:p>
    <w:p w14:paraId="6C73E1DB">
      <w:pPr>
        <w:pStyle w:val="12"/>
        <w:jc w:val="center"/>
        <w:rPr>
          <w:color w:val="auto"/>
          <w:sz w:val="32"/>
          <w:szCs w:val="32"/>
          <w:highlight w:val="none"/>
        </w:rPr>
      </w:pPr>
    </w:p>
    <w:p w14:paraId="4D01E082">
      <w:pPr>
        <w:pStyle w:val="12"/>
        <w:jc w:val="center"/>
        <w:rPr>
          <w:color w:val="auto"/>
          <w:sz w:val="32"/>
          <w:szCs w:val="32"/>
          <w:highlight w:val="none"/>
        </w:rPr>
      </w:pPr>
    </w:p>
    <w:p w14:paraId="2B8CC1B3">
      <w:pPr>
        <w:pStyle w:val="12"/>
        <w:spacing w:line="500" w:lineRule="exact"/>
        <w:jc w:val="center"/>
        <w:rPr>
          <w:b/>
          <w:color w:val="auto"/>
          <w:sz w:val="36"/>
          <w:szCs w:val="28"/>
          <w:highlight w:val="none"/>
        </w:rPr>
      </w:pPr>
      <w:r>
        <w:rPr>
          <w:rFonts w:hint="eastAsia"/>
          <w:b/>
          <w:color w:val="auto"/>
          <w:sz w:val="36"/>
          <w:szCs w:val="28"/>
          <w:highlight w:val="none"/>
        </w:rPr>
        <w:t>目录</w:t>
      </w:r>
    </w:p>
    <w:p w14:paraId="1A4F0895">
      <w:pPr>
        <w:pStyle w:val="12"/>
        <w:spacing w:line="500" w:lineRule="exac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第一部分</w:t>
      </w:r>
      <w:r>
        <w:rPr>
          <w:rFonts w:hint="eastAsia" w:ascii="黑体" w:hAnsi="黑体" w:eastAsia="黑体" w:cs="黑体"/>
          <w:b w:val="0"/>
          <w:bCs/>
          <w:color w:val="auto"/>
          <w:sz w:val="32"/>
          <w:szCs w:val="32"/>
          <w:highlight w:val="none"/>
          <w:lang w:val="en-US" w:eastAsia="zh-CN"/>
        </w:rPr>
        <w:t xml:space="preserve"> 怀化市政府驻广州办事处部门</w:t>
      </w:r>
      <w:r>
        <w:rPr>
          <w:rFonts w:hint="eastAsia" w:ascii="黑体" w:hAnsi="黑体" w:eastAsia="黑体" w:cs="黑体"/>
          <w:b w:val="0"/>
          <w:bCs/>
          <w:color w:val="auto"/>
          <w:sz w:val="32"/>
          <w:szCs w:val="32"/>
          <w:highlight w:val="none"/>
        </w:rPr>
        <w:t>概况</w:t>
      </w:r>
    </w:p>
    <w:p w14:paraId="565988BB">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一、部门职责</w:t>
      </w:r>
    </w:p>
    <w:p w14:paraId="7D27FF35">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二、机构设置</w:t>
      </w:r>
    </w:p>
    <w:p w14:paraId="548A937D">
      <w:pPr>
        <w:pStyle w:val="12"/>
        <w:spacing w:line="500" w:lineRule="exac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第二部分</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部门决算表</w:t>
      </w:r>
    </w:p>
    <w:p w14:paraId="2B230955">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一、收入支出决算总表</w:t>
      </w:r>
    </w:p>
    <w:p w14:paraId="592C36D1">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二、收入决算表</w:t>
      </w:r>
    </w:p>
    <w:p w14:paraId="5FD879AF">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三、支出决算表</w:t>
      </w:r>
    </w:p>
    <w:p w14:paraId="15B64F24">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四、财政拨款收入支出决算总表</w:t>
      </w:r>
    </w:p>
    <w:p w14:paraId="585ADD26">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五、一般公共预算财政拨款支出决算表</w:t>
      </w:r>
    </w:p>
    <w:p w14:paraId="7F4E92CF">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六、一般公共预算财政拨款基本支出决算明细表</w:t>
      </w:r>
    </w:p>
    <w:p w14:paraId="7CA2FBA4">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七、政府性基金预算财政拨款收入支出决算表</w:t>
      </w:r>
    </w:p>
    <w:p w14:paraId="5B152FA5">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八、国有资本经营预算财政拨款支出决算表</w:t>
      </w:r>
    </w:p>
    <w:p w14:paraId="056D99B1">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九、财政拨款“三公”经费支出决算表</w:t>
      </w:r>
    </w:p>
    <w:p w14:paraId="56C6B837">
      <w:pPr>
        <w:pStyle w:val="12"/>
        <w:spacing w:line="500" w:lineRule="exac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第三部分</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部门决算情况说明</w:t>
      </w:r>
    </w:p>
    <w:p w14:paraId="5957EC85">
      <w:pPr>
        <w:pStyle w:val="12"/>
        <w:spacing w:line="500" w:lineRule="exact"/>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一、收入支出决算总体情况说明</w:t>
      </w:r>
    </w:p>
    <w:p w14:paraId="1F818E23">
      <w:pPr>
        <w:spacing w:line="500" w:lineRule="exact"/>
        <w:ind w:firstLine="800" w:firstLineChars="25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二、收入决算情况说明</w:t>
      </w:r>
    </w:p>
    <w:p w14:paraId="1C4604B3">
      <w:pPr>
        <w:autoSpaceDE w:val="0"/>
        <w:autoSpaceDN w:val="0"/>
        <w:adjustRightInd w:val="0"/>
        <w:spacing w:line="500" w:lineRule="exact"/>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三、支出决算情况说明</w:t>
      </w:r>
    </w:p>
    <w:p w14:paraId="2946D402">
      <w:pPr>
        <w:autoSpaceDE w:val="0"/>
        <w:autoSpaceDN w:val="0"/>
        <w:adjustRightInd w:val="0"/>
        <w:spacing w:line="500" w:lineRule="exact"/>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四、财政拨款收入支出决算总体情况说明</w:t>
      </w:r>
    </w:p>
    <w:p w14:paraId="649D778A">
      <w:pPr>
        <w:autoSpaceDE w:val="0"/>
        <w:autoSpaceDN w:val="0"/>
        <w:adjustRightInd w:val="0"/>
        <w:spacing w:line="500" w:lineRule="exact"/>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五、一般公共预算财政拨款支出决算情况说明</w:t>
      </w:r>
    </w:p>
    <w:p w14:paraId="0AFF0956">
      <w:pPr>
        <w:autoSpaceDE w:val="0"/>
        <w:autoSpaceDN w:val="0"/>
        <w:adjustRightInd w:val="0"/>
        <w:spacing w:line="500" w:lineRule="exact"/>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六、一般公共预算财政拨款基本支出决算情况说明</w:t>
      </w:r>
    </w:p>
    <w:p w14:paraId="6BC01D33">
      <w:pPr>
        <w:autoSpaceDE w:val="0"/>
        <w:autoSpaceDN w:val="0"/>
        <w:adjustRightInd w:val="0"/>
        <w:spacing w:line="500" w:lineRule="exact"/>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七、一般公共预算财政拨款三公经费支出决算情况说明</w:t>
      </w:r>
    </w:p>
    <w:p w14:paraId="374D394D">
      <w:pPr>
        <w:autoSpaceDE w:val="0"/>
        <w:autoSpaceDN w:val="0"/>
        <w:adjustRightInd w:val="0"/>
        <w:spacing w:line="500" w:lineRule="exact"/>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八、政府性基金预算收入支出决算情况</w:t>
      </w:r>
    </w:p>
    <w:p w14:paraId="1D918A61">
      <w:pPr>
        <w:autoSpaceDE w:val="0"/>
        <w:autoSpaceDN w:val="0"/>
        <w:adjustRightInd w:val="0"/>
        <w:spacing w:line="440" w:lineRule="exact"/>
        <w:ind w:firstLine="800" w:firstLineChars="250"/>
        <w:jc w:val="left"/>
        <w:rPr>
          <w:rFonts w:hint="eastAsia" w:ascii="仿宋" w:hAnsi="仿宋" w:eastAsia="仿宋" w:cs="仿宋_GB2312"/>
          <w:color w:val="auto"/>
          <w:kern w:val="0"/>
          <w:sz w:val="32"/>
          <w:szCs w:val="32"/>
          <w:highlight w:val="none"/>
          <w:lang w:eastAsia="zh-CN"/>
        </w:rPr>
      </w:pPr>
      <w:r>
        <w:rPr>
          <w:rFonts w:hint="eastAsia" w:ascii="仿宋" w:hAnsi="仿宋" w:eastAsia="仿宋" w:cs="仿宋_GB2312"/>
          <w:color w:val="auto"/>
          <w:kern w:val="0"/>
          <w:sz w:val="32"/>
          <w:szCs w:val="32"/>
          <w:highlight w:val="none"/>
        </w:rPr>
        <w:t>九、国有资本经营预算</w:t>
      </w:r>
      <w:r>
        <w:rPr>
          <w:rFonts w:hint="eastAsia" w:ascii="仿宋" w:hAnsi="仿宋" w:eastAsia="仿宋" w:cs="仿宋_GB2312"/>
          <w:color w:val="auto"/>
          <w:kern w:val="0"/>
          <w:sz w:val="32"/>
          <w:szCs w:val="32"/>
          <w:highlight w:val="none"/>
          <w:lang w:val="en-US" w:eastAsia="zh-CN"/>
        </w:rPr>
        <w:t>财政拨款支出</w:t>
      </w:r>
      <w:r>
        <w:rPr>
          <w:rFonts w:hint="eastAsia" w:ascii="仿宋" w:hAnsi="仿宋" w:eastAsia="仿宋" w:cs="仿宋_GB2312"/>
          <w:color w:val="auto"/>
          <w:kern w:val="0"/>
          <w:sz w:val="32"/>
          <w:szCs w:val="32"/>
          <w:highlight w:val="none"/>
        </w:rPr>
        <w:t>决算情况</w:t>
      </w:r>
    </w:p>
    <w:p w14:paraId="4D497B52">
      <w:pPr>
        <w:autoSpaceDE w:val="0"/>
        <w:autoSpaceDN w:val="0"/>
        <w:adjustRightInd w:val="0"/>
        <w:spacing w:line="440" w:lineRule="exact"/>
        <w:ind w:firstLine="800" w:firstLineChars="250"/>
        <w:jc w:val="left"/>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十、关于机关运行经费支出说明</w:t>
      </w:r>
    </w:p>
    <w:p w14:paraId="21BE9BF3">
      <w:pPr>
        <w:autoSpaceDE w:val="0"/>
        <w:autoSpaceDN w:val="0"/>
        <w:adjustRightInd w:val="0"/>
        <w:spacing w:line="440" w:lineRule="exact"/>
        <w:ind w:firstLine="800" w:firstLineChars="250"/>
        <w:jc w:val="left"/>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十一、一般性支出情况说明</w:t>
      </w:r>
    </w:p>
    <w:p w14:paraId="6209E567">
      <w:pPr>
        <w:autoSpaceDE w:val="0"/>
        <w:autoSpaceDN w:val="0"/>
        <w:adjustRightInd w:val="0"/>
        <w:spacing w:line="440" w:lineRule="exact"/>
        <w:ind w:firstLine="800" w:firstLineChars="250"/>
        <w:jc w:val="left"/>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十二、关于政府采购支出说明</w:t>
      </w:r>
    </w:p>
    <w:p w14:paraId="40EBFEBE">
      <w:pPr>
        <w:pStyle w:val="12"/>
        <w:spacing w:line="440" w:lineRule="exact"/>
        <w:ind w:firstLine="800" w:firstLineChars="25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十三、关于国有资产占用情况说明</w:t>
      </w:r>
    </w:p>
    <w:p w14:paraId="17FC73EF">
      <w:pPr>
        <w:pStyle w:val="12"/>
        <w:spacing w:line="440" w:lineRule="exact"/>
        <w:ind w:firstLine="800" w:firstLineChars="250"/>
        <w:rPr>
          <w:rFonts w:ascii="仿宋" w:hAnsi="仿宋" w:eastAsia="仿宋"/>
          <w:bCs/>
          <w:color w:val="auto"/>
          <w:sz w:val="32"/>
          <w:szCs w:val="32"/>
          <w:highlight w:val="none"/>
        </w:rPr>
      </w:pPr>
      <w:r>
        <w:rPr>
          <w:rFonts w:hint="eastAsia" w:ascii="仿宋" w:hAnsi="仿宋" w:eastAsia="仿宋" w:cs="仿宋_GB2312"/>
          <w:color w:val="auto"/>
          <w:sz w:val="32"/>
          <w:szCs w:val="32"/>
          <w:highlight w:val="none"/>
        </w:rPr>
        <w:t>十四、关于预算绩效情况的说明</w:t>
      </w:r>
    </w:p>
    <w:p w14:paraId="56790F81">
      <w:pPr>
        <w:pStyle w:val="12"/>
        <w:spacing w:line="500" w:lineRule="exac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第四部分</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名词解释</w:t>
      </w:r>
    </w:p>
    <w:p w14:paraId="5E582D8A">
      <w:pPr>
        <w:pStyle w:val="12"/>
        <w:spacing w:line="500" w:lineRule="exac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第五部分</w:t>
      </w:r>
      <w:r>
        <w:rPr>
          <w:rFonts w:hint="eastAsia" w:hAnsi="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附件</w:t>
      </w:r>
    </w:p>
    <w:p w14:paraId="565701C4">
      <w:pPr>
        <w:pStyle w:val="12"/>
        <w:spacing w:line="500" w:lineRule="exact"/>
        <w:rPr>
          <w:rFonts w:hint="eastAsia" w:ascii="黑体" w:hAnsi="黑体" w:eastAsia="黑体" w:cs="黑体"/>
          <w:b w:val="0"/>
          <w:bCs/>
          <w:color w:val="auto"/>
          <w:sz w:val="32"/>
          <w:szCs w:val="32"/>
          <w:highlight w:val="none"/>
        </w:rPr>
      </w:pPr>
    </w:p>
    <w:p w14:paraId="67924853">
      <w:pPr>
        <w:jc w:val="center"/>
        <w:rPr>
          <w:color w:val="auto"/>
          <w:sz w:val="72"/>
          <w:szCs w:val="72"/>
          <w:highlight w:val="none"/>
        </w:rPr>
      </w:pPr>
    </w:p>
    <w:p w14:paraId="4E99F47D">
      <w:pPr>
        <w:jc w:val="center"/>
        <w:rPr>
          <w:color w:val="auto"/>
          <w:sz w:val="72"/>
          <w:szCs w:val="72"/>
          <w:highlight w:val="none"/>
        </w:rPr>
      </w:pPr>
    </w:p>
    <w:p w14:paraId="547CA806">
      <w:pPr>
        <w:jc w:val="both"/>
        <w:rPr>
          <w:color w:val="auto"/>
          <w:sz w:val="72"/>
          <w:szCs w:val="72"/>
          <w:highlight w:val="none"/>
        </w:rPr>
      </w:pPr>
    </w:p>
    <w:p w14:paraId="30D95E0C">
      <w:pPr>
        <w:rPr>
          <w:rFonts w:hint="eastAsia" w:ascii="方正小标宋_GBK" w:hAnsi="方正小标宋_GBK" w:eastAsia="方正小标宋_GBK" w:cs="方正小标宋_GBK"/>
          <w:color w:val="auto"/>
          <w:sz w:val="72"/>
          <w:szCs w:val="72"/>
          <w:highlight w:val="none"/>
        </w:rPr>
      </w:pPr>
    </w:p>
    <w:p w14:paraId="7A69E1FA">
      <w:pPr>
        <w:pStyle w:val="12"/>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 xml:space="preserve">第一部分 </w:t>
      </w:r>
    </w:p>
    <w:p w14:paraId="788504E9">
      <w:pPr>
        <w:pStyle w:val="12"/>
        <w:jc w:val="center"/>
        <w:rPr>
          <w:rFonts w:hint="eastAsia" w:ascii="方正小标宋_GBK" w:hAnsi="方正小标宋_GBK" w:eastAsia="方正小标宋_GBK" w:cs="方正小标宋_GBK"/>
          <w:color w:val="auto"/>
          <w:sz w:val="84"/>
          <w:szCs w:val="84"/>
          <w:highlight w:val="none"/>
          <w:lang w:val="en-US" w:eastAsia="zh-CN"/>
        </w:rPr>
      </w:pPr>
      <w:r>
        <w:rPr>
          <w:rFonts w:hint="eastAsia" w:ascii="方正小标宋_GBK" w:hAnsi="方正小标宋_GBK" w:eastAsia="方正小标宋_GBK" w:cs="方正小标宋_GBK"/>
          <w:color w:val="auto"/>
          <w:sz w:val="84"/>
          <w:szCs w:val="84"/>
          <w:highlight w:val="none"/>
          <w:lang w:val="en-US" w:eastAsia="zh-CN"/>
        </w:rPr>
        <w:t>怀化市政府驻广州办事处</w:t>
      </w:r>
    </w:p>
    <w:p w14:paraId="52B0EF81">
      <w:pPr>
        <w:pStyle w:val="12"/>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lang w:eastAsia="zh-CN"/>
        </w:rPr>
        <w:t>部门</w:t>
      </w:r>
      <w:r>
        <w:rPr>
          <w:rFonts w:hint="eastAsia" w:ascii="方正小标宋_GBK" w:hAnsi="方正小标宋_GBK" w:eastAsia="方正小标宋_GBK" w:cs="方正小标宋_GBK"/>
          <w:color w:val="auto"/>
          <w:sz w:val="84"/>
          <w:szCs w:val="84"/>
          <w:highlight w:val="none"/>
        </w:rPr>
        <w:t>概况</w:t>
      </w:r>
    </w:p>
    <w:p w14:paraId="6CE6B976">
      <w:pPr>
        <w:jc w:val="center"/>
        <w:rPr>
          <w:rFonts w:hint="eastAsia" w:ascii="方正小标宋_GBK" w:hAnsi="方正小标宋_GBK" w:eastAsia="方正小标宋_GBK" w:cs="方正小标宋_GBK"/>
          <w:color w:val="auto"/>
          <w:sz w:val="72"/>
          <w:szCs w:val="72"/>
          <w:highlight w:val="none"/>
        </w:rPr>
      </w:pPr>
    </w:p>
    <w:p w14:paraId="68D1315A">
      <w:pPr>
        <w:jc w:val="center"/>
        <w:rPr>
          <w:rFonts w:hint="eastAsia" w:ascii="方正小标宋_GBK" w:hAnsi="方正小标宋_GBK" w:eastAsia="方正小标宋_GBK" w:cs="方正小标宋_GBK"/>
          <w:color w:val="auto"/>
          <w:sz w:val="72"/>
          <w:szCs w:val="72"/>
          <w:highlight w:val="none"/>
        </w:rPr>
      </w:pPr>
    </w:p>
    <w:p w14:paraId="78667657">
      <w:pPr>
        <w:jc w:val="center"/>
        <w:rPr>
          <w:rFonts w:hint="eastAsia" w:ascii="方正小标宋_GBK" w:hAnsi="方正小标宋_GBK" w:eastAsia="方正小标宋_GBK" w:cs="方正小标宋_GBK"/>
          <w:color w:val="auto"/>
          <w:sz w:val="72"/>
          <w:szCs w:val="72"/>
          <w:highlight w:val="none"/>
        </w:rPr>
      </w:pPr>
    </w:p>
    <w:p w14:paraId="3E827CE8">
      <w:pPr>
        <w:jc w:val="center"/>
        <w:rPr>
          <w:rFonts w:hint="eastAsia" w:ascii="方正小标宋_GBK" w:hAnsi="方正小标宋_GBK" w:eastAsia="方正小标宋_GBK" w:cs="方正小标宋_GBK"/>
          <w:color w:val="auto"/>
          <w:sz w:val="72"/>
          <w:szCs w:val="72"/>
          <w:highlight w:val="none"/>
        </w:rPr>
      </w:pPr>
    </w:p>
    <w:p w14:paraId="55728E9F">
      <w:pPr>
        <w:pStyle w:val="13"/>
        <w:numPr>
          <w:ilvl w:val="0"/>
          <w:numId w:val="0"/>
        </w:numPr>
        <w:ind w:leftChars="200"/>
        <w:jc w:val="left"/>
        <w:rPr>
          <w:rFonts w:hint="eastAsia" w:ascii="黑体" w:hAnsi="黑体" w:eastAsia="黑体" w:cs="黑体"/>
          <w:b w:val="0"/>
          <w:bCs w:val="0"/>
          <w:color w:val="auto"/>
          <w:sz w:val="32"/>
          <w:szCs w:val="32"/>
          <w:highlight w:val="none"/>
        </w:rPr>
      </w:pPr>
    </w:p>
    <w:p w14:paraId="34C0EEF3">
      <w:pPr>
        <w:pStyle w:val="13"/>
        <w:numPr>
          <w:ilvl w:val="0"/>
          <w:numId w:val="0"/>
        </w:numPr>
        <w:jc w:val="left"/>
        <w:rPr>
          <w:rFonts w:hint="eastAsia" w:ascii="黑体" w:hAnsi="黑体" w:eastAsia="黑体" w:cs="黑体"/>
          <w:b w:val="0"/>
          <w:bCs w:val="0"/>
          <w:color w:val="auto"/>
          <w:sz w:val="32"/>
          <w:szCs w:val="32"/>
          <w:highlight w:val="none"/>
          <w:lang w:val="en-US" w:eastAsia="zh-CN"/>
        </w:rPr>
      </w:pPr>
    </w:p>
    <w:p w14:paraId="5D38E8EF">
      <w:pPr>
        <w:pStyle w:val="13"/>
        <w:numPr>
          <w:ilvl w:val="0"/>
          <w:numId w:val="0"/>
        </w:numPr>
        <w:ind w:firstLine="640" w:firstLineChars="20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部门职责</w:t>
      </w:r>
    </w:p>
    <w:p w14:paraId="5573E449">
      <w:pPr>
        <w:pStyle w:val="13"/>
        <w:numPr>
          <w:ilvl w:val="0"/>
          <w:numId w:val="0"/>
        </w:numPr>
        <w:ind w:firstLine="640" w:firstLineChars="200"/>
        <w:jc w:val="left"/>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怀化市政府驻广州办事办属一类公益性事业单位（正办级），隶属湖南省怀化市人民政府办公室管理，其职能职责如下：</w:t>
      </w:r>
    </w:p>
    <w:p w14:paraId="3C4E761D">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（一）按照市委、市人民政府的要求，宣传怀化，促进怀化与广州及珠三角地区的经济交流，劳务输出，为怀化引进资金、技术、人才、农产品和先进管理经验。</w:t>
      </w:r>
    </w:p>
    <w:p w14:paraId="4934E060">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（二）围绕市委、市人民政府的中心工作，开发信息资源，建立健全信息网络，强化综合信息办理手段，开展专题信息调研，为市委、市人民政府决策提供信息服务。</w:t>
      </w:r>
    </w:p>
    <w:p w14:paraId="191A73B8">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（三）负责与广州的党、政、军机关、怀籍人士、怀籍企业和各界人士的联络，争取他们对怀化经济建设和社会发展的支持帮助。</w:t>
      </w:r>
    </w:p>
    <w:p w14:paraId="7DF292C4">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（四）负责市领导在广州的接待服务工作；为市直单位和各县、市、区在广州进行公务活动的人员提供方便。</w:t>
      </w:r>
    </w:p>
    <w:p w14:paraId="6186E5DB">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（五）按照市委、市人民政府的要求，对市直单位，各县、市、区大型企业设的各类联络机构进行管理、协调和指导。</w:t>
      </w:r>
    </w:p>
    <w:p w14:paraId="57A3C8F5">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（六）加强与广州有关职能部门的沟通协调，为怀籍务工人员提供服务，协助办理民族事务，协助办理突发事件，协助做好信访工作，调解纠纷，化解矛盾，维护怀籍劳务人员的人身权益。</w:t>
      </w:r>
    </w:p>
    <w:p w14:paraId="177439CA">
      <w:pPr>
        <w:pStyle w:val="6"/>
        <w:shd w:val="clear" w:color="auto" w:fill="FFFFFF"/>
        <w:spacing w:before="0" w:beforeAutospacing="0" w:after="76" w:afterAutospacing="0" w:line="510" w:lineRule="atLeast"/>
        <w:ind w:firstLine="420"/>
        <w:jc w:val="both"/>
        <w:rPr>
          <w:rFonts w:hint="eastAsia" w:ascii="仿宋" w:hAnsi="仿宋" w:eastAsia="仿宋" w:cs="仿宋"/>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（七）承办市委、市人民政府交办的其它事项。</w:t>
      </w:r>
    </w:p>
    <w:p w14:paraId="067B14E1">
      <w:pPr>
        <w:widowControl/>
        <w:numPr>
          <w:ilvl w:val="0"/>
          <w:numId w:val="0"/>
        </w:numPr>
        <w:spacing w:line="600" w:lineRule="exact"/>
        <w:ind w:firstLine="640" w:firstLineChars="20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lang w:val="en-US" w:eastAsia="zh-CN"/>
        </w:rPr>
        <w:t>二、</w:t>
      </w:r>
      <w:r>
        <w:rPr>
          <w:rFonts w:hint="eastAsia" w:ascii="黑体" w:hAnsi="黑体" w:eastAsia="黑体" w:cs="黑体"/>
          <w:b w:val="0"/>
          <w:bCs/>
          <w:color w:val="auto"/>
          <w:kern w:val="0"/>
          <w:sz w:val="32"/>
          <w:szCs w:val="32"/>
          <w:highlight w:val="none"/>
        </w:rPr>
        <w:t>机构设置及决算单位构成</w:t>
      </w:r>
    </w:p>
    <w:p w14:paraId="0DD095F0">
      <w:pPr>
        <w:widowControl/>
        <w:numPr>
          <w:ilvl w:val="0"/>
          <w:numId w:val="0"/>
        </w:numPr>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（一）内设机构设置。怀化市政府驻广州办事办内设职能科室2个，招商引资科、综合科。</w:t>
      </w:r>
    </w:p>
    <w:p w14:paraId="7B05801A">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（二）决算单位构成。怀化市政府驻广州办事办</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年部门决算汇总公开单位构成包括：怀化市政府驻广州办事办本级，为一级预算单位。</w:t>
      </w:r>
    </w:p>
    <w:p w14:paraId="61747A8B">
      <w:pPr>
        <w:jc w:val="left"/>
        <w:rPr>
          <w:rFonts w:ascii="仿宋_GB2312" w:eastAsia="仿宋_GB2312" w:hAnsiTheme="minorEastAsia"/>
          <w:color w:val="auto"/>
          <w:sz w:val="28"/>
          <w:szCs w:val="32"/>
          <w:highlight w:val="none"/>
        </w:rPr>
      </w:pPr>
    </w:p>
    <w:p w14:paraId="471A81A7">
      <w:pPr>
        <w:jc w:val="center"/>
        <w:rPr>
          <w:color w:val="auto"/>
          <w:sz w:val="72"/>
          <w:szCs w:val="72"/>
          <w:highlight w:val="none"/>
        </w:rPr>
      </w:pPr>
    </w:p>
    <w:p w14:paraId="5FEB1919">
      <w:pPr>
        <w:jc w:val="center"/>
        <w:rPr>
          <w:color w:val="auto"/>
          <w:sz w:val="72"/>
          <w:szCs w:val="72"/>
          <w:highlight w:val="none"/>
        </w:rPr>
      </w:pPr>
    </w:p>
    <w:p w14:paraId="03BB37BF">
      <w:pPr>
        <w:jc w:val="center"/>
        <w:rPr>
          <w:color w:val="auto"/>
          <w:sz w:val="72"/>
          <w:szCs w:val="72"/>
          <w:highlight w:val="none"/>
        </w:rPr>
      </w:pPr>
    </w:p>
    <w:p w14:paraId="0BD225A2">
      <w:pPr>
        <w:jc w:val="center"/>
        <w:rPr>
          <w:color w:val="auto"/>
          <w:sz w:val="72"/>
          <w:szCs w:val="72"/>
          <w:highlight w:val="none"/>
        </w:rPr>
      </w:pPr>
    </w:p>
    <w:p w14:paraId="7F551221">
      <w:pPr>
        <w:pStyle w:val="12"/>
        <w:jc w:val="center"/>
        <w:rPr>
          <w:rFonts w:hint="eastAsia" w:ascii="方正小标宋_GBK" w:hAnsi="方正小标宋_GBK" w:eastAsia="方正小标宋_GBK" w:cs="方正小标宋_GBK"/>
          <w:color w:val="auto"/>
          <w:sz w:val="84"/>
          <w:szCs w:val="84"/>
          <w:highlight w:val="none"/>
        </w:rPr>
      </w:pPr>
    </w:p>
    <w:p w14:paraId="1E574719">
      <w:pPr>
        <w:pStyle w:val="12"/>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第二部分</w:t>
      </w:r>
    </w:p>
    <w:p w14:paraId="0E4A04AB">
      <w:pPr>
        <w:pStyle w:val="12"/>
        <w:jc w:val="center"/>
        <w:rPr>
          <w:rFonts w:hint="eastAsia" w:ascii="方正小标宋_GBK" w:hAnsi="方正小标宋_GBK" w:eastAsia="方正小标宋_GBK" w:cs="方正小标宋_GBK"/>
          <w:color w:val="auto"/>
          <w:sz w:val="84"/>
          <w:szCs w:val="84"/>
          <w:highlight w:val="none"/>
        </w:rPr>
      </w:pPr>
    </w:p>
    <w:p w14:paraId="65D47C8E">
      <w:pPr>
        <w:pStyle w:val="12"/>
        <w:jc w:val="center"/>
        <w:rPr>
          <w:rFonts w:hint="default" w:ascii="方正小标宋_GBK" w:hAnsi="方正小标宋_GBK" w:eastAsia="方正小标宋_GBK" w:cs="方正小标宋_GBK"/>
          <w:color w:val="auto"/>
          <w:sz w:val="84"/>
          <w:szCs w:val="84"/>
          <w:highlight w:val="none"/>
          <w:lang w:val="en-US" w:eastAsia="zh-CN"/>
        </w:rPr>
      </w:pPr>
      <w:r>
        <w:rPr>
          <w:rFonts w:hint="eastAsia" w:ascii="方正小标宋_GBK" w:hAnsi="方正小标宋_GBK" w:eastAsia="方正小标宋_GBK" w:cs="方正小标宋_GBK"/>
          <w:color w:val="auto"/>
          <w:sz w:val="84"/>
          <w:szCs w:val="84"/>
          <w:highlight w:val="none"/>
        </w:rPr>
        <w:t>部门决算表</w:t>
      </w:r>
      <w:r>
        <w:rPr>
          <w:rFonts w:hint="eastAsia" w:ascii="方正小标宋_GBK" w:hAnsi="方正小标宋_GBK" w:eastAsia="方正小标宋_GBK" w:cs="方正小标宋_GBK"/>
          <w:color w:val="auto"/>
          <w:sz w:val="84"/>
          <w:szCs w:val="84"/>
          <w:highlight w:val="none"/>
          <w:lang w:eastAsia="zh-CN"/>
        </w:rPr>
        <w:t>（</w:t>
      </w:r>
      <w:r>
        <w:rPr>
          <w:rFonts w:hint="eastAsia" w:ascii="方正小标宋_GBK" w:hAnsi="方正小标宋_GBK" w:eastAsia="方正小标宋_GBK" w:cs="方正小标宋_GBK"/>
          <w:color w:val="auto"/>
          <w:sz w:val="84"/>
          <w:szCs w:val="84"/>
          <w:highlight w:val="none"/>
          <w:lang w:val="en-US" w:eastAsia="zh-CN"/>
        </w:rPr>
        <w:t>见附件）</w:t>
      </w:r>
    </w:p>
    <w:p w14:paraId="718439FB">
      <w:pPr>
        <w:jc w:val="center"/>
        <w:rPr>
          <w:color w:val="auto"/>
          <w:sz w:val="72"/>
          <w:szCs w:val="72"/>
          <w:highlight w:val="none"/>
        </w:rPr>
      </w:pPr>
    </w:p>
    <w:p w14:paraId="1ACBB540">
      <w:pPr>
        <w:jc w:val="center"/>
        <w:rPr>
          <w:color w:val="auto"/>
          <w:sz w:val="72"/>
          <w:szCs w:val="72"/>
          <w:highlight w:val="none"/>
        </w:rPr>
      </w:pPr>
    </w:p>
    <w:p w14:paraId="3486B461">
      <w:pPr>
        <w:jc w:val="center"/>
        <w:rPr>
          <w:color w:val="auto"/>
          <w:sz w:val="72"/>
          <w:szCs w:val="72"/>
          <w:highlight w:val="none"/>
        </w:rPr>
      </w:pPr>
    </w:p>
    <w:p w14:paraId="1A2A97CD">
      <w:pPr>
        <w:jc w:val="center"/>
        <w:rPr>
          <w:color w:val="auto"/>
          <w:sz w:val="72"/>
          <w:szCs w:val="72"/>
          <w:highlight w:val="none"/>
        </w:rPr>
      </w:pPr>
    </w:p>
    <w:p w14:paraId="15A096E7">
      <w:pPr>
        <w:jc w:val="center"/>
        <w:rPr>
          <w:color w:val="auto"/>
          <w:sz w:val="72"/>
          <w:szCs w:val="72"/>
          <w:highlight w:val="none"/>
        </w:rPr>
      </w:pPr>
    </w:p>
    <w:p w14:paraId="5134712C">
      <w:pPr>
        <w:jc w:val="left"/>
        <w:rPr>
          <w:rFonts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p w14:paraId="4D39DD67">
      <w:pPr>
        <w:pStyle w:val="12"/>
        <w:rPr>
          <w:color w:val="auto"/>
          <w:sz w:val="72"/>
          <w:szCs w:val="72"/>
          <w:highlight w:val="none"/>
        </w:rPr>
      </w:pPr>
    </w:p>
    <w:p w14:paraId="7D563EDE">
      <w:pPr>
        <w:pStyle w:val="12"/>
        <w:rPr>
          <w:color w:val="auto"/>
          <w:sz w:val="72"/>
          <w:szCs w:val="72"/>
          <w:highlight w:val="none"/>
        </w:rPr>
      </w:pPr>
    </w:p>
    <w:p w14:paraId="73648488">
      <w:pPr>
        <w:pStyle w:val="12"/>
        <w:rPr>
          <w:color w:val="auto"/>
          <w:sz w:val="72"/>
          <w:szCs w:val="72"/>
          <w:highlight w:val="none"/>
        </w:rPr>
      </w:pPr>
    </w:p>
    <w:p w14:paraId="6A6EDC7C">
      <w:pPr>
        <w:pStyle w:val="12"/>
        <w:rPr>
          <w:color w:val="auto"/>
          <w:sz w:val="72"/>
          <w:szCs w:val="72"/>
          <w:highlight w:val="none"/>
        </w:rPr>
      </w:pPr>
    </w:p>
    <w:p w14:paraId="55C085B4">
      <w:pPr>
        <w:pStyle w:val="12"/>
        <w:jc w:val="center"/>
        <w:rPr>
          <w:rFonts w:hint="eastAsia" w:ascii="方正小标宋_GBK" w:hAnsi="方正小标宋_GBK" w:eastAsia="方正小标宋_GBK" w:cs="方正小标宋_GBK"/>
          <w:color w:val="auto"/>
          <w:sz w:val="72"/>
          <w:szCs w:val="72"/>
          <w:highlight w:val="none"/>
        </w:rPr>
      </w:pPr>
    </w:p>
    <w:p w14:paraId="2AF05ABA">
      <w:pPr>
        <w:pStyle w:val="12"/>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第三部分</w:t>
      </w:r>
    </w:p>
    <w:p w14:paraId="7645AD7B">
      <w:pPr>
        <w:pStyle w:val="12"/>
        <w:jc w:val="center"/>
        <w:rPr>
          <w:rFonts w:hint="eastAsia" w:ascii="方正小标宋_GBK" w:hAnsi="方正小标宋_GBK" w:eastAsia="方正小标宋_GBK" w:cs="方正小标宋_GBK"/>
          <w:color w:val="auto"/>
          <w:sz w:val="70"/>
          <w:szCs w:val="70"/>
          <w:highlight w:val="none"/>
        </w:rPr>
      </w:pPr>
    </w:p>
    <w:p w14:paraId="0A712EC0">
      <w:pPr>
        <w:pStyle w:val="12"/>
        <w:jc w:val="center"/>
        <w:rPr>
          <w:rFonts w:hint="eastAsia" w:ascii="方正小标宋_GBK" w:hAnsi="方正小标宋_GBK" w:eastAsia="方正小标宋_GBK" w:cs="方正小标宋_GBK"/>
          <w:color w:val="auto"/>
          <w:sz w:val="70"/>
          <w:szCs w:val="70"/>
          <w:highlight w:val="none"/>
        </w:rPr>
      </w:pPr>
      <w:r>
        <w:rPr>
          <w:rFonts w:hint="eastAsia" w:ascii="方正小标宋_GBK" w:hAnsi="方正小标宋_GBK" w:eastAsia="方正小标宋_GBK" w:cs="方正小标宋_GBK"/>
          <w:color w:val="auto"/>
          <w:sz w:val="70"/>
          <w:szCs w:val="70"/>
          <w:highlight w:val="none"/>
        </w:rPr>
        <w:t>202</w:t>
      </w:r>
      <w:r>
        <w:rPr>
          <w:rFonts w:hint="eastAsia" w:ascii="方正小标宋_GBK" w:hAnsi="方正小标宋_GBK" w:eastAsia="方正小标宋_GBK" w:cs="方正小标宋_GBK"/>
          <w:color w:val="auto"/>
          <w:sz w:val="70"/>
          <w:szCs w:val="70"/>
          <w:highlight w:val="none"/>
          <w:lang w:val="en-US" w:eastAsia="zh-CN"/>
        </w:rPr>
        <w:t>2</w:t>
      </w:r>
      <w:r>
        <w:rPr>
          <w:rFonts w:hint="eastAsia" w:ascii="方正小标宋_GBK" w:hAnsi="方正小标宋_GBK" w:eastAsia="方正小标宋_GBK" w:cs="方正小标宋_GBK"/>
          <w:color w:val="auto"/>
          <w:sz w:val="70"/>
          <w:szCs w:val="70"/>
          <w:highlight w:val="none"/>
        </w:rPr>
        <w:t>年度部门决算情况说明</w:t>
      </w:r>
    </w:p>
    <w:p w14:paraId="3A8237C4">
      <w:pPr>
        <w:widowControl/>
        <w:jc w:val="left"/>
        <w:rPr>
          <w:rFonts w:asciiTheme="minorEastAsia" w:hAnsiTheme="minorEastAsia" w:eastAsiaTheme="minorEastAsia"/>
          <w:color w:val="auto"/>
          <w:sz w:val="32"/>
          <w:szCs w:val="32"/>
          <w:highlight w:val="none"/>
        </w:rPr>
      </w:pPr>
      <w:r>
        <w:rPr>
          <w:rFonts w:hint="eastAsia" w:ascii="方正小标宋_GBK" w:hAnsi="方正小标宋_GBK" w:eastAsia="方正小标宋_GBK" w:cs="方正小标宋_GBK"/>
          <w:color w:val="auto"/>
          <w:sz w:val="70"/>
          <w:szCs w:val="70"/>
          <w:highlight w:val="none"/>
        </w:rPr>
        <w:br w:type="page"/>
      </w:r>
    </w:p>
    <w:p w14:paraId="5768A79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一、收入支出决算总体情况说明</w:t>
      </w:r>
    </w:p>
    <w:p w14:paraId="712FC47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年度收、支总计均为</w:t>
      </w:r>
      <w:r>
        <w:rPr>
          <w:rFonts w:hint="eastAsia" w:ascii="仿宋_GB2312" w:hAnsi="仿宋_GB2312" w:eastAsia="仿宋_GB2312" w:cs="仿宋_GB2312"/>
          <w:color w:val="auto"/>
          <w:sz w:val="32"/>
          <w:szCs w:val="32"/>
          <w:highlight w:val="none"/>
          <w:lang w:val="en-US" w:eastAsia="zh-CN"/>
        </w:rPr>
        <w:t>325.07</w:t>
      </w:r>
      <w:r>
        <w:rPr>
          <w:rFonts w:hint="eastAsia" w:ascii="仿宋_GB2312" w:hAnsi="仿宋_GB2312" w:eastAsia="仿宋_GB2312" w:cs="仿宋_GB2312"/>
          <w:color w:val="auto"/>
          <w:sz w:val="32"/>
          <w:szCs w:val="32"/>
          <w:highlight w:val="none"/>
        </w:rPr>
        <w:t>万元。与上年相比，增加</w:t>
      </w:r>
      <w:r>
        <w:rPr>
          <w:rFonts w:hint="eastAsia" w:ascii="仿宋_GB2312" w:hAnsi="仿宋_GB2312" w:eastAsia="仿宋_GB2312" w:cs="仿宋_GB2312"/>
          <w:color w:val="auto"/>
          <w:sz w:val="32"/>
          <w:szCs w:val="32"/>
          <w:highlight w:val="none"/>
          <w:lang w:val="en-US" w:eastAsia="zh-CN"/>
        </w:rPr>
        <w:t>12.85</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4.12</w:t>
      </w:r>
      <w:r>
        <w:rPr>
          <w:rFonts w:hint="eastAsia" w:ascii="仿宋_GB2312" w:hAnsi="仿宋_GB2312" w:eastAsia="仿宋_GB2312" w:cs="仿宋_GB2312"/>
          <w:color w:val="auto"/>
          <w:sz w:val="32"/>
          <w:szCs w:val="32"/>
          <w:highlight w:val="none"/>
        </w:rPr>
        <w:t>%，主要是因为</w:t>
      </w:r>
      <w:r>
        <w:rPr>
          <w:rFonts w:hint="eastAsia" w:ascii="仿宋_GB2312" w:hAnsi="仿宋_GB2312" w:eastAsia="仿宋_GB2312" w:cs="仿宋_GB2312"/>
          <w:color w:val="auto"/>
          <w:sz w:val="32"/>
          <w:szCs w:val="32"/>
          <w:highlight w:val="none"/>
          <w:lang w:val="en-US" w:eastAsia="zh-CN"/>
        </w:rPr>
        <w:t>其他收入增加。</w:t>
      </w:r>
    </w:p>
    <w:p w14:paraId="3BA8971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二、收入决算情况说明</w:t>
      </w:r>
    </w:p>
    <w:p w14:paraId="657E506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年度收入合计</w:t>
      </w:r>
      <w:r>
        <w:rPr>
          <w:rFonts w:hint="eastAsia" w:ascii="仿宋_GB2312" w:hAnsi="仿宋_GB2312" w:eastAsia="仿宋_GB2312" w:cs="仿宋_GB2312"/>
          <w:color w:val="auto"/>
          <w:sz w:val="32"/>
          <w:szCs w:val="32"/>
          <w:highlight w:val="none"/>
          <w:lang w:val="en-US" w:eastAsia="zh-CN"/>
        </w:rPr>
        <w:t>304.25</w:t>
      </w:r>
      <w:r>
        <w:rPr>
          <w:rFonts w:hint="eastAsia" w:ascii="仿宋_GB2312" w:hAnsi="仿宋_GB2312" w:eastAsia="仿宋_GB2312" w:cs="仿宋_GB2312"/>
          <w:color w:val="auto"/>
          <w:sz w:val="32"/>
          <w:szCs w:val="32"/>
          <w:highlight w:val="none"/>
        </w:rPr>
        <w:t>万元，其中：财政拨款收入254.23万元，占</w:t>
      </w:r>
      <w:r>
        <w:rPr>
          <w:rFonts w:hint="eastAsia" w:ascii="仿宋_GB2312" w:hAnsi="仿宋_GB2312" w:eastAsia="仿宋_GB2312" w:cs="仿宋_GB2312"/>
          <w:color w:val="auto"/>
          <w:sz w:val="32"/>
          <w:szCs w:val="32"/>
          <w:highlight w:val="none"/>
          <w:lang w:val="en-US" w:eastAsia="zh-CN"/>
        </w:rPr>
        <w:t>83.56</w:t>
      </w:r>
      <w:r>
        <w:rPr>
          <w:rFonts w:hint="eastAsia" w:ascii="仿宋_GB2312" w:hAnsi="仿宋_GB2312" w:eastAsia="仿宋_GB2312" w:cs="仿宋_GB2312"/>
          <w:color w:val="auto"/>
          <w:sz w:val="32"/>
          <w:szCs w:val="32"/>
          <w:highlight w:val="none"/>
        </w:rPr>
        <w:t>%；其他收入50.02万元，占</w:t>
      </w:r>
      <w:r>
        <w:rPr>
          <w:rFonts w:hint="eastAsia" w:ascii="仿宋_GB2312" w:hAnsi="仿宋_GB2312" w:eastAsia="仿宋_GB2312" w:cs="仿宋_GB2312"/>
          <w:color w:val="auto"/>
          <w:sz w:val="32"/>
          <w:szCs w:val="32"/>
          <w:highlight w:val="none"/>
          <w:lang w:val="en-US" w:eastAsia="zh-CN"/>
        </w:rPr>
        <w:t>16.44</w:t>
      </w:r>
      <w:r>
        <w:rPr>
          <w:rFonts w:hint="eastAsia" w:ascii="仿宋_GB2312" w:hAnsi="仿宋_GB2312" w:eastAsia="仿宋_GB2312" w:cs="仿宋_GB2312"/>
          <w:color w:val="auto"/>
          <w:sz w:val="32"/>
          <w:szCs w:val="32"/>
          <w:highlight w:val="none"/>
        </w:rPr>
        <w:t>%。</w:t>
      </w:r>
    </w:p>
    <w:p w14:paraId="1AED165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三、支出决算情况说明</w:t>
      </w:r>
    </w:p>
    <w:p w14:paraId="0255AE3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年度支出合计</w:t>
      </w:r>
      <w:r>
        <w:rPr>
          <w:rFonts w:hint="eastAsia" w:ascii="仿宋_GB2312" w:hAnsi="仿宋_GB2312" w:eastAsia="仿宋_GB2312" w:cs="仿宋_GB2312"/>
          <w:color w:val="auto"/>
          <w:sz w:val="32"/>
          <w:szCs w:val="32"/>
          <w:highlight w:val="none"/>
          <w:lang w:val="en-US" w:eastAsia="zh-CN"/>
        </w:rPr>
        <w:t>304.25</w:t>
      </w:r>
      <w:r>
        <w:rPr>
          <w:rFonts w:hint="eastAsia" w:ascii="仿宋_GB2312" w:hAnsi="仿宋_GB2312" w:eastAsia="仿宋_GB2312" w:cs="仿宋_GB2312"/>
          <w:color w:val="auto"/>
          <w:sz w:val="32"/>
          <w:szCs w:val="32"/>
          <w:highlight w:val="none"/>
        </w:rPr>
        <w:t>万元，其中：基本支出（包括业务支出和商品服务支出)</w:t>
      </w:r>
      <w:r>
        <w:rPr>
          <w:rFonts w:hint="eastAsia" w:ascii="仿宋_GB2312" w:hAnsi="仿宋_GB2312" w:eastAsia="仿宋_GB2312" w:cs="仿宋_GB2312"/>
          <w:color w:val="auto"/>
          <w:sz w:val="32"/>
          <w:szCs w:val="32"/>
          <w:highlight w:val="none"/>
          <w:lang w:val="en-US" w:eastAsia="zh-CN"/>
        </w:rPr>
        <w:t>304.25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14:paraId="2F99C446">
      <w:pPr>
        <w:pStyle w:val="12"/>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四、财政拨款收入支出决算总体情况说明</w:t>
      </w:r>
    </w:p>
    <w:p w14:paraId="794EE5E6">
      <w:pPr>
        <w:pStyle w:val="12"/>
        <w:spacing w:line="600" w:lineRule="exact"/>
        <w:ind w:firstLine="640" w:firstLineChars="200"/>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年度收、支总计均为</w:t>
      </w:r>
      <w:r>
        <w:rPr>
          <w:rFonts w:hint="eastAsia" w:ascii="仿宋_GB2312" w:hAnsi="仿宋_GB2312" w:eastAsia="仿宋_GB2312" w:cs="仿宋_GB2312"/>
          <w:color w:val="auto"/>
          <w:sz w:val="32"/>
          <w:szCs w:val="32"/>
          <w:highlight w:val="none"/>
          <w:lang w:val="en-US" w:eastAsia="zh-CN"/>
        </w:rPr>
        <w:t>275.05</w:t>
      </w:r>
      <w:r>
        <w:rPr>
          <w:rFonts w:hint="eastAsia" w:ascii="仿宋_GB2312" w:hAnsi="仿宋_GB2312" w:eastAsia="仿宋_GB2312" w:cs="仿宋_GB2312"/>
          <w:color w:val="auto"/>
          <w:sz w:val="32"/>
          <w:szCs w:val="32"/>
          <w:highlight w:val="none"/>
        </w:rPr>
        <w:t>万元，</w:t>
      </w:r>
      <w:r>
        <w:rPr>
          <w:rFonts w:hint="eastAsia" w:ascii="仿宋" w:hAnsi="仿宋" w:eastAsia="仿宋"/>
          <w:color w:val="auto"/>
          <w:sz w:val="32"/>
          <w:szCs w:val="32"/>
          <w:highlight w:val="none"/>
        </w:rPr>
        <w:t>与上年相比，减少</w:t>
      </w:r>
      <w:r>
        <w:rPr>
          <w:rFonts w:hint="eastAsia" w:ascii="仿宋" w:hAnsi="仿宋" w:eastAsia="仿宋"/>
          <w:color w:val="auto"/>
          <w:sz w:val="32"/>
          <w:szCs w:val="32"/>
          <w:highlight w:val="none"/>
          <w:lang w:val="en-US" w:eastAsia="zh-CN"/>
        </w:rPr>
        <w:t>1.91</w:t>
      </w:r>
      <w:r>
        <w:rPr>
          <w:rFonts w:hint="eastAsia" w:ascii="仿宋" w:hAnsi="仿宋" w:eastAsia="仿宋"/>
          <w:color w:val="auto"/>
          <w:sz w:val="32"/>
          <w:szCs w:val="32"/>
          <w:highlight w:val="none"/>
        </w:rPr>
        <w:t>万元,减少</w:t>
      </w:r>
      <w:r>
        <w:rPr>
          <w:rFonts w:hint="eastAsia" w:ascii="仿宋" w:hAnsi="仿宋" w:eastAsia="仿宋"/>
          <w:color w:val="auto"/>
          <w:sz w:val="32"/>
          <w:szCs w:val="32"/>
          <w:highlight w:val="none"/>
          <w:lang w:val="en-US" w:eastAsia="zh-CN"/>
        </w:rPr>
        <w:t>0.69</w:t>
      </w:r>
      <w:r>
        <w:rPr>
          <w:rFonts w:hint="eastAsia" w:ascii="仿宋" w:hAnsi="仿宋" w:eastAsia="仿宋"/>
          <w:color w:val="auto"/>
          <w:sz w:val="32"/>
          <w:szCs w:val="32"/>
          <w:highlight w:val="none"/>
        </w:rPr>
        <w:t>%，主要是因为</w:t>
      </w:r>
      <w:r>
        <w:rPr>
          <w:rFonts w:hint="eastAsia" w:ascii="仿宋" w:hAnsi="仿宋" w:eastAsia="仿宋" w:cs="仿宋"/>
          <w:color w:val="auto"/>
          <w:sz w:val="32"/>
          <w:szCs w:val="32"/>
          <w:highlight w:val="none"/>
          <w:lang w:eastAsia="zh-CN"/>
        </w:rPr>
        <w:t>与之相比</w:t>
      </w:r>
      <w:r>
        <w:rPr>
          <w:rFonts w:hint="eastAsia" w:ascii="仿宋" w:hAnsi="仿宋" w:eastAsia="仿宋" w:cs="仿宋"/>
          <w:color w:val="auto"/>
          <w:sz w:val="32"/>
          <w:szCs w:val="32"/>
          <w:highlight w:val="none"/>
          <w:lang w:val="en-US" w:eastAsia="zh-CN"/>
        </w:rPr>
        <w:t>2022年</w:t>
      </w:r>
      <w:r>
        <w:rPr>
          <w:rFonts w:hint="eastAsia" w:ascii="仿宋" w:hAnsi="仿宋" w:eastAsia="仿宋" w:cs="仿宋"/>
          <w:color w:val="auto"/>
          <w:sz w:val="32"/>
          <w:szCs w:val="32"/>
          <w:highlight w:val="none"/>
        </w:rPr>
        <w:t>财政拨款</w:t>
      </w:r>
      <w:r>
        <w:rPr>
          <w:rFonts w:hint="eastAsia" w:ascii="仿宋" w:hAnsi="仿宋" w:eastAsia="仿宋"/>
          <w:color w:val="auto"/>
          <w:sz w:val="32"/>
          <w:szCs w:val="32"/>
          <w:highlight w:val="none"/>
        </w:rPr>
        <w:t>收、支</w:t>
      </w:r>
      <w:r>
        <w:rPr>
          <w:rFonts w:hint="eastAsia" w:ascii="仿宋" w:hAnsi="仿宋" w:eastAsia="仿宋" w:cs="仿宋"/>
          <w:color w:val="auto"/>
          <w:sz w:val="32"/>
          <w:szCs w:val="32"/>
          <w:highlight w:val="none"/>
          <w:lang w:eastAsia="zh-CN"/>
        </w:rPr>
        <w:t>减少</w:t>
      </w:r>
      <w:r>
        <w:rPr>
          <w:rFonts w:hint="eastAsia" w:ascii="仿宋" w:hAnsi="仿宋" w:eastAsia="仿宋"/>
          <w:color w:val="auto"/>
          <w:sz w:val="32"/>
          <w:szCs w:val="32"/>
          <w:highlight w:val="none"/>
        </w:rPr>
        <w:t>。</w:t>
      </w:r>
    </w:p>
    <w:p w14:paraId="6E6865B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五、一般公共预算财政拨款支出决算情况说明</w:t>
      </w:r>
    </w:p>
    <w:p w14:paraId="606BCF8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（一）财政拨款支出决算总体情况</w:t>
      </w:r>
    </w:p>
    <w:p w14:paraId="1AC8068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年度财政拨款支出275.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5万元，占本年支出合计的</w:t>
      </w:r>
      <w:r>
        <w:rPr>
          <w:rFonts w:hint="eastAsia" w:ascii="仿宋_GB2312" w:hAnsi="仿宋_GB2312" w:eastAsia="仿宋_GB2312" w:cs="仿宋_GB2312"/>
          <w:color w:val="auto"/>
          <w:sz w:val="32"/>
          <w:szCs w:val="32"/>
          <w:highlight w:val="none"/>
          <w:lang w:val="en-US" w:eastAsia="zh-CN"/>
        </w:rPr>
        <w:t>90.40</w:t>
      </w:r>
      <w:r>
        <w:rPr>
          <w:rFonts w:hint="eastAsia" w:ascii="仿宋_GB2312" w:hAnsi="仿宋_GB2312" w:eastAsia="仿宋_GB2312" w:cs="仿宋_GB2312"/>
          <w:color w:val="auto"/>
          <w:sz w:val="32"/>
          <w:szCs w:val="32"/>
          <w:highlight w:val="none"/>
        </w:rPr>
        <w:t>%，与上年相比，财政拨款支出增加</w:t>
      </w:r>
      <w:r>
        <w:rPr>
          <w:rFonts w:hint="eastAsia" w:ascii="仿宋_GB2312" w:hAnsi="仿宋_GB2312" w:eastAsia="仿宋_GB2312" w:cs="仿宋_GB2312"/>
          <w:color w:val="auto"/>
          <w:sz w:val="32"/>
          <w:szCs w:val="32"/>
          <w:highlight w:val="none"/>
          <w:lang w:val="en-US" w:eastAsia="zh-CN"/>
        </w:rPr>
        <w:t>18.91</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7.38</w:t>
      </w:r>
      <w:r>
        <w:rPr>
          <w:rFonts w:hint="eastAsia" w:ascii="仿宋_GB2312" w:hAnsi="仿宋_GB2312" w:eastAsia="仿宋_GB2312" w:cs="仿宋_GB2312"/>
          <w:color w:val="auto"/>
          <w:sz w:val="32"/>
          <w:szCs w:val="32"/>
          <w:highlight w:val="none"/>
        </w:rPr>
        <w:t>%，主要是因为</w:t>
      </w:r>
      <w:r>
        <w:rPr>
          <w:rFonts w:hint="eastAsia" w:ascii="仿宋_GB2312" w:hAnsi="仿宋_GB2312" w:eastAsia="仿宋_GB2312" w:cs="仿宋_GB2312"/>
          <w:color w:val="auto"/>
          <w:sz w:val="32"/>
          <w:szCs w:val="32"/>
          <w:highlight w:val="none"/>
          <w:lang w:val="en-US" w:eastAsia="zh-CN"/>
        </w:rPr>
        <w:t>是基本支出增加。</w:t>
      </w:r>
    </w:p>
    <w:p w14:paraId="2EC2982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（二）财政拨款支出决算结构情况</w:t>
      </w:r>
    </w:p>
    <w:p w14:paraId="529BFA6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年度财政拨款支出275.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5万元，主要用于以下方面：一般公共服务（类）支出</w:t>
      </w:r>
      <w:r>
        <w:rPr>
          <w:rFonts w:hint="eastAsia" w:ascii="仿宋_GB2312" w:hAnsi="仿宋_GB2312" w:eastAsia="仿宋_GB2312" w:cs="仿宋_GB2312"/>
          <w:color w:val="auto"/>
          <w:sz w:val="32"/>
          <w:szCs w:val="32"/>
          <w:highlight w:val="none"/>
          <w:lang w:eastAsia="zh-CN"/>
        </w:rPr>
        <w:t>270.</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14:paraId="6042BF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（三）财政拨款支出决算具体情况</w:t>
      </w:r>
    </w:p>
    <w:p w14:paraId="5760496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年度财政拨款支出年初预算数为</w:t>
      </w:r>
      <w:r>
        <w:rPr>
          <w:rFonts w:hint="eastAsia" w:ascii="仿宋_GB2312" w:hAnsi="仿宋_GB2312" w:eastAsia="仿宋_GB2312" w:cs="仿宋_GB2312"/>
          <w:color w:val="auto"/>
          <w:sz w:val="32"/>
          <w:szCs w:val="32"/>
          <w:highlight w:val="none"/>
          <w:lang w:val="en-US" w:eastAsia="zh-CN"/>
        </w:rPr>
        <w:t>186.54</w:t>
      </w:r>
      <w:r>
        <w:rPr>
          <w:rFonts w:hint="eastAsia" w:ascii="仿宋_GB2312" w:hAnsi="仿宋_GB2312" w:eastAsia="仿宋_GB2312" w:cs="仿宋_GB2312"/>
          <w:color w:val="auto"/>
          <w:sz w:val="32"/>
          <w:szCs w:val="32"/>
          <w:highlight w:val="none"/>
        </w:rPr>
        <w:t>万元，支出决算数为</w:t>
      </w:r>
      <w:r>
        <w:rPr>
          <w:rFonts w:hint="eastAsia" w:ascii="仿宋_GB2312" w:hAnsi="仿宋_GB2312" w:eastAsia="仿宋_GB2312" w:cs="仿宋_GB2312"/>
          <w:color w:val="auto"/>
          <w:sz w:val="32"/>
          <w:szCs w:val="32"/>
          <w:highlight w:val="none"/>
          <w:lang w:val="en-US" w:eastAsia="zh-CN"/>
        </w:rPr>
        <w:t>275.05</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147.45</w:t>
      </w:r>
      <w:r>
        <w:rPr>
          <w:rFonts w:hint="eastAsia" w:ascii="仿宋_GB2312" w:hAnsi="仿宋_GB2312" w:eastAsia="仿宋_GB2312" w:cs="仿宋_GB2312"/>
          <w:color w:val="auto"/>
          <w:sz w:val="32"/>
          <w:szCs w:val="32"/>
          <w:highlight w:val="none"/>
        </w:rPr>
        <w:t>%，其中：</w:t>
      </w:r>
    </w:p>
    <w:p w14:paraId="62DB9DF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1、一般公共服务（类）政府办公厅（室）及相关机构事务（款）  行政运行（项）。</w:t>
      </w:r>
    </w:p>
    <w:p w14:paraId="755A8C5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年初预算</w:t>
      </w:r>
      <w:r>
        <w:rPr>
          <w:rFonts w:hint="eastAsia" w:ascii="仿宋_GB2312" w:hAnsi="仿宋_GB2312" w:eastAsia="仿宋_GB2312" w:cs="仿宋_GB2312"/>
          <w:color w:val="auto"/>
          <w:sz w:val="32"/>
          <w:szCs w:val="32"/>
          <w:highlight w:val="none"/>
          <w:lang w:val="en-US" w:eastAsia="zh-CN"/>
        </w:rPr>
        <w:t>数</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186.54</w:t>
      </w:r>
      <w:r>
        <w:rPr>
          <w:rFonts w:hint="eastAsia" w:ascii="仿宋_GB2312" w:hAnsi="仿宋_GB2312" w:eastAsia="仿宋_GB2312" w:cs="仿宋_GB2312"/>
          <w:color w:val="auto"/>
          <w:sz w:val="32"/>
          <w:szCs w:val="32"/>
          <w:highlight w:val="none"/>
        </w:rPr>
        <w:t>万元，支出决算</w:t>
      </w:r>
      <w:r>
        <w:rPr>
          <w:rFonts w:hint="eastAsia" w:ascii="仿宋_GB2312" w:hAnsi="仿宋_GB2312" w:eastAsia="仿宋_GB2312" w:cs="仿宋_GB2312"/>
          <w:color w:val="auto"/>
          <w:sz w:val="32"/>
          <w:szCs w:val="32"/>
          <w:highlight w:val="none"/>
          <w:lang w:val="en-US" w:eastAsia="zh-CN"/>
        </w:rPr>
        <w:t>数</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244.22</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%，决算数大于年初预算数的主要原因是：</w:t>
      </w:r>
      <w:r>
        <w:rPr>
          <w:rFonts w:hint="eastAsia" w:ascii="仿宋_GB2312" w:hAnsi="仿宋_GB2312" w:eastAsia="仿宋_GB2312" w:cs="仿宋_GB2312"/>
          <w:color w:val="auto"/>
          <w:sz w:val="32"/>
          <w:szCs w:val="32"/>
          <w:highlight w:val="none"/>
          <w:lang w:val="en-US" w:eastAsia="zh-CN"/>
        </w:rPr>
        <w:t>基本支出增加。</w:t>
      </w:r>
    </w:p>
    <w:p w14:paraId="5BDB59FF">
      <w:pPr>
        <w:pStyle w:val="12"/>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一般公共服务（类）其他一般公共服务支出（款）其他一般公共服务支出（项）</w:t>
      </w:r>
    </w:p>
    <w:p w14:paraId="72D4BFC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年初预算</w:t>
      </w:r>
      <w:r>
        <w:rPr>
          <w:rFonts w:hint="eastAsia" w:ascii="仿宋_GB2312" w:hAnsi="仿宋_GB2312" w:eastAsia="仿宋_GB2312" w:cs="仿宋_GB2312"/>
          <w:color w:val="auto"/>
          <w:sz w:val="32"/>
          <w:szCs w:val="32"/>
          <w:highlight w:val="none"/>
          <w:lang w:val="en-US" w:eastAsia="zh-CN"/>
        </w:rPr>
        <w:t>数</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万元，支出决算</w:t>
      </w:r>
      <w:r>
        <w:rPr>
          <w:rFonts w:hint="eastAsia" w:ascii="仿宋_GB2312" w:hAnsi="仿宋_GB2312" w:eastAsia="仿宋_GB2312" w:cs="仿宋_GB2312"/>
          <w:color w:val="auto"/>
          <w:sz w:val="32"/>
          <w:szCs w:val="32"/>
          <w:highlight w:val="none"/>
          <w:lang w:val="en-US" w:eastAsia="zh-CN"/>
        </w:rPr>
        <w:t>数</w:t>
      </w:r>
      <w:r>
        <w:rPr>
          <w:rFonts w:hint="eastAsia" w:ascii="仿宋_GB2312" w:hAnsi="仿宋_GB2312" w:eastAsia="仿宋_GB2312" w:cs="仿宋_GB2312"/>
          <w:color w:val="auto"/>
          <w:sz w:val="32"/>
          <w:szCs w:val="32"/>
          <w:highlight w:val="none"/>
        </w:rPr>
        <w:t>为30.83万元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决算数大于年初预算数的主要原因是：</w:t>
      </w:r>
      <w:r>
        <w:rPr>
          <w:rFonts w:hint="eastAsia" w:ascii="仿宋_GB2312" w:hAnsi="仿宋_GB2312" w:eastAsia="仿宋_GB2312" w:cs="仿宋_GB2312"/>
          <w:color w:val="auto"/>
          <w:sz w:val="32"/>
          <w:szCs w:val="32"/>
          <w:highlight w:val="none"/>
          <w:lang w:val="en-US" w:eastAsia="zh-CN"/>
        </w:rPr>
        <w:t>预算调整。</w:t>
      </w:r>
    </w:p>
    <w:p w14:paraId="5E40A58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六、一般公共预算财政拨款基本支出决算情况说明</w:t>
      </w:r>
    </w:p>
    <w:p w14:paraId="3A3321E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年度财政拨款基本支出</w:t>
      </w:r>
      <w:r>
        <w:rPr>
          <w:rFonts w:hint="eastAsia" w:ascii="仿宋_GB2312" w:hAnsi="仿宋_GB2312" w:eastAsia="仿宋_GB2312" w:cs="仿宋_GB2312"/>
          <w:b w:val="0"/>
          <w:bCs w:val="0"/>
          <w:color w:val="auto"/>
          <w:sz w:val="32"/>
          <w:szCs w:val="32"/>
          <w:highlight w:val="none"/>
          <w:lang w:val="en-US" w:eastAsia="zh-CN"/>
        </w:rPr>
        <w:t>275.04</w:t>
      </w:r>
      <w:r>
        <w:rPr>
          <w:rFonts w:hint="eastAsia" w:ascii="仿宋_GB2312" w:hAnsi="仿宋_GB2312" w:eastAsia="仿宋_GB2312" w:cs="仿宋_GB2312"/>
          <w:b w:val="0"/>
          <w:bCs w:val="0"/>
          <w:color w:val="auto"/>
          <w:sz w:val="32"/>
          <w:szCs w:val="32"/>
          <w:highlight w:val="none"/>
        </w:rPr>
        <w:t>万元，其中：</w:t>
      </w:r>
    </w:p>
    <w:p w14:paraId="1103872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人员经费225.51万元，占基本支出的</w:t>
      </w:r>
      <w:r>
        <w:rPr>
          <w:rFonts w:hint="eastAsia" w:ascii="仿宋_GB2312" w:hAnsi="仿宋_GB2312" w:eastAsia="仿宋_GB2312" w:cs="仿宋_GB2312"/>
          <w:b w:val="0"/>
          <w:bCs w:val="0"/>
          <w:color w:val="auto"/>
          <w:sz w:val="32"/>
          <w:szCs w:val="32"/>
          <w:highlight w:val="none"/>
          <w:lang w:val="en-US" w:eastAsia="zh-CN"/>
        </w:rPr>
        <w:t>81.99</w:t>
      </w:r>
      <w:r>
        <w:rPr>
          <w:rFonts w:hint="eastAsia" w:ascii="仿宋_GB2312" w:hAnsi="仿宋_GB2312" w:eastAsia="仿宋_GB2312" w:cs="仿宋_GB2312"/>
          <w:b w:val="0"/>
          <w:bCs w:val="0"/>
          <w:color w:val="auto"/>
          <w:sz w:val="32"/>
          <w:szCs w:val="32"/>
          <w:highlight w:val="none"/>
        </w:rPr>
        <w:t>%,主要包括基本工资、津贴补贴、奖金</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机关事业单位基本养老保险缴费</w:t>
      </w:r>
      <w:r>
        <w:rPr>
          <w:rFonts w:hint="eastAsia" w:ascii="仿宋_GB2312" w:hAnsi="仿宋_GB2312" w:eastAsia="仿宋_GB2312" w:cs="仿宋_GB2312"/>
          <w:b w:val="0"/>
          <w:bCs w:val="0"/>
          <w:color w:val="auto"/>
          <w:sz w:val="32"/>
          <w:szCs w:val="32"/>
          <w:highlight w:val="none"/>
          <w:lang w:eastAsia="zh-CN"/>
        </w:rPr>
        <w:t>、职业年金缴费、职工基本医疗保险缴费、其他工资福利支出。</w:t>
      </w:r>
    </w:p>
    <w:p w14:paraId="7A197F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公用经费49.53万元，占基本支出的</w:t>
      </w:r>
      <w:r>
        <w:rPr>
          <w:rFonts w:hint="eastAsia" w:ascii="仿宋_GB2312" w:hAnsi="仿宋_GB2312" w:eastAsia="仿宋_GB2312" w:cs="仿宋_GB2312"/>
          <w:b w:val="0"/>
          <w:bCs w:val="0"/>
          <w:color w:val="auto"/>
          <w:sz w:val="32"/>
          <w:szCs w:val="32"/>
          <w:highlight w:val="none"/>
          <w:lang w:val="en-US" w:eastAsia="zh-CN"/>
        </w:rPr>
        <w:t>18.01</w:t>
      </w:r>
      <w:r>
        <w:rPr>
          <w:rFonts w:hint="eastAsia" w:ascii="仿宋_GB2312" w:hAnsi="仿宋_GB2312" w:eastAsia="仿宋_GB2312" w:cs="仿宋_GB2312"/>
          <w:b w:val="0"/>
          <w:bCs w:val="0"/>
          <w:color w:val="auto"/>
          <w:sz w:val="32"/>
          <w:szCs w:val="32"/>
          <w:highlight w:val="none"/>
        </w:rPr>
        <w:t>%，主要包括办公费、物业管理费</w:t>
      </w:r>
      <w:r>
        <w:rPr>
          <w:rFonts w:hint="eastAsia" w:ascii="仿宋_GB2312" w:hAnsi="仿宋_GB2312" w:eastAsia="仿宋_GB2312" w:cs="仿宋_GB2312"/>
          <w:b w:val="0"/>
          <w:bCs w:val="0"/>
          <w:color w:val="auto"/>
          <w:sz w:val="32"/>
          <w:szCs w:val="32"/>
          <w:highlight w:val="none"/>
          <w:lang w:eastAsia="zh-CN"/>
        </w:rPr>
        <w:t>、差旅费、</w:t>
      </w:r>
      <w:r>
        <w:rPr>
          <w:rFonts w:hint="eastAsia" w:ascii="仿宋_GB2312" w:hAnsi="仿宋_GB2312" w:eastAsia="仿宋_GB2312" w:cs="仿宋_GB2312"/>
          <w:b w:val="0"/>
          <w:bCs w:val="0"/>
          <w:color w:val="auto"/>
          <w:sz w:val="32"/>
          <w:szCs w:val="32"/>
          <w:highlight w:val="none"/>
        </w:rPr>
        <w:t>公务接待费</w:t>
      </w:r>
      <w:r>
        <w:rPr>
          <w:rFonts w:hint="eastAsia" w:ascii="仿宋_GB2312" w:hAnsi="仿宋_GB2312" w:eastAsia="仿宋_GB2312" w:cs="仿宋_GB2312"/>
          <w:b w:val="0"/>
          <w:bCs w:val="0"/>
          <w:color w:val="auto"/>
          <w:sz w:val="32"/>
          <w:szCs w:val="32"/>
          <w:highlight w:val="none"/>
          <w:lang w:eastAsia="zh-CN"/>
        </w:rPr>
        <w:t>、公务用车运行维护费、其他交通费用、其他商品和服务支出</w:t>
      </w:r>
      <w:r>
        <w:rPr>
          <w:rFonts w:hint="eastAsia" w:ascii="仿宋_GB2312" w:hAnsi="仿宋_GB2312" w:eastAsia="仿宋_GB2312" w:cs="仿宋_GB2312"/>
          <w:b w:val="0"/>
          <w:bCs w:val="0"/>
          <w:color w:val="auto"/>
          <w:sz w:val="32"/>
          <w:szCs w:val="32"/>
          <w:highlight w:val="none"/>
        </w:rPr>
        <w:t>。</w:t>
      </w:r>
    </w:p>
    <w:p w14:paraId="378FFFCC">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财政拨款三公经费支出决算情况说明</w:t>
      </w:r>
    </w:p>
    <w:p w14:paraId="4B644C2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（一）“三公”经费财政拨款支出决算总体情况说明</w:t>
      </w:r>
    </w:p>
    <w:p w14:paraId="752928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“三公”经费财政拨款支出预算为</w:t>
      </w:r>
      <w:r>
        <w:rPr>
          <w:rFonts w:hint="eastAsia" w:ascii="仿宋_GB2312" w:hAnsi="仿宋_GB2312" w:eastAsia="仿宋_GB2312" w:cs="仿宋_GB2312"/>
          <w:b w:val="0"/>
          <w:bCs w:val="0"/>
          <w:color w:val="auto"/>
          <w:sz w:val="32"/>
          <w:szCs w:val="32"/>
          <w:highlight w:val="none"/>
          <w:lang w:val="en-US" w:eastAsia="zh-CN"/>
        </w:rPr>
        <w:t>7.67</w:t>
      </w:r>
      <w:r>
        <w:rPr>
          <w:rFonts w:hint="eastAsia" w:ascii="仿宋_GB2312" w:hAnsi="仿宋_GB2312" w:eastAsia="仿宋_GB2312" w:cs="仿宋_GB2312"/>
          <w:b w:val="0"/>
          <w:bCs w:val="0"/>
          <w:color w:val="auto"/>
          <w:sz w:val="32"/>
          <w:szCs w:val="32"/>
          <w:highlight w:val="none"/>
        </w:rPr>
        <w:t>万元，支出决算为</w:t>
      </w:r>
      <w:r>
        <w:rPr>
          <w:rFonts w:hint="eastAsia" w:ascii="仿宋_GB2312" w:hAnsi="仿宋_GB2312" w:eastAsia="仿宋_GB2312" w:cs="仿宋_GB2312"/>
          <w:b w:val="0"/>
          <w:bCs w:val="0"/>
          <w:color w:val="auto"/>
          <w:sz w:val="32"/>
          <w:szCs w:val="32"/>
          <w:highlight w:val="none"/>
          <w:lang w:val="en-US" w:eastAsia="zh-CN"/>
        </w:rPr>
        <w:t>15.25</w:t>
      </w:r>
      <w:r>
        <w:rPr>
          <w:rFonts w:hint="eastAsia" w:ascii="仿宋_GB2312" w:hAnsi="仿宋_GB2312" w:eastAsia="仿宋_GB2312" w:cs="仿宋_GB2312"/>
          <w:b w:val="0"/>
          <w:bCs w:val="0"/>
          <w:color w:val="auto"/>
          <w:sz w:val="32"/>
          <w:szCs w:val="32"/>
          <w:highlight w:val="none"/>
        </w:rPr>
        <w:t>万元，完成预算的</w:t>
      </w:r>
      <w:r>
        <w:rPr>
          <w:rFonts w:hint="eastAsia" w:ascii="仿宋_GB2312" w:hAnsi="仿宋_GB2312" w:eastAsia="仿宋_GB2312" w:cs="仿宋_GB2312"/>
          <w:b w:val="0"/>
          <w:bCs w:val="0"/>
          <w:color w:val="auto"/>
          <w:sz w:val="32"/>
          <w:szCs w:val="32"/>
          <w:highlight w:val="none"/>
          <w:lang w:val="en-US" w:eastAsia="zh-CN"/>
        </w:rPr>
        <w:t>198.83</w:t>
      </w:r>
      <w:r>
        <w:rPr>
          <w:rFonts w:hint="eastAsia" w:ascii="仿宋_GB2312" w:hAnsi="仿宋_GB2312" w:eastAsia="仿宋_GB2312" w:cs="仿宋_GB2312"/>
          <w:b w:val="0"/>
          <w:bCs w:val="0"/>
          <w:color w:val="auto"/>
          <w:sz w:val="32"/>
          <w:szCs w:val="32"/>
          <w:highlight w:val="none"/>
        </w:rPr>
        <w:t>%，决算数大于预算数的主要原因是</w:t>
      </w:r>
      <w:r>
        <w:rPr>
          <w:rFonts w:hint="eastAsia" w:ascii="仿宋_GB2312" w:hAnsi="仿宋_GB2312" w:eastAsia="仿宋_GB2312" w:cs="仿宋_GB2312"/>
          <w:b w:val="0"/>
          <w:bCs w:val="0"/>
          <w:color w:val="auto"/>
          <w:sz w:val="32"/>
          <w:szCs w:val="32"/>
          <w:highlight w:val="none"/>
          <w:lang w:val="en-US" w:eastAsia="zh-CN"/>
        </w:rPr>
        <w:t>走访企业、参加招商等活动用车次数增加</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与上年相比减少</w:t>
      </w:r>
      <w:r>
        <w:rPr>
          <w:rFonts w:hint="eastAsia" w:ascii="仿宋_GB2312" w:hAnsi="仿宋_GB2312" w:eastAsia="仿宋_GB2312" w:cs="仿宋_GB2312"/>
          <w:color w:val="auto"/>
          <w:sz w:val="32"/>
          <w:szCs w:val="32"/>
          <w:highlight w:val="none"/>
          <w:lang w:val="en-US" w:eastAsia="zh-CN"/>
        </w:rPr>
        <w:t>16.01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下降51.22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减少的主要原因是</w:t>
      </w:r>
      <w:r>
        <w:rPr>
          <w:rFonts w:hint="eastAsia" w:ascii="仿宋" w:hAnsi="仿宋" w:eastAsia="仿宋"/>
          <w:color w:val="auto"/>
          <w:sz w:val="32"/>
          <w:szCs w:val="32"/>
          <w:highlight w:val="none"/>
        </w:rPr>
        <w:t>落实过“紧日子”要求，严格执行开支标准</w:t>
      </w:r>
      <w:r>
        <w:rPr>
          <w:rFonts w:hint="eastAsia" w:ascii="仿宋" w:hAnsi="仿宋" w:eastAsia="仿宋"/>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厉行节约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其中：</w:t>
      </w:r>
    </w:p>
    <w:p w14:paraId="361DDAF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因公出国(境)费支出预算为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万元，预算决算金额均</w:t>
      </w:r>
      <w:r>
        <w:rPr>
          <w:rFonts w:hint="eastAsia" w:ascii="仿宋_GB2312" w:hAnsi="仿宋_GB2312" w:eastAsia="仿宋_GB2312" w:cs="仿宋_GB2312"/>
          <w:color w:val="auto"/>
          <w:sz w:val="32"/>
          <w:szCs w:val="32"/>
          <w:highlight w:val="none"/>
          <w:lang w:val="en-US" w:eastAsia="zh-CN"/>
        </w:rPr>
        <w:t>为0万元</w:t>
      </w:r>
      <w:r>
        <w:rPr>
          <w:rFonts w:hint="eastAsia" w:ascii="仿宋_GB2312" w:hAnsi="仿宋_GB2312" w:eastAsia="仿宋_GB2312" w:cs="仿宋_GB2312"/>
          <w:color w:val="auto"/>
          <w:sz w:val="32"/>
          <w:szCs w:val="32"/>
          <w:highlight w:val="none"/>
        </w:rPr>
        <w:t>，无法计算完成百分比，主要原因</w:t>
      </w:r>
      <w:r>
        <w:rPr>
          <w:rFonts w:hint="eastAsia" w:ascii="仿宋_GB2312" w:hAnsi="仿宋_GB2312" w:eastAsia="仿宋_GB2312" w:cs="仿宋_GB2312"/>
          <w:color w:val="auto"/>
          <w:sz w:val="32"/>
          <w:szCs w:val="32"/>
          <w:highlight w:val="none"/>
          <w:lang w:val="en-US" w:eastAsia="zh-CN"/>
        </w:rPr>
        <w:t>是单位未</w:t>
      </w:r>
      <w:r>
        <w:rPr>
          <w:rFonts w:hint="eastAsia" w:ascii="仿宋_GB2312" w:hAnsi="仿宋_GB2312" w:eastAsia="仿宋_GB2312" w:cs="仿宋_GB2312"/>
          <w:color w:val="auto"/>
          <w:sz w:val="32"/>
          <w:szCs w:val="32"/>
          <w:highlight w:val="none"/>
        </w:rPr>
        <w:t>因公出国（境），</w:t>
      </w:r>
      <w:r>
        <w:rPr>
          <w:rFonts w:hint="eastAsia" w:ascii="仿宋_GB2312" w:hAnsi="仿宋_GB2312" w:eastAsia="仿宋_GB2312" w:cs="仿宋_GB2312"/>
          <w:color w:val="auto"/>
          <w:sz w:val="32"/>
          <w:szCs w:val="32"/>
          <w:highlight w:val="none"/>
          <w:lang w:val="en-US" w:eastAsia="zh-CN"/>
        </w:rPr>
        <w:t>与上年相比持平均为0万元，</w:t>
      </w:r>
      <w:r>
        <w:rPr>
          <w:rFonts w:hint="eastAsia" w:ascii="仿宋_GB2312" w:hAnsi="仿宋_GB2312" w:eastAsia="仿宋_GB2312" w:cs="仿宋_GB2312"/>
          <w:color w:val="auto"/>
          <w:sz w:val="32"/>
          <w:szCs w:val="32"/>
          <w:highlight w:val="none"/>
        </w:rPr>
        <w:t>无法计算完成百分比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主要原因是单位未</w:t>
      </w:r>
      <w:r>
        <w:rPr>
          <w:rFonts w:hint="eastAsia" w:ascii="仿宋_GB2312" w:hAnsi="仿宋_GB2312" w:eastAsia="仿宋_GB2312" w:cs="仿宋_GB2312"/>
          <w:color w:val="auto"/>
          <w:sz w:val="32"/>
          <w:szCs w:val="32"/>
          <w:highlight w:val="none"/>
        </w:rPr>
        <w:t>因公出国（境）。</w:t>
      </w:r>
    </w:p>
    <w:p w14:paraId="299D83E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公务接待费支出预算为</w:t>
      </w:r>
      <w:r>
        <w:rPr>
          <w:rFonts w:hint="eastAsia" w:ascii="仿宋_GB2312" w:hAnsi="仿宋_GB2312" w:eastAsia="仿宋_GB2312" w:cs="仿宋_GB2312"/>
          <w:b w:val="0"/>
          <w:bCs w:val="0"/>
          <w:color w:val="auto"/>
          <w:sz w:val="32"/>
          <w:szCs w:val="32"/>
          <w:highlight w:val="none"/>
          <w:lang w:val="en-US" w:eastAsia="zh-CN"/>
        </w:rPr>
        <w:t>1.67</w:t>
      </w:r>
      <w:r>
        <w:rPr>
          <w:rFonts w:hint="eastAsia" w:ascii="仿宋_GB2312" w:hAnsi="仿宋_GB2312" w:eastAsia="仿宋_GB2312" w:cs="仿宋_GB2312"/>
          <w:b w:val="0"/>
          <w:bCs w:val="0"/>
          <w:color w:val="auto"/>
          <w:sz w:val="32"/>
          <w:szCs w:val="32"/>
          <w:highlight w:val="none"/>
        </w:rPr>
        <w:t>万元</w:t>
      </w:r>
      <w:bookmarkStart w:id="15" w:name="_GoBack"/>
      <w:bookmarkEnd w:id="15"/>
      <w:r>
        <w:rPr>
          <w:rFonts w:hint="eastAsia" w:ascii="仿宋_GB2312" w:hAnsi="仿宋_GB2312" w:eastAsia="仿宋_GB2312" w:cs="仿宋_GB2312"/>
          <w:b w:val="0"/>
          <w:bCs w:val="0"/>
          <w:color w:val="auto"/>
          <w:sz w:val="32"/>
          <w:szCs w:val="32"/>
          <w:highlight w:val="none"/>
        </w:rPr>
        <w:t>，支出决算为</w:t>
      </w:r>
      <w:r>
        <w:rPr>
          <w:rFonts w:hint="eastAsia" w:ascii="仿宋_GB2312" w:hAnsi="仿宋_GB2312" w:eastAsia="仿宋_GB2312" w:cs="仿宋_GB2312"/>
          <w:b w:val="0"/>
          <w:bCs w:val="0"/>
          <w:color w:val="auto"/>
          <w:sz w:val="32"/>
          <w:szCs w:val="32"/>
          <w:highlight w:val="none"/>
          <w:lang w:val="en-US" w:eastAsia="zh-CN"/>
        </w:rPr>
        <w:t>1.67</w:t>
      </w:r>
      <w:r>
        <w:rPr>
          <w:rFonts w:hint="eastAsia" w:ascii="仿宋_GB2312" w:hAnsi="仿宋_GB2312" w:eastAsia="仿宋_GB2312" w:cs="仿宋_GB2312"/>
          <w:b w:val="0"/>
          <w:bCs w:val="0"/>
          <w:color w:val="auto"/>
          <w:sz w:val="32"/>
          <w:szCs w:val="32"/>
          <w:highlight w:val="none"/>
        </w:rPr>
        <w:t>万元，完成预算的</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%，决算数</w:t>
      </w:r>
      <w:r>
        <w:rPr>
          <w:rFonts w:hint="eastAsia" w:ascii="仿宋_GB2312" w:hAnsi="仿宋_GB2312" w:eastAsia="仿宋_GB2312" w:cs="仿宋_GB2312"/>
          <w:b w:val="0"/>
          <w:bCs w:val="0"/>
          <w:color w:val="auto"/>
          <w:sz w:val="32"/>
          <w:szCs w:val="32"/>
          <w:highlight w:val="none"/>
          <w:lang w:val="en-US" w:eastAsia="zh-CN"/>
        </w:rPr>
        <w:t>与</w:t>
      </w:r>
      <w:r>
        <w:rPr>
          <w:rFonts w:hint="eastAsia" w:ascii="仿宋_GB2312" w:hAnsi="仿宋_GB2312" w:eastAsia="仿宋_GB2312" w:cs="仿宋_GB2312"/>
          <w:b w:val="0"/>
          <w:bCs w:val="0"/>
          <w:color w:val="auto"/>
          <w:sz w:val="32"/>
          <w:szCs w:val="32"/>
          <w:highlight w:val="none"/>
        </w:rPr>
        <w:t>预算数</w:t>
      </w:r>
      <w:r>
        <w:rPr>
          <w:rFonts w:hint="eastAsia" w:ascii="仿宋_GB2312" w:hAnsi="仿宋_GB2312" w:eastAsia="仿宋_GB2312" w:cs="仿宋_GB2312"/>
          <w:b w:val="0"/>
          <w:bCs w:val="0"/>
          <w:color w:val="auto"/>
          <w:sz w:val="32"/>
          <w:szCs w:val="32"/>
          <w:highlight w:val="none"/>
          <w:lang w:val="en-US" w:eastAsia="zh-CN"/>
        </w:rPr>
        <w:t>持平的</w:t>
      </w:r>
      <w:r>
        <w:rPr>
          <w:rFonts w:hint="eastAsia" w:ascii="仿宋_GB2312" w:hAnsi="仿宋_GB2312" w:eastAsia="仿宋_GB2312" w:cs="仿宋_GB2312"/>
          <w:b w:val="0"/>
          <w:bCs w:val="0"/>
          <w:color w:val="auto"/>
          <w:sz w:val="32"/>
          <w:szCs w:val="32"/>
          <w:highlight w:val="none"/>
        </w:rPr>
        <w:t>主要原因是</w:t>
      </w:r>
      <w:r>
        <w:rPr>
          <w:rFonts w:hint="eastAsia" w:ascii="仿宋" w:hAnsi="仿宋" w:eastAsia="仿宋"/>
          <w:color w:val="auto"/>
          <w:sz w:val="32"/>
          <w:szCs w:val="32"/>
          <w:highlight w:val="none"/>
          <w:lang w:val="en-US" w:eastAsia="zh-CN"/>
        </w:rPr>
        <w:t>严格按预算执行</w:t>
      </w:r>
      <w:r>
        <w:rPr>
          <w:rFonts w:hint="eastAsia" w:ascii="仿宋_GB2312" w:hAnsi="仿宋_GB2312" w:eastAsia="仿宋_GB2312" w:cs="仿宋_GB2312"/>
          <w:b w:val="0"/>
          <w:bCs w:val="0"/>
          <w:color w:val="auto"/>
          <w:sz w:val="32"/>
          <w:szCs w:val="32"/>
          <w:highlight w:val="none"/>
        </w:rPr>
        <w:t>，与上年相比减少</w:t>
      </w:r>
      <w:r>
        <w:rPr>
          <w:rFonts w:hint="eastAsia" w:ascii="仿宋_GB2312" w:hAnsi="仿宋_GB2312" w:eastAsia="仿宋_GB2312" w:cs="仿宋_GB2312"/>
          <w:b w:val="0"/>
          <w:bCs w:val="0"/>
          <w:color w:val="auto"/>
          <w:sz w:val="32"/>
          <w:szCs w:val="32"/>
          <w:highlight w:val="none"/>
          <w:lang w:val="en-US" w:eastAsia="zh-CN"/>
        </w:rPr>
        <w:t>13.66</w:t>
      </w:r>
      <w:r>
        <w:rPr>
          <w:rFonts w:hint="eastAsia" w:ascii="仿宋_GB2312" w:hAnsi="仿宋_GB2312" w:eastAsia="仿宋_GB2312" w:cs="仿宋_GB2312"/>
          <w:b w:val="0"/>
          <w:bCs w:val="0"/>
          <w:color w:val="auto"/>
          <w:sz w:val="32"/>
          <w:szCs w:val="32"/>
          <w:highlight w:val="none"/>
        </w:rPr>
        <w:t>万元，减少</w:t>
      </w:r>
      <w:r>
        <w:rPr>
          <w:rFonts w:hint="eastAsia" w:ascii="仿宋_GB2312" w:hAnsi="仿宋_GB2312" w:eastAsia="仿宋_GB2312" w:cs="仿宋_GB2312"/>
          <w:b w:val="0"/>
          <w:bCs w:val="0"/>
          <w:color w:val="auto"/>
          <w:sz w:val="32"/>
          <w:szCs w:val="32"/>
          <w:highlight w:val="none"/>
          <w:lang w:val="en-US" w:eastAsia="zh-CN"/>
        </w:rPr>
        <w:t>89.11</w:t>
      </w:r>
      <w:r>
        <w:rPr>
          <w:rFonts w:hint="eastAsia" w:ascii="仿宋_GB2312" w:hAnsi="仿宋_GB2312" w:eastAsia="仿宋_GB2312" w:cs="仿宋_GB2312"/>
          <w:b w:val="0"/>
          <w:bCs w:val="0"/>
          <w:color w:val="auto"/>
          <w:sz w:val="32"/>
          <w:szCs w:val="32"/>
          <w:highlight w:val="none"/>
        </w:rPr>
        <w:t>%,减少的主要原因是</w:t>
      </w:r>
      <w:r>
        <w:rPr>
          <w:rFonts w:hint="eastAsia" w:ascii="仿宋_GB2312" w:hAnsi="仿宋_GB2312" w:eastAsia="仿宋_GB2312" w:cs="仿宋_GB2312"/>
          <w:b w:val="0"/>
          <w:bCs w:val="0"/>
          <w:color w:val="auto"/>
          <w:sz w:val="32"/>
          <w:szCs w:val="32"/>
          <w:highlight w:val="none"/>
          <w:lang w:val="en-US" w:eastAsia="zh-CN"/>
        </w:rPr>
        <w:t>厉行节约，接待费用减少</w:t>
      </w:r>
      <w:r>
        <w:rPr>
          <w:rFonts w:hint="eastAsia" w:ascii="仿宋_GB2312" w:hAnsi="仿宋_GB2312" w:eastAsia="仿宋_GB2312" w:cs="仿宋_GB2312"/>
          <w:b w:val="0"/>
          <w:bCs w:val="0"/>
          <w:color w:val="auto"/>
          <w:sz w:val="32"/>
          <w:szCs w:val="32"/>
          <w:highlight w:val="none"/>
        </w:rPr>
        <w:t>。</w:t>
      </w:r>
    </w:p>
    <w:p w14:paraId="37D00E4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公务用车购置费支出预算为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万元，预算决算金额均</w:t>
      </w:r>
      <w:r>
        <w:rPr>
          <w:rFonts w:hint="eastAsia" w:ascii="仿宋_GB2312" w:hAnsi="仿宋_GB2312" w:eastAsia="仿宋_GB2312" w:cs="仿宋_GB2312"/>
          <w:color w:val="auto"/>
          <w:sz w:val="32"/>
          <w:szCs w:val="32"/>
          <w:highlight w:val="none"/>
          <w:lang w:val="en-US" w:eastAsia="zh-CN"/>
        </w:rPr>
        <w:t>为0万元</w:t>
      </w:r>
      <w:r>
        <w:rPr>
          <w:rFonts w:hint="eastAsia" w:ascii="仿宋_GB2312" w:hAnsi="仿宋_GB2312" w:eastAsia="仿宋_GB2312" w:cs="仿宋_GB2312"/>
          <w:color w:val="auto"/>
          <w:sz w:val="32"/>
          <w:szCs w:val="32"/>
          <w:highlight w:val="none"/>
        </w:rPr>
        <w:t>，无法计算完成百分比，主要原因</w:t>
      </w:r>
      <w:r>
        <w:rPr>
          <w:rFonts w:hint="eastAsia" w:ascii="仿宋_GB2312" w:hAnsi="仿宋_GB2312" w:eastAsia="仿宋_GB2312" w:cs="仿宋_GB2312"/>
          <w:color w:val="auto"/>
          <w:sz w:val="32"/>
          <w:szCs w:val="32"/>
          <w:highlight w:val="none"/>
          <w:lang w:val="en-US" w:eastAsia="zh-CN"/>
        </w:rPr>
        <w:t>是未</w:t>
      </w:r>
      <w:r>
        <w:rPr>
          <w:rFonts w:hint="eastAsia" w:ascii="仿宋_GB2312" w:hAnsi="仿宋_GB2312" w:eastAsia="仿宋_GB2312" w:cs="仿宋_GB2312"/>
          <w:color w:val="auto"/>
          <w:sz w:val="32"/>
          <w:szCs w:val="32"/>
          <w:highlight w:val="none"/>
        </w:rPr>
        <w:t>购置公务用车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与上年相比持平均为0万元，</w:t>
      </w:r>
      <w:r>
        <w:rPr>
          <w:rFonts w:hint="eastAsia" w:ascii="仿宋_GB2312" w:hAnsi="仿宋_GB2312" w:eastAsia="仿宋_GB2312" w:cs="仿宋_GB2312"/>
          <w:color w:val="auto"/>
          <w:sz w:val="32"/>
          <w:szCs w:val="32"/>
          <w:highlight w:val="none"/>
        </w:rPr>
        <w:t>无法计算完成百分比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val="en-US" w:eastAsia="zh-CN"/>
        </w:rPr>
        <w:t>是未</w:t>
      </w:r>
      <w:r>
        <w:rPr>
          <w:rFonts w:hint="eastAsia" w:ascii="仿宋_GB2312" w:hAnsi="仿宋_GB2312" w:eastAsia="仿宋_GB2312" w:cs="仿宋_GB2312"/>
          <w:color w:val="auto"/>
          <w:sz w:val="32"/>
          <w:szCs w:val="32"/>
          <w:highlight w:val="none"/>
        </w:rPr>
        <w:t>购置公务用车</w:t>
      </w:r>
      <w:r>
        <w:rPr>
          <w:rFonts w:hint="eastAsia" w:ascii="仿宋_GB2312" w:hAnsi="仿宋_GB2312" w:eastAsia="仿宋_GB2312" w:cs="仿宋_GB2312"/>
          <w:color w:val="auto"/>
          <w:sz w:val="32"/>
          <w:szCs w:val="32"/>
          <w:highlight w:val="none"/>
          <w:lang w:eastAsia="zh-CN"/>
        </w:rPr>
        <w:t>。</w:t>
      </w:r>
    </w:p>
    <w:p w14:paraId="12CE402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公务用车运行维护费支出预算为</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万元，支出决算为</w:t>
      </w:r>
      <w:r>
        <w:rPr>
          <w:rFonts w:hint="eastAsia" w:ascii="仿宋_GB2312" w:hAnsi="仿宋_GB2312" w:eastAsia="仿宋_GB2312" w:cs="仿宋_GB2312"/>
          <w:b w:val="0"/>
          <w:bCs w:val="0"/>
          <w:color w:val="auto"/>
          <w:sz w:val="32"/>
          <w:szCs w:val="32"/>
          <w:highlight w:val="none"/>
          <w:lang w:val="en-US" w:eastAsia="zh-CN"/>
        </w:rPr>
        <w:t>13.58</w:t>
      </w:r>
      <w:r>
        <w:rPr>
          <w:rFonts w:hint="eastAsia" w:ascii="仿宋_GB2312" w:hAnsi="仿宋_GB2312" w:eastAsia="仿宋_GB2312" w:cs="仿宋_GB2312"/>
          <w:b w:val="0"/>
          <w:bCs w:val="0"/>
          <w:color w:val="auto"/>
          <w:sz w:val="32"/>
          <w:szCs w:val="32"/>
          <w:highlight w:val="none"/>
        </w:rPr>
        <w:t>万元，完成预算的</w:t>
      </w:r>
      <w:r>
        <w:rPr>
          <w:rFonts w:hint="eastAsia" w:ascii="仿宋_GB2312" w:hAnsi="仿宋_GB2312" w:eastAsia="仿宋_GB2312" w:cs="仿宋_GB2312"/>
          <w:b w:val="0"/>
          <w:bCs w:val="0"/>
          <w:color w:val="auto"/>
          <w:sz w:val="32"/>
          <w:szCs w:val="32"/>
          <w:highlight w:val="none"/>
          <w:lang w:val="en-US" w:eastAsia="zh-CN"/>
        </w:rPr>
        <w:t>226.33</w:t>
      </w:r>
      <w:r>
        <w:rPr>
          <w:rFonts w:hint="eastAsia" w:ascii="仿宋_GB2312" w:hAnsi="仿宋_GB2312" w:eastAsia="仿宋_GB2312" w:cs="仿宋_GB2312"/>
          <w:b w:val="0"/>
          <w:bCs w:val="0"/>
          <w:color w:val="auto"/>
          <w:sz w:val="32"/>
          <w:szCs w:val="32"/>
          <w:highlight w:val="none"/>
        </w:rPr>
        <w:t>%，决算数大于预算数的主要原因是</w:t>
      </w:r>
      <w:r>
        <w:rPr>
          <w:rFonts w:hint="eastAsia" w:ascii="仿宋_GB2312" w:hAnsi="仿宋_GB2312" w:eastAsia="仿宋_GB2312" w:cs="仿宋_GB2312"/>
          <w:b w:val="0"/>
          <w:bCs w:val="0"/>
          <w:color w:val="auto"/>
          <w:sz w:val="32"/>
          <w:szCs w:val="32"/>
          <w:highlight w:val="none"/>
          <w:lang w:val="en-US" w:eastAsia="zh-CN"/>
        </w:rPr>
        <w:t>走访企业、参加招商等活动用车次数增加</w:t>
      </w:r>
      <w:r>
        <w:rPr>
          <w:rFonts w:hint="eastAsia" w:ascii="仿宋_GB2312" w:hAnsi="仿宋_GB2312" w:eastAsia="仿宋_GB2312" w:cs="仿宋_GB2312"/>
          <w:b w:val="0"/>
          <w:bCs w:val="0"/>
          <w:color w:val="auto"/>
          <w:sz w:val="32"/>
          <w:szCs w:val="32"/>
          <w:highlight w:val="none"/>
        </w:rPr>
        <w:t>，与上年相比减少</w:t>
      </w:r>
      <w:r>
        <w:rPr>
          <w:rFonts w:hint="eastAsia" w:ascii="仿宋_GB2312" w:hAnsi="仿宋_GB2312" w:eastAsia="仿宋_GB2312" w:cs="仿宋_GB2312"/>
          <w:b w:val="0"/>
          <w:bCs w:val="0"/>
          <w:color w:val="auto"/>
          <w:sz w:val="32"/>
          <w:szCs w:val="32"/>
          <w:highlight w:val="none"/>
          <w:lang w:val="en-US" w:eastAsia="zh-CN"/>
        </w:rPr>
        <w:t>2.35</w:t>
      </w:r>
      <w:r>
        <w:rPr>
          <w:rFonts w:hint="eastAsia" w:ascii="仿宋_GB2312" w:hAnsi="仿宋_GB2312" w:eastAsia="仿宋_GB2312" w:cs="仿宋_GB2312"/>
          <w:b w:val="0"/>
          <w:bCs w:val="0"/>
          <w:color w:val="auto"/>
          <w:sz w:val="32"/>
          <w:szCs w:val="32"/>
          <w:highlight w:val="none"/>
        </w:rPr>
        <w:t>万元，减少</w:t>
      </w:r>
      <w:r>
        <w:rPr>
          <w:rFonts w:hint="eastAsia" w:ascii="仿宋_GB2312" w:hAnsi="仿宋_GB2312" w:eastAsia="仿宋_GB2312" w:cs="仿宋_GB2312"/>
          <w:b w:val="0"/>
          <w:bCs w:val="0"/>
          <w:color w:val="auto"/>
          <w:sz w:val="32"/>
          <w:szCs w:val="32"/>
          <w:highlight w:val="none"/>
          <w:lang w:val="en-US" w:eastAsia="zh-CN"/>
        </w:rPr>
        <w:t>14.75</w:t>
      </w:r>
      <w:r>
        <w:rPr>
          <w:rFonts w:hint="eastAsia" w:ascii="仿宋_GB2312" w:hAnsi="仿宋_GB2312" w:eastAsia="仿宋_GB2312" w:cs="仿宋_GB2312"/>
          <w:b w:val="0"/>
          <w:bCs w:val="0"/>
          <w:color w:val="auto"/>
          <w:sz w:val="32"/>
          <w:szCs w:val="32"/>
          <w:highlight w:val="none"/>
        </w:rPr>
        <w:t>%,减少的主要原因是</w:t>
      </w:r>
      <w:r>
        <w:rPr>
          <w:rFonts w:hint="eastAsia" w:ascii="仿宋_GB2312" w:hAnsi="仿宋_GB2312" w:eastAsia="仿宋_GB2312" w:cs="仿宋_GB2312"/>
          <w:b w:val="0"/>
          <w:bCs w:val="0"/>
          <w:color w:val="auto"/>
          <w:sz w:val="32"/>
          <w:szCs w:val="32"/>
          <w:highlight w:val="none"/>
          <w:lang w:val="en-US" w:eastAsia="zh-CN"/>
        </w:rPr>
        <w:t>厉行节约，减少开支</w:t>
      </w:r>
      <w:r>
        <w:rPr>
          <w:rFonts w:hint="eastAsia" w:ascii="仿宋_GB2312" w:hAnsi="仿宋_GB2312" w:eastAsia="仿宋_GB2312" w:cs="仿宋_GB2312"/>
          <w:b w:val="0"/>
          <w:bCs w:val="0"/>
          <w:color w:val="auto"/>
          <w:sz w:val="32"/>
          <w:szCs w:val="32"/>
          <w:highlight w:val="none"/>
        </w:rPr>
        <w:t>。</w:t>
      </w:r>
    </w:p>
    <w:p w14:paraId="57B0F68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（二）“三公”经费财政拨款支出决算具体情况说明</w:t>
      </w:r>
    </w:p>
    <w:p w14:paraId="2C63B74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年度“三公”经费财政拨款支出决算中，公务接待费支出决算</w:t>
      </w:r>
      <w:r>
        <w:rPr>
          <w:rFonts w:hint="eastAsia" w:ascii="仿宋_GB2312" w:hAnsi="仿宋_GB2312" w:eastAsia="仿宋_GB2312" w:cs="仿宋_GB2312"/>
          <w:b w:val="0"/>
          <w:bCs w:val="0"/>
          <w:color w:val="auto"/>
          <w:sz w:val="32"/>
          <w:szCs w:val="32"/>
          <w:highlight w:val="none"/>
          <w:lang w:val="en-US" w:eastAsia="zh-CN"/>
        </w:rPr>
        <w:t>1.67</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10.95</w:t>
      </w:r>
      <w:r>
        <w:rPr>
          <w:rFonts w:hint="eastAsia" w:ascii="仿宋_GB2312" w:hAnsi="仿宋_GB2312" w:eastAsia="仿宋_GB2312" w:cs="仿宋_GB2312"/>
          <w:b w:val="0"/>
          <w:bCs w:val="0"/>
          <w:color w:val="auto"/>
          <w:sz w:val="32"/>
          <w:szCs w:val="32"/>
          <w:highlight w:val="none"/>
        </w:rPr>
        <w:t>%,因公出国（境）费支出决算</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万元，公务用车运行维护费支出决算13.58万元，占</w:t>
      </w:r>
      <w:r>
        <w:rPr>
          <w:rFonts w:hint="eastAsia" w:ascii="仿宋_GB2312" w:hAnsi="仿宋_GB2312" w:eastAsia="仿宋_GB2312" w:cs="仿宋_GB2312"/>
          <w:b w:val="0"/>
          <w:bCs w:val="0"/>
          <w:color w:val="auto"/>
          <w:sz w:val="32"/>
          <w:szCs w:val="32"/>
          <w:highlight w:val="none"/>
          <w:lang w:val="en-US" w:eastAsia="zh-CN"/>
        </w:rPr>
        <w:t>89.05</w:t>
      </w:r>
      <w:r>
        <w:rPr>
          <w:rFonts w:hint="eastAsia" w:ascii="仿宋_GB2312" w:hAnsi="仿宋_GB2312" w:eastAsia="仿宋_GB2312" w:cs="仿宋_GB2312"/>
          <w:b w:val="0"/>
          <w:bCs w:val="0"/>
          <w:color w:val="auto"/>
          <w:sz w:val="32"/>
          <w:szCs w:val="32"/>
          <w:highlight w:val="none"/>
        </w:rPr>
        <w:t>%。其中：</w:t>
      </w:r>
    </w:p>
    <w:p w14:paraId="6BA36939">
      <w:pPr>
        <w:pStyle w:val="2"/>
        <w:tabs>
          <w:tab w:val="left" w:pos="3864"/>
          <w:tab w:val="left" w:pos="6248"/>
          <w:tab w:val="left" w:pos="7386"/>
        </w:tabs>
        <w:overflowPunct w:val="0"/>
        <w:spacing w:before="1" w:line="360" w:lineRule="auto"/>
        <w:ind w:right="42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因公出国（境）费支出决算为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万元，全年安排因公出国（境）团组</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个，累计</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人次,</w:t>
      </w:r>
      <w:r>
        <w:rPr>
          <w:rFonts w:hint="eastAsia" w:ascii="仿宋" w:hAnsi="仿宋" w:eastAsia="仿宋" w:cs="仿宋"/>
          <w:color w:val="auto"/>
          <w:highlight w:val="none"/>
        </w:rPr>
        <w:t>主要是</w:t>
      </w:r>
      <w:bookmarkStart w:id="0" w:name="THERR_YGCGJFY_ZYYY"/>
      <w:r>
        <w:rPr>
          <w:rFonts w:hint="eastAsia" w:ascii="仿宋" w:hAnsi="仿宋" w:eastAsia="仿宋" w:cs="仿宋"/>
          <w:color w:val="auto"/>
          <w:highlight w:val="none"/>
        </w:rPr>
        <w:t>2022年我单位没有因公出国（境）费支出</w:t>
      </w:r>
      <w:bookmarkEnd w:id="0"/>
      <w:bookmarkStart w:id="1" w:name="END_THERR_YGCGJFY_AMT"/>
      <w:bookmarkEnd w:id="1"/>
      <w:r>
        <w:rPr>
          <w:rFonts w:hint="eastAsia" w:ascii="仿宋" w:hAnsi="仿宋" w:eastAsia="仿宋" w:cs="仿宋"/>
          <w:color w:val="auto"/>
          <w:highlight w:val="none"/>
        </w:rPr>
        <w:t>。</w:t>
      </w:r>
    </w:p>
    <w:p w14:paraId="4FFFB4F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2、公务接待费支出决算为</w:t>
      </w:r>
      <w:r>
        <w:rPr>
          <w:rFonts w:hint="eastAsia" w:ascii="仿宋_GB2312" w:hAnsi="仿宋_GB2312" w:eastAsia="仿宋_GB2312" w:cs="仿宋_GB2312"/>
          <w:b w:val="0"/>
          <w:bCs w:val="0"/>
          <w:color w:val="auto"/>
          <w:sz w:val="32"/>
          <w:szCs w:val="32"/>
          <w:highlight w:val="none"/>
          <w:lang w:val="en-US" w:eastAsia="zh-CN"/>
        </w:rPr>
        <w:t>1.67</w:t>
      </w:r>
      <w:r>
        <w:rPr>
          <w:rFonts w:hint="eastAsia" w:ascii="仿宋_GB2312" w:hAnsi="仿宋_GB2312" w:eastAsia="仿宋_GB2312" w:cs="仿宋_GB2312"/>
          <w:b w:val="0"/>
          <w:bCs w:val="0"/>
          <w:color w:val="auto"/>
          <w:sz w:val="32"/>
          <w:szCs w:val="32"/>
          <w:highlight w:val="none"/>
        </w:rPr>
        <w:t>万元，全年共接待来访团组</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个、来宾</w:t>
      </w:r>
      <w:r>
        <w:rPr>
          <w:rFonts w:hint="eastAsia" w:ascii="仿宋_GB2312" w:hAnsi="仿宋_GB2312" w:eastAsia="仿宋_GB2312" w:cs="仿宋_GB2312"/>
          <w:b w:val="0"/>
          <w:bCs w:val="0"/>
          <w:color w:val="auto"/>
          <w:sz w:val="32"/>
          <w:szCs w:val="32"/>
          <w:highlight w:val="none"/>
          <w:lang w:val="en-US" w:eastAsia="zh-CN"/>
        </w:rPr>
        <w:t>86</w:t>
      </w:r>
      <w:r>
        <w:rPr>
          <w:rFonts w:hint="eastAsia" w:ascii="仿宋_GB2312" w:hAnsi="仿宋_GB2312" w:eastAsia="仿宋_GB2312" w:cs="仿宋_GB2312"/>
          <w:b w:val="0"/>
          <w:bCs w:val="0"/>
          <w:color w:val="auto"/>
          <w:sz w:val="32"/>
          <w:szCs w:val="32"/>
          <w:highlight w:val="none"/>
        </w:rPr>
        <w:t>人次，主要是</w:t>
      </w:r>
      <w:r>
        <w:rPr>
          <w:rFonts w:hint="eastAsia" w:ascii="仿宋_GB2312" w:hAnsi="仿宋_GB2312" w:eastAsia="仿宋_GB2312" w:cs="仿宋_GB2312"/>
          <w:b w:val="0"/>
          <w:bCs w:val="0"/>
          <w:color w:val="auto"/>
          <w:sz w:val="32"/>
          <w:szCs w:val="32"/>
          <w:highlight w:val="none"/>
          <w:lang w:val="en-US" w:eastAsia="zh-CN"/>
        </w:rPr>
        <w:t>招商联络</w:t>
      </w:r>
      <w:r>
        <w:rPr>
          <w:rFonts w:hint="eastAsia" w:ascii="仿宋_GB2312" w:hAnsi="仿宋_GB2312" w:eastAsia="仿宋_GB2312" w:cs="仿宋_GB2312"/>
          <w:b w:val="0"/>
          <w:bCs w:val="0"/>
          <w:color w:val="auto"/>
          <w:sz w:val="32"/>
          <w:szCs w:val="32"/>
          <w:highlight w:val="none"/>
        </w:rPr>
        <w:t>发生的接待支出。</w:t>
      </w:r>
    </w:p>
    <w:p w14:paraId="11BCBB5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rPr>
        <w:t>3、公务用车</w:t>
      </w:r>
      <w:r>
        <w:rPr>
          <w:rFonts w:hint="eastAsia" w:ascii="仿宋_GB2312" w:hAnsi="仿宋_GB2312" w:eastAsia="仿宋_GB2312" w:cs="仿宋_GB2312"/>
          <w:b w:val="0"/>
          <w:bCs w:val="0"/>
          <w:color w:val="auto"/>
          <w:sz w:val="32"/>
          <w:szCs w:val="32"/>
          <w:highlight w:val="none"/>
          <w:lang w:val="en-US" w:eastAsia="zh-CN"/>
        </w:rPr>
        <w:t>购置及</w:t>
      </w:r>
      <w:r>
        <w:rPr>
          <w:rFonts w:hint="eastAsia" w:ascii="仿宋_GB2312" w:hAnsi="仿宋_GB2312" w:eastAsia="仿宋_GB2312" w:cs="仿宋_GB2312"/>
          <w:b w:val="0"/>
          <w:bCs w:val="0"/>
          <w:color w:val="auto"/>
          <w:sz w:val="32"/>
          <w:szCs w:val="32"/>
          <w:highlight w:val="none"/>
        </w:rPr>
        <w:t>运行维护费支出决算为</w:t>
      </w:r>
      <w:r>
        <w:rPr>
          <w:rFonts w:hint="eastAsia" w:ascii="仿宋_GB2312" w:hAnsi="仿宋_GB2312" w:eastAsia="仿宋_GB2312" w:cs="仿宋_GB2312"/>
          <w:b w:val="0"/>
          <w:bCs w:val="0"/>
          <w:color w:val="auto"/>
          <w:sz w:val="32"/>
          <w:szCs w:val="32"/>
          <w:highlight w:val="none"/>
          <w:lang w:val="en-US" w:eastAsia="zh-CN"/>
        </w:rPr>
        <w:t>13.58</w:t>
      </w:r>
      <w:r>
        <w:rPr>
          <w:rFonts w:hint="eastAsia" w:ascii="仿宋_GB2312" w:hAnsi="仿宋_GB2312" w:eastAsia="仿宋_GB2312" w:cs="仿宋_GB2312"/>
          <w:b w:val="0"/>
          <w:bCs w:val="0"/>
          <w:color w:val="auto"/>
          <w:sz w:val="32"/>
          <w:szCs w:val="32"/>
          <w:highlight w:val="none"/>
        </w:rPr>
        <w:t>万元，其中：公务用车购置费</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我办</w:t>
      </w:r>
      <w:r>
        <w:rPr>
          <w:rFonts w:hint="eastAsia" w:ascii="仿宋_GB2312" w:hAnsi="仿宋_GB2312" w:eastAsia="仿宋_GB2312" w:cs="仿宋_GB2312"/>
          <w:b w:val="0"/>
          <w:bCs w:val="0"/>
          <w:color w:val="auto"/>
          <w:sz w:val="32"/>
          <w:szCs w:val="32"/>
          <w:highlight w:val="none"/>
        </w:rPr>
        <w:t>更新公务用车</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公务用车运行维护费</w:t>
      </w:r>
      <w:r>
        <w:rPr>
          <w:rFonts w:hint="eastAsia" w:ascii="仿宋_GB2312" w:hAnsi="仿宋_GB2312" w:eastAsia="仿宋_GB2312" w:cs="仿宋_GB2312"/>
          <w:b w:val="0"/>
          <w:bCs w:val="0"/>
          <w:color w:val="auto"/>
          <w:sz w:val="32"/>
          <w:szCs w:val="32"/>
          <w:highlight w:val="none"/>
          <w:lang w:val="en-US" w:eastAsia="zh-CN"/>
        </w:rPr>
        <w:t>13.58</w:t>
      </w:r>
      <w:r>
        <w:rPr>
          <w:rFonts w:hint="eastAsia" w:ascii="仿宋_GB2312" w:hAnsi="仿宋_GB2312" w:eastAsia="仿宋_GB2312" w:cs="仿宋_GB2312"/>
          <w:b w:val="0"/>
          <w:bCs w:val="0"/>
          <w:color w:val="auto"/>
          <w:sz w:val="32"/>
          <w:szCs w:val="32"/>
          <w:highlight w:val="none"/>
        </w:rPr>
        <w:t>万元，主要是</w:t>
      </w:r>
      <w:r>
        <w:rPr>
          <w:rFonts w:hint="eastAsia" w:ascii="仿宋_GB2312" w:hAnsi="仿宋_GB2312" w:eastAsia="仿宋_GB2312" w:cs="仿宋_GB2312"/>
          <w:b w:val="0"/>
          <w:bCs w:val="0"/>
          <w:color w:val="auto"/>
          <w:sz w:val="32"/>
          <w:szCs w:val="32"/>
          <w:highlight w:val="none"/>
          <w:lang w:val="en-US" w:eastAsia="zh-CN"/>
        </w:rPr>
        <w:t>公务接待用车产生的过路费、油费、停车等费用</w:t>
      </w:r>
      <w:r>
        <w:rPr>
          <w:rFonts w:hint="eastAsia" w:ascii="仿宋_GB2312" w:hAnsi="仿宋_GB2312" w:eastAsia="仿宋_GB2312" w:cs="仿宋_GB2312"/>
          <w:b w:val="0"/>
          <w:bCs w:val="0"/>
          <w:color w:val="auto"/>
          <w:sz w:val="32"/>
          <w:szCs w:val="32"/>
          <w:highlight w:val="none"/>
        </w:rPr>
        <w:t>支出，截止202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年12月31日，我单位开支财政拨款的公务用车保有量为</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辆。</w:t>
      </w:r>
    </w:p>
    <w:p w14:paraId="1E524F2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八、政府性基金预算收入支出决算情况</w:t>
      </w:r>
    </w:p>
    <w:p w14:paraId="1C8A0818">
      <w:pPr>
        <w:pStyle w:val="12"/>
        <w:spacing w:line="600" w:lineRule="exact"/>
        <w:rPr>
          <w:rFonts w:ascii="仿宋" w:hAnsi="仿宋" w:eastAsia="仿宋"/>
          <w:color w:val="auto"/>
          <w:sz w:val="32"/>
          <w:szCs w:val="32"/>
          <w:highlight w:val="none"/>
        </w:rPr>
      </w:pPr>
      <w:r>
        <w:rPr>
          <w:rFonts w:hint="eastAsia" w:ascii="Times New Roman" w:hAnsi="Times New Roman" w:eastAsia="仿宋_GB2312"/>
          <w:color w:val="auto"/>
          <w:sz w:val="32"/>
          <w:szCs w:val="32"/>
          <w:highlight w:val="none"/>
        </w:rPr>
        <w:t xml:space="preserve">    </w:t>
      </w:r>
      <w:r>
        <w:rPr>
          <w:rFonts w:hint="eastAsia" w:ascii="仿宋" w:hAnsi="仿宋" w:eastAsia="仿宋"/>
          <w:color w:val="auto"/>
          <w:sz w:val="32"/>
          <w:szCs w:val="32"/>
          <w:highlight w:val="none"/>
        </w:rPr>
        <w:t>2022年度本单位无政府性基金收支。</w:t>
      </w:r>
    </w:p>
    <w:p w14:paraId="338AB74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九、国有资本经营预算财政拨款支出决算情况</w:t>
      </w:r>
    </w:p>
    <w:p w14:paraId="6CA43F6D">
      <w:pPr>
        <w:pStyle w:val="12"/>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 w:hAnsi="仿宋" w:eastAsia="仿宋"/>
          <w:color w:val="auto"/>
          <w:sz w:val="32"/>
          <w:szCs w:val="32"/>
          <w:highlight w:val="none"/>
        </w:rPr>
        <w:t xml:space="preserve">    2022年度本单位无国有资本经营预算</w:t>
      </w:r>
      <w:r>
        <w:rPr>
          <w:rFonts w:hint="eastAsia" w:ascii="仿宋" w:hAnsi="仿宋" w:eastAsia="仿宋" w:cs="仿宋_GB2312"/>
          <w:color w:val="auto"/>
          <w:sz w:val="32"/>
          <w:szCs w:val="32"/>
          <w:highlight w:val="none"/>
        </w:rPr>
        <w:t>财政拨款支出</w:t>
      </w:r>
      <w:r>
        <w:rPr>
          <w:rFonts w:hint="eastAsia" w:ascii="仿宋" w:hAnsi="仿宋" w:eastAsia="仿宋"/>
          <w:color w:val="auto"/>
          <w:sz w:val="32"/>
          <w:szCs w:val="32"/>
          <w:highlight w:val="none"/>
        </w:rPr>
        <w:t>。</w:t>
      </w:r>
    </w:p>
    <w:p w14:paraId="5401A69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十、关于机关运行经费支出说明</w:t>
      </w:r>
    </w:p>
    <w:p w14:paraId="7EF404B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本部门202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年度机关运行经费支出49.53万元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比上年决算数减少</w:t>
      </w:r>
      <w:r>
        <w:rPr>
          <w:rFonts w:hint="eastAsia" w:ascii="仿宋_GB2312" w:hAnsi="仿宋_GB2312" w:eastAsia="仿宋_GB2312" w:cs="仿宋_GB2312"/>
          <w:b w:val="0"/>
          <w:bCs w:val="0"/>
          <w:color w:val="auto"/>
          <w:sz w:val="32"/>
          <w:szCs w:val="32"/>
          <w:highlight w:val="none"/>
          <w:lang w:val="en-US" w:eastAsia="zh-CN"/>
        </w:rPr>
        <w:t>26.67</w:t>
      </w:r>
      <w:r>
        <w:rPr>
          <w:rFonts w:hint="eastAsia" w:ascii="仿宋_GB2312" w:hAnsi="仿宋_GB2312" w:eastAsia="仿宋_GB2312" w:cs="仿宋_GB2312"/>
          <w:b w:val="0"/>
          <w:bCs w:val="0"/>
          <w:color w:val="auto"/>
          <w:sz w:val="32"/>
          <w:szCs w:val="32"/>
          <w:highlight w:val="none"/>
        </w:rPr>
        <w:t>万元，降低</w:t>
      </w:r>
      <w:r>
        <w:rPr>
          <w:rFonts w:hint="eastAsia" w:ascii="仿宋_GB2312" w:hAnsi="仿宋_GB2312" w:eastAsia="仿宋_GB2312" w:cs="仿宋_GB2312"/>
          <w:b w:val="0"/>
          <w:bCs w:val="0"/>
          <w:color w:val="auto"/>
          <w:sz w:val="32"/>
          <w:szCs w:val="32"/>
          <w:highlight w:val="none"/>
          <w:lang w:val="en-US" w:eastAsia="zh-CN"/>
        </w:rPr>
        <w:t>35.00</w:t>
      </w:r>
      <w:r>
        <w:rPr>
          <w:rFonts w:hint="eastAsia" w:ascii="仿宋_GB2312" w:hAnsi="仿宋_GB2312" w:eastAsia="仿宋_GB2312" w:cs="仿宋_GB2312"/>
          <w:b w:val="0"/>
          <w:bCs w:val="0"/>
          <w:color w:val="auto"/>
          <w:sz w:val="32"/>
          <w:szCs w:val="32"/>
          <w:highlight w:val="none"/>
        </w:rPr>
        <w:t>%。主要原因是：</w:t>
      </w:r>
      <w:r>
        <w:rPr>
          <w:rFonts w:hint="eastAsia" w:ascii="仿宋_GB2312" w:hAnsi="仿宋_GB2312" w:eastAsia="仿宋_GB2312" w:cs="仿宋_GB2312"/>
          <w:b w:val="0"/>
          <w:bCs w:val="0"/>
          <w:color w:val="auto"/>
          <w:sz w:val="32"/>
          <w:szCs w:val="32"/>
          <w:highlight w:val="none"/>
          <w:lang w:val="en-US" w:eastAsia="zh-CN"/>
        </w:rPr>
        <w:t>厉行节约，减少开支，财政预算拨款减少</w:t>
      </w:r>
      <w:r>
        <w:rPr>
          <w:rFonts w:hint="eastAsia" w:ascii="仿宋_GB2312" w:hAnsi="仿宋_GB2312" w:eastAsia="仿宋_GB2312" w:cs="仿宋_GB2312"/>
          <w:b w:val="0"/>
          <w:bCs w:val="0"/>
          <w:color w:val="auto"/>
          <w:sz w:val="32"/>
          <w:szCs w:val="32"/>
          <w:highlight w:val="none"/>
        </w:rPr>
        <w:t>。</w:t>
      </w:r>
    </w:p>
    <w:p w14:paraId="1D53D00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、一般性支出情况说明</w:t>
      </w:r>
    </w:p>
    <w:p w14:paraId="692A3F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202年本部门开支</w:t>
      </w:r>
      <w:r>
        <w:rPr>
          <w:rFonts w:hint="eastAsia" w:ascii="仿宋_GB2312" w:hAnsi="仿宋_GB2312" w:eastAsia="仿宋_GB2312" w:cs="仿宋_GB2312"/>
          <w:b w:val="0"/>
          <w:bCs w:val="0"/>
          <w:color w:val="auto"/>
          <w:sz w:val="32"/>
          <w:szCs w:val="32"/>
          <w:highlight w:val="none"/>
          <w:lang w:val="en-US" w:eastAsia="zh-CN"/>
        </w:rPr>
        <w:t>无</w:t>
      </w:r>
      <w:r>
        <w:rPr>
          <w:rFonts w:hint="eastAsia" w:ascii="仿宋_GB2312" w:hAnsi="仿宋_GB2312" w:eastAsia="仿宋_GB2312" w:cs="仿宋_GB2312"/>
          <w:b w:val="0"/>
          <w:bCs w:val="0"/>
          <w:color w:val="auto"/>
          <w:sz w:val="32"/>
          <w:szCs w:val="32"/>
          <w:highlight w:val="none"/>
        </w:rPr>
        <w:t>会议费</w:t>
      </w:r>
      <w:r>
        <w:rPr>
          <w:rFonts w:hint="eastAsia" w:ascii="仿宋_GB2312" w:hAnsi="仿宋_GB2312" w:eastAsia="仿宋_GB2312" w:cs="仿宋_GB2312"/>
          <w:b w:val="0"/>
          <w:bCs w:val="0"/>
          <w:color w:val="auto"/>
          <w:sz w:val="32"/>
          <w:szCs w:val="32"/>
          <w:highlight w:val="none"/>
          <w:lang w:val="en-US" w:eastAsia="zh-CN"/>
        </w:rPr>
        <w:t>开支</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无</w:t>
      </w:r>
      <w:r>
        <w:rPr>
          <w:rFonts w:hint="eastAsia" w:ascii="仿宋_GB2312" w:hAnsi="仿宋_GB2312" w:eastAsia="仿宋_GB2312" w:cs="仿宋_GB2312"/>
          <w:b w:val="0"/>
          <w:bCs w:val="0"/>
          <w:color w:val="auto"/>
          <w:sz w:val="32"/>
          <w:szCs w:val="32"/>
          <w:highlight w:val="none"/>
        </w:rPr>
        <w:t>举办节庆、晚会、论坛、赛事活动，</w:t>
      </w:r>
      <w:r>
        <w:rPr>
          <w:rFonts w:hint="eastAsia" w:ascii="仿宋_GB2312" w:hAnsi="仿宋_GB2312" w:eastAsia="仿宋_GB2312" w:cs="仿宋_GB2312"/>
          <w:b w:val="0"/>
          <w:bCs w:val="0"/>
          <w:color w:val="auto"/>
          <w:sz w:val="32"/>
          <w:szCs w:val="32"/>
          <w:highlight w:val="none"/>
          <w:lang w:val="en-US" w:eastAsia="zh-CN"/>
        </w:rPr>
        <w:t>无</w:t>
      </w:r>
      <w:r>
        <w:rPr>
          <w:rFonts w:hint="eastAsia" w:ascii="仿宋_GB2312" w:hAnsi="仿宋_GB2312" w:eastAsia="仿宋_GB2312" w:cs="仿宋_GB2312"/>
          <w:b w:val="0"/>
          <w:bCs w:val="0"/>
          <w:color w:val="auto"/>
          <w:sz w:val="32"/>
          <w:szCs w:val="32"/>
          <w:highlight w:val="none"/>
        </w:rPr>
        <w:t>开支。</w:t>
      </w:r>
    </w:p>
    <w:p w14:paraId="5922CC3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、关于政府采购支出说明</w:t>
      </w:r>
    </w:p>
    <w:p w14:paraId="1E860BE5">
      <w:pPr>
        <w:ind w:firstLine="640" w:firstLineChars="200"/>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rPr>
        <w:t>本部门202</w:t>
      </w:r>
      <w:r>
        <w:rPr>
          <w:rFonts w:hint="eastAsia" w:ascii="仿宋_GB2312" w:hAnsi="仿宋_GB2312" w:eastAsia="仿宋_GB2312"/>
          <w:color w:val="auto"/>
          <w:sz w:val="32"/>
          <w:szCs w:val="32"/>
          <w:highlight w:val="none"/>
          <w:lang w:val="en-US" w:eastAsia="zh-CN"/>
        </w:rPr>
        <w:t>2</w:t>
      </w:r>
      <w:r>
        <w:rPr>
          <w:rFonts w:hint="eastAsia" w:ascii="仿宋_GB2312" w:hAnsi="仿宋_GB2312" w:eastAsia="仿宋_GB2312"/>
          <w:color w:val="auto"/>
          <w:sz w:val="32"/>
          <w:szCs w:val="32"/>
          <w:highlight w:val="none"/>
        </w:rPr>
        <w:t>年度政府采购支出总额</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万元，其中：政府采购货物支出</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万元、政府采购工程支出</w:t>
      </w:r>
      <w:r>
        <w:rPr>
          <w:rFonts w:hint="default" w:ascii="仿宋_GB2312" w:hAnsi="仿宋_GB2312" w:eastAsia="仿宋_GB2312"/>
          <w:color w:val="auto"/>
          <w:sz w:val="32"/>
          <w:szCs w:val="32"/>
          <w:highlight w:val="none"/>
        </w:rPr>
        <w:t>0</w:t>
      </w:r>
      <w:r>
        <w:rPr>
          <w:rFonts w:hint="eastAsia" w:ascii="仿宋_GB2312" w:hAnsi="仿宋_GB2312" w:eastAsia="仿宋_GB2312"/>
          <w:color w:val="auto"/>
          <w:sz w:val="32"/>
          <w:szCs w:val="32"/>
          <w:highlight w:val="none"/>
        </w:rPr>
        <w:t>万元、政府采购服务支出</w:t>
      </w:r>
      <w:r>
        <w:rPr>
          <w:rFonts w:hint="default" w:ascii="仿宋_GB2312" w:hAnsi="仿宋_GB2312" w:eastAsia="仿宋_GB2312"/>
          <w:color w:val="auto"/>
          <w:sz w:val="32"/>
          <w:szCs w:val="32"/>
          <w:highlight w:val="none"/>
        </w:rPr>
        <w:t>0</w:t>
      </w:r>
      <w:r>
        <w:rPr>
          <w:rFonts w:hint="eastAsia" w:ascii="仿宋_GB2312" w:hAnsi="仿宋_GB2312" w:eastAsia="仿宋_GB2312"/>
          <w:color w:val="auto"/>
          <w:sz w:val="32"/>
          <w:szCs w:val="32"/>
          <w:highlight w:val="none"/>
        </w:rPr>
        <w:t>万元。授予中小企业合同金额</w:t>
      </w:r>
      <w:r>
        <w:rPr>
          <w:rFonts w:hint="default" w:ascii="仿宋_GB2312" w:hAnsi="仿宋_GB2312" w:eastAsia="仿宋_GB2312"/>
          <w:color w:val="auto"/>
          <w:sz w:val="32"/>
          <w:szCs w:val="32"/>
          <w:highlight w:val="none"/>
        </w:rPr>
        <w:t>0</w:t>
      </w:r>
      <w:r>
        <w:rPr>
          <w:rFonts w:hint="eastAsia" w:ascii="仿宋_GB2312" w:hAnsi="仿宋_GB2312" w:eastAsia="仿宋_GB2312"/>
          <w:color w:val="auto"/>
          <w:sz w:val="32"/>
          <w:szCs w:val="32"/>
          <w:highlight w:val="none"/>
        </w:rPr>
        <w:t>万元</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无法计算授予中小企业合同金额占政府采购支出总额的百分比</w:t>
      </w:r>
      <w:r>
        <w:rPr>
          <w:rFonts w:hint="eastAsia" w:ascii="仿宋_GB2312" w:hAnsi="仿宋_GB2312" w:eastAsia="仿宋_GB2312"/>
          <w:color w:val="auto"/>
          <w:sz w:val="32"/>
          <w:szCs w:val="32"/>
          <w:highlight w:val="none"/>
        </w:rPr>
        <w:t>。</w:t>
      </w:r>
      <w:bookmarkStart w:id="2" w:name="DIS_MARK_GP_BGT_CGHW_AMT"/>
      <w:r>
        <w:rPr>
          <w:rFonts w:hint="eastAsia" w:ascii="仿宋_GB2312" w:hAnsi="仿宋_GB2312" w:eastAsia="仿宋_GB2312"/>
          <w:color w:val="auto"/>
          <w:sz w:val="32"/>
          <w:szCs w:val="32"/>
          <w:highlight w:val="none"/>
        </w:rPr>
        <w:t>其中：授予小微企业合同金额0万元，</w:t>
      </w:r>
      <w:r>
        <w:rPr>
          <w:rFonts w:hint="eastAsia" w:ascii="仿宋_GB2312" w:hAnsi="仿宋_GB2312" w:eastAsia="仿宋_GB2312"/>
          <w:color w:val="auto"/>
          <w:sz w:val="32"/>
          <w:szCs w:val="32"/>
          <w:highlight w:val="none"/>
          <w:lang w:val="en-US" w:eastAsia="zh-CN"/>
        </w:rPr>
        <w:t>无法计算授予</w:t>
      </w:r>
      <w:r>
        <w:rPr>
          <w:rFonts w:hint="eastAsia" w:ascii="仿宋_GB2312" w:hAnsi="仿宋_GB2312" w:eastAsia="仿宋_GB2312"/>
          <w:color w:val="auto"/>
          <w:sz w:val="32"/>
          <w:szCs w:val="32"/>
          <w:highlight w:val="none"/>
        </w:rPr>
        <w:t>小微企业</w:t>
      </w:r>
      <w:r>
        <w:rPr>
          <w:rFonts w:hint="eastAsia" w:ascii="仿宋_GB2312" w:hAnsi="仿宋_GB2312" w:eastAsia="仿宋_GB2312"/>
          <w:color w:val="auto"/>
          <w:sz w:val="32"/>
          <w:szCs w:val="32"/>
          <w:highlight w:val="none"/>
          <w:lang w:val="en-US" w:eastAsia="zh-CN"/>
        </w:rPr>
        <w:t>合同金额占政府采购支出总额的百分比</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由于</w:t>
      </w:r>
      <w:r>
        <w:rPr>
          <w:rFonts w:hint="eastAsia" w:ascii="仿宋_GB2312" w:hAnsi="仿宋_GB2312" w:eastAsia="仿宋_GB2312"/>
          <w:color w:val="auto"/>
          <w:sz w:val="32"/>
          <w:szCs w:val="32"/>
          <w:highlight w:val="none"/>
        </w:rPr>
        <w:t>货物采购授予中小企业合同金额占货物支出金额</w:t>
      </w:r>
      <w:r>
        <w:rPr>
          <w:rFonts w:hint="eastAsia" w:ascii="仿宋_GB2312" w:hAnsi="仿宋_GB2312" w:eastAsia="仿宋_GB2312"/>
          <w:color w:val="auto"/>
          <w:sz w:val="32"/>
          <w:szCs w:val="32"/>
          <w:highlight w:val="none"/>
          <w:lang w:val="en-US" w:eastAsia="zh-CN"/>
        </w:rPr>
        <w:t>0万元</w:t>
      </w:r>
      <w:bookmarkEnd w:id="2"/>
      <w:bookmarkStart w:id="3" w:name="START_GP_BGT_CGGC_AMT"/>
      <w:bookmarkEnd w:id="3"/>
      <w:bookmarkStart w:id="4" w:name="START_GP_BGT_CGGC_AMT_1"/>
      <w:bookmarkEnd w:id="4"/>
      <w:bookmarkStart w:id="5" w:name="END_GP_BGT_CGHW_AMT"/>
      <w:bookmarkEnd w:id="5"/>
      <w:bookmarkStart w:id="6" w:name="END_GP_BGT_CGHW_AMT_1"/>
      <w:bookmarkEnd w:id="6"/>
      <w:bookmarkStart w:id="7" w:name="DIS_MARK_GP_BGT_CGHW_AMT_1"/>
      <w:bookmarkEnd w:id="7"/>
      <w:bookmarkStart w:id="8" w:name="END_GP_BGT_CGGC_AMT"/>
      <w:bookmarkEnd w:id="8"/>
      <w:bookmarkStart w:id="9" w:name="DIS_MARK_GP_BGT_CGGC_AMT"/>
      <w:bookmarkEnd w:id="9"/>
      <w:bookmarkStart w:id="10" w:name="START_GP_BGT_CGHW_AMT_1"/>
      <w:bookmarkEnd w:id="10"/>
      <w:bookmarkStart w:id="11" w:name="DIS_MARK_GP_BGT_CGGC_AMT_1"/>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rPr>
        <w:t>无法计算货物采购授予中小企业合同金额占</w:t>
      </w:r>
      <w:r>
        <w:rPr>
          <w:rFonts w:hint="eastAsia" w:ascii="仿宋_GB2312" w:hAnsi="仿宋_GB2312" w:eastAsia="仿宋_GB2312"/>
          <w:color w:val="auto"/>
          <w:sz w:val="32"/>
          <w:szCs w:val="32"/>
          <w:highlight w:val="none"/>
          <w:lang w:val="en-US" w:eastAsia="zh-CN"/>
        </w:rPr>
        <w:t>货物</w:t>
      </w:r>
      <w:r>
        <w:rPr>
          <w:rFonts w:hint="eastAsia" w:ascii="仿宋_GB2312" w:hAnsi="仿宋_GB2312" w:eastAsia="仿宋_GB2312"/>
          <w:color w:val="auto"/>
          <w:sz w:val="32"/>
          <w:szCs w:val="32"/>
          <w:highlight w:val="none"/>
        </w:rPr>
        <w:t>支出金额的百分比；由于工程支出金额为0万元，无法计算工程采购授予中小企业合同金额占工程支出金额的百分比；</w:t>
      </w:r>
      <w:bookmarkEnd w:id="11"/>
      <w:bookmarkStart w:id="12" w:name="END_GP_BGT_CGGC_AMT_1"/>
      <w:bookmarkEnd w:id="12"/>
      <w:bookmarkStart w:id="13" w:name="START_GP_BGT_CGFW_AMT"/>
      <w:bookmarkEnd w:id="13"/>
      <w:bookmarkStart w:id="14" w:name="DIS_MARK_GP_BGT_CGFW_AMT"/>
      <w:r>
        <w:rPr>
          <w:rFonts w:hint="eastAsia" w:ascii="仿宋_GB2312" w:hAnsi="仿宋_GB2312" w:eastAsia="仿宋_GB2312"/>
          <w:color w:val="auto"/>
          <w:sz w:val="32"/>
          <w:szCs w:val="32"/>
          <w:highlight w:val="none"/>
        </w:rPr>
        <w:t>由于</w:t>
      </w:r>
      <w:r>
        <w:rPr>
          <w:rFonts w:hint="eastAsia" w:ascii="仿宋_GB2312" w:hAnsi="仿宋_GB2312" w:eastAsia="仿宋_GB2312"/>
          <w:color w:val="auto"/>
          <w:sz w:val="32"/>
          <w:szCs w:val="32"/>
          <w:highlight w:val="none"/>
          <w:lang w:val="en-US" w:eastAsia="zh-CN"/>
        </w:rPr>
        <w:t>服务</w:t>
      </w:r>
      <w:r>
        <w:rPr>
          <w:rFonts w:hint="eastAsia" w:ascii="仿宋_GB2312" w:hAnsi="仿宋_GB2312" w:eastAsia="仿宋_GB2312"/>
          <w:color w:val="auto"/>
          <w:sz w:val="32"/>
          <w:szCs w:val="32"/>
          <w:highlight w:val="none"/>
        </w:rPr>
        <w:t>支出金额为0万元，无法计算</w:t>
      </w:r>
      <w:r>
        <w:rPr>
          <w:rFonts w:hint="eastAsia" w:ascii="仿宋_GB2312" w:hAnsi="仿宋_GB2312" w:eastAsia="仿宋_GB2312"/>
          <w:color w:val="auto"/>
          <w:sz w:val="32"/>
          <w:szCs w:val="32"/>
          <w:highlight w:val="none"/>
          <w:lang w:val="en-US" w:eastAsia="zh-CN"/>
        </w:rPr>
        <w:t>服务</w:t>
      </w:r>
      <w:r>
        <w:rPr>
          <w:rFonts w:hint="eastAsia" w:ascii="仿宋_GB2312" w:hAnsi="仿宋_GB2312" w:eastAsia="仿宋_GB2312"/>
          <w:color w:val="auto"/>
          <w:sz w:val="32"/>
          <w:szCs w:val="32"/>
          <w:highlight w:val="none"/>
        </w:rPr>
        <w:t>采购授予中小企业合同金额占</w:t>
      </w:r>
      <w:r>
        <w:rPr>
          <w:rFonts w:hint="eastAsia" w:ascii="仿宋_GB2312" w:hAnsi="仿宋_GB2312" w:eastAsia="仿宋_GB2312"/>
          <w:color w:val="auto"/>
          <w:sz w:val="32"/>
          <w:szCs w:val="32"/>
          <w:highlight w:val="none"/>
          <w:lang w:val="en-US" w:eastAsia="zh-CN"/>
        </w:rPr>
        <w:t>服务</w:t>
      </w:r>
      <w:r>
        <w:rPr>
          <w:rFonts w:hint="eastAsia" w:ascii="仿宋_GB2312" w:hAnsi="仿宋_GB2312" w:eastAsia="仿宋_GB2312"/>
          <w:color w:val="auto"/>
          <w:sz w:val="32"/>
          <w:szCs w:val="32"/>
          <w:highlight w:val="none"/>
        </w:rPr>
        <w:t>支出金额的百分比</w:t>
      </w:r>
      <w:bookmarkEnd w:id="14"/>
      <w:r>
        <w:rPr>
          <w:rFonts w:hint="eastAsia" w:ascii="仿宋_GB2312" w:hAnsi="仿宋_GB2312" w:eastAsia="仿宋_GB2312"/>
          <w:color w:val="auto"/>
          <w:sz w:val="32"/>
          <w:szCs w:val="32"/>
          <w:highlight w:val="none"/>
          <w:lang w:eastAsia="zh-CN"/>
        </w:rPr>
        <w:t>。</w:t>
      </w:r>
    </w:p>
    <w:p w14:paraId="36958F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、关于国有资产占用情况说明</w:t>
      </w:r>
    </w:p>
    <w:p w14:paraId="3B03243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截至202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年12月31日，本单位共有车辆</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辆，</w:t>
      </w:r>
      <w:r>
        <w:rPr>
          <w:rFonts w:hint="eastAsia" w:ascii="仿宋_GB2312" w:hAnsi="仿宋_GB2312" w:eastAsia="仿宋_GB2312" w:cs="仿宋_GB2312"/>
          <w:b w:val="0"/>
          <w:bCs w:val="0"/>
          <w:color w:val="auto"/>
          <w:sz w:val="32"/>
          <w:szCs w:val="32"/>
          <w:highlight w:val="none"/>
          <w:lang w:val="en-US" w:eastAsia="zh-CN"/>
        </w:rPr>
        <w:t>其中，一般公务</w:t>
      </w:r>
      <w:r>
        <w:rPr>
          <w:rFonts w:hint="eastAsia" w:ascii="仿宋_GB2312" w:hAnsi="仿宋_GB2312" w:eastAsia="仿宋_GB2312" w:cs="仿宋_GB2312"/>
          <w:b w:val="0"/>
          <w:bCs w:val="0"/>
          <w:color w:val="auto"/>
          <w:sz w:val="32"/>
          <w:szCs w:val="32"/>
          <w:highlight w:val="none"/>
        </w:rPr>
        <w:t>用车</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辆；单位价值50万元以上通用设备</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台（套）；单位价值100万元以上专用设备</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台（套）。</w:t>
      </w:r>
    </w:p>
    <w:p w14:paraId="305CFBA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黑体" w:hAnsi="黑体" w:eastAsia="黑体" w:cs="黑体"/>
          <w:b w:val="0"/>
          <w:bCs/>
          <w:color w:val="auto"/>
          <w:sz w:val="32"/>
          <w:szCs w:val="32"/>
          <w:highlight w:val="none"/>
        </w:rPr>
        <w:t>年度预算绩效情况的说明</w:t>
      </w:r>
    </w:p>
    <w:p w14:paraId="1D10AF0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本部门预算绩效管理开展情况、绩效目标和绩效评价报告等，按照财政绩效部门要求已公开或其他有关部门要求需随同部门决算一同公开的绩效信息。</w:t>
      </w:r>
    </w:p>
    <w:p w14:paraId="059B60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（一）绩效管理评价工作开展情况</w:t>
      </w:r>
    </w:p>
    <w:p w14:paraId="45703E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我办认真对202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年度所有预算资金支出经济性、效率性、有效性和可持续性进行客观、公正的评价。</w:t>
      </w:r>
    </w:p>
    <w:p w14:paraId="592945C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（二）部门决算绩效自评</w:t>
      </w:r>
    </w:p>
    <w:p w14:paraId="5832671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1、怀化市政府驻广州办事办属一类公益性事业单位（正办级），隶属怀化市人民政府办公室管理，其职能职责如下：</w:t>
      </w:r>
    </w:p>
    <w:p w14:paraId="4FEC674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（1）按照市委、市人民政府的要求，宣传怀化，促进怀化与广州及珠三角地区的经济交流，劳务输出，为怀化引进资金、技术、人才、农产品和先进管理经验。</w:t>
      </w:r>
    </w:p>
    <w:p w14:paraId="1086C8F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（2）围绕市委、市人民政府的中心工作，开发信息资源，建立健全信息网络，强化综合信息办理手段，开展专题信息调研，为市委、市人民政府决策提供信息服务。</w:t>
      </w:r>
    </w:p>
    <w:p w14:paraId="530A863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（3）负责与广州的党、政、军机关、怀籍人士、怀籍企业和各界人士的联络，争取他们对怀化经济建设和社会发展的支持帮助。</w:t>
      </w:r>
    </w:p>
    <w:p w14:paraId="5901F63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（4）负责市领导在广州的接待服务工作；为市直单位和各县、市、区在广州进行公务活动的人员提供方便。</w:t>
      </w:r>
    </w:p>
    <w:p w14:paraId="72E7C6F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（5）按照市委、市人民政府的要求，对市直单位，各县、市、区大型企业设的各类联络机构进行管理、协调和指导。</w:t>
      </w:r>
    </w:p>
    <w:p w14:paraId="3CCFB16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（6）加强与广州有关职能部门的沟通协调，为怀籍务工人员提供服务，协助办理民族事务，协助办理突发事件，协助做好信访工作，调解纠纷，化解矛盾，维护怀籍劳务人员的人身权益。</w:t>
      </w:r>
    </w:p>
    <w:p w14:paraId="56E868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（7）承办市委、市人民政府交办的其它事项</w:t>
      </w:r>
    </w:p>
    <w:p w14:paraId="3230B9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我办每年年初预算拨款不足，只能由年中财政调剂增补。作为珠三角经济辐射带的龙头，大量的经济信息调研；招商引资工作日常经费开支安排不够充裕。我办为全额拨款的公益性事业单位,并没有其他收入来源。</w:t>
      </w:r>
    </w:p>
    <w:p w14:paraId="7674BF9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（三）部门评价绩效评价结果</w:t>
      </w:r>
    </w:p>
    <w:p w14:paraId="2B70CC9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部门评价报告已在财政网上公开</w:t>
      </w:r>
      <w:r>
        <w:rPr>
          <w:rFonts w:hint="eastAsia" w:ascii="仿宋_GB2312" w:hAnsi="仿宋_GB2312" w:eastAsia="仿宋_GB2312" w:cs="仿宋_GB2312"/>
          <w:b w:val="0"/>
          <w:bCs w:val="0"/>
          <w:color w:val="auto"/>
          <w:sz w:val="32"/>
          <w:szCs w:val="32"/>
          <w:highlight w:val="none"/>
          <w:lang w:eastAsia="zh-CN"/>
        </w:rPr>
        <w:t>。</w:t>
      </w:r>
    </w:p>
    <w:p w14:paraId="64ECF4DD">
      <w:pPr>
        <w:pStyle w:val="12"/>
        <w:jc w:val="center"/>
        <w:rPr>
          <w:rFonts w:hint="eastAsia" w:ascii="仿宋" w:hAnsi="仿宋" w:eastAsia="仿宋" w:cs="仿宋"/>
          <w:color w:val="auto"/>
          <w:sz w:val="32"/>
          <w:szCs w:val="32"/>
          <w:highlight w:val="none"/>
        </w:rPr>
      </w:pPr>
    </w:p>
    <w:p w14:paraId="58FD5CE3">
      <w:pPr>
        <w:pStyle w:val="12"/>
        <w:jc w:val="center"/>
        <w:rPr>
          <w:color w:val="auto"/>
          <w:sz w:val="72"/>
          <w:szCs w:val="72"/>
          <w:highlight w:val="none"/>
        </w:rPr>
      </w:pPr>
    </w:p>
    <w:p w14:paraId="38BFB6D7">
      <w:pPr>
        <w:pStyle w:val="12"/>
        <w:jc w:val="center"/>
        <w:rPr>
          <w:color w:val="auto"/>
          <w:sz w:val="72"/>
          <w:szCs w:val="72"/>
          <w:highlight w:val="none"/>
        </w:rPr>
      </w:pPr>
    </w:p>
    <w:p w14:paraId="37DC9775">
      <w:pPr>
        <w:pStyle w:val="12"/>
        <w:jc w:val="center"/>
        <w:rPr>
          <w:color w:val="auto"/>
          <w:sz w:val="72"/>
          <w:szCs w:val="72"/>
          <w:highlight w:val="none"/>
        </w:rPr>
      </w:pPr>
    </w:p>
    <w:p w14:paraId="721F43FC">
      <w:pPr>
        <w:pStyle w:val="12"/>
        <w:jc w:val="both"/>
        <w:rPr>
          <w:rFonts w:hint="eastAsia" w:ascii="方正小标宋_GBK" w:hAnsi="方正小标宋_GBK" w:eastAsia="方正小标宋_GBK" w:cs="方正小标宋_GBK"/>
          <w:color w:val="auto"/>
          <w:sz w:val="72"/>
          <w:szCs w:val="72"/>
          <w:highlight w:val="none"/>
        </w:rPr>
      </w:pPr>
    </w:p>
    <w:p w14:paraId="0B86AB0E">
      <w:pPr>
        <w:pStyle w:val="12"/>
        <w:jc w:val="center"/>
        <w:rPr>
          <w:rFonts w:hint="eastAsia" w:ascii="方正小标宋_GBK" w:hAnsi="方正小标宋_GBK" w:eastAsia="方正小标宋_GBK" w:cs="方正小标宋_GBK"/>
          <w:color w:val="auto"/>
          <w:sz w:val="72"/>
          <w:szCs w:val="72"/>
          <w:highlight w:val="none"/>
        </w:rPr>
      </w:pPr>
    </w:p>
    <w:p w14:paraId="4AF2FBE2">
      <w:pPr>
        <w:pStyle w:val="12"/>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第四部分</w:t>
      </w:r>
    </w:p>
    <w:p w14:paraId="3CDF846E">
      <w:pPr>
        <w:jc w:val="center"/>
        <w:rPr>
          <w:rFonts w:hint="eastAsia" w:ascii="方正小标宋_GBK" w:hAnsi="方正小标宋_GBK" w:eastAsia="方正小标宋_GBK" w:cs="方正小标宋_GBK"/>
          <w:color w:val="auto"/>
          <w:kern w:val="0"/>
          <w:sz w:val="70"/>
          <w:szCs w:val="70"/>
          <w:highlight w:val="none"/>
        </w:rPr>
      </w:pPr>
    </w:p>
    <w:p w14:paraId="40EB3AF7">
      <w:pPr>
        <w:jc w:val="center"/>
        <w:rPr>
          <w:rFonts w:hint="eastAsia" w:ascii="方正小标宋_GBK" w:hAnsi="方正小标宋_GBK" w:eastAsia="方正小标宋_GBK" w:cs="方正小标宋_GBK"/>
          <w:color w:val="auto"/>
          <w:kern w:val="0"/>
          <w:sz w:val="70"/>
          <w:szCs w:val="70"/>
          <w:highlight w:val="none"/>
        </w:rPr>
      </w:pPr>
      <w:r>
        <w:rPr>
          <w:rFonts w:hint="eastAsia" w:ascii="方正小标宋_GBK" w:hAnsi="方正小标宋_GBK" w:eastAsia="方正小标宋_GBK" w:cs="方正小标宋_GBK"/>
          <w:color w:val="auto"/>
          <w:kern w:val="0"/>
          <w:sz w:val="70"/>
          <w:szCs w:val="70"/>
          <w:highlight w:val="none"/>
        </w:rPr>
        <w:t>名词解释</w:t>
      </w:r>
    </w:p>
    <w:p w14:paraId="0D1D0196">
      <w:pPr>
        <w:widowControl/>
        <w:jc w:val="left"/>
        <w:rPr>
          <w:rFonts w:cs="黑体" w:asciiTheme="minorEastAsia" w:hAnsiTheme="minorEastAsia"/>
          <w:color w:val="auto"/>
          <w:kern w:val="0"/>
          <w:sz w:val="32"/>
          <w:szCs w:val="32"/>
          <w:highlight w:val="none"/>
        </w:rPr>
      </w:pPr>
      <w:r>
        <w:rPr>
          <w:rFonts w:hint="eastAsia" w:ascii="方正小标宋_GBK" w:hAnsi="方正小标宋_GBK" w:eastAsia="方正小标宋_GBK" w:cs="方正小标宋_GBK"/>
          <w:color w:val="auto"/>
          <w:kern w:val="0"/>
          <w:sz w:val="70"/>
          <w:szCs w:val="70"/>
          <w:highlight w:val="none"/>
        </w:rPr>
        <w:br w:type="page"/>
      </w:r>
    </w:p>
    <w:p w14:paraId="5F1B6141">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32C1F249">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2.“三公”经费：纳入财政预算管理的“三公”经费，是指用一般公共预算拨款安排的公务接待费、</w:t>
      </w:r>
    </w:p>
    <w:p w14:paraId="13444494">
      <w:pPr>
        <w:pStyle w:val="6"/>
        <w:shd w:val="clear" w:color="auto" w:fill="FFFFFF"/>
        <w:spacing w:before="0" w:beforeAutospacing="0" w:after="76" w:afterAutospacing="0" w:line="510" w:lineRule="atLeast"/>
        <w:ind w:firstLine="42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务用车购置及运行维护费和因公出国（境）费。其中，公务接待费反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7B3D31C">
      <w:pPr>
        <w:pStyle w:val="12"/>
        <w:jc w:val="center"/>
        <w:rPr>
          <w:color w:val="auto"/>
          <w:sz w:val="72"/>
          <w:szCs w:val="72"/>
          <w:highlight w:val="none"/>
        </w:rPr>
      </w:pPr>
    </w:p>
    <w:p w14:paraId="4BAE7312">
      <w:pPr>
        <w:pStyle w:val="6"/>
        <w:shd w:val="clear" w:color="auto" w:fill="FFFFFF"/>
        <w:spacing w:before="0" w:beforeAutospacing="0" w:after="76" w:afterAutospacing="0" w:line="510" w:lineRule="atLeast"/>
        <w:ind w:firstLine="420"/>
        <w:jc w:val="both"/>
        <w:rPr>
          <w:rFonts w:ascii="黑体" w:hAnsi="黑体" w:eastAsia="黑体"/>
          <w:color w:val="auto"/>
          <w:sz w:val="72"/>
          <w:szCs w:val="72"/>
          <w:highlight w:val="none"/>
        </w:rPr>
      </w:pPr>
      <w:r>
        <w:rPr>
          <w:rFonts w:hint="eastAsia" w:ascii="黑体" w:hAnsi="黑体" w:eastAsia="黑体"/>
          <w:color w:val="auto"/>
          <w:sz w:val="72"/>
          <w:szCs w:val="72"/>
          <w:highlight w:val="none"/>
        </w:rPr>
        <w:t>第五部分 附件</w:t>
      </w:r>
    </w:p>
    <w:p w14:paraId="72BA8F28">
      <w:pPr>
        <w:pStyle w:val="6"/>
        <w:shd w:val="clear" w:color="auto" w:fill="FFFFFF"/>
        <w:spacing w:before="0" w:beforeAutospacing="0" w:after="76" w:afterAutospacing="0" w:line="510" w:lineRule="atLeast"/>
        <w:ind w:firstLine="42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附件一 </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"https://www.huaihua.gov.cn/czj/c116208/202210/e37a9fcca57642c4bce4116f583e4dbb/files/784131d5e8a64ecc92d5b2736af96085.xlsx" \t "_blank" </w:instrText>
      </w:r>
      <w:r>
        <w:rPr>
          <w:rFonts w:hint="eastAsia" w:ascii="仿宋" w:hAnsi="仿宋" w:eastAsia="仿宋" w:cs="仿宋"/>
          <w:color w:val="auto"/>
          <w:sz w:val="32"/>
          <w:szCs w:val="32"/>
          <w:highlight w:val="none"/>
        </w:rPr>
        <w:fldChar w:fldCharType="separate"/>
      </w:r>
      <w:r>
        <w:rPr>
          <w:rStyle w:val="9"/>
          <w:rFonts w:hint="eastAsia" w:ascii="仿宋" w:hAnsi="仿宋" w:eastAsia="仿宋" w:cs="仿宋"/>
          <w:color w:val="auto"/>
          <w:sz w:val="32"/>
          <w:szCs w:val="32"/>
          <w:highlight w:val="none"/>
          <w:u w:val="none"/>
        </w:rPr>
        <w:t>怀化市政府驻广州办事处</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年度部门整体支出绩效评价报告</w:t>
      </w:r>
    </w:p>
    <w:p w14:paraId="13262557">
      <w:pPr>
        <w:pStyle w:val="6"/>
        <w:shd w:val="clear" w:color="auto" w:fill="FFFFFF"/>
        <w:spacing w:before="0" w:beforeAutospacing="0" w:after="76" w:afterAutospacing="0" w:line="510" w:lineRule="atLeast"/>
        <w:ind w:firstLine="42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附件二 </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"https://www.huaihua.gov.cn/czj/c116208/202210/e37a9fcca57642c4bce4116f583e4dbb/files/784131d5e8a64ecc92d5b2736af96085.xlsx" \t "_blank" </w:instrText>
      </w:r>
      <w:r>
        <w:rPr>
          <w:rFonts w:hint="eastAsia" w:ascii="仿宋" w:hAnsi="仿宋" w:eastAsia="仿宋" w:cs="仿宋"/>
          <w:color w:val="auto"/>
          <w:sz w:val="32"/>
          <w:szCs w:val="32"/>
          <w:highlight w:val="none"/>
        </w:rPr>
        <w:fldChar w:fldCharType="separate"/>
      </w:r>
      <w:r>
        <w:rPr>
          <w:rStyle w:val="9"/>
          <w:rFonts w:hint="eastAsia" w:ascii="仿宋" w:hAnsi="仿宋" w:eastAsia="仿宋" w:cs="仿宋"/>
          <w:color w:val="auto"/>
          <w:sz w:val="32"/>
          <w:szCs w:val="32"/>
          <w:highlight w:val="none"/>
          <w:u w:val="none"/>
        </w:rPr>
        <w:t>怀化市政府驻广州办事处</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部门决算公开表</w:t>
      </w:r>
    </w:p>
    <w:p w14:paraId="0910F01F">
      <w:pPr>
        <w:pStyle w:val="12"/>
        <w:jc w:val="center"/>
        <w:rPr>
          <w:color w:val="auto"/>
          <w:sz w:val="72"/>
          <w:szCs w:val="72"/>
          <w:highlight w:val="none"/>
        </w:rPr>
      </w:pPr>
    </w:p>
    <w:p w14:paraId="44A97557">
      <w:pPr>
        <w:pStyle w:val="12"/>
        <w:jc w:val="center"/>
        <w:rPr>
          <w:color w:val="auto"/>
          <w:sz w:val="72"/>
          <w:szCs w:val="72"/>
          <w:highlight w:val="none"/>
        </w:rPr>
      </w:pPr>
    </w:p>
    <w:p w14:paraId="71E1365F">
      <w:pPr>
        <w:pStyle w:val="12"/>
        <w:jc w:val="center"/>
        <w:rPr>
          <w:color w:val="auto"/>
          <w:sz w:val="72"/>
          <w:szCs w:val="72"/>
          <w:highlight w:val="none"/>
        </w:rPr>
      </w:pPr>
    </w:p>
    <w:p w14:paraId="65899D28">
      <w:pPr>
        <w:jc w:val="left"/>
        <w:rPr>
          <w:rFonts w:hint="eastAsia" w:cs="黑体" w:asciiTheme="minorEastAsia" w:hAnsiTheme="minorEastAsia" w:eastAsiaTheme="minorEastAsia"/>
          <w:color w:val="auto"/>
          <w:kern w:val="0"/>
          <w:sz w:val="32"/>
          <w:szCs w:val="32"/>
          <w:highlight w:val="none"/>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D36B7-19F1-4F39-A93F-28472033A7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9AA4D4A9-C565-45EF-92BF-F8A3B2871B9C}"/>
  </w:font>
  <w:font w:name="仿宋_GB2312">
    <w:panose1 w:val="02010609030101010101"/>
    <w:charset w:val="86"/>
    <w:family w:val="modern"/>
    <w:pitch w:val="default"/>
    <w:sig w:usb0="00000001" w:usb1="080E0000" w:usb2="00000000" w:usb3="00000000" w:csb0="00040000" w:csb1="00000000"/>
    <w:embedRegular r:id="rId3" w:fontKey="{E86AE404-80A1-4F6C-9573-BE71AAAA323B}"/>
  </w:font>
  <w:font w:name="仿宋">
    <w:panose1 w:val="02010609060101010101"/>
    <w:charset w:val="86"/>
    <w:family w:val="auto"/>
    <w:pitch w:val="default"/>
    <w:sig w:usb0="800002BF" w:usb1="38CF7CFA" w:usb2="00000016" w:usb3="00000000" w:csb0="00040001" w:csb1="00000000"/>
    <w:embedRegular r:id="rId4" w:fontKey="{6CA313BC-3DB1-480E-A6AB-EA60BB41AE85}"/>
  </w:font>
  <w:font w:name="楷体">
    <w:panose1 w:val="02010609060101010101"/>
    <w:charset w:val="86"/>
    <w:family w:val="auto"/>
    <w:pitch w:val="default"/>
    <w:sig w:usb0="800002BF" w:usb1="38CF7CFA" w:usb2="00000016" w:usb3="00000000" w:csb0="00040001" w:csb1="00000000"/>
    <w:embedRegular r:id="rId5" w:fontKey="{460DB54C-7A88-4862-B206-B1C6282671B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3B08C"/>
    <w:multiLevelType w:val="singleLevel"/>
    <w:tmpl w:val="1673B08C"/>
    <w:lvl w:ilvl="0" w:tentative="0">
      <w:start w:val="2"/>
      <w:numFmt w:val="decimal"/>
      <w:suff w:val="nothing"/>
      <w:lvlText w:val="%1、"/>
      <w:lvlJc w:val="left"/>
    </w:lvl>
  </w:abstractNum>
  <w:abstractNum w:abstractNumId="1">
    <w:nsid w:val="6CA80716"/>
    <w:multiLevelType w:val="singleLevel"/>
    <w:tmpl w:val="6CA8071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mVlZWE1YThmOTUxYzdmMmU4OWMyMmJiMWY5ZTgifQ=="/>
    <w:docVar w:name="KSO_WPS_MARK_KEY" w:val="20c1029b-6c34-412f-af3f-358014e9cbe2"/>
  </w:docVars>
  <w:rsids>
    <w:rsidRoot w:val="004506F9"/>
    <w:rsid w:val="0002229B"/>
    <w:rsid w:val="000273BD"/>
    <w:rsid w:val="00040CBC"/>
    <w:rsid w:val="000415B7"/>
    <w:rsid w:val="00041E3F"/>
    <w:rsid w:val="00055DAA"/>
    <w:rsid w:val="00061F7B"/>
    <w:rsid w:val="000658A3"/>
    <w:rsid w:val="00074155"/>
    <w:rsid w:val="000A3F69"/>
    <w:rsid w:val="000D614E"/>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810F1"/>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483348"/>
    <w:rsid w:val="0A36214C"/>
    <w:rsid w:val="0F432048"/>
    <w:rsid w:val="12932BDB"/>
    <w:rsid w:val="1675224E"/>
    <w:rsid w:val="18031FAE"/>
    <w:rsid w:val="1C155265"/>
    <w:rsid w:val="1FF24D88"/>
    <w:rsid w:val="202C2CB0"/>
    <w:rsid w:val="20695A1B"/>
    <w:rsid w:val="20B82FD9"/>
    <w:rsid w:val="2557798A"/>
    <w:rsid w:val="2C4D7652"/>
    <w:rsid w:val="2D254F8A"/>
    <w:rsid w:val="30115CE5"/>
    <w:rsid w:val="30CB0F91"/>
    <w:rsid w:val="31456709"/>
    <w:rsid w:val="354E32DC"/>
    <w:rsid w:val="394871E4"/>
    <w:rsid w:val="3A570BEC"/>
    <w:rsid w:val="3A7A1F71"/>
    <w:rsid w:val="3DD81D22"/>
    <w:rsid w:val="402740A5"/>
    <w:rsid w:val="40B90DCA"/>
    <w:rsid w:val="47DB4F7E"/>
    <w:rsid w:val="47E9695C"/>
    <w:rsid w:val="494A62AE"/>
    <w:rsid w:val="4BA56838"/>
    <w:rsid w:val="4DC34CA8"/>
    <w:rsid w:val="52383B1A"/>
    <w:rsid w:val="56664646"/>
    <w:rsid w:val="5777D4F5"/>
    <w:rsid w:val="5FC6BB1E"/>
    <w:rsid w:val="5FF720F1"/>
    <w:rsid w:val="652E155E"/>
    <w:rsid w:val="6747166D"/>
    <w:rsid w:val="6C6D3E6D"/>
    <w:rsid w:val="6E00060C"/>
    <w:rsid w:val="737D59BA"/>
    <w:rsid w:val="77C37683"/>
    <w:rsid w:val="78C07647"/>
    <w:rsid w:val="79FF515B"/>
    <w:rsid w:val="7A893DB3"/>
    <w:rsid w:val="7DD44F9D"/>
    <w:rsid w:val="7E9F11B4"/>
    <w:rsid w:val="7FA6683B"/>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font0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4441</Words>
  <Characters>4774</Characters>
  <Lines>63</Lines>
  <Paragraphs>18</Paragraphs>
  <TotalTime>6</TotalTime>
  <ScaleCrop>false</ScaleCrop>
  <LinksUpToDate>false</LinksUpToDate>
  <CharactersWithSpaces>4793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WPS_1668149522</cp:lastModifiedBy>
  <cp:lastPrinted>2023-08-15T09:28:00Z</cp:lastPrinted>
  <dcterms:modified xsi:type="dcterms:W3CDTF">2024-10-16T17:34:48Z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C12AB0C27386430F8A0CB041F786D576_12</vt:lpwstr>
  </property>
</Properties>
</file>