
<file path=[Content_Types].xml><?xml version="1.0" encoding="utf-8"?>
<Types xmlns="http://schemas.openxmlformats.org/package/2006/content-types">
  <Default Extension="xml" ContentType="application/xml"/>
  <Default Extension="xlsx" ContentType="application/vnd.openxmlformats-officedocument.spreadsheetml.shee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59215">
      <w:pPr>
        <w:pStyle w:val="13"/>
        <w:jc w:val="both"/>
        <w:rPr>
          <w:rFonts w:hint="eastAsia" w:hAnsi="黑体"/>
          <w:sz w:val="36"/>
          <w:szCs w:val="36"/>
        </w:rPr>
      </w:pPr>
      <w:r>
        <w:rPr>
          <w:rFonts w:hint="eastAsia" w:hAnsi="黑体"/>
          <w:sz w:val="36"/>
          <w:szCs w:val="36"/>
        </w:rPr>
        <w:t>附件2</w:t>
      </w:r>
    </w:p>
    <w:p w14:paraId="543D6992">
      <w:pPr>
        <w:pStyle w:val="13"/>
        <w:jc w:val="center"/>
        <w:rPr>
          <w:rFonts w:ascii="Times New Roman" w:hAnsi="Times New Roman" w:eastAsia="方正小标宋简体" w:cs="Times New Roman"/>
          <w:sz w:val="72"/>
          <w:szCs w:val="72"/>
        </w:rPr>
      </w:pPr>
    </w:p>
    <w:p w14:paraId="410D9BCF">
      <w:pPr>
        <w:pStyle w:val="13"/>
        <w:jc w:val="center"/>
        <w:rPr>
          <w:rFonts w:ascii="Times New Roman" w:hAnsi="Times New Roman" w:eastAsia="方正小标宋简体" w:cs="Times New Roman"/>
          <w:sz w:val="72"/>
          <w:szCs w:val="72"/>
        </w:rPr>
      </w:pPr>
    </w:p>
    <w:p w14:paraId="456434AD">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05D40CA9">
      <w:pPr>
        <w:pStyle w:val="13"/>
        <w:jc w:val="center"/>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r>
        <w:rPr>
          <w:rFonts w:hint="eastAsia" w:ascii="Times New Roman" w:hAnsi="Times New Roman" w:eastAsia="方正小标宋简体" w:cs="Times New Roman"/>
          <w:sz w:val="72"/>
          <w:szCs w:val="72"/>
        </w:rPr>
        <w:t>湖南省怀化市人民政府驻北京联络处</w:t>
      </w:r>
      <w:r>
        <w:rPr>
          <w:rFonts w:ascii="Times New Roman" w:hAnsi="Times New Roman" w:eastAsia="方正小标宋简体" w:cs="Times New Roman"/>
          <w:sz w:val="72"/>
          <w:szCs w:val="72"/>
        </w:rPr>
        <w:t>部门决</w:t>
      </w:r>
      <w:r>
        <w:rPr>
          <w:rFonts w:hint="eastAsia" w:ascii="Times New Roman" w:hAnsi="Times New Roman" w:eastAsia="方正小标宋简体" w:cs="Times New Roman"/>
          <w:sz w:val="72"/>
          <w:szCs w:val="72"/>
          <w:lang w:val="en-US" w:eastAsia="zh-CN"/>
        </w:rPr>
        <w:t>算</w:t>
      </w:r>
    </w:p>
    <w:p w14:paraId="4D217BBA">
      <w:pPr>
        <w:pStyle w:val="13"/>
        <w:spacing w:line="600" w:lineRule="exact"/>
        <w:jc w:val="both"/>
        <w:rPr>
          <w:rFonts w:ascii="Times New Roman" w:hAnsi="Times New Roman" w:cs="Times New Roman"/>
          <w:b/>
          <w:sz w:val="36"/>
          <w:szCs w:val="28"/>
        </w:rPr>
      </w:pPr>
    </w:p>
    <w:p w14:paraId="189478BF">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2E8F9A0">
      <w:pPr>
        <w:pStyle w:val="13"/>
        <w:spacing w:line="600" w:lineRule="exact"/>
        <w:jc w:val="center"/>
        <w:rPr>
          <w:rFonts w:ascii="Times New Roman" w:hAnsi="Times New Roman" w:cs="Times New Roman"/>
          <w:b/>
          <w:sz w:val="36"/>
          <w:szCs w:val="28"/>
        </w:rPr>
      </w:pPr>
    </w:p>
    <w:p w14:paraId="0EBD387C">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湖南省怀化市人民政府驻北京联络处</w:t>
      </w:r>
      <w:r>
        <w:rPr>
          <w:rFonts w:ascii="Times New Roman" w:hAnsi="Times New Roman" w:cs="Times New Roman"/>
          <w:bCs/>
          <w:sz w:val="32"/>
          <w:szCs w:val="32"/>
        </w:rPr>
        <w:t>概况</w:t>
      </w:r>
    </w:p>
    <w:p w14:paraId="0C2C99D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61731D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2E0B3D0">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15F2C2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B2E664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E15B66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202C79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FAF943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D6E4B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81046C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378DA8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E650FE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62062CB">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37AD6F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A95BE09">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DA846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B9AC25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B1F327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5B7581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5B10C8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43ACF4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r>
        <w:rPr>
          <w:rFonts w:hint="eastAsia" w:ascii="Times New Roman" w:hAnsi="Times New Roman" w:eastAsia="仿宋_GB2312" w:cs="Times New Roman"/>
          <w:color w:val="000000"/>
          <w:kern w:val="0"/>
          <w:sz w:val="32"/>
          <w:szCs w:val="32"/>
        </w:rPr>
        <w:t xml:space="preserve">  </w:t>
      </w:r>
    </w:p>
    <w:p w14:paraId="4D6F11C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701F45D">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九、国有资本经营预算收入支出决算情况</w:t>
      </w:r>
    </w:p>
    <w:p w14:paraId="423D368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w:t>
      </w:r>
      <w:r>
        <w:rPr>
          <w:rFonts w:ascii="Times New Roman" w:hAnsi="Times New Roman" w:eastAsia="仿宋_GB2312" w:cs="Times New Roman"/>
          <w:color w:val="000000"/>
          <w:kern w:val="0"/>
          <w:sz w:val="32"/>
          <w:szCs w:val="32"/>
        </w:rPr>
        <w:t>、关于机关运行经费支出说明</w:t>
      </w:r>
      <w:r>
        <w:rPr>
          <w:rFonts w:hint="eastAsia" w:ascii="Times New Roman" w:hAnsi="Times New Roman" w:eastAsia="仿宋_GB2312" w:cs="Times New Roman"/>
          <w:color w:val="000000"/>
          <w:kern w:val="0"/>
          <w:sz w:val="32"/>
          <w:szCs w:val="32"/>
        </w:rPr>
        <w:t xml:space="preserve"> </w:t>
      </w:r>
    </w:p>
    <w:p w14:paraId="4162BF8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一</w:t>
      </w:r>
      <w:r>
        <w:rPr>
          <w:rFonts w:ascii="Times New Roman" w:hAnsi="Times New Roman" w:eastAsia="仿宋_GB2312" w:cs="Times New Roman"/>
          <w:color w:val="000000"/>
          <w:kern w:val="0"/>
          <w:sz w:val="32"/>
          <w:szCs w:val="32"/>
        </w:rPr>
        <w:t>、一般性支出情况说明</w:t>
      </w:r>
    </w:p>
    <w:p w14:paraId="04596A2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二</w:t>
      </w:r>
      <w:r>
        <w:rPr>
          <w:rFonts w:ascii="Times New Roman" w:hAnsi="Times New Roman" w:eastAsia="仿宋_GB2312" w:cs="Times New Roman"/>
          <w:color w:val="000000"/>
          <w:kern w:val="0"/>
          <w:sz w:val="32"/>
          <w:szCs w:val="32"/>
        </w:rPr>
        <w:t>、关于政府采购支出说明</w:t>
      </w:r>
    </w:p>
    <w:p w14:paraId="7549BC5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、关于国有资产占用情况说明</w:t>
      </w:r>
    </w:p>
    <w:p w14:paraId="28CB70E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1FB84922">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BDA5BB0">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2FC73F0">
      <w:pPr>
        <w:pStyle w:val="13"/>
        <w:spacing w:line="600" w:lineRule="exact"/>
        <w:rPr>
          <w:rFonts w:ascii="Times New Roman" w:hAnsi="Times New Roman" w:cs="Times New Roman"/>
          <w:bCs/>
          <w:sz w:val="28"/>
          <w:szCs w:val="28"/>
        </w:rPr>
      </w:pPr>
    </w:p>
    <w:p w14:paraId="02A3F5BD">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FC7D727">
      <w:pPr>
        <w:rPr>
          <w:rFonts w:ascii="Times New Roman" w:hAnsi="Times New Roman" w:eastAsia="方正小标宋_GBK" w:cs="Times New Roman"/>
          <w:sz w:val="72"/>
          <w:szCs w:val="72"/>
        </w:rPr>
      </w:pPr>
    </w:p>
    <w:p w14:paraId="00959DC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D7D7053">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湖南省怀化市人民政府</w:t>
      </w:r>
    </w:p>
    <w:p w14:paraId="06D3A8E1">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驻北京联络处</w:t>
      </w:r>
      <w:r>
        <w:rPr>
          <w:rFonts w:ascii="Times New Roman" w:hAnsi="Times New Roman" w:eastAsia="方正小标宋_GBK" w:cs="Times New Roman"/>
          <w:sz w:val="52"/>
          <w:szCs w:val="52"/>
        </w:rPr>
        <w:t>概况</w:t>
      </w:r>
    </w:p>
    <w:p w14:paraId="01026655">
      <w:pPr>
        <w:pStyle w:val="3"/>
        <w:ind w:left="0" w:leftChars="0" w:firstLine="0" w:firstLineChars="0"/>
        <w:rPr>
          <w:rFonts w:ascii="Times New Roman" w:hAnsi="Times New Roman" w:cs="Times New Roman"/>
        </w:rPr>
      </w:pPr>
    </w:p>
    <w:p w14:paraId="541C7866">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1541DE6">
      <w:pPr>
        <w:spacing w:after="160" w:line="278" w:lineRule="auto"/>
        <w:ind w:firstLine="640" w:firstLineChars="200"/>
        <w:rPr>
          <w:rFonts w:hint="eastAsia" w:ascii="宋体" w:hAnsi="宋体" w:eastAsia="宋体" w:cs="宋体"/>
          <w:kern w:val="0"/>
          <w:sz w:val="24"/>
          <w:szCs w:val="24"/>
        </w:rPr>
      </w:pPr>
      <w:r>
        <w:rPr>
          <w:rFonts w:hint="eastAsia" w:ascii="仿宋" w:hAnsi="仿宋" w:eastAsia="仿宋" w:cs="宋体"/>
          <w:color w:val="000000"/>
          <w:kern w:val="0"/>
          <w:sz w:val="32"/>
          <w:szCs w:val="32"/>
        </w:rPr>
        <w:t>（一）按照市委、市人民政府的要求，宣传、推介怀化，发展怀化与省会城市的经济技术合作，积极开展招商引资工作，为怀化产品输出、劳动力输出和引进资金、技术、人才及先进管理经验牵线搭桥。</w:t>
      </w:r>
    </w:p>
    <w:p w14:paraId="530BC7F6">
      <w:pPr>
        <w:spacing w:after="160" w:line="278" w:lineRule="auto"/>
        <w:ind w:firstLine="640" w:firstLineChars="200"/>
        <w:rPr>
          <w:rFonts w:hint="eastAsia" w:ascii="宋体" w:hAnsi="宋体" w:eastAsia="宋体" w:cs="宋体"/>
          <w:kern w:val="0"/>
          <w:sz w:val="24"/>
          <w:szCs w:val="24"/>
        </w:rPr>
      </w:pPr>
      <w:r>
        <w:rPr>
          <w:rFonts w:hint="eastAsia" w:ascii="仿宋" w:hAnsi="仿宋" w:eastAsia="仿宋" w:cs="宋体"/>
          <w:color w:val="000000"/>
          <w:kern w:val="0"/>
          <w:sz w:val="32"/>
          <w:szCs w:val="32"/>
        </w:rPr>
        <w:t>（二）围绕市委、市人民政府的中心工作，开发信息资源，建立健全信息网络，强化信息处理手段，开展专题信息调研，为领导决策提供信息服务。</w:t>
      </w:r>
    </w:p>
    <w:p w14:paraId="0603062E">
      <w:pPr>
        <w:spacing w:after="160" w:line="278" w:lineRule="auto"/>
        <w:ind w:firstLine="640" w:firstLineChars="200"/>
        <w:rPr>
          <w:rFonts w:hint="eastAsia" w:ascii="宋体" w:hAnsi="宋体" w:eastAsia="宋体" w:cs="宋体"/>
          <w:kern w:val="0"/>
          <w:sz w:val="24"/>
          <w:szCs w:val="24"/>
        </w:rPr>
      </w:pPr>
      <w:r>
        <w:rPr>
          <w:rFonts w:hint="eastAsia" w:ascii="仿宋" w:hAnsi="仿宋" w:eastAsia="仿宋" w:cs="宋体"/>
          <w:color w:val="000000"/>
          <w:kern w:val="0"/>
          <w:sz w:val="32"/>
          <w:szCs w:val="32"/>
        </w:rPr>
        <w:t>（三）负责与省直各部门及北京市党、政、军机关的联系；负责与驻地怀化籍人士、社会各界人士的联络，争取他们对怀化经济建设和社会发展的支持帮助。</w:t>
      </w:r>
    </w:p>
    <w:p w14:paraId="3D10D612">
      <w:pPr>
        <w:spacing w:after="160" w:line="278" w:lineRule="auto"/>
        <w:ind w:firstLine="640" w:firstLineChars="200"/>
        <w:rPr>
          <w:rFonts w:hint="eastAsia" w:ascii="宋体" w:hAnsi="宋体" w:eastAsia="宋体" w:cs="宋体"/>
          <w:kern w:val="0"/>
          <w:sz w:val="24"/>
          <w:szCs w:val="24"/>
        </w:rPr>
      </w:pPr>
      <w:r>
        <w:rPr>
          <w:rFonts w:hint="eastAsia" w:ascii="仿宋" w:hAnsi="仿宋" w:eastAsia="仿宋" w:cs="宋体"/>
          <w:color w:val="000000"/>
          <w:kern w:val="0"/>
          <w:sz w:val="32"/>
          <w:szCs w:val="32"/>
        </w:rPr>
        <w:t>（四）负责市领导在北京的接待服务工作，为市直单位和各县（市、区）在北京进行公务活动的人员提供方便。</w:t>
      </w:r>
    </w:p>
    <w:p w14:paraId="49F155B1">
      <w:pPr>
        <w:spacing w:after="160" w:line="278" w:lineRule="auto"/>
        <w:ind w:firstLine="640" w:firstLineChars="200"/>
        <w:rPr>
          <w:rFonts w:hint="eastAsia" w:ascii="宋体" w:hAnsi="宋体" w:eastAsia="宋体" w:cs="宋体"/>
          <w:kern w:val="0"/>
          <w:sz w:val="24"/>
          <w:szCs w:val="24"/>
        </w:rPr>
      </w:pPr>
      <w:r>
        <w:rPr>
          <w:rFonts w:hint="eastAsia" w:ascii="仿宋" w:hAnsi="仿宋" w:eastAsia="仿宋" w:cs="宋体"/>
          <w:color w:val="000000"/>
          <w:kern w:val="0"/>
          <w:sz w:val="32"/>
          <w:szCs w:val="32"/>
        </w:rPr>
        <w:t>（五）负责做好怀化赴京上访人员处置工作。</w:t>
      </w:r>
    </w:p>
    <w:p w14:paraId="4A714962">
      <w:pPr>
        <w:spacing w:after="160" w:line="278" w:lineRule="auto"/>
        <w:ind w:firstLine="640" w:firstLineChars="200"/>
        <w:rPr>
          <w:rFonts w:hint="eastAsia" w:ascii="宋体" w:hAnsi="宋体" w:eastAsia="宋体" w:cs="宋体"/>
          <w:kern w:val="0"/>
          <w:sz w:val="24"/>
          <w:szCs w:val="24"/>
        </w:rPr>
      </w:pPr>
      <w:r>
        <w:rPr>
          <w:rFonts w:hint="eastAsia" w:ascii="仿宋" w:hAnsi="仿宋" w:eastAsia="仿宋" w:cs="宋体"/>
          <w:color w:val="000000"/>
          <w:kern w:val="0"/>
          <w:sz w:val="32"/>
          <w:szCs w:val="32"/>
        </w:rPr>
        <w:t>（六）对怀化各县级人民政府驻北京的办事处进行指导和协调。</w:t>
      </w:r>
    </w:p>
    <w:p w14:paraId="77190585">
      <w:pPr>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（七）承办市委、市人民政府交办的其他事项。</w:t>
      </w:r>
    </w:p>
    <w:p w14:paraId="5393B05F">
      <w:pPr>
        <w:rPr>
          <w:rFonts w:hint="eastAsia" w:ascii="仿宋" w:hAnsi="仿宋" w:eastAsia="仿宋" w:cs="宋体"/>
          <w:color w:val="000000"/>
          <w:kern w:val="0"/>
          <w:sz w:val="32"/>
          <w:szCs w:val="32"/>
        </w:rPr>
      </w:pPr>
      <w:r>
        <w:rPr>
          <w:rFonts w:hint="eastAsia" w:ascii="黑体" w:hAnsi="黑体" w:eastAsia="黑体" w:cs="黑体"/>
          <w:color w:val="000000"/>
          <w:kern w:val="0"/>
          <w:sz w:val="32"/>
          <w:szCs w:val="32"/>
        </w:rPr>
        <w:t>二、机构设置及决算单位构成</w:t>
      </w:r>
    </w:p>
    <w:p w14:paraId="26ABE6A0">
      <w:pPr>
        <w:ind w:firstLine="640" w:firstLineChars="200"/>
        <w:rPr>
          <w:rFonts w:hint="eastAsia" w:ascii="宋体" w:hAnsi="宋体" w:eastAsia="宋体" w:cs="宋体"/>
          <w:kern w:val="0"/>
          <w:sz w:val="24"/>
          <w:szCs w:val="24"/>
        </w:rPr>
      </w:pPr>
      <w:r>
        <w:rPr>
          <w:rFonts w:hint="eastAsia" w:ascii="仿宋" w:hAnsi="仿宋" w:eastAsia="仿宋" w:cs="宋体"/>
          <w:color w:val="000000"/>
          <w:kern w:val="0"/>
          <w:sz w:val="32"/>
          <w:szCs w:val="32"/>
        </w:rPr>
        <w:t>（一）内设机构设置。</w:t>
      </w:r>
      <w:bookmarkStart w:id="0" w:name="_Hlk177246832"/>
      <w:r>
        <w:rPr>
          <w:rFonts w:hint="eastAsia" w:ascii="仿宋" w:hAnsi="仿宋" w:eastAsia="仿宋" w:cs="宋体"/>
          <w:color w:val="000000"/>
          <w:kern w:val="0"/>
          <w:sz w:val="32"/>
          <w:szCs w:val="32"/>
        </w:rPr>
        <w:t>湖南省怀化市人民政府驻北京联络处</w:t>
      </w:r>
      <w:bookmarkEnd w:id="0"/>
      <w:r>
        <w:rPr>
          <w:rFonts w:hint="eastAsia" w:ascii="仿宋" w:hAnsi="仿宋" w:eastAsia="仿宋" w:cs="宋体"/>
          <w:color w:val="000000"/>
          <w:kern w:val="0"/>
          <w:sz w:val="32"/>
          <w:szCs w:val="32"/>
        </w:rPr>
        <w:t>作为一级部门决算，单位内设科室为：综合科、招商引资科、接待科及信访维稳科。</w:t>
      </w:r>
    </w:p>
    <w:p w14:paraId="25B78AA0">
      <w:pPr>
        <w:widowControl/>
        <w:spacing w:line="600" w:lineRule="exact"/>
        <w:ind w:firstLine="640" w:firstLineChars="200"/>
        <w:rPr>
          <w:rFonts w:ascii="Times New Roman" w:hAnsi="Times New Roman" w:eastAsia="仿宋_GB2312" w:cs="Times New Roman"/>
          <w:sz w:val="28"/>
          <w:szCs w:val="32"/>
        </w:rPr>
      </w:pPr>
      <w:r>
        <w:rPr>
          <w:rFonts w:ascii="Times New Roman" w:hAnsi="Times New Roman" w:eastAsia="仿宋_GB2312" w:cs="Times New Roman"/>
          <w:bCs/>
          <w:kern w:val="0"/>
          <w:sz w:val="32"/>
          <w:szCs w:val="32"/>
        </w:rPr>
        <w:t>（二）决算单位构成。</w:t>
      </w:r>
      <w:r>
        <w:rPr>
          <w:rFonts w:hint="eastAsia" w:ascii="仿宋" w:hAnsi="仿宋" w:eastAsia="仿宋" w:cs="宋体"/>
          <w:color w:val="000000"/>
          <w:kern w:val="0"/>
          <w:sz w:val="32"/>
          <w:szCs w:val="32"/>
        </w:rPr>
        <w:t>湖南省怀化市人民政府驻北京联络处202</w:t>
      </w:r>
      <w:r>
        <w:rPr>
          <w:rFonts w:hint="eastAsia" w:ascii="仿宋" w:hAnsi="仿宋" w:eastAsia="仿宋" w:cs="宋体"/>
          <w:color w:val="000000"/>
          <w:kern w:val="0"/>
          <w:sz w:val="32"/>
          <w:szCs w:val="32"/>
          <w:lang w:val="en-US" w:eastAsia="zh-CN"/>
        </w:rPr>
        <w:t>5</w:t>
      </w:r>
      <w:r>
        <w:rPr>
          <w:rFonts w:hint="eastAsia" w:ascii="仿宋" w:hAnsi="仿宋" w:eastAsia="仿宋" w:cs="宋体"/>
          <w:color w:val="000000"/>
          <w:kern w:val="0"/>
          <w:sz w:val="32"/>
          <w:szCs w:val="32"/>
        </w:rPr>
        <w:t>年部门决算汇总公开单位构成包括：湖南省怀化市人民政府驻北京联络处本级。</w:t>
      </w:r>
    </w:p>
    <w:p w14:paraId="0D4DDE97">
      <w:pPr>
        <w:jc w:val="center"/>
        <w:rPr>
          <w:rFonts w:ascii="Times New Roman" w:hAnsi="Times New Roman" w:eastAsia="黑体" w:cs="Times New Roman"/>
          <w:sz w:val="28"/>
          <w:szCs w:val="28"/>
        </w:rPr>
      </w:pPr>
    </w:p>
    <w:p w14:paraId="7F60FEC0">
      <w:pPr>
        <w:jc w:val="center"/>
        <w:rPr>
          <w:rFonts w:ascii="Times New Roman" w:hAnsi="Times New Roman" w:eastAsia="黑体" w:cs="Times New Roman"/>
          <w:sz w:val="28"/>
          <w:szCs w:val="28"/>
        </w:rPr>
      </w:pPr>
    </w:p>
    <w:p w14:paraId="68B20F60">
      <w:pPr>
        <w:pStyle w:val="13"/>
        <w:rPr>
          <w:rFonts w:ascii="Times New Roman" w:hAnsi="Times New Roman" w:eastAsia="方正小标宋_GBK" w:cs="Times New Roman"/>
          <w:sz w:val="52"/>
          <w:szCs w:val="52"/>
        </w:rPr>
      </w:pPr>
    </w:p>
    <w:p w14:paraId="58D160FC">
      <w:pPr>
        <w:pStyle w:val="13"/>
        <w:ind w:firstLine="3640" w:firstLineChars="700"/>
        <w:rPr>
          <w:rFonts w:ascii="Times New Roman" w:hAnsi="Times New Roman" w:eastAsia="方正小标宋_GBK" w:cs="Times New Roman"/>
          <w:sz w:val="52"/>
          <w:szCs w:val="52"/>
        </w:rPr>
      </w:pPr>
    </w:p>
    <w:p w14:paraId="72475728">
      <w:pPr>
        <w:pStyle w:val="13"/>
        <w:ind w:firstLine="3640" w:firstLineChars="700"/>
        <w:rPr>
          <w:rFonts w:ascii="Times New Roman" w:hAnsi="Times New Roman" w:eastAsia="方正小标宋_GBK" w:cs="Times New Roman"/>
          <w:sz w:val="52"/>
          <w:szCs w:val="52"/>
        </w:rPr>
      </w:pPr>
    </w:p>
    <w:p w14:paraId="10049E6D">
      <w:pPr>
        <w:pStyle w:val="13"/>
        <w:ind w:firstLine="3640" w:firstLineChars="700"/>
        <w:rPr>
          <w:rFonts w:ascii="Times New Roman" w:hAnsi="Times New Roman" w:eastAsia="方正小标宋_GBK" w:cs="Times New Roman"/>
          <w:sz w:val="52"/>
          <w:szCs w:val="52"/>
        </w:rPr>
      </w:pPr>
    </w:p>
    <w:p w14:paraId="25CCF452">
      <w:pPr>
        <w:pStyle w:val="13"/>
        <w:ind w:firstLine="3640" w:firstLineChars="700"/>
        <w:rPr>
          <w:rFonts w:ascii="Times New Roman" w:hAnsi="Times New Roman" w:eastAsia="方正小标宋_GBK" w:cs="Times New Roman"/>
          <w:sz w:val="52"/>
          <w:szCs w:val="52"/>
        </w:rPr>
      </w:pPr>
    </w:p>
    <w:p w14:paraId="4F170F1E">
      <w:pPr>
        <w:pStyle w:val="13"/>
        <w:jc w:val="center"/>
        <w:rPr>
          <w:rFonts w:ascii="Times New Roman" w:hAnsi="Times New Roman" w:eastAsia="方正小标宋_GBK" w:cs="Times New Roman"/>
          <w:sz w:val="52"/>
          <w:szCs w:val="52"/>
        </w:rPr>
      </w:pPr>
    </w:p>
    <w:p w14:paraId="1063D3B9">
      <w:pPr>
        <w:pStyle w:val="13"/>
        <w:jc w:val="center"/>
        <w:rPr>
          <w:rFonts w:ascii="Times New Roman" w:hAnsi="Times New Roman" w:eastAsia="方正小标宋_GBK" w:cs="Times New Roman"/>
          <w:sz w:val="52"/>
          <w:szCs w:val="52"/>
        </w:rPr>
      </w:pPr>
    </w:p>
    <w:p w14:paraId="13AF5319">
      <w:pPr>
        <w:pStyle w:val="13"/>
        <w:jc w:val="center"/>
        <w:rPr>
          <w:rFonts w:ascii="Times New Roman" w:hAnsi="Times New Roman" w:eastAsia="方正小标宋_GBK" w:cs="Times New Roman"/>
          <w:sz w:val="52"/>
          <w:szCs w:val="52"/>
        </w:rPr>
      </w:pPr>
    </w:p>
    <w:p w14:paraId="1B2F09C6">
      <w:pPr>
        <w:pStyle w:val="13"/>
        <w:jc w:val="center"/>
        <w:rPr>
          <w:rFonts w:ascii="Times New Roman" w:hAnsi="Times New Roman" w:eastAsia="方正小标宋_GBK" w:cs="Times New Roman"/>
          <w:sz w:val="52"/>
          <w:szCs w:val="52"/>
        </w:rPr>
      </w:pPr>
    </w:p>
    <w:p w14:paraId="6F9DDD60">
      <w:pPr>
        <w:pStyle w:val="13"/>
        <w:jc w:val="center"/>
        <w:rPr>
          <w:rFonts w:hint="eastAsia" w:ascii="Times New Roman" w:hAnsi="Times New Roman" w:eastAsia="方正小标宋_GBK" w:cs="Times New Roman"/>
          <w:sz w:val="52"/>
          <w:szCs w:val="52"/>
          <w:lang w:val="en-US" w:eastAsia="zh-CN"/>
        </w:rPr>
        <w:sectPr>
          <w:footerReference r:id="rId6" w:type="default"/>
          <w:pgSz w:w="11906" w:h="16838"/>
          <w:pgMar w:top="1417" w:right="1587" w:bottom="1417" w:left="1587" w:header="851" w:footer="992" w:gutter="0"/>
          <w:cols w:space="425" w:num="1"/>
          <w:docGrid w:type="lines" w:linePitch="312" w:charSpace="0"/>
        </w:sectPr>
      </w:pPr>
      <w:r>
        <w:rPr>
          <w:rFonts w:ascii="Times New Roman" w:hAnsi="Times New Roman" w:eastAsia="方正小标宋_GBK" w:cs="Times New Roman"/>
          <w:sz w:val="52"/>
          <w:szCs w:val="52"/>
        </w:rPr>
        <w:t>第二部分    部门决算</w:t>
      </w:r>
      <w:r>
        <w:rPr>
          <w:rFonts w:hint="eastAsia" w:ascii="Times New Roman" w:hAnsi="Times New Roman" w:eastAsia="方正小标宋_GBK" w:cs="Times New Roman"/>
          <w:sz w:val="52"/>
          <w:szCs w:val="52"/>
          <w:lang w:val="en-US" w:eastAsia="zh-CN"/>
        </w:rPr>
        <w:t>表</w:t>
      </w:r>
    </w:p>
    <w:p w14:paraId="46254100">
      <w:pPr>
        <w:pStyle w:val="13"/>
        <w:rPr>
          <w:rFonts w:ascii="Times New Roman" w:hAnsi="Times New Roman" w:eastAsia="方正小标宋_GBK" w:cs="Times New Roman"/>
          <w:sz w:val="52"/>
          <w:szCs w:val="52"/>
        </w:rPr>
      </w:pPr>
      <w:r>
        <w:rPr>
          <w:rFonts w:ascii="Times New Roman" w:hAnsi="Times New Roman" w:eastAsia="黑体" w:cs="Times New Roman"/>
          <w:color w:val="000000"/>
          <w:kern w:val="0"/>
          <w:sz w:val="36"/>
          <w:szCs w:val="36"/>
          <w:lang w:bidi="ar"/>
        </w:rPr>
        <w:object>
          <v:shape id="_x0000_i1025" o:spt="75" type="#_x0000_t75" style="height:538.2pt;width:730.8pt;" o:ole="t" filled="f" o:preferrelative="t" stroked="f" coordsize="21600,21600">
            <v:path/>
            <v:fill on="f" focussize="0,0"/>
            <v:stroke on="f"/>
            <v:imagedata r:id="rId9" o:title=""/>
            <o:lock v:ext="edit" aspectratio="t"/>
            <w10:wrap type="none"/>
            <w10:anchorlock/>
          </v:shape>
          <o:OLEObject Type="Embed" ProgID="Excel.Sheet.12" ShapeID="_x0000_i1025" DrawAspect="Content" ObjectID="_1468075725" r:id="rId8">
            <o:LockedField>false</o:LockedField>
          </o:OLEObject>
        </w:object>
      </w:r>
    </w:p>
    <w:p w14:paraId="3CBBCCD8">
      <w:pPr>
        <w:widowControl/>
        <w:spacing w:after="156" w:afterLines="50"/>
        <w:jc w:val="both"/>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object>
          <v:shape id="_x0000_i1026" o:spt="75" type="#_x0000_t75" style="height:478.45pt;width:757.95pt;" o:ole="t" filled="f" o:preferrelative="t" stroked="f" coordsize="21600,21600">
            <v:path/>
            <v:fill on="f" focussize="0,0"/>
            <v:stroke on="f"/>
            <v:imagedata r:id="rId11" o:title=""/>
            <o:lock v:ext="edit" aspectratio="t"/>
            <w10:wrap type="none"/>
            <w10:anchorlock/>
          </v:shape>
          <o:OLEObject Type="Embed" ProgID="Excel.Sheet.12" ShapeID="_x0000_i1026" DrawAspect="Content" ObjectID="_1468075726" r:id="rId10">
            <o:LockedField>false</o:LockedField>
          </o:OLEObject>
        </w:object>
      </w:r>
    </w:p>
    <w:p w14:paraId="38BFF99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object>
          <v:shape id="_x0000_i1027" o:spt="75" type="#_x0000_t75" style="height:381.35pt;width:780pt;" o:ole="t" filled="f" o:preferrelative="t" stroked="f" coordsize="21600,21600">
            <v:path/>
            <v:fill on="f" focussize="0,0"/>
            <v:stroke on="f" joinstyle="miter"/>
            <v:imagedata r:id="rId13" o:title=""/>
            <o:lock v:ext="edit" aspectratio="t"/>
            <w10:wrap type="none"/>
            <w10:anchorlock/>
          </v:shape>
          <o:OLEObject Type="Embed" ProgID="Excel.Sheet.12" ShapeID="_x0000_i1027" DrawAspect="Content" ObjectID="_1468075727" r:id="rId12">
            <o:LockedField>false</o:LockedField>
          </o:OLEObject>
        </w:object>
      </w:r>
    </w:p>
    <w:p w14:paraId="2327A477">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18292BC">
      <w:pPr>
        <w:widowControl/>
        <w:spacing w:after="156" w:afterLines="50"/>
        <w:jc w:val="both"/>
        <w:textAlignment w:val="center"/>
        <w:rPr>
          <w:rFonts w:ascii="Times New Roman" w:hAnsi="Times New Roman" w:eastAsia="黑体" w:cs="Times New Roman"/>
          <w:color w:val="000000"/>
          <w:kern w:val="0"/>
          <w:sz w:val="36"/>
          <w:szCs w:val="36"/>
          <w:lang w:bidi="ar"/>
        </w:rPr>
      </w:pPr>
    </w:p>
    <w:p w14:paraId="3B5948F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object>
          <v:shape id="_x0000_i1028" o:spt="75" type="#_x0000_t75" style="height:514.3pt;width:763.05pt;" o:ole="t" filled="f" o:preferrelative="t" stroked="f" coordsize="21600,21600">
            <v:path/>
            <v:fill on="f" focussize="0,0"/>
            <v:stroke on="f"/>
            <v:imagedata r:id="rId15" o:title=""/>
            <o:lock v:ext="edit" aspectratio="t"/>
            <w10:wrap type="none"/>
            <w10:anchorlock/>
          </v:shape>
          <o:OLEObject Type="Embed" ProgID="Excel.Sheet.12" ShapeID="_x0000_i1028" DrawAspect="Content" ObjectID="_1468075728" r:id="rId14">
            <o:LockedField>false</o:LockedField>
          </o:OLEObject>
        </w:object>
      </w:r>
      <w:r>
        <w:rPr>
          <w:rFonts w:ascii="Times New Roman" w:hAnsi="Times New Roman" w:eastAsia="黑体" w:cs="Times New Roman"/>
          <w:color w:val="000000"/>
          <w:kern w:val="0"/>
          <w:sz w:val="36"/>
          <w:szCs w:val="36"/>
          <w:lang w:bidi="ar"/>
        </w:rPr>
        <w:object>
          <v:shape id="_x0000_i1029" o:spt="75" type="#_x0000_t75" style="height:483.05pt;width:713.85pt;" o:ole="t" filled="f" o:preferrelative="t" stroked="f" coordsize="21600,21600">
            <v:path/>
            <v:fill on="f" focussize="0,0"/>
            <v:stroke on="f"/>
            <v:imagedata r:id="rId17" o:title=""/>
            <o:lock v:ext="edit" aspectratio="t"/>
            <w10:wrap type="none"/>
            <w10:anchorlock/>
          </v:shape>
          <o:OLEObject Type="Embed" ProgID="Excel.Sheet.12" ShapeID="_x0000_i1029" DrawAspect="Content" ObjectID="_1468075729" r:id="rId16">
            <o:LockedField>false</o:LockedField>
          </o:OLEObject>
        </w:object>
      </w:r>
    </w:p>
    <w:p w14:paraId="1798910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object>
          <v:shape id="_x0000_i1030" o:spt="75" type="#_x0000_t75" style="height:452.55pt;width:794.1pt;" o:ole="t" filled="f" o:preferrelative="t" stroked="f" coordsize="21600,21600">
            <v:path/>
            <v:fill on="f" focussize="0,0"/>
            <v:stroke on="f" joinstyle="miter"/>
            <v:imagedata r:id="rId19" o:title=""/>
            <o:lock v:ext="edit" aspectratio="t"/>
            <w10:wrap type="none"/>
            <w10:anchorlock/>
          </v:shape>
          <o:OLEObject Type="Embed" ProgID="Excel.Sheet.12" ShapeID="_x0000_i1030" DrawAspect="Content" ObjectID="_1468075730" r:id="rId18">
            <o:LockedField>false</o:LockedField>
          </o:OLEObject>
        </w:object>
      </w:r>
    </w:p>
    <w:p w14:paraId="762F0E32">
      <w:pPr>
        <w:widowControl/>
        <w:spacing w:after="156" w:afterLines="50"/>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object>
          <v:shape id="_x0000_i1031" o:spt="75" type="#_x0000_t75" style="height:210.2pt;width:758.45pt;" o:ole="t" filled="f" o:preferrelative="t" stroked="f" coordsize="21600,21600">
            <v:path/>
            <v:fill on="f" focussize="0,0"/>
            <v:stroke on="f"/>
            <v:imagedata r:id="rId21" o:title=""/>
            <o:lock v:ext="edit" aspectratio="t"/>
            <w10:wrap type="none"/>
            <w10:anchorlock/>
          </v:shape>
          <o:OLEObject Type="Embed" ProgID="Excel.Sheet.12" ShapeID="_x0000_i1031" DrawAspect="Content" ObjectID="_1468075731" r:id="rId20">
            <o:LockedField>false</o:LockedField>
          </o:OLEObject>
        </w:object>
      </w:r>
    </w:p>
    <w:p w14:paraId="73D10B30">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1" w:name="_MON_1850671162"/>
      <w:bookmarkEnd w:id="1"/>
      <w:r>
        <w:rPr>
          <w:rFonts w:ascii="Times New Roman" w:hAnsi="Times New Roman" w:eastAsia="黑体" w:cs="Times New Roman"/>
          <w:color w:val="000000"/>
          <w:kern w:val="0"/>
          <w:sz w:val="36"/>
          <w:szCs w:val="36"/>
          <w:lang w:bidi="ar"/>
        </w:rPr>
        <w:object>
          <v:shape id="_x0000_i1032" o:spt="75" type="#_x0000_t75" style="height:250.25pt;width:761.25pt;" o:ole="t" filled="f" o:preferrelative="t" stroked="f" coordsize="21600,21600">
            <v:path/>
            <v:fill on="f" focussize="0,0"/>
            <v:stroke on="f"/>
            <v:imagedata r:id="rId23" o:title=""/>
            <o:lock v:ext="edit" aspectratio="t"/>
            <w10:wrap type="none"/>
            <w10:anchorlock/>
          </v:shape>
          <o:OLEObject Type="Embed" ProgID="Excel.Sheet.12" ShapeID="_x0000_i1032" DrawAspect="Content" ObjectID="_1468075732" r:id="rId22">
            <o:LockedField>false</o:LockedField>
          </o:OLEObject>
        </w:object>
      </w:r>
    </w:p>
    <w:p w14:paraId="6EEEF3ED">
      <w:pPr>
        <w:widowControl/>
        <w:spacing w:after="156" w:afterLines="50"/>
        <w:jc w:val="center"/>
        <w:textAlignment w:val="center"/>
        <w:rPr>
          <w:rFonts w:ascii="Times New Roman" w:hAnsi="Times New Roman" w:cs="Times New Roman"/>
          <w:sz w:val="72"/>
          <w:szCs w:val="72"/>
        </w:rPr>
        <w:sectPr>
          <w:pgSz w:w="16838" w:h="11906" w:orient="landscape"/>
          <w:pgMar w:top="567" w:right="720" w:bottom="567" w:left="720" w:header="851" w:footer="992" w:gutter="0"/>
          <w:cols w:space="425" w:num="1"/>
          <w:docGrid w:type="lines" w:linePitch="312" w:charSpace="0"/>
        </w:sectPr>
      </w:pPr>
      <w:r>
        <w:rPr>
          <w:rFonts w:ascii="Times New Roman" w:hAnsi="Times New Roman" w:eastAsia="黑体" w:cs="Times New Roman"/>
          <w:color w:val="000000"/>
          <w:kern w:val="0"/>
          <w:sz w:val="36"/>
          <w:szCs w:val="36"/>
          <w:lang w:bidi="ar"/>
        </w:rPr>
        <w:object>
          <v:shape id="_x0000_i1033" o:spt="75" type="#_x0000_t75" style="height:145.35pt;width:765.6pt;" o:ole="t" filled="f" o:preferrelative="t" stroked="f" coordsize="21600,21600">
            <v:path/>
            <v:fill on="f" focussize="0,0"/>
            <v:stroke on="f"/>
            <v:imagedata r:id="rId25" o:title=""/>
            <o:lock v:ext="edit" aspectratio="t"/>
            <w10:wrap type="none"/>
            <w10:anchorlock/>
          </v:shape>
          <o:OLEObject Type="Embed" ProgID="Excel.Sheet.12" ShapeID="_x0000_i1033" DrawAspect="Content" ObjectID="_1468075733" r:id="rId24">
            <o:LockedField>false</o:LockedField>
          </o:OLEObject>
        </w:object>
      </w:r>
      <w:bookmarkStart w:id="2" w:name="_MON_1850734163"/>
      <w:bookmarkEnd w:id="2"/>
    </w:p>
    <w:p w14:paraId="40ABE065">
      <w:pPr>
        <w:pStyle w:val="13"/>
        <w:rPr>
          <w:rFonts w:ascii="Times New Roman" w:hAnsi="Times New Roman" w:cs="Times New Roman"/>
          <w:sz w:val="72"/>
          <w:szCs w:val="72"/>
        </w:rPr>
      </w:pPr>
    </w:p>
    <w:p w14:paraId="1CCC4A66">
      <w:pPr>
        <w:pStyle w:val="13"/>
        <w:rPr>
          <w:rFonts w:ascii="Times New Roman" w:hAnsi="Times New Roman" w:cs="Times New Roman"/>
          <w:sz w:val="72"/>
          <w:szCs w:val="72"/>
        </w:rPr>
      </w:pPr>
    </w:p>
    <w:p w14:paraId="644EFE60">
      <w:pPr>
        <w:pStyle w:val="13"/>
        <w:rPr>
          <w:rFonts w:ascii="Times New Roman" w:hAnsi="Times New Roman" w:cs="Times New Roman"/>
          <w:sz w:val="72"/>
          <w:szCs w:val="72"/>
        </w:rPr>
      </w:pPr>
    </w:p>
    <w:p w14:paraId="4581821D">
      <w:pPr>
        <w:pStyle w:val="13"/>
        <w:jc w:val="center"/>
        <w:rPr>
          <w:rFonts w:ascii="Times New Roman" w:hAnsi="Times New Roman" w:cs="Times New Roman"/>
          <w:sz w:val="72"/>
          <w:szCs w:val="72"/>
        </w:rPr>
      </w:pPr>
    </w:p>
    <w:p w14:paraId="14697931">
      <w:pPr>
        <w:pStyle w:val="13"/>
        <w:jc w:val="center"/>
        <w:rPr>
          <w:rFonts w:ascii="Times New Roman" w:hAnsi="Times New Roman" w:eastAsia="方正小标宋_GBK" w:cs="Times New Roman"/>
          <w:sz w:val="72"/>
          <w:szCs w:val="72"/>
        </w:rPr>
      </w:pPr>
    </w:p>
    <w:p w14:paraId="2D5AFA6F">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6463F8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2000EC27">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E70452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6E8F808">
      <w:pPr>
        <w:pStyle w:val="13"/>
        <w:overflowPunct w:val="0"/>
        <w:autoSpaceDE/>
        <w:autoSpaceDN/>
        <w:spacing w:line="600" w:lineRule="exact"/>
        <w:ind w:firstLine="640" w:firstLineChars="200"/>
        <w:jc w:val="both"/>
        <w:rPr>
          <w:rFonts w:hint="eastAsia" w:ascii="仿宋" w:hAnsi="仿宋" w:eastAsia="仿宋" w:cs="宋体"/>
          <w:sz w:val="32"/>
          <w:szCs w:val="32"/>
        </w:rPr>
      </w:pPr>
      <w:r>
        <w:rPr>
          <w:rFonts w:ascii="仿宋" w:hAnsi="仿宋" w:eastAsia="仿宋" w:cs="宋体"/>
          <w:sz w:val="32"/>
          <w:szCs w:val="32"/>
        </w:rPr>
        <w:t>202</w:t>
      </w:r>
      <w:r>
        <w:rPr>
          <w:rFonts w:hint="eastAsia" w:ascii="仿宋" w:hAnsi="仿宋" w:eastAsia="仿宋" w:cs="宋体"/>
          <w:sz w:val="32"/>
          <w:szCs w:val="32"/>
        </w:rPr>
        <w:t>5</w:t>
      </w:r>
      <w:r>
        <w:rPr>
          <w:rFonts w:ascii="仿宋" w:hAnsi="仿宋" w:eastAsia="仿宋" w:cs="宋体"/>
          <w:sz w:val="32"/>
          <w:szCs w:val="32"/>
        </w:rPr>
        <w:t>年度收、支总计</w:t>
      </w:r>
      <w:r>
        <w:rPr>
          <w:rFonts w:hint="eastAsia" w:ascii="仿宋" w:hAnsi="仿宋" w:eastAsia="仿宋" w:cs="宋体"/>
          <w:sz w:val="32"/>
          <w:szCs w:val="32"/>
        </w:rPr>
        <w:t>374.07</w:t>
      </w:r>
      <w:r>
        <w:rPr>
          <w:rFonts w:ascii="仿宋" w:hAnsi="仿宋" w:eastAsia="仿宋" w:cs="宋体"/>
          <w:sz w:val="32"/>
          <w:szCs w:val="32"/>
        </w:rPr>
        <w:t>万元。与上年相比，减少</w:t>
      </w:r>
      <w:r>
        <w:rPr>
          <w:rFonts w:hint="eastAsia" w:ascii="仿宋" w:hAnsi="仿宋" w:eastAsia="仿宋" w:cs="宋体"/>
          <w:sz w:val="32"/>
          <w:szCs w:val="32"/>
        </w:rPr>
        <w:t>19.84</w:t>
      </w:r>
      <w:r>
        <w:rPr>
          <w:rFonts w:ascii="仿宋" w:hAnsi="仿宋" w:eastAsia="仿宋" w:cs="宋体"/>
          <w:sz w:val="32"/>
          <w:szCs w:val="32"/>
        </w:rPr>
        <w:t>万元，降低</w:t>
      </w:r>
      <w:r>
        <w:rPr>
          <w:rFonts w:hint="eastAsia" w:ascii="仿宋" w:hAnsi="仿宋" w:eastAsia="仿宋" w:cs="宋体"/>
          <w:sz w:val="32"/>
          <w:szCs w:val="32"/>
        </w:rPr>
        <w:t>5.04</w:t>
      </w:r>
      <w:r>
        <w:rPr>
          <w:rFonts w:ascii="仿宋" w:hAnsi="仿宋" w:eastAsia="仿宋" w:cs="宋体"/>
          <w:sz w:val="32"/>
          <w:szCs w:val="32"/>
        </w:rPr>
        <w:t>%，主要是因为</w:t>
      </w:r>
      <w:r>
        <w:rPr>
          <w:rFonts w:hint="eastAsia" w:ascii="仿宋" w:hAnsi="仿宋" w:eastAsia="仿宋" w:cs="宋体"/>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一般公共服务支出、社会保障和就业支出、卫生健康等重点支出，体现在有关支出科目中。</w:t>
      </w:r>
    </w:p>
    <w:p w14:paraId="4280332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B366C3A">
      <w:pPr>
        <w:pStyle w:val="13"/>
        <w:overflowPunct w:val="0"/>
        <w:autoSpaceDE/>
        <w:autoSpaceDN/>
        <w:spacing w:line="600" w:lineRule="exact"/>
        <w:ind w:firstLine="640" w:firstLineChars="200"/>
        <w:jc w:val="both"/>
        <w:rPr>
          <w:rFonts w:hint="eastAsia" w:ascii="仿宋" w:hAnsi="仿宋" w:eastAsia="仿宋" w:cs="宋体"/>
          <w:sz w:val="32"/>
          <w:szCs w:val="32"/>
        </w:rPr>
      </w:pPr>
      <w:r>
        <w:rPr>
          <w:rFonts w:ascii="仿宋" w:hAnsi="仿宋" w:eastAsia="仿宋" w:cs="宋体"/>
          <w:sz w:val="32"/>
          <w:szCs w:val="32"/>
        </w:rPr>
        <w:t>202</w:t>
      </w:r>
      <w:r>
        <w:rPr>
          <w:rFonts w:hint="eastAsia" w:ascii="仿宋" w:hAnsi="仿宋" w:eastAsia="仿宋" w:cs="宋体"/>
          <w:sz w:val="32"/>
          <w:szCs w:val="32"/>
        </w:rPr>
        <w:t>5</w:t>
      </w:r>
      <w:r>
        <w:rPr>
          <w:rFonts w:ascii="仿宋" w:hAnsi="仿宋" w:eastAsia="仿宋" w:cs="宋体"/>
          <w:sz w:val="32"/>
          <w:szCs w:val="32"/>
        </w:rPr>
        <w:t>年度收入合计</w:t>
      </w:r>
      <w:r>
        <w:rPr>
          <w:rFonts w:hint="eastAsia" w:ascii="仿宋" w:hAnsi="仿宋" w:eastAsia="仿宋" w:cs="宋体"/>
          <w:sz w:val="32"/>
          <w:szCs w:val="32"/>
        </w:rPr>
        <w:t>344.29</w:t>
      </w:r>
      <w:r>
        <w:rPr>
          <w:rFonts w:ascii="仿宋" w:hAnsi="仿宋" w:eastAsia="仿宋" w:cs="宋体"/>
          <w:sz w:val="32"/>
          <w:szCs w:val="32"/>
        </w:rPr>
        <w:t>万元，其中：财政拨款收入</w:t>
      </w:r>
      <w:r>
        <w:rPr>
          <w:rFonts w:hint="eastAsia" w:ascii="仿宋" w:hAnsi="仿宋" w:eastAsia="仿宋" w:cs="宋体"/>
          <w:sz w:val="32"/>
          <w:szCs w:val="32"/>
        </w:rPr>
        <w:t>344.29</w:t>
      </w:r>
      <w:r>
        <w:rPr>
          <w:rFonts w:ascii="仿宋" w:hAnsi="仿宋" w:eastAsia="仿宋" w:cs="宋体"/>
          <w:sz w:val="32"/>
          <w:szCs w:val="32"/>
        </w:rPr>
        <w:t>万元，占</w:t>
      </w:r>
      <w:r>
        <w:rPr>
          <w:rFonts w:hint="eastAsia" w:ascii="仿宋" w:hAnsi="仿宋" w:eastAsia="仿宋" w:cs="宋体"/>
          <w:sz w:val="32"/>
          <w:szCs w:val="32"/>
        </w:rPr>
        <w:t>100</w:t>
      </w:r>
      <w:r>
        <w:rPr>
          <w:rFonts w:ascii="仿宋" w:hAnsi="仿宋" w:eastAsia="仿宋" w:cs="宋体"/>
          <w:sz w:val="32"/>
          <w:szCs w:val="32"/>
        </w:rPr>
        <w:t>%；上级补助收入</w:t>
      </w:r>
      <w:r>
        <w:rPr>
          <w:rFonts w:hint="eastAsia" w:ascii="仿宋" w:hAnsi="仿宋" w:eastAsia="仿宋" w:cs="宋体"/>
          <w:sz w:val="32"/>
          <w:szCs w:val="32"/>
        </w:rPr>
        <w:t>0</w:t>
      </w:r>
      <w:r>
        <w:rPr>
          <w:rFonts w:ascii="仿宋" w:hAnsi="仿宋" w:eastAsia="仿宋" w:cs="宋体"/>
          <w:sz w:val="32"/>
          <w:szCs w:val="32"/>
        </w:rPr>
        <w:t>万元，占</w:t>
      </w:r>
      <w:r>
        <w:rPr>
          <w:rFonts w:hint="eastAsia" w:ascii="仿宋" w:hAnsi="仿宋" w:eastAsia="仿宋" w:cs="宋体"/>
          <w:sz w:val="32"/>
          <w:szCs w:val="32"/>
        </w:rPr>
        <w:t>0</w:t>
      </w:r>
      <w:r>
        <w:rPr>
          <w:rFonts w:ascii="仿宋" w:hAnsi="仿宋" w:eastAsia="仿宋" w:cs="宋体"/>
          <w:sz w:val="32"/>
          <w:szCs w:val="32"/>
        </w:rPr>
        <w:t>%；事业收入</w:t>
      </w:r>
      <w:r>
        <w:rPr>
          <w:rFonts w:hint="eastAsia" w:ascii="仿宋" w:hAnsi="仿宋" w:eastAsia="仿宋" w:cs="宋体"/>
          <w:sz w:val="32"/>
          <w:szCs w:val="32"/>
        </w:rPr>
        <w:t>0</w:t>
      </w:r>
      <w:r>
        <w:rPr>
          <w:rFonts w:ascii="仿宋" w:hAnsi="仿宋" w:eastAsia="仿宋" w:cs="宋体"/>
          <w:sz w:val="32"/>
          <w:szCs w:val="32"/>
        </w:rPr>
        <w:t>万元，占</w:t>
      </w:r>
      <w:r>
        <w:rPr>
          <w:rFonts w:hint="eastAsia" w:ascii="仿宋" w:hAnsi="仿宋" w:eastAsia="仿宋" w:cs="宋体"/>
          <w:sz w:val="32"/>
          <w:szCs w:val="32"/>
        </w:rPr>
        <w:t>0</w:t>
      </w:r>
      <w:r>
        <w:rPr>
          <w:rFonts w:ascii="仿宋" w:hAnsi="仿宋" w:eastAsia="仿宋" w:cs="宋体"/>
          <w:sz w:val="32"/>
          <w:szCs w:val="32"/>
        </w:rPr>
        <w:t>%；经营收入</w:t>
      </w:r>
      <w:r>
        <w:rPr>
          <w:rFonts w:hint="eastAsia" w:ascii="仿宋" w:hAnsi="仿宋" w:eastAsia="仿宋" w:cs="宋体"/>
          <w:sz w:val="32"/>
          <w:szCs w:val="32"/>
        </w:rPr>
        <w:t>0</w:t>
      </w:r>
      <w:r>
        <w:rPr>
          <w:rFonts w:ascii="仿宋" w:hAnsi="仿宋" w:eastAsia="仿宋" w:cs="宋体"/>
          <w:sz w:val="32"/>
          <w:szCs w:val="32"/>
        </w:rPr>
        <w:t>万元，占</w:t>
      </w:r>
      <w:r>
        <w:rPr>
          <w:rFonts w:hint="eastAsia" w:ascii="仿宋" w:hAnsi="仿宋" w:eastAsia="仿宋" w:cs="宋体"/>
          <w:sz w:val="32"/>
          <w:szCs w:val="32"/>
        </w:rPr>
        <w:t>0</w:t>
      </w:r>
      <w:r>
        <w:rPr>
          <w:rFonts w:ascii="仿宋" w:hAnsi="仿宋" w:eastAsia="仿宋" w:cs="宋体"/>
          <w:sz w:val="32"/>
          <w:szCs w:val="32"/>
        </w:rPr>
        <w:t>%；附属单位上缴收入</w:t>
      </w:r>
      <w:r>
        <w:rPr>
          <w:rFonts w:hint="eastAsia" w:ascii="仿宋" w:hAnsi="仿宋" w:eastAsia="仿宋" w:cs="宋体"/>
          <w:sz w:val="32"/>
          <w:szCs w:val="32"/>
        </w:rPr>
        <w:t>0</w:t>
      </w:r>
      <w:r>
        <w:rPr>
          <w:rFonts w:ascii="仿宋" w:hAnsi="仿宋" w:eastAsia="仿宋" w:cs="宋体"/>
          <w:sz w:val="32"/>
          <w:szCs w:val="32"/>
        </w:rPr>
        <w:t>万元，占</w:t>
      </w:r>
      <w:r>
        <w:rPr>
          <w:rFonts w:hint="eastAsia" w:ascii="仿宋" w:hAnsi="仿宋" w:eastAsia="仿宋" w:cs="宋体"/>
          <w:sz w:val="32"/>
          <w:szCs w:val="32"/>
        </w:rPr>
        <w:t>0</w:t>
      </w:r>
      <w:r>
        <w:rPr>
          <w:rFonts w:ascii="仿宋" w:hAnsi="仿宋" w:eastAsia="仿宋" w:cs="宋体"/>
          <w:sz w:val="32"/>
          <w:szCs w:val="32"/>
        </w:rPr>
        <w:t>%；其他收入</w:t>
      </w:r>
      <w:r>
        <w:rPr>
          <w:rFonts w:hint="eastAsia" w:ascii="仿宋" w:hAnsi="仿宋" w:eastAsia="仿宋" w:cs="宋体"/>
          <w:sz w:val="32"/>
          <w:szCs w:val="32"/>
        </w:rPr>
        <w:t>0</w:t>
      </w:r>
      <w:r>
        <w:rPr>
          <w:rFonts w:ascii="仿宋" w:hAnsi="仿宋" w:eastAsia="仿宋" w:cs="宋体"/>
          <w:sz w:val="32"/>
          <w:szCs w:val="32"/>
        </w:rPr>
        <w:t>万元，占</w:t>
      </w:r>
      <w:r>
        <w:rPr>
          <w:rFonts w:hint="eastAsia" w:ascii="仿宋" w:hAnsi="仿宋" w:eastAsia="仿宋" w:cs="宋体"/>
          <w:sz w:val="32"/>
          <w:szCs w:val="32"/>
        </w:rPr>
        <w:t>0</w:t>
      </w:r>
      <w:r>
        <w:rPr>
          <w:rFonts w:ascii="仿宋" w:hAnsi="仿宋" w:eastAsia="仿宋" w:cs="宋体"/>
          <w:sz w:val="32"/>
          <w:szCs w:val="32"/>
        </w:rPr>
        <w:t>%</w:t>
      </w:r>
      <w:r>
        <w:rPr>
          <w:rFonts w:hint="eastAsia" w:ascii="仿宋" w:hAnsi="仿宋" w:eastAsia="仿宋" w:cs="宋体"/>
          <w:sz w:val="32"/>
          <w:szCs w:val="32"/>
        </w:rPr>
        <w:t>。</w:t>
      </w:r>
    </w:p>
    <w:p w14:paraId="01E2D4D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60C5242">
      <w:pPr>
        <w:pStyle w:val="13"/>
        <w:overflowPunct w:val="0"/>
        <w:autoSpaceDE/>
        <w:autoSpaceDN/>
        <w:spacing w:line="600" w:lineRule="exact"/>
        <w:ind w:firstLine="640" w:firstLineChars="200"/>
        <w:jc w:val="both"/>
        <w:rPr>
          <w:rFonts w:hint="eastAsia" w:ascii="仿宋" w:hAnsi="仿宋" w:eastAsia="仿宋" w:cs="宋体"/>
          <w:sz w:val="32"/>
          <w:szCs w:val="32"/>
        </w:rPr>
      </w:pPr>
      <w:r>
        <w:rPr>
          <w:rFonts w:ascii="仿宋" w:hAnsi="仿宋" w:eastAsia="仿宋" w:cs="宋体"/>
          <w:sz w:val="32"/>
          <w:szCs w:val="32"/>
        </w:rPr>
        <w:t>202</w:t>
      </w:r>
      <w:r>
        <w:rPr>
          <w:rFonts w:hint="eastAsia" w:ascii="仿宋" w:hAnsi="仿宋" w:eastAsia="仿宋" w:cs="宋体"/>
          <w:sz w:val="32"/>
          <w:szCs w:val="32"/>
        </w:rPr>
        <w:t>5</w:t>
      </w:r>
      <w:r>
        <w:rPr>
          <w:rFonts w:ascii="仿宋" w:hAnsi="仿宋" w:eastAsia="仿宋" w:cs="宋体"/>
          <w:sz w:val="32"/>
          <w:szCs w:val="32"/>
        </w:rPr>
        <w:t>年度支出合计</w:t>
      </w:r>
      <w:r>
        <w:rPr>
          <w:rFonts w:hint="eastAsia" w:ascii="仿宋" w:hAnsi="仿宋" w:eastAsia="仿宋" w:cs="宋体"/>
          <w:sz w:val="32"/>
          <w:szCs w:val="32"/>
        </w:rPr>
        <w:t>374.07</w:t>
      </w:r>
      <w:r>
        <w:rPr>
          <w:rFonts w:ascii="仿宋" w:hAnsi="仿宋" w:eastAsia="仿宋" w:cs="宋体"/>
          <w:sz w:val="32"/>
          <w:szCs w:val="32"/>
        </w:rPr>
        <w:t>万元，其中：基本支出</w:t>
      </w:r>
      <w:r>
        <w:rPr>
          <w:rFonts w:hint="eastAsia" w:ascii="仿宋" w:hAnsi="仿宋" w:eastAsia="仿宋" w:cs="宋体"/>
          <w:sz w:val="32"/>
          <w:szCs w:val="32"/>
        </w:rPr>
        <w:t>190.08</w:t>
      </w:r>
      <w:r>
        <w:rPr>
          <w:rFonts w:ascii="仿宋" w:hAnsi="仿宋" w:eastAsia="仿宋" w:cs="宋体"/>
          <w:sz w:val="32"/>
          <w:szCs w:val="32"/>
        </w:rPr>
        <w:t>万元，占</w:t>
      </w:r>
      <w:r>
        <w:rPr>
          <w:rFonts w:hint="eastAsia" w:ascii="仿宋" w:hAnsi="仿宋" w:eastAsia="仿宋" w:cs="宋体"/>
          <w:sz w:val="32"/>
          <w:szCs w:val="32"/>
        </w:rPr>
        <w:t>50.81</w:t>
      </w:r>
      <w:r>
        <w:rPr>
          <w:rFonts w:ascii="仿宋" w:hAnsi="仿宋" w:eastAsia="仿宋" w:cs="宋体"/>
          <w:sz w:val="32"/>
          <w:szCs w:val="32"/>
        </w:rPr>
        <w:t>%；项目支出</w:t>
      </w:r>
      <w:r>
        <w:rPr>
          <w:rFonts w:hint="eastAsia" w:ascii="仿宋" w:hAnsi="仿宋" w:eastAsia="仿宋" w:cs="宋体"/>
          <w:sz w:val="32"/>
          <w:szCs w:val="32"/>
        </w:rPr>
        <w:t>183.99</w:t>
      </w:r>
      <w:r>
        <w:rPr>
          <w:rFonts w:ascii="仿宋" w:hAnsi="仿宋" w:eastAsia="仿宋" w:cs="宋体"/>
          <w:sz w:val="32"/>
          <w:szCs w:val="32"/>
        </w:rPr>
        <w:t>万元，占</w:t>
      </w:r>
      <w:r>
        <w:rPr>
          <w:rFonts w:hint="eastAsia" w:ascii="仿宋" w:hAnsi="仿宋" w:eastAsia="仿宋" w:cs="宋体"/>
          <w:sz w:val="32"/>
          <w:szCs w:val="32"/>
        </w:rPr>
        <w:t>49.19</w:t>
      </w:r>
      <w:r>
        <w:rPr>
          <w:rFonts w:ascii="仿宋" w:hAnsi="仿宋" w:eastAsia="仿宋" w:cs="宋体"/>
          <w:sz w:val="32"/>
          <w:szCs w:val="32"/>
        </w:rPr>
        <w:t>%；上缴上级支出</w:t>
      </w:r>
      <w:r>
        <w:rPr>
          <w:rFonts w:hint="eastAsia" w:ascii="仿宋" w:hAnsi="仿宋" w:eastAsia="仿宋" w:cs="宋体"/>
          <w:sz w:val="32"/>
          <w:szCs w:val="32"/>
        </w:rPr>
        <w:t>0</w:t>
      </w:r>
      <w:r>
        <w:rPr>
          <w:rFonts w:ascii="仿宋" w:hAnsi="仿宋" w:eastAsia="仿宋" w:cs="宋体"/>
          <w:sz w:val="32"/>
          <w:szCs w:val="32"/>
        </w:rPr>
        <w:t>万元，占</w:t>
      </w:r>
      <w:r>
        <w:rPr>
          <w:rFonts w:hint="eastAsia" w:ascii="仿宋" w:hAnsi="仿宋" w:eastAsia="仿宋" w:cs="宋体"/>
          <w:sz w:val="32"/>
          <w:szCs w:val="32"/>
        </w:rPr>
        <w:t>0</w:t>
      </w:r>
      <w:r>
        <w:rPr>
          <w:rFonts w:ascii="仿宋" w:hAnsi="仿宋" w:eastAsia="仿宋" w:cs="宋体"/>
          <w:sz w:val="32"/>
          <w:szCs w:val="32"/>
        </w:rPr>
        <w:t>%；经营支出</w:t>
      </w:r>
      <w:r>
        <w:rPr>
          <w:rFonts w:hint="eastAsia" w:ascii="仿宋" w:hAnsi="仿宋" w:eastAsia="仿宋" w:cs="宋体"/>
          <w:sz w:val="32"/>
          <w:szCs w:val="32"/>
        </w:rPr>
        <w:t>0</w:t>
      </w:r>
      <w:r>
        <w:rPr>
          <w:rFonts w:ascii="仿宋" w:hAnsi="仿宋" w:eastAsia="仿宋" w:cs="宋体"/>
          <w:sz w:val="32"/>
          <w:szCs w:val="32"/>
        </w:rPr>
        <w:t>万元，占</w:t>
      </w:r>
      <w:r>
        <w:rPr>
          <w:rFonts w:hint="eastAsia" w:ascii="仿宋" w:hAnsi="仿宋" w:eastAsia="仿宋" w:cs="宋体"/>
          <w:sz w:val="32"/>
          <w:szCs w:val="32"/>
        </w:rPr>
        <w:t>0</w:t>
      </w:r>
      <w:r>
        <w:rPr>
          <w:rFonts w:ascii="仿宋" w:hAnsi="仿宋" w:eastAsia="仿宋" w:cs="宋体"/>
          <w:sz w:val="32"/>
          <w:szCs w:val="32"/>
        </w:rPr>
        <w:t>%；对附属单位补助支出</w:t>
      </w:r>
      <w:r>
        <w:rPr>
          <w:rFonts w:hint="eastAsia" w:ascii="仿宋" w:hAnsi="仿宋" w:eastAsia="仿宋" w:cs="宋体"/>
          <w:sz w:val="32"/>
          <w:szCs w:val="32"/>
        </w:rPr>
        <w:t>0</w:t>
      </w:r>
      <w:r>
        <w:rPr>
          <w:rFonts w:ascii="仿宋" w:hAnsi="仿宋" w:eastAsia="仿宋" w:cs="宋体"/>
          <w:sz w:val="32"/>
          <w:szCs w:val="32"/>
        </w:rPr>
        <w:t>万元，占</w:t>
      </w:r>
      <w:r>
        <w:rPr>
          <w:rFonts w:hint="eastAsia" w:ascii="仿宋" w:hAnsi="仿宋" w:eastAsia="仿宋" w:cs="宋体"/>
          <w:sz w:val="32"/>
          <w:szCs w:val="32"/>
        </w:rPr>
        <w:t>0</w:t>
      </w:r>
      <w:r>
        <w:rPr>
          <w:rFonts w:ascii="仿宋" w:hAnsi="仿宋" w:eastAsia="仿宋" w:cs="宋体"/>
          <w:sz w:val="32"/>
          <w:szCs w:val="32"/>
        </w:rPr>
        <w:t>%。</w:t>
      </w:r>
    </w:p>
    <w:p w14:paraId="51BCAE7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63DB7AF">
      <w:pPr>
        <w:pStyle w:val="13"/>
        <w:overflowPunct w:val="0"/>
        <w:autoSpaceDE/>
        <w:autoSpaceDN/>
        <w:spacing w:line="600" w:lineRule="exact"/>
        <w:ind w:firstLine="640" w:firstLineChars="200"/>
        <w:jc w:val="both"/>
        <w:rPr>
          <w:rFonts w:hint="eastAsia" w:ascii="仿宋" w:hAnsi="仿宋" w:eastAsia="仿宋" w:cs="宋体"/>
          <w:sz w:val="32"/>
          <w:szCs w:val="32"/>
        </w:rPr>
      </w:pPr>
      <w:r>
        <w:rPr>
          <w:rFonts w:ascii="仿宋" w:hAnsi="仿宋" w:eastAsia="仿宋" w:cs="宋体"/>
          <w:sz w:val="32"/>
          <w:szCs w:val="32"/>
        </w:rPr>
        <w:t>202</w:t>
      </w:r>
      <w:r>
        <w:rPr>
          <w:rFonts w:hint="eastAsia" w:ascii="仿宋" w:hAnsi="仿宋" w:eastAsia="仿宋" w:cs="宋体"/>
          <w:sz w:val="32"/>
          <w:szCs w:val="32"/>
        </w:rPr>
        <w:t>5</w:t>
      </w:r>
      <w:r>
        <w:rPr>
          <w:rFonts w:ascii="仿宋" w:hAnsi="仿宋" w:eastAsia="仿宋" w:cs="宋体"/>
          <w:sz w:val="32"/>
          <w:szCs w:val="32"/>
        </w:rPr>
        <w:t>年度财政拨款收、支总计</w:t>
      </w:r>
      <w:r>
        <w:rPr>
          <w:rFonts w:hint="eastAsia" w:ascii="仿宋" w:hAnsi="仿宋" w:eastAsia="仿宋" w:cs="宋体"/>
          <w:sz w:val="32"/>
          <w:szCs w:val="32"/>
        </w:rPr>
        <w:t>344.29</w:t>
      </w:r>
      <w:r>
        <w:rPr>
          <w:rFonts w:ascii="仿宋" w:hAnsi="仿宋" w:eastAsia="仿宋" w:cs="宋体"/>
          <w:sz w:val="32"/>
          <w:szCs w:val="32"/>
        </w:rPr>
        <w:t>万元，与上年相比，减少</w:t>
      </w:r>
      <w:r>
        <w:rPr>
          <w:rFonts w:hint="eastAsia" w:ascii="仿宋" w:hAnsi="仿宋" w:eastAsia="仿宋" w:cs="宋体"/>
          <w:sz w:val="32"/>
          <w:szCs w:val="32"/>
        </w:rPr>
        <w:t>49.62</w:t>
      </w:r>
      <w:r>
        <w:rPr>
          <w:rFonts w:ascii="仿宋" w:hAnsi="仿宋" w:eastAsia="仿宋" w:cs="宋体"/>
          <w:sz w:val="32"/>
          <w:szCs w:val="32"/>
        </w:rPr>
        <w:t>万元,降低</w:t>
      </w:r>
      <w:r>
        <w:rPr>
          <w:rFonts w:hint="eastAsia" w:ascii="仿宋" w:hAnsi="仿宋" w:eastAsia="仿宋" w:cs="宋体"/>
          <w:sz w:val="32"/>
          <w:szCs w:val="32"/>
        </w:rPr>
        <w:t>12.60</w:t>
      </w:r>
      <w:r>
        <w:rPr>
          <w:rFonts w:ascii="仿宋" w:hAnsi="仿宋" w:eastAsia="仿宋" w:cs="宋体"/>
          <w:sz w:val="32"/>
          <w:szCs w:val="32"/>
        </w:rPr>
        <w:t>%，主要是因为</w:t>
      </w:r>
      <w:r>
        <w:rPr>
          <w:rFonts w:hint="eastAsia" w:ascii="仿宋" w:hAnsi="仿宋" w:eastAsia="仿宋" w:cs="宋体"/>
          <w:sz w:val="32"/>
          <w:szCs w:val="32"/>
        </w:rPr>
        <w:t>持续压降“三公”经费、办公经费、会议培训等行政开支。</w:t>
      </w:r>
    </w:p>
    <w:p w14:paraId="666F64D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A7CCFB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楷体" w:hAnsi="楷体" w:eastAsia="楷体" w:cs="楷体"/>
          <w:b/>
          <w:bCs w:val="0"/>
          <w:sz w:val="32"/>
          <w:szCs w:val="32"/>
        </w:rPr>
        <w:t>（一）一般公共预算财政拨款支出决算总体情况</w:t>
      </w:r>
    </w:p>
    <w:p w14:paraId="3243074A">
      <w:pPr>
        <w:pStyle w:val="13"/>
        <w:overflowPunct w:val="0"/>
        <w:autoSpaceDE/>
        <w:autoSpaceDN/>
        <w:spacing w:line="600" w:lineRule="exact"/>
        <w:ind w:firstLine="640" w:firstLineChars="200"/>
        <w:jc w:val="both"/>
        <w:rPr>
          <w:rFonts w:hint="eastAsia" w:ascii="仿宋" w:hAnsi="仿宋" w:eastAsia="仿宋" w:cs="宋体"/>
          <w:sz w:val="32"/>
          <w:szCs w:val="32"/>
        </w:rPr>
      </w:pPr>
      <w:r>
        <w:rPr>
          <w:rFonts w:ascii="仿宋" w:hAnsi="仿宋" w:eastAsia="仿宋" w:cs="宋体"/>
          <w:sz w:val="32"/>
          <w:szCs w:val="32"/>
        </w:rPr>
        <w:t>202</w:t>
      </w:r>
      <w:r>
        <w:rPr>
          <w:rFonts w:hint="eastAsia" w:ascii="仿宋" w:hAnsi="仿宋" w:eastAsia="仿宋" w:cs="宋体"/>
          <w:sz w:val="32"/>
          <w:szCs w:val="32"/>
        </w:rPr>
        <w:t>5</w:t>
      </w:r>
      <w:r>
        <w:rPr>
          <w:rFonts w:ascii="仿宋" w:hAnsi="仿宋" w:eastAsia="仿宋" w:cs="宋体"/>
          <w:sz w:val="32"/>
          <w:szCs w:val="32"/>
        </w:rPr>
        <w:t>年度财政拨款支出</w:t>
      </w:r>
      <w:r>
        <w:rPr>
          <w:rFonts w:hint="eastAsia" w:ascii="仿宋" w:hAnsi="仿宋" w:eastAsia="仿宋" w:cs="宋体"/>
          <w:sz w:val="32"/>
          <w:szCs w:val="32"/>
        </w:rPr>
        <w:t>344.29</w:t>
      </w:r>
      <w:r>
        <w:rPr>
          <w:rFonts w:ascii="仿宋" w:hAnsi="仿宋" w:eastAsia="仿宋" w:cs="宋体"/>
          <w:sz w:val="32"/>
          <w:szCs w:val="32"/>
        </w:rPr>
        <w:t>万元，占本年支出合计的</w:t>
      </w:r>
      <w:r>
        <w:rPr>
          <w:rFonts w:hint="eastAsia" w:ascii="仿宋" w:hAnsi="仿宋" w:eastAsia="仿宋" w:cs="宋体"/>
          <w:sz w:val="32"/>
          <w:szCs w:val="32"/>
        </w:rPr>
        <w:t>92.04</w:t>
      </w:r>
      <w:r>
        <w:rPr>
          <w:rFonts w:ascii="仿宋" w:hAnsi="仿宋" w:eastAsia="仿宋" w:cs="宋体"/>
          <w:sz w:val="32"/>
          <w:szCs w:val="32"/>
        </w:rPr>
        <w:t>%，与上年相比，财政拨款支出减少</w:t>
      </w:r>
      <w:r>
        <w:rPr>
          <w:rFonts w:hint="eastAsia" w:ascii="仿宋" w:hAnsi="仿宋" w:eastAsia="仿宋" w:cs="宋体"/>
          <w:sz w:val="32"/>
          <w:szCs w:val="32"/>
        </w:rPr>
        <w:t>49.62</w:t>
      </w:r>
      <w:r>
        <w:rPr>
          <w:rFonts w:ascii="仿宋" w:hAnsi="仿宋" w:eastAsia="仿宋" w:cs="宋体"/>
          <w:sz w:val="32"/>
          <w:szCs w:val="32"/>
        </w:rPr>
        <w:t>万元，降低</w:t>
      </w:r>
      <w:r>
        <w:rPr>
          <w:rFonts w:hint="eastAsia" w:ascii="仿宋" w:hAnsi="仿宋" w:eastAsia="仿宋" w:cs="宋体"/>
          <w:sz w:val="32"/>
          <w:szCs w:val="32"/>
        </w:rPr>
        <w:t>12.60</w:t>
      </w:r>
      <w:r>
        <w:rPr>
          <w:rFonts w:ascii="仿宋" w:hAnsi="仿宋" w:eastAsia="仿宋" w:cs="宋体"/>
          <w:sz w:val="32"/>
          <w:szCs w:val="32"/>
        </w:rPr>
        <w:t>%，主要是因为</w:t>
      </w:r>
      <w:r>
        <w:rPr>
          <w:rFonts w:hint="eastAsia" w:ascii="仿宋" w:hAnsi="仿宋" w:eastAsia="仿宋" w:cs="宋体"/>
          <w:sz w:val="32"/>
          <w:szCs w:val="32"/>
        </w:rPr>
        <w:t>持续压降“三公”经费、办公经费、会议培训等行政开支。</w:t>
      </w:r>
    </w:p>
    <w:p w14:paraId="3EB24F80">
      <w:pPr>
        <w:pStyle w:val="13"/>
        <w:overflowPunct w:val="0"/>
        <w:autoSpaceDE/>
        <w:autoSpaceDN/>
        <w:spacing w:line="600" w:lineRule="exact"/>
        <w:ind w:firstLine="640" w:firstLineChars="200"/>
        <w:jc w:val="both"/>
        <w:rPr>
          <w:rFonts w:hint="eastAsia" w:ascii="楷体" w:hAnsi="楷体" w:eastAsia="楷体" w:cs="楷体"/>
          <w:b/>
          <w:bCs w:val="0"/>
          <w:sz w:val="32"/>
          <w:szCs w:val="32"/>
        </w:rPr>
      </w:pPr>
      <w:r>
        <w:rPr>
          <w:rFonts w:hint="eastAsia" w:ascii="楷体" w:hAnsi="楷体" w:eastAsia="楷体" w:cs="楷体"/>
          <w:b/>
          <w:bCs w:val="0"/>
          <w:sz w:val="32"/>
          <w:szCs w:val="32"/>
        </w:rPr>
        <w:t>（二）一般公共预算财政拨款支出决算结构情况</w:t>
      </w:r>
    </w:p>
    <w:p w14:paraId="59A0A7A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仿宋" w:hAnsi="仿宋" w:eastAsia="仿宋" w:cs="宋体"/>
          <w:sz w:val="32"/>
          <w:szCs w:val="32"/>
        </w:rPr>
        <w:t>2025年</w:t>
      </w:r>
      <w:r>
        <w:rPr>
          <w:rFonts w:ascii="仿宋" w:hAnsi="仿宋" w:eastAsia="仿宋" w:cs="宋体"/>
          <w:sz w:val="32"/>
          <w:szCs w:val="32"/>
        </w:rPr>
        <w:t>度财政拨款支出</w:t>
      </w:r>
      <w:r>
        <w:rPr>
          <w:rFonts w:hint="eastAsia" w:ascii="仿宋" w:hAnsi="仿宋" w:eastAsia="仿宋" w:cs="宋体"/>
          <w:sz w:val="32"/>
          <w:szCs w:val="32"/>
        </w:rPr>
        <w:t>344.29</w:t>
      </w:r>
      <w:r>
        <w:rPr>
          <w:rFonts w:ascii="仿宋" w:hAnsi="仿宋" w:eastAsia="仿宋" w:cs="宋体"/>
          <w:sz w:val="32"/>
          <w:szCs w:val="32"/>
        </w:rPr>
        <w:t>万元，主要用于以下方面：一般公共服务（类）支出</w:t>
      </w:r>
      <w:r>
        <w:rPr>
          <w:rFonts w:hint="eastAsia" w:ascii="仿宋" w:hAnsi="仿宋" w:eastAsia="仿宋" w:cs="宋体"/>
          <w:sz w:val="32"/>
          <w:szCs w:val="32"/>
        </w:rPr>
        <w:t>312.68</w:t>
      </w:r>
      <w:r>
        <w:rPr>
          <w:rFonts w:ascii="仿宋" w:hAnsi="仿宋" w:eastAsia="仿宋" w:cs="宋体"/>
          <w:sz w:val="32"/>
          <w:szCs w:val="32"/>
        </w:rPr>
        <w:t>万元，</w:t>
      </w:r>
      <w:bookmarkStart w:id="3" w:name="_Hlk239679230"/>
      <w:r>
        <w:rPr>
          <w:rFonts w:ascii="仿宋" w:hAnsi="仿宋" w:eastAsia="仿宋" w:cs="宋体"/>
          <w:sz w:val="32"/>
          <w:szCs w:val="32"/>
        </w:rPr>
        <w:t>占</w:t>
      </w:r>
      <w:r>
        <w:rPr>
          <w:rFonts w:hint="eastAsia" w:ascii="仿宋" w:hAnsi="仿宋" w:eastAsia="仿宋" w:cs="宋体"/>
          <w:sz w:val="32"/>
          <w:szCs w:val="32"/>
        </w:rPr>
        <w:t>90.82</w:t>
      </w:r>
      <w:r>
        <w:rPr>
          <w:rFonts w:ascii="仿宋" w:hAnsi="仿宋" w:eastAsia="仿宋" w:cs="宋体"/>
          <w:sz w:val="32"/>
          <w:szCs w:val="32"/>
        </w:rPr>
        <w:t>%；</w:t>
      </w:r>
      <w:bookmarkEnd w:id="3"/>
      <w:r>
        <w:rPr>
          <w:rFonts w:hint="eastAsia" w:ascii="仿宋" w:hAnsi="仿宋" w:eastAsia="仿宋" w:cs="宋体"/>
          <w:sz w:val="32"/>
          <w:szCs w:val="32"/>
        </w:rPr>
        <w:t>社会保障和就业支出</w:t>
      </w:r>
      <w:r>
        <w:rPr>
          <w:rFonts w:ascii="仿宋" w:hAnsi="仿宋" w:eastAsia="仿宋" w:cs="宋体"/>
          <w:sz w:val="32"/>
          <w:szCs w:val="32"/>
        </w:rPr>
        <w:t>（类）支出</w:t>
      </w:r>
      <w:r>
        <w:rPr>
          <w:rFonts w:hint="eastAsia" w:ascii="仿宋" w:hAnsi="仿宋" w:eastAsia="仿宋" w:cs="宋体"/>
          <w:sz w:val="32"/>
          <w:szCs w:val="32"/>
        </w:rPr>
        <w:t>24.26</w:t>
      </w:r>
      <w:r>
        <w:rPr>
          <w:rFonts w:ascii="仿宋" w:hAnsi="仿宋" w:eastAsia="仿宋" w:cs="宋体"/>
          <w:sz w:val="32"/>
          <w:szCs w:val="32"/>
        </w:rPr>
        <w:t>万元，占</w:t>
      </w:r>
      <w:r>
        <w:rPr>
          <w:rFonts w:hint="eastAsia" w:ascii="仿宋" w:hAnsi="仿宋" w:eastAsia="仿宋" w:cs="宋体"/>
          <w:sz w:val="32"/>
          <w:szCs w:val="32"/>
        </w:rPr>
        <w:t>7.05</w:t>
      </w:r>
      <w:r>
        <w:rPr>
          <w:rFonts w:ascii="仿宋" w:hAnsi="仿宋" w:eastAsia="仿宋" w:cs="宋体"/>
          <w:sz w:val="32"/>
          <w:szCs w:val="32"/>
        </w:rPr>
        <w:t>%;</w:t>
      </w:r>
      <w:r>
        <w:rPr>
          <w:rFonts w:hint="eastAsia" w:ascii="仿宋" w:hAnsi="仿宋" w:eastAsia="仿宋" w:cs="宋体"/>
          <w:sz w:val="32"/>
          <w:szCs w:val="32"/>
        </w:rPr>
        <w:t>卫生健康（类）支出7.02万元，占2.04%；住房保障（类）支出0.33</w:t>
      </w:r>
      <w:r>
        <w:rPr>
          <w:rFonts w:hint="eastAsia" w:ascii="仿宋" w:hAnsi="仿宋" w:eastAsia="仿宋" w:cs="宋体"/>
          <w:sz w:val="32"/>
          <w:szCs w:val="32"/>
          <w:lang w:eastAsia="zh-CN"/>
        </w:rPr>
        <w:t>万</w:t>
      </w:r>
      <w:r>
        <w:rPr>
          <w:rFonts w:hint="eastAsia" w:ascii="仿宋" w:hAnsi="仿宋" w:eastAsia="仿宋" w:cs="宋体"/>
          <w:sz w:val="32"/>
          <w:szCs w:val="32"/>
        </w:rPr>
        <w:t>元，</w:t>
      </w:r>
      <w:r>
        <w:rPr>
          <w:rFonts w:ascii="仿宋" w:hAnsi="仿宋" w:eastAsia="仿宋" w:cs="宋体"/>
          <w:sz w:val="32"/>
          <w:szCs w:val="32"/>
        </w:rPr>
        <w:t>占</w:t>
      </w:r>
      <w:r>
        <w:rPr>
          <w:rFonts w:hint="eastAsia" w:ascii="仿宋" w:hAnsi="仿宋" w:eastAsia="仿宋" w:cs="宋体"/>
          <w:sz w:val="32"/>
          <w:szCs w:val="32"/>
        </w:rPr>
        <w:t>0.09</w:t>
      </w:r>
      <w:r>
        <w:rPr>
          <w:rFonts w:ascii="仿宋" w:hAnsi="仿宋" w:eastAsia="仿宋" w:cs="宋体"/>
          <w:sz w:val="32"/>
          <w:szCs w:val="32"/>
        </w:rPr>
        <w:t>%</w:t>
      </w:r>
      <w:r>
        <w:rPr>
          <w:rFonts w:hint="eastAsia" w:ascii="仿宋" w:hAnsi="仿宋" w:eastAsia="仿宋" w:cs="宋体"/>
          <w:sz w:val="32"/>
          <w:szCs w:val="32"/>
        </w:rPr>
        <w:t>.</w:t>
      </w:r>
    </w:p>
    <w:p w14:paraId="034BD7C2">
      <w:pPr>
        <w:pStyle w:val="13"/>
        <w:overflowPunct w:val="0"/>
        <w:autoSpaceDE/>
        <w:autoSpaceDN/>
        <w:spacing w:line="600" w:lineRule="exact"/>
        <w:ind w:firstLine="640" w:firstLineChars="200"/>
        <w:jc w:val="both"/>
        <w:rPr>
          <w:rFonts w:hint="eastAsia" w:ascii="楷体" w:hAnsi="楷体" w:eastAsia="楷体" w:cs="楷体"/>
          <w:b/>
          <w:bCs w:val="0"/>
          <w:sz w:val="32"/>
          <w:szCs w:val="32"/>
        </w:rPr>
      </w:pPr>
      <w:r>
        <w:rPr>
          <w:rFonts w:hint="eastAsia" w:ascii="楷体" w:hAnsi="楷体" w:eastAsia="楷体" w:cs="楷体"/>
          <w:b/>
          <w:bCs w:val="0"/>
          <w:sz w:val="32"/>
          <w:szCs w:val="32"/>
        </w:rPr>
        <w:t>（三）一般公共预算财政拨款支出决算具体情况</w:t>
      </w:r>
    </w:p>
    <w:p w14:paraId="0FA0E228">
      <w:pPr>
        <w:pStyle w:val="13"/>
        <w:overflowPunct w:val="0"/>
        <w:autoSpaceDE/>
        <w:autoSpaceDN/>
        <w:spacing w:line="600" w:lineRule="exact"/>
        <w:ind w:firstLine="640" w:firstLineChars="200"/>
        <w:jc w:val="both"/>
        <w:rPr>
          <w:rFonts w:hint="eastAsia" w:ascii="仿宋" w:hAnsi="仿宋" w:eastAsia="仿宋" w:cs="宋体"/>
          <w:sz w:val="32"/>
          <w:szCs w:val="32"/>
        </w:rPr>
      </w:pPr>
      <w:r>
        <w:rPr>
          <w:rFonts w:ascii="Times New Roman" w:hAnsi="Times New Roman" w:eastAsia="仿宋_GB2312" w:cs="Times New Roman"/>
          <w:sz w:val="32"/>
          <w:szCs w:val="32"/>
        </w:rPr>
        <w:t>2</w:t>
      </w:r>
      <w:r>
        <w:rPr>
          <w:rFonts w:ascii="仿宋" w:hAnsi="仿宋" w:eastAsia="仿宋" w:cs="宋体"/>
          <w:sz w:val="32"/>
          <w:szCs w:val="32"/>
        </w:rPr>
        <w:t>02</w:t>
      </w:r>
      <w:r>
        <w:rPr>
          <w:rFonts w:hint="eastAsia" w:ascii="仿宋" w:hAnsi="仿宋" w:eastAsia="仿宋" w:cs="宋体"/>
          <w:sz w:val="32"/>
          <w:szCs w:val="32"/>
        </w:rPr>
        <w:t>5</w:t>
      </w:r>
      <w:r>
        <w:rPr>
          <w:rFonts w:ascii="仿宋" w:hAnsi="仿宋" w:eastAsia="仿宋" w:cs="宋体"/>
          <w:sz w:val="32"/>
          <w:szCs w:val="32"/>
        </w:rPr>
        <w:t>年度财政拨款支出年初预算数为</w:t>
      </w:r>
      <w:r>
        <w:rPr>
          <w:rFonts w:hint="eastAsia" w:ascii="仿宋" w:hAnsi="仿宋" w:eastAsia="仿宋" w:cs="宋体"/>
          <w:sz w:val="32"/>
          <w:szCs w:val="32"/>
        </w:rPr>
        <w:t>359.10</w:t>
      </w:r>
      <w:r>
        <w:rPr>
          <w:rFonts w:ascii="仿宋" w:hAnsi="仿宋" w:eastAsia="仿宋" w:cs="宋体"/>
          <w:sz w:val="32"/>
          <w:szCs w:val="32"/>
        </w:rPr>
        <w:t>万元，支出决算数为</w:t>
      </w:r>
      <w:r>
        <w:rPr>
          <w:rFonts w:hint="eastAsia" w:ascii="仿宋" w:hAnsi="仿宋" w:eastAsia="仿宋" w:cs="宋体"/>
          <w:sz w:val="32"/>
          <w:szCs w:val="32"/>
        </w:rPr>
        <w:t>344.29</w:t>
      </w:r>
      <w:r>
        <w:rPr>
          <w:rFonts w:ascii="仿宋" w:hAnsi="仿宋" w:eastAsia="仿宋" w:cs="宋体"/>
          <w:sz w:val="32"/>
          <w:szCs w:val="32"/>
        </w:rPr>
        <w:t>万元，完成年初预算的</w:t>
      </w:r>
      <w:r>
        <w:rPr>
          <w:rFonts w:hint="eastAsia" w:ascii="仿宋" w:hAnsi="仿宋" w:eastAsia="仿宋" w:cs="宋体"/>
          <w:sz w:val="32"/>
          <w:szCs w:val="32"/>
        </w:rPr>
        <w:t>95.88</w:t>
      </w:r>
      <w:r>
        <w:rPr>
          <w:rFonts w:ascii="仿宋" w:hAnsi="仿宋" w:eastAsia="仿宋" w:cs="宋体"/>
          <w:sz w:val="32"/>
          <w:szCs w:val="32"/>
        </w:rPr>
        <w:t>%，其中：</w:t>
      </w:r>
    </w:p>
    <w:p w14:paraId="7834F636">
      <w:pPr>
        <w:pStyle w:val="13"/>
        <w:overflowPunct w:val="0"/>
        <w:autoSpaceDE/>
        <w:autoSpaceDN/>
        <w:spacing w:after="160" w:line="600" w:lineRule="exact"/>
        <w:ind w:firstLine="640" w:firstLineChars="200"/>
        <w:jc w:val="both"/>
        <w:rPr>
          <w:rFonts w:hint="eastAsia" w:ascii="仿宋" w:hAnsi="仿宋" w:eastAsia="仿宋"/>
          <w:sz w:val="32"/>
          <w:szCs w:val="32"/>
        </w:rPr>
      </w:pPr>
      <w:r>
        <w:rPr>
          <w:rFonts w:ascii="仿宋" w:hAnsi="仿宋" w:eastAsia="仿宋" w:cs="宋体"/>
          <w:sz w:val="32"/>
          <w:szCs w:val="32"/>
        </w:rPr>
        <w:t>1、一般公共服务</w:t>
      </w:r>
      <w:r>
        <w:rPr>
          <w:rFonts w:hint="eastAsia" w:ascii="仿宋" w:hAnsi="仿宋" w:eastAsia="仿宋" w:cs="宋体"/>
          <w:sz w:val="32"/>
          <w:szCs w:val="32"/>
        </w:rPr>
        <w:t>支出</w:t>
      </w:r>
      <w:r>
        <w:rPr>
          <w:rFonts w:ascii="仿宋" w:hAnsi="仿宋" w:eastAsia="仿宋" w:cs="宋体"/>
          <w:sz w:val="32"/>
          <w:szCs w:val="32"/>
        </w:rPr>
        <w:t>（类）</w:t>
      </w:r>
      <w:r>
        <w:rPr>
          <w:rFonts w:hint="eastAsia" w:ascii="仿宋" w:hAnsi="仿宋" w:eastAsia="仿宋" w:cs="宋体"/>
          <w:sz w:val="32"/>
          <w:szCs w:val="32"/>
        </w:rPr>
        <w:t>政府办</w:t>
      </w:r>
      <w:r>
        <w:rPr>
          <w:rFonts w:hint="eastAsia" w:ascii="仿宋" w:hAnsi="仿宋" w:eastAsia="仿宋"/>
          <w:sz w:val="32"/>
          <w:szCs w:val="32"/>
        </w:rPr>
        <w:t>公厅（室）及相关机构事务（款）参事事务(项）。</w:t>
      </w:r>
    </w:p>
    <w:p w14:paraId="5FAC05B4">
      <w:pPr>
        <w:pStyle w:val="13"/>
        <w:overflowPunct w:val="0"/>
        <w:autoSpaceDE/>
        <w:autoSpaceDN/>
        <w:spacing w:line="600" w:lineRule="exact"/>
        <w:ind w:firstLine="640" w:firstLineChars="200"/>
        <w:jc w:val="both"/>
        <w:rPr>
          <w:rFonts w:hint="eastAsia" w:ascii="仿宋" w:hAnsi="仿宋" w:eastAsia="仿宋" w:cs="宋体"/>
          <w:sz w:val="32"/>
          <w:szCs w:val="32"/>
        </w:rPr>
      </w:pPr>
      <w:r>
        <w:rPr>
          <w:rFonts w:ascii="仿宋" w:hAnsi="仿宋" w:eastAsia="仿宋" w:cs="宋体"/>
          <w:sz w:val="32"/>
          <w:szCs w:val="32"/>
        </w:rPr>
        <w:t>年初预算为</w:t>
      </w:r>
      <w:r>
        <w:rPr>
          <w:rFonts w:hint="eastAsia" w:ascii="仿宋" w:hAnsi="仿宋" w:eastAsia="仿宋" w:cs="宋体"/>
          <w:sz w:val="32"/>
          <w:szCs w:val="32"/>
        </w:rPr>
        <w:t>70</w:t>
      </w:r>
      <w:r>
        <w:rPr>
          <w:rFonts w:ascii="仿宋" w:hAnsi="仿宋" w:eastAsia="仿宋" w:cs="宋体"/>
          <w:sz w:val="32"/>
          <w:szCs w:val="32"/>
        </w:rPr>
        <w:t>万元，支出决算为</w:t>
      </w:r>
      <w:r>
        <w:rPr>
          <w:rFonts w:hint="eastAsia" w:ascii="仿宋" w:hAnsi="仿宋" w:eastAsia="仿宋" w:cs="宋体"/>
          <w:sz w:val="32"/>
          <w:szCs w:val="32"/>
        </w:rPr>
        <w:t>55.30</w:t>
      </w:r>
      <w:r>
        <w:rPr>
          <w:rFonts w:ascii="仿宋" w:hAnsi="仿宋" w:eastAsia="仿宋" w:cs="宋体"/>
          <w:sz w:val="32"/>
          <w:szCs w:val="32"/>
        </w:rPr>
        <w:t>万元，完成年初预算的</w:t>
      </w:r>
      <w:r>
        <w:rPr>
          <w:rFonts w:hint="eastAsia" w:ascii="仿宋" w:hAnsi="仿宋" w:eastAsia="仿宋" w:cs="宋体"/>
          <w:sz w:val="32"/>
          <w:szCs w:val="32"/>
        </w:rPr>
        <w:t>79</w:t>
      </w:r>
      <w:r>
        <w:rPr>
          <w:rFonts w:ascii="仿宋" w:hAnsi="仿宋" w:eastAsia="仿宋" w:cs="宋体"/>
          <w:sz w:val="32"/>
          <w:szCs w:val="32"/>
        </w:rPr>
        <w:t>%，决算数小于年初预算数的主要原因是：</w:t>
      </w:r>
      <w:r>
        <w:rPr>
          <w:rFonts w:hint="eastAsia" w:ascii="仿宋" w:hAnsi="仿宋" w:eastAsia="仿宋" w:cs="宋体"/>
          <w:sz w:val="32"/>
          <w:szCs w:val="32"/>
        </w:rPr>
        <w:t>财政压减维稳联络专项10万元。</w:t>
      </w:r>
    </w:p>
    <w:p w14:paraId="6563BBE8">
      <w:pPr>
        <w:pStyle w:val="13"/>
        <w:overflowPunct w:val="0"/>
        <w:autoSpaceDE/>
        <w:autoSpaceDN/>
        <w:spacing w:line="600" w:lineRule="exact"/>
        <w:ind w:firstLine="640" w:firstLineChars="200"/>
        <w:jc w:val="both"/>
        <w:rPr>
          <w:rFonts w:hint="eastAsia" w:ascii="仿宋" w:hAnsi="仿宋" w:eastAsia="仿宋" w:cs="宋体"/>
          <w:sz w:val="32"/>
          <w:szCs w:val="32"/>
        </w:rPr>
      </w:pPr>
      <w:bookmarkStart w:id="4" w:name="_Hlk239783682"/>
      <w:r>
        <w:rPr>
          <w:rFonts w:ascii="仿宋" w:hAnsi="仿宋" w:eastAsia="仿宋" w:cs="宋体"/>
          <w:sz w:val="32"/>
          <w:szCs w:val="32"/>
        </w:rPr>
        <w:t>2、一般公共服务</w:t>
      </w:r>
      <w:r>
        <w:rPr>
          <w:rFonts w:hint="eastAsia" w:ascii="仿宋" w:hAnsi="仿宋" w:eastAsia="仿宋" w:cs="宋体"/>
          <w:sz w:val="32"/>
          <w:szCs w:val="32"/>
        </w:rPr>
        <w:t>支出</w:t>
      </w:r>
      <w:r>
        <w:rPr>
          <w:rFonts w:ascii="仿宋" w:hAnsi="仿宋" w:eastAsia="仿宋" w:cs="宋体"/>
          <w:sz w:val="32"/>
          <w:szCs w:val="32"/>
        </w:rPr>
        <w:t>（类）</w:t>
      </w:r>
      <w:r>
        <w:rPr>
          <w:rFonts w:hint="eastAsia" w:ascii="仿宋" w:hAnsi="仿宋" w:eastAsia="仿宋"/>
          <w:sz w:val="32"/>
          <w:szCs w:val="32"/>
        </w:rPr>
        <w:t>政府办公厅（室）及相关机构事务</w:t>
      </w:r>
      <w:r>
        <w:rPr>
          <w:rFonts w:ascii="仿宋" w:hAnsi="仿宋" w:eastAsia="仿宋" w:cs="宋体"/>
          <w:sz w:val="32"/>
          <w:szCs w:val="32"/>
        </w:rPr>
        <w:t>（款）</w:t>
      </w:r>
      <w:r>
        <w:rPr>
          <w:rFonts w:hint="eastAsia" w:ascii="仿宋" w:hAnsi="仿宋" w:eastAsia="仿宋" w:cs="宋体"/>
          <w:sz w:val="32"/>
          <w:szCs w:val="32"/>
        </w:rPr>
        <w:t>事业运行</w:t>
      </w:r>
      <w:r>
        <w:rPr>
          <w:rFonts w:ascii="仿宋" w:hAnsi="仿宋" w:eastAsia="仿宋" w:cs="宋体"/>
          <w:sz w:val="32"/>
          <w:szCs w:val="32"/>
        </w:rPr>
        <w:t>（项）。</w:t>
      </w:r>
    </w:p>
    <w:bookmarkEnd w:id="4"/>
    <w:p w14:paraId="3E2C943D">
      <w:pPr>
        <w:pStyle w:val="13"/>
        <w:overflowPunct w:val="0"/>
        <w:autoSpaceDE/>
        <w:autoSpaceDN/>
        <w:spacing w:line="600" w:lineRule="exact"/>
        <w:ind w:firstLine="640" w:firstLineChars="200"/>
        <w:jc w:val="both"/>
        <w:rPr>
          <w:rFonts w:hint="eastAsia" w:ascii="仿宋" w:hAnsi="仿宋" w:eastAsia="仿宋" w:cs="宋体"/>
          <w:sz w:val="32"/>
          <w:szCs w:val="32"/>
        </w:rPr>
      </w:pPr>
      <w:bookmarkStart w:id="5" w:name="_Hlk239783748"/>
      <w:r>
        <w:rPr>
          <w:rFonts w:ascii="仿宋" w:hAnsi="仿宋" w:eastAsia="仿宋" w:cs="宋体"/>
          <w:sz w:val="32"/>
          <w:szCs w:val="32"/>
        </w:rPr>
        <w:t>年初预算为</w:t>
      </w:r>
      <w:r>
        <w:rPr>
          <w:rFonts w:hint="eastAsia" w:ascii="仿宋" w:hAnsi="仿宋" w:eastAsia="仿宋" w:cs="宋体"/>
          <w:sz w:val="32"/>
          <w:szCs w:val="32"/>
        </w:rPr>
        <w:t>0.46</w:t>
      </w:r>
      <w:r>
        <w:rPr>
          <w:rFonts w:ascii="仿宋" w:hAnsi="仿宋" w:eastAsia="仿宋" w:cs="宋体"/>
          <w:sz w:val="32"/>
          <w:szCs w:val="32"/>
        </w:rPr>
        <w:t>万元，支出决算为</w:t>
      </w:r>
      <w:r>
        <w:rPr>
          <w:rFonts w:hint="eastAsia" w:ascii="仿宋" w:hAnsi="仿宋" w:eastAsia="仿宋" w:cs="宋体"/>
          <w:sz w:val="32"/>
          <w:szCs w:val="32"/>
        </w:rPr>
        <w:t>0.46</w:t>
      </w:r>
      <w:r>
        <w:rPr>
          <w:rFonts w:ascii="仿宋" w:hAnsi="仿宋" w:eastAsia="仿宋" w:cs="宋体"/>
          <w:sz w:val="32"/>
          <w:szCs w:val="32"/>
        </w:rPr>
        <w:t>万元，完成年初预算的</w:t>
      </w:r>
      <w:r>
        <w:rPr>
          <w:rFonts w:hint="eastAsia" w:ascii="仿宋" w:hAnsi="仿宋" w:eastAsia="仿宋" w:cs="宋体"/>
          <w:sz w:val="32"/>
          <w:szCs w:val="32"/>
        </w:rPr>
        <w:t>100</w:t>
      </w:r>
      <w:r>
        <w:rPr>
          <w:rFonts w:ascii="仿宋" w:hAnsi="仿宋" w:eastAsia="仿宋" w:cs="宋体"/>
          <w:sz w:val="32"/>
          <w:szCs w:val="32"/>
        </w:rPr>
        <w:t>%，决算数</w:t>
      </w:r>
      <w:r>
        <w:rPr>
          <w:rFonts w:hint="eastAsia" w:ascii="仿宋" w:hAnsi="仿宋" w:eastAsia="仿宋" w:cs="宋体"/>
          <w:sz w:val="32"/>
          <w:szCs w:val="32"/>
        </w:rPr>
        <w:t>等于</w:t>
      </w:r>
      <w:r>
        <w:rPr>
          <w:rFonts w:ascii="仿宋" w:hAnsi="仿宋" w:eastAsia="仿宋" w:cs="宋体"/>
          <w:sz w:val="32"/>
          <w:szCs w:val="32"/>
        </w:rPr>
        <w:t>年初预算数的主要原因是：</w:t>
      </w:r>
      <w:r>
        <w:rPr>
          <w:rFonts w:hint="eastAsia" w:ascii="仿宋" w:hAnsi="仿宋" w:eastAsia="仿宋" w:cs="宋体"/>
          <w:sz w:val="32"/>
          <w:szCs w:val="32"/>
        </w:rPr>
        <w:t>预算精准。</w:t>
      </w:r>
    </w:p>
    <w:bookmarkEnd w:id="5"/>
    <w:p w14:paraId="044E4F11">
      <w:pPr>
        <w:pStyle w:val="13"/>
        <w:overflowPunct w:val="0"/>
        <w:autoSpaceDE/>
        <w:autoSpaceDN/>
        <w:spacing w:line="600" w:lineRule="exact"/>
        <w:ind w:firstLine="640" w:firstLineChars="200"/>
        <w:jc w:val="both"/>
        <w:rPr>
          <w:rFonts w:hint="eastAsia" w:ascii="仿宋" w:hAnsi="仿宋" w:eastAsia="仿宋" w:cs="宋体"/>
          <w:sz w:val="32"/>
          <w:szCs w:val="32"/>
        </w:rPr>
      </w:pPr>
      <w:r>
        <w:rPr>
          <w:rFonts w:hint="eastAsia" w:ascii="仿宋" w:hAnsi="仿宋" w:eastAsia="仿宋" w:cs="宋体"/>
          <w:sz w:val="32"/>
          <w:szCs w:val="32"/>
        </w:rPr>
        <w:t>3</w:t>
      </w:r>
      <w:bookmarkStart w:id="6" w:name="_Hlk239784442"/>
      <w:r>
        <w:rPr>
          <w:rFonts w:hint="eastAsia" w:ascii="仿宋" w:hAnsi="仿宋" w:eastAsia="仿宋" w:cs="宋体"/>
          <w:sz w:val="32"/>
          <w:szCs w:val="32"/>
        </w:rPr>
        <w:t>、</w:t>
      </w:r>
      <w:r>
        <w:rPr>
          <w:rFonts w:ascii="仿宋" w:hAnsi="仿宋" w:eastAsia="仿宋" w:cs="宋体"/>
          <w:sz w:val="32"/>
          <w:szCs w:val="32"/>
        </w:rPr>
        <w:t>一般公共服务</w:t>
      </w:r>
      <w:r>
        <w:rPr>
          <w:rFonts w:hint="eastAsia" w:ascii="仿宋" w:hAnsi="仿宋" w:eastAsia="仿宋" w:cs="宋体"/>
          <w:sz w:val="32"/>
          <w:szCs w:val="32"/>
        </w:rPr>
        <w:t>支出</w:t>
      </w:r>
      <w:r>
        <w:rPr>
          <w:rFonts w:ascii="仿宋" w:hAnsi="仿宋" w:eastAsia="仿宋" w:cs="宋体"/>
          <w:sz w:val="32"/>
          <w:szCs w:val="32"/>
        </w:rPr>
        <w:t>（类）</w:t>
      </w:r>
      <w:r>
        <w:rPr>
          <w:rFonts w:hint="eastAsia" w:ascii="仿宋" w:hAnsi="仿宋" w:eastAsia="仿宋"/>
          <w:sz w:val="32"/>
          <w:szCs w:val="32"/>
        </w:rPr>
        <w:t>政府办公厅（室）及相关机构事务</w:t>
      </w:r>
      <w:r>
        <w:rPr>
          <w:rFonts w:ascii="仿宋" w:hAnsi="仿宋" w:eastAsia="仿宋" w:cs="宋体"/>
          <w:sz w:val="32"/>
          <w:szCs w:val="32"/>
        </w:rPr>
        <w:t>（款）</w:t>
      </w:r>
      <w:r>
        <w:rPr>
          <w:rFonts w:hint="eastAsia" w:ascii="仿宋" w:hAnsi="仿宋" w:eastAsia="仿宋" w:cs="宋体"/>
          <w:sz w:val="32"/>
          <w:szCs w:val="32"/>
        </w:rPr>
        <w:t>其他政府办公厅（室）及相关机构事务支出</w:t>
      </w:r>
      <w:r>
        <w:rPr>
          <w:rFonts w:ascii="仿宋" w:hAnsi="仿宋" w:eastAsia="仿宋" w:cs="宋体"/>
          <w:sz w:val="32"/>
          <w:szCs w:val="32"/>
        </w:rPr>
        <w:t>（项）</w:t>
      </w:r>
      <w:bookmarkEnd w:id="6"/>
      <w:r>
        <w:rPr>
          <w:rFonts w:ascii="仿宋" w:hAnsi="仿宋" w:eastAsia="仿宋" w:cs="宋体"/>
          <w:sz w:val="32"/>
          <w:szCs w:val="32"/>
        </w:rPr>
        <w:t>。</w:t>
      </w:r>
    </w:p>
    <w:p w14:paraId="3781D68D">
      <w:pPr>
        <w:pStyle w:val="13"/>
        <w:overflowPunct w:val="0"/>
        <w:autoSpaceDE/>
        <w:autoSpaceDN/>
        <w:spacing w:line="600" w:lineRule="exact"/>
        <w:ind w:firstLine="640" w:firstLineChars="200"/>
        <w:jc w:val="both"/>
        <w:rPr>
          <w:rFonts w:hint="eastAsia" w:ascii="仿宋" w:hAnsi="仿宋" w:eastAsia="仿宋"/>
          <w:sz w:val="32"/>
          <w:szCs w:val="32"/>
        </w:rPr>
      </w:pPr>
      <w:r>
        <w:rPr>
          <w:rFonts w:ascii="仿宋" w:hAnsi="仿宋" w:eastAsia="仿宋" w:cs="宋体"/>
          <w:sz w:val="32"/>
          <w:szCs w:val="32"/>
        </w:rPr>
        <w:t>年初预算为</w:t>
      </w:r>
      <w:r>
        <w:rPr>
          <w:rFonts w:hint="eastAsia" w:ascii="仿宋" w:hAnsi="仿宋" w:eastAsia="仿宋" w:cs="宋体"/>
          <w:sz w:val="32"/>
          <w:szCs w:val="32"/>
        </w:rPr>
        <w:t>0</w:t>
      </w:r>
      <w:r>
        <w:rPr>
          <w:rFonts w:ascii="仿宋" w:hAnsi="仿宋" w:eastAsia="仿宋" w:cs="宋体"/>
          <w:sz w:val="32"/>
          <w:szCs w:val="32"/>
        </w:rPr>
        <w:t>万元，支出决算为</w:t>
      </w:r>
      <w:r>
        <w:rPr>
          <w:rFonts w:hint="eastAsia" w:ascii="仿宋" w:hAnsi="仿宋" w:eastAsia="仿宋" w:cs="宋体"/>
          <w:sz w:val="32"/>
          <w:szCs w:val="32"/>
        </w:rPr>
        <w:t>13.63</w:t>
      </w:r>
      <w:r>
        <w:rPr>
          <w:rFonts w:ascii="仿宋" w:hAnsi="仿宋" w:eastAsia="仿宋" w:cs="宋体"/>
          <w:sz w:val="32"/>
          <w:szCs w:val="32"/>
        </w:rPr>
        <w:t>万元，</w:t>
      </w:r>
      <w:r>
        <w:rPr>
          <w:rFonts w:hint="eastAsia" w:ascii="仿宋" w:hAnsi="仿宋" w:eastAsia="仿宋" w:cs="宋体"/>
          <w:sz w:val="32"/>
          <w:szCs w:val="32"/>
        </w:rPr>
        <w:t>年初预算为0万元，</w:t>
      </w:r>
      <w:r>
        <w:rPr>
          <w:rFonts w:hint="eastAsia" w:ascii="仿宋" w:hAnsi="仿宋" w:eastAsia="仿宋"/>
          <w:sz w:val="32"/>
          <w:szCs w:val="32"/>
        </w:rPr>
        <w:t>无法计算年初预算完成比率，决算数大于年初预算数的主要原因是年中财政追加拨款，年中调整预算。</w:t>
      </w:r>
    </w:p>
    <w:p w14:paraId="6FC1F346">
      <w:pPr>
        <w:widowControl/>
        <w:ind w:firstLine="640" w:firstLineChars="200"/>
        <w:rPr>
          <w:rFonts w:hint="eastAsia" w:ascii="宋体" w:hAnsi="宋体" w:eastAsia="宋体" w:cs="宋体"/>
          <w:kern w:val="0"/>
          <w:sz w:val="18"/>
          <w:szCs w:val="18"/>
        </w:rPr>
      </w:pPr>
      <w:r>
        <w:rPr>
          <w:rFonts w:hint="eastAsia" w:ascii="仿宋" w:hAnsi="仿宋" w:eastAsia="仿宋"/>
          <w:sz w:val="32"/>
          <w:szCs w:val="32"/>
        </w:rPr>
        <w:t>4、</w:t>
      </w:r>
      <w:r>
        <w:rPr>
          <w:rFonts w:ascii="仿宋" w:hAnsi="仿宋" w:eastAsia="仿宋" w:cs="宋体"/>
          <w:sz w:val="32"/>
          <w:szCs w:val="32"/>
        </w:rPr>
        <w:t>一般公共服务</w:t>
      </w:r>
      <w:r>
        <w:rPr>
          <w:rFonts w:hint="eastAsia" w:ascii="仿宋" w:hAnsi="仿宋" w:eastAsia="仿宋" w:cs="宋体"/>
          <w:sz w:val="32"/>
          <w:szCs w:val="32"/>
        </w:rPr>
        <w:t>支出</w:t>
      </w:r>
      <w:r>
        <w:rPr>
          <w:rFonts w:ascii="仿宋" w:hAnsi="仿宋" w:eastAsia="仿宋" w:cs="黑体"/>
          <w:color w:val="000000"/>
          <w:kern w:val="0"/>
          <w:sz w:val="32"/>
          <w:szCs w:val="32"/>
        </w:rPr>
        <w:t>（类）</w:t>
      </w:r>
      <w:r>
        <w:rPr>
          <w:rFonts w:hint="eastAsia" w:ascii="仿宋" w:hAnsi="仿宋" w:eastAsia="仿宋" w:cs="黑体"/>
          <w:color w:val="000000"/>
          <w:kern w:val="0"/>
          <w:sz w:val="32"/>
          <w:szCs w:val="32"/>
        </w:rPr>
        <w:t>对外联络事务</w:t>
      </w:r>
      <w:r>
        <w:rPr>
          <w:rFonts w:ascii="仿宋" w:hAnsi="仿宋" w:eastAsia="仿宋" w:cs="黑体"/>
          <w:color w:val="000000"/>
          <w:kern w:val="0"/>
          <w:sz w:val="32"/>
          <w:szCs w:val="32"/>
        </w:rPr>
        <w:t>（款）</w:t>
      </w:r>
      <w:r>
        <w:rPr>
          <w:rFonts w:hint="eastAsia" w:ascii="仿宋" w:hAnsi="仿宋" w:eastAsia="仿宋" w:cs="黑体"/>
          <w:color w:val="000000"/>
          <w:kern w:val="0"/>
          <w:sz w:val="32"/>
          <w:szCs w:val="32"/>
        </w:rPr>
        <w:t>行政运行</w:t>
      </w:r>
      <w:r>
        <w:rPr>
          <w:rFonts w:ascii="仿宋" w:hAnsi="仿宋" w:eastAsia="仿宋" w:cs="黑体"/>
          <w:color w:val="000000"/>
          <w:kern w:val="0"/>
          <w:sz w:val="32"/>
          <w:szCs w:val="32"/>
        </w:rPr>
        <w:t>（项</w:t>
      </w:r>
      <w:r>
        <w:rPr>
          <w:rFonts w:ascii="仿宋" w:hAnsi="仿宋" w:eastAsia="仿宋" w:cs="宋体"/>
          <w:sz w:val="32"/>
          <w:szCs w:val="32"/>
        </w:rPr>
        <w:t>）</w:t>
      </w:r>
      <w:r>
        <w:rPr>
          <w:rFonts w:hint="eastAsia" w:ascii="仿宋" w:hAnsi="仿宋" w:eastAsia="仿宋" w:cs="宋体"/>
          <w:sz w:val="32"/>
          <w:szCs w:val="32"/>
        </w:rPr>
        <w:t>。</w:t>
      </w:r>
    </w:p>
    <w:p w14:paraId="39AAB48F">
      <w:pPr>
        <w:pStyle w:val="13"/>
        <w:overflowPunct w:val="0"/>
        <w:autoSpaceDE/>
        <w:autoSpaceDN/>
        <w:spacing w:line="600" w:lineRule="exact"/>
        <w:ind w:firstLine="640" w:firstLineChars="200"/>
        <w:jc w:val="both"/>
        <w:rPr>
          <w:rFonts w:hint="eastAsia" w:ascii="仿宋" w:hAnsi="仿宋" w:eastAsia="仿宋"/>
          <w:sz w:val="32"/>
          <w:szCs w:val="32"/>
        </w:rPr>
      </w:pPr>
      <w:r>
        <w:rPr>
          <w:rFonts w:ascii="仿宋" w:hAnsi="仿宋" w:eastAsia="仿宋" w:cs="宋体"/>
          <w:sz w:val="32"/>
          <w:szCs w:val="32"/>
        </w:rPr>
        <w:t>年初预算为</w:t>
      </w:r>
      <w:r>
        <w:rPr>
          <w:rFonts w:hint="eastAsia" w:ascii="仿宋" w:hAnsi="仿宋" w:eastAsia="仿宋" w:cs="宋体"/>
          <w:sz w:val="32"/>
          <w:szCs w:val="32"/>
        </w:rPr>
        <w:t>157.69</w:t>
      </w:r>
      <w:r>
        <w:rPr>
          <w:rFonts w:ascii="仿宋" w:hAnsi="仿宋" w:eastAsia="仿宋" w:cs="宋体"/>
          <w:sz w:val="32"/>
          <w:szCs w:val="32"/>
        </w:rPr>
        <w:t>万元，支出决算为</w:t>
      </w:r>
      <w:r>
        <w:rPr>
          <w:rFonts w:hint="eastAsia" w:ascii="仿宋" w:hAnsi="仿宋" w:eastAsia="仿宋" w:cs="宋体"/>
          <w:sz w:val="32"/>
          <w:szCs w:val="32"/>
        </w:rPr>
        <w:t>158.01</w:t>
      </w:r>
      <w:r>
        <w:rPr>
          <w:rFonts w:ascii="仿宋" w:hAnsi="仿宋" w:eastAsia="仿宋" w:cs="宋体"/>
          <w:sz w:val="32"/>
          <w:szCs w:val="32"/>
        </w:rPr>
        <w:t>万元，完成年初预算的</w:t>
      </w:r>
      <w:r>
        <w:rPr>
          <w:rFonts w:hint="eastAsia" w:ascii="仿宋" w:hAnsi="仿宋" w:eastAsia="仿宋" w:cs="宋体"/>
          <w:sz w:val="32"/>
          <w:szCs w:val="32"/>
        </w:rPr>
        <w:t>100.20</w:t>
      </w:r>
      <w:r>
        <w:rPr>
          <w:rFonts w:ascii="仿宋" w:hAnsi="仿宋" w:eastAsia="仿宋" w:cs="宋体"/>
          <w:sz w:val="32"/>
          <w:szCs w:val="32"/>
        </w:rPr>
        <w:t>%，</w:t>
      </w:r>
      <w:r>
        <w:rPr>
          <w:rFonts w:hint="eastAsia" w:ascii="仿宋" w:hAnsi="仿宋" w:eastAsia="仿宋"/>
          <w:sz w:val="32"/>
          <w:szCs w:val="32"/>
        </w:rPr>
        <w:t>决算数基本与年初预算数一致，主要原因是年初预算精准。</w:t>
      </w:r>
    </w:p>
    <w:p w14:paraId="06EED512">
      <w:pPr>
        <w:widowControl/>
        <w:ind w:firstLine="640" w:firstLineChars="200"/>
        <w:rPr>
          <w:rFonts w:hint="eastAsia" w:ascii="仿宋" w:hAnsi="仿宋" w:eastAsia="仿宋" w:cs="宋体"/>
          <w:color w:val="000000"/>
          <w:kern w:val="0"/>
          <w:sz w:val="32"/>
          <w:szCs w:val="32"/>
        </w:rPr>
      </w:pPr>
      <w:r>
        <w:rPr>
          <w:rFonts w:hint="eastAsia" w:ascii="仿宋" w:hAnsi="仿宋" w:eastAsia="仿宋"/>
          <w:sz w:val="32"/>
          <w:szCs w:val="32"/>
        </w:rPr>
        <w:t>5、</w:t>
      </w:r>
      <w:r>
        <w:rPr>
          <w:rFonts w:ascii="仿宋" w:hAnsi="仿宋" w:eastAsia="仿宋" w:cs="宋体"/>
          <w:sz w:val="32"/>
          <w:szCs w:val="32"/>
        </w:rPr>
        <w:t>一般公共服务</w:t>
      </w:r>
      <w:r>
        <w:rPr>
          <w:rFonts w:hint="eastAsia" w:ascii="仿宋" w:hAnsi="仿宋" w:eastAsia="仿宋" w:cs="宋体"/>
          <w:sz w:val="32"/>
          <w:szCs w:val="32"/>
        </w:rPr>
        <w:t>支出</w:t>
      </w:r>
      <w:r>
        <w:rPr>
          <w:rFonts w:ascii="仿宋" w:hAnsi="仿宋" w:eastAsia="仿宋" w:cs="黑体"/>
          <w:color w:val="000000"/>
          <w:kern w:val="0"/>
          <w:sz w:val="32"/>
          <w:szCs w:val="32"/>
        </w:rPr>
        <w:t>（类</w:t>
      </w:r>
      <w:r>
        <w:rPr>
          <w:rFonts w:ascii="仿宋" w:hAnsi="仿宋" w:eastAsia="仿宋" w:cs="宋体"/>
          <w:color w:val="000000"/>
          <w:kern w:val="0"/>
          <w:sz w:val="32"/>
          <w:szCs w:val="32"/>
        </w:rPr>
        <w:t>）</w:t>
      </w:r>
      <w:r>
        <w:rPr>
          <w:rFonts w:hint="eastAsia" w:ascii="仿宋" w:hAnsi="仿宋" w:eastAsia="仿宋" w:cs="宋体"/>
          <w:color w:val="000000"/>
          <w:kern w:val="0"/>
          <w:sz w:val="32"/>
          <w:szCs w:val="32"/>
        </w:rPr>
        <w:t>其他一般公共服务支出</w:t>
      </w:r>
      <w:r>
        <w:rPr>
          <w:rFonts w:ascii="仿宋" w:hAnsi="仿宋" w:eastAsia="仿宋" w:cs="宋体"/>
          <w:color w:val="000000"/>
          <w:kern w:val="0"/>
          <w:sz w:val="32"/>
          <w:szCs w:val="32"/>
        </w:rPr>
        <w:t>（款）</w:t>
      </w:r>
      <w:r>
        <w:rPr>
          <w:rFonts w:hint="eastAsia" w:ascii="仿宋" w:hAnsi="仿宋" w:eastAsia="仿宋" w:cs="宋体"/>
          <w:color w:val="000000"/>
          <w:kern w:val="0"/>
          <w:sz w:val="32"/>
          <w:szCs w:val="32"/>
        </w:rPr>
        <w:t>其他一般公共服务支出</w:t>
      </w:r>
      <w:r>
        <w:rPr>
          <w:rFonts w:ascii="仿宋" w:hAnsi="仿宋" w:eastAsia="仿宋" w:cs="宋体"/>
          <w:color w:val="000000"/>
          <w:kern w:val="0"/>
          <w:sz w:val="32"/>
          <w:szCs w:val="32"/>
        </w:rPr>
        <w:t>（项）</w:t>
      </w:r>
      <w:r>
        <w:rPr>
          <w:rFonts w:hint="eastAsia" w:ascii="仿宋" w:hAnsi="仿宋" w:eastAsia="仿宋" w:cs="宋体"/>
          <w:color w:val="000000"/>
          <w:kern w:val="0"/>
          <w:sz w:val="32"/>
          <w:szCs w:val="32"/>
        </w:rPr>
        <w:t>。</w:t>
      </w:r>
    </w:p>
    <w:p w14:paraId="3BAA46EC">
      <w:pPr>
        <w:pStyle w:val="13"/>
        <w:overflowPunct w:val="0"/>
        <w:autoSpaceDE/>
        <w:autoSpaceDN/>
        <w:spacing w:line="600" w:lineRule="exact"/>
        <w:ind w:firstLine="640" w:firstLineChars="200"/>
        <w:jc w:val="both"/>
        <w:rPr>
          <w:rFonts w:hint="eastAsia" w:ascii="仿宋" w:hAnsi="仿宋" w:eastAsia="仿宋"/>
          <w:sz w:val="32"/>
          <w:szCs w:val="32"/>
        </w:rPr>
      </w:pPr>
      <w:r>
        <w:rPr>
          <w:rFonts w:ascii="仿宋" w:hAnsi="仿宋" w:eastAsia="仿宋" w:cs="宋体"/>
          <w:sz w:val="32"/>
          <w:szCs w:val="32"/>
        </w:rPr>
        <w:t>年初预算为</w:t>
      </w:r>
      <w:r>
        <w:rPr>
          <w:rFonts w:hint="eastAsia" w:ascii="仿宋" w:hAnsi="仿宋" w:eastAsia="仿宋" w:cs="宋体"/>
          <w:sz w:val="32"/>
          <w:szCs w:val="32"/>
        </w:rPr>
        <w:t>100</w:t>
      </w:r>
      <w:r>
        <w:rPr>
          <w:rFonts w:ascii="仿宋" w:hAnsi="仿宋" w:eastAsia="仿宋" w:cs="宋体"/>
          <w:sz w:val="32"/>
          <w:szCs w:val="32"/>
        </w:rPr>
        <w:t>万元，支出决算为</w:t>
      </w:r>
      <w:r>
        <w:rPr>
          <w:rFonts w:hint="eastAsia" w:ascii="仿宋" w:hAnsi="仿宋" w:eastAsia="仿宋" w:cs="宋体"/>
          <w:sz w:val="32"/>
          <w:szCs w:val="32"/>
        </w:rPr>
        <w:t>85.27</w:t>
      </w:r>
      <w:r>
        <w:rPr>
          <w:rFonts w:ascii="仿宋" w:hAnsi="仿宋" w:eastAsia="仿宋" w:cs="宋体"/>
          <w:sz w:val="32"/>
          <w:szCs w:val="32"/>
        </w:rPr>
        <w:t>万元，完成年初预算的</w:t>
      </w:r>
      <w:r>
        <w:rPr>
          <w:rFonts w:hint="eastAsia" w:ascii="仿宋" w:hAnsi="仿宋" w:eastAsia="仿宋" w:cs="宋体"/>
          <w:sz w:val="32"/>
          <w:szCs w:val="32"/>
        </w:rPr>
        <w:t>85.27</w:t>
      </w:r>
      <w:r>
        <w:rPr>
          <w:rFonts w:ascii="仿宋" w:hAnsi="仿宋" w:eastAsia="仿宋" w:cs="宋体"/>
          <w:sz w:val="32"/>
          <w:szCs w:val="32"/>
        </w:rPr>
        <w:t>%，</w:t>
      </w:r>
      <w:r>
        <w:rPr>
          <w:rFonts w:hint="eastAsia" w:ascii="仿宋" w:hAnsi="仿宋" w:eastAsia="仿宋"/>
          <w:sz w:val="32"/>
          <w:szCs w:val="32"/>
        </w:rPr>
        <w:t>决算数小于年初预算数的主要原因是财政压减维稳联络专项10万元。</w:t>
      </w:r>
    </w:p>
    <w:p w14:paraId="1DBB8C72">
      <w:pPr>
        <w:numPr>
          <w:ilvl w:val="0"/>
          <w:numId w:val="1"/>
        </w:numPr>
        <w:overflowPunct w:val="0"/>
        <w:adjustRightInd w:val="0"/>
        <w:spacing w:after="160" w:line="600" w:lineRule="exact"/>
        <w:ind w:firstLine="640" w:firstLineChars="200"/>
        <w:rPr>
          <w:rFonts w:hint="eastAsia" w:ascii="仿宋" w:hAnsi="仿宋" w:eastAsia="仿宋" w:cs="宋体"/>
          <w:color w:val="000000"/>
          <w:kern w:val="0"/>
          <w:sz w:val="32"/>
          <w:szCs w:val="32"/>
        </w:rPr>
      </w:pPr>
      <w:bookmarkStart w:id="7" w:name="_Hlk177300683"/>
      <w:r>
        <w:rPr>
          <w:rFonts w:hint="eastAsia" w:ascii="仿宋" w:hAnsi="仿宋" w:eastAsia="仿宋" w:cs="宋体"/>
          <w:color w:val="000000"/>
          <w:kern w:val="0"/>
          <w:sz w:val="32"/>
          <w:szCs w:val="32"/>
        </w:rPr>
        <w:t>社会保障和就业支出（类）行政事业单位养老支出（款</w:t>
      </w:r>
      <w:bookmarkEnd w:id="7"/>
      <w:bookmarkStart w:id="8" w:name="_Hlk177300621"/>
      <w:r>
        <w:rPr>
          <w:rFonts w:hint="eastAsia" w:ascii="仿宋" w:hAnsi="仿宋" w:eastAsia="仿宋" w:cs="宋体"/>
          <w:color w:val="000000"/>
          <w:kern w:val="0"/>
          <w:sz w:val="32"/>
          <w:szCs w:val="32"/>
        </w:rPr>
        <w:t>）</w:t>
      </w:r>
      <w:bookmarkEnd w:id="8"/>
      <w:r>
        <w:rPr>
          <w:rFonts w:hint="eastAsia" w:ascii="仿宋" w:hAnsi="仿宋" w:eastAsia="仿宋" w:cs="宋体"/>
          <w:color w:val="000000"/>
          <w:kern w:val="0"/>
          <w:sz w:val="32"/>
          <w:szCs w:val="32"/>
        </w:rPr>
        <w:t>机关事业单位基本养老保险缴费支出（项）。</w:t>
      </w:r>
    </w:p>
    <w:p w14:paraId="3F07BA2B">
      <w:pPr>
        <w:overflowPunct w:val="0"/>
        <w:adjustRightInd w:val="0"/>
        <w:spacing w:after="160" w:line="600" w:lineRule="exact"/>
        <w:ind w:firstLine="640" w:firstLineChars="200"/>
        <w:rPr>
          <w:rFonts w:ascii="Times New Roman" w:hAnsi="Times New Roman" w:eastAsia="仿宋_GB2312" w:cs="Times New Roman"/>
          <w:color w:val="000000"/>
          <w:kern w:val="0"/>
          <w:sz w:val="32"/>
          <w:szCs w:val="32"/>
        </w:rPr>
      </w:pPr>
      <w:r>
        <w:rPr>
          <w:rFonts w:hint="eastAsia" w:ascii="仿宋" w:hAnsi="仿宋" w:eastAsia="仿宋" w:cs="宋体"/>
          <w:color w:val="000000"/>
          <w:kern w:val="0"/>
          <w:sz w:val="32"/>
          <w:szCs w:val="32"/>
        </w:rPr>
        <w:t>年初预算为16.74万元，支出决算为16.45万元，</w:t>
      </w:r>
      <w:r>
        <w:rPr>
          <w:rFonts w:ascii="仿宋" w:hAnsi="仿宋" w:eastAsia="仿宋" w:cs="宋体"/>
          <w:color w:val="000000"/>
          <w:kern w:val="0"/>
          <w:sz w:val="32"/>
          <w:szCs w:val="32"/>
        </w:rPr>
        <w:t>完成年初预算的</w:t>
      </w:r>
      <w:r>
        <w:rPr>
          <w:rFonts w:hint="eastAsia" w:ascii="仿宋" w:hAnsi="仿宋" w:eastAsia="仿宋" w:cs="宋体"/>
          <w:color w:val="000000"/>
          <w:kern w:val="0"/>
          <w:sz w:val="32"/>
          <w:szCs w:val="32"/>
        </w:rPr>
        <w:t>99.74</w:t>
      </w:r>
      <w:r>
        <w:rPr>
          <w:rFonts w:ascii="仿宋" w:hAnsi="仿宋" w:eastAsia="仿宋" w:cs="宋体"/>
          <w:color w:val="000000"/>
          <w:kern w:val="0"/>
          <w:sz w:val="32"/>
          <w:szCs w:val="32"/>
        </w:rPr>
        <w:t>%，决算数</w:t>
      </w:r>
      <w:r>
        <w:rPr>
          <w:rFonts w:hint="eastAsia" w:ascii="仿宋" w:hAnsi="仿宋" w:eastAsia="仿宋" w:cs="宋体"/>
          <w:color w:val="000000"/>
          <w:kern w:val="0"/>
          <w:sz w:val="32"/>
          <w:szCs w:val="32"/>
        </w:rPr>
        <w:t>与</w:t>
      </w:r>
      <w:r>
        <w:rPr>
          <w:rFonts w:ascii="仿宋" w:hAnsi="仿宋" w:eastAsia="仿宋" w:cs="宋体"/>
          <w:color w:val="000000"/>
          <w:kern w:val="0"/>
          <w:sz w:val="32"/>
          <w:szCs w:val="32"/>
        </w:rPr>
        <w:t>年初预算数</w:t>
      </w:r>
      <w:r>
        <w:rPr>
          <w:rFonts w:hint="eastAsia" w:ascii="仿宋" w:hAnsi="仿宋" w:eastAsia="仿宋" w:cs="宋体"/>
          <w:color w:val="000000"/>
          <w:kern w:val="0"/>
          <w:sz w:val="32"/>
          <w:szCs w:val="32"/>
        </w:rPr>
        <w:t>基本一致，</w:t>
      </w:r>
      <w:r>
        <w:rPr>
          <w:rFonts w:ascii="仿宋" w:hAnsi="仿宋" w:eastAsia="仿宋" w:cs="宋体"/>
          <w:color w:val="000000"/>
          <w:kern w:val="0"/>
          <w:sz w:val="32"/>
          <w:szCs w:val="32"/>
        </w:rPr>
        <w:t>原因</w:t>
      </w:r>
      <w:r>
        <w:rPr>
          <w:rFonts w:hint="eastAsia" w:ascii="仿宋" w:hAnsi="仿宋" w:eastAsia="仿宋" w:cs="宋体"/>
          <w:color w:val="000000"/>
          <w:kern w:val="0"/>
          <w:sz w:val="32"/>
          <w:szCs w:val="32"/>
        </w:rPr>
        <w:t>是预算精准。</w:t>
      </w:r>
    </w:p>
    <w:p w14:paraId="267DEBC6">
      <w:pPr>
        <w:numPr>
          <w:ilvl w:val="0"/>
          <w:numId w:val="1"/>
        </w:numPr>
        <w:overflowPunct w:val="0"/>
        <w:adjustRightInd w:val="0"/>
        <w:spacing w:after="160" w:line="60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社会保障和就业支出（类）行政事业单位养老支出（款）其他行政事业单位养老支出（项）。</w:t>
      </w:r>
    </w:p>
    <w:p w14:paraId="47CAD0D6">
      <w:pPr>
        <w:overflowPunct w:val="0"/>
        <w:adjustRightInd w:val="0"/>
        <w:spacing w:after="160" w:line="60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年初预算为7.50万元，支出决算为7.81万元，</w:t>
      </w:r>
      <w:r>
        <w:rPr>
          <w:rFonts w:ascii="仿宋" w:hAnsi="仿宋" w:eastAsia="仿宋" w:cs="宋体"/>
          <w:color w:val="000000"/>
          <w:kern w:val="0"/>
          <w:sz w:val="32"/>
          <w:szCs w:val="32"/>
        </w:rPr>
        <w:t>完成年初预算的</w:t>
      </w:r>
      <w:r>
        <w:rPr>
          <w:rFonts w:hint="eastAsia" w:ascii="仿宋" w:hAnsi="仿宋" w:eastAsia="仿宋" w:cs="宋体"/>
          <w:color w:val="000000"/>
          <w:kern w:val="0"/>
          <w:sz w:val="32"/>
          <w:szCs w:val="32"/>
        </w:rPr>
        <w:t>104.13</w:t>
      </w:r>
      <w:r>
        <w:rPr>
          <w:rFonts w:ascii="仿宋" w:hAnsi="仿宋" w:eastAsia="仿宋" w:cs="宋体"/>
          <w:color w:val="000000"/>
          <w:kern w:val="0"/>
          <w:sz w:val="32"/>
          <w:szCs w:val="32"/>
        </w:rPr>
        <w:t>%，决算数</w:t>
      </w:r>
      <w:r>
        <w:rPr>
          <w:rFonts w:hint="eastAsia" w:ascii="仿宋" w:hAnsi="仿宋" w:eastAsia="仿宋" w:cs="宋体"/>
          <w:color w:val="000000"/>
          <w:kern w:val="0"/>
          <w:sz w:val="32"/>
          <w:szCs w:val="32"/>
        </w:rPr>
        <w:t>大于</w:t>
      </w:r>
      <w:r>
        <w:rPr>
          <w:rFonts w:ascii="仿宋" w:hAnsi="仿宋" w:eastAsia="仿宋" w:cs="宋体"/>
          <w:color w:val="000000"/>
          <w:kern w:val="0"/>
          <w:sz w:val="32"/>
          <w:szCs w:val="32"/>
        </w:rPr>
        <w:t>年初预算数的原因</w:t>
      </w:r>
      <w:r>
        <w:rPr>
          <w:rFonts w:hint="eastAsia" w:ascii="仿宋" w:hAnsi="仿宋" w:eastAsia="仿宋" w:cs="宋体"/>
          <w:color w:val="000000"/>
          <w:kern w:val="0"/>
          <w:sz w:val="32"/>
          <w:szCs w:val="32"/>
        </w:rPr>
        <w:t>是年中新增退休人员。</w:t>
      </w:r>
    </w:p>
    <w:p w14:paraId="4ABA8DA3">
      <w:pPr>
        <w:widowControl/>
        <w:spacing w:after="160" w:line="278" w:lineRule="auto"/>
        <w:ind w:firstLine="640"/>
        <w:rPr>
          <w:rFonts w:hint="eastAsia" w:ascii="宋体" w:hAnsi="宋体" w:eastAsia="宋体" w:cs="宋体"/>
          <w:kern w:val="0"/>
          <w:sz w:val="24"/>
          <w:szCs w:val="24"/>
        </w:rPr>
      </w:pPr>
      <w:r>
        <w:rPr>
          <w:rFonts w:hint="eastAsia" w:ascii="Times New Roman" w:hAnsi="Times New Roman" w:eastAsia="仿宋_GB2312" w:cs="Times New Roman"/>
          <w:sz w:val="32"/>
          <w:szCs w:val="32"/>
        </w:rPr>
        <w:t>8、</w:t>
      </w:r>
      <w:r>
        <w:rPr>
          <w:rFonts w:hint="eastAsia" w:ascii="仿宋" w:hAnsi="仿宋" w:eastAsia="仿宋" w:cs="宋体"/>
          <w:color w:val="000000"/>
          <w:kern w:val="0"/>
          <w:sz w:val="32"/>
          <w:szCs w:val="32"/>
        </w:rPr>
        <w:t>卫生健康支出（类）行政事业单位医疗（款）行政单位医疗（项）</w:t>
      </w:r>
    </w:p>
    <w:p w14:paraId="71D895A1">
      <w:pPr>
        <w:spacing w:after="160" w:line="278" w:lineRule="auto"/>
        <w:ind w:firstLine="64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年初预算为</w:t>
      </w:r>
      <w:r>
        <w:rPr>
          <w:rFonts w:hint="eastAsia" w:ascii="Times New Roman" w:hAnsi="Times New Roman" w:eastAsia="宋体" w:cs="Times New Roman"/>
          <w:color w:val="000000"/>
          <w:kern w:val="0"/>
          <w:sz w:val="32"/>
          <w:szCs w:val="32"/>
        </w:rPr>
        <w:t>6.71</w:t>
      </w:r>
      <w:r>
        <w:rPr>
          <w:rFonts w:hint="eastAsia" w:ascii="仿宋" w:hAnsi="仿宋" w:eastAsia="仿宋" w:cs="宋体"/>
          <w:color w:val="000000"/>
          <w:kern w:val="0"/>
          <w:sz w:val="32"/>
          <w:szCs w:val="32"/>
        </w:rPr>
        <w:t>万元，支出决算为</w:t>
      </w:r>
      <w:r>
        <w:rPr>
          <w:rFonts w:hint="eastAsia" w:ascii="Times New Roman" w:hAnsi="Times New Roman" w:eastAsia="宋体" w:cs="Times New Roman"/>
          <w:color w:val="000000"/>
          <w:kern w:val="0"/>
          <w:sz w:val="32"/>
          <w:szCs w:val="32"/>
        </w:rPr>
        <w:t>7.02</w:t>
      </w:r>
      <w:r>
        <w:rPr>
          <w:rFonts w:hint="eastAsia" w:ascii="仿宋" w:hAnsi="仿宋" w:eastAsia="仿宋" w:cs="宋体"/>
          <w:color w:val="000000"/>
          <w:kern w:val="0"/>
          <w:sz w:val="32"/>
          <w:szCs w:val="32"/>
        </w:rPr>
        <w:t>万元，完成年初预算</w:t>
      </w:r>
      <w:r>
        <w:rPr>
          <w:rFonts w:hint="eastAsia" w:ascii="仿宋" w:hAnsi="仿宋" w:eastAsia="仿宋" w:cs="宋体"/>
          <w:color w:val="000000"/>
          <w:kern w:val="0"/>
          <w:sz w:val="32"/>
          <w:szCs w:val="32"/>
          <w:lang w:eastAsia="zh-CN"/>
        </w:rPr>
        <w:t>的</w:t>
      </w:r>
      <w:r>
        <w:rPr>
          <w:rFonts w:hint="eastAsia" w:ascii="仿宋" w:hAnsi="仿宋" w:eastAsia="仿宋" w:cs="宋体"/>
          <w:color w:val="000000"/>
          <w:kern w:val="0"/>
          <w:sz w:val="32"/>
          <w:szCs w:val="32"/>
        </w:rPr>
        <w:t>104.62%，决算数大于年初预算数的主要原因</w:t>
      </w:r>
      <w:r>
        <w:rPr>
          <w:rFonts w:hint="eastAsia" w:ascii="仿宋" w:hAnsi="仿宋" w:eastAsia="仿宋" w:cs="宋体"/>
          <w:color w:val="000000"/>
          <w:kern w:val="0"/>
          <w:sz w:val="32"/>
          <w:szCs w:val="32"/>
          <w:lang w:eastAsia="zh-CN"/>
        </w:rPr>
        <w:t>是</w:t>
      </w:r>
      <w:r>
        <w:rPr>
          <w:rFonts w:hint="eastAsia" w:ascii="仿宋" w:hAnsi="仿宋" w:eastAsia="仿宋" w:cs="宋体"/>
          <w:color w:val="000000"/>
          <w:kern w:val="0"/>
          <w:sz w:val="32"/>
          <w:szCs w:val="32"/>
        </w:rPr>
        <w:t>年中新增人员。</w:t>
      </w:r>
    </w:p>
    <w:p w14:paraId="1CF14584">
      <w:pPr>
        <w:snapToGrid w:val="0"/>
        <w:spacing w:after="160" w:line="278" w:lineRule="auto"/>
        <w:ind w:firstLine="640" w:firstLineChars="200"/>
        <w:jc w:val="left"/>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9、住房保障支出（类）住房改革支出（款）住房公积金（项）</w:t>
      </w:r>
    </w:p>
    <w:p w14:paraId="5C4188D3">
      <w:pPr>
        <w:spacing w:after="160" w:line="278" w:lineRule="auto"/>
        <w:ind w:firstLine="64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年初预算为0万元，支出决算为</w:t>
      </w:r>
      <w:r>
        <w:rPr>
          <w:rFonts w:hint="eastAsia" w:ascii="Times New Roman" w:hAnsi="Times New Roman" w:eastAsia="宋体" w:cs="Times New Roman"/>
          <w:color w:val="000000"/>
          <w:kern w:val="0"/>
          <w:sz w:val="32"/>
          <w:szCs w:val="32"/>
        </w:rPr>
        <w:t>0.33</w:t>
      </w:r>
      <w:r>
        <w:rPr>
          <w:rFonts w:hint="eastAsia" w:ascii="仿宋" w:hAnsi="仿宋" w:eastAsia="仿宋" w:cs="宋体"/>
          <w:color w:val="000000"/>
          <w:kern w:val="0"/>
          <w:sz w:val="32"/>
          <w:szCs w:val="32"/>
        </w:rPr>
        <w:t>万元。一般公共服务支出（类）对外联络事务（款）行政运行（项）中住房公积金年初预算为13.76万元，而实际支出14.09万元，完成年初预算</w:t>
      </w:r>
      <w:r>
        <w:rPr>
          <w:rFonts w:hint="eastAsia" w:ascii="仿宋" w:hAnsi="仿宋" w:eastAsia="仿宋" w:cs="宋体"/>
          <w:color w:val="000000"/>
          <w:kern w:val="0"/>
          <w:sz w:val="32"/>
          <w:szCs w:val="32"/>
          <w:lang w:eastAsia="zh-CN"/>
        </w:rPr>
        <w:t>的</w:t>
      </w:r>
      <w:r>
        <w:rPr>
          <w:rFonts w:hint="eastAsia" w:ascii="仿宋" w:hAnsi="仿宋" w:eastAsia="仿宋" w:cs="宋体"/>
          <w:color w:val="000000"/>
          <w:kern w:val="0"/>
          <w:sz w:val="32"/>
          <w:szCs w:val="32"/>
        </w:rPr>
        <w:t>102.4%，财政年中追加公积金预算0.33万元。决算数大于年初预算数的主要原因</w:t>
      </w:r>
      <w:r>
        <w:rPr>
          <w:rFonts w:hint="eastAsia" w:ascii="仿宋" w:hAnsi="仿宋" w:eastAsia="仿宋" w:cs="宋体"/>
          <w:color w:val="000000"/>
          <w:kern w:val="0"/>
          <w:sz w:val="32"/>
          <w:szCs w:val="32"/>
          <w:lang w:eastAsia="zh-CN"/>
        </w:rPr>
        <w:t>是</w:t>
      </w:r>
      <w:r>
        <w:rPr>
          <w:rFonts w:hint="eastAsia" w:ascii="仿宋" w:hAnsi="仿宋" w:eastAsia="仿宋" w:cs="宋体"/>
          <w:color w:val="000000"/>
          <w:kern w:val="0"/>
          <w:sz w:val="32"/>
          <w:szCs w:val="32"/>
        </w:rPr>
        <w:t>年中新增人员。</w:t>
      </w:r>
    </w:p>
    <w:p w14:paraId="592AF878">
      <w:pPr>
        <w:spacing w:after="160" w:line="278" w:lineRule="auto"/>
        <w:ind w:firstLine="640"/>
        <w:rPr>
          <w:rFonts w:hint="eastAsia" w:ascii="仿宋" w:hAnsi="仿宋" w:eastAsia="仿宋" w:cs="宋体"/>
          <w:color w:val="000000"/>
          <w:kern w:val="0"/>
          <w:sz w:val="32"/>
          <w:szCs w:val="32"/>
        </w:rPr>
      </w:pPr>
      <w:r>
        <w:rPr>
          <w:rFonts w:hint="eastAsia" w:ascii="黑体" w:hAnsi="黑体" w:eastAsia="黑体" w:cs="黑体"/>
          <w:color w:val="000000"/>
          <w:kern w:val="0"/>
          <w:sz w:val="32"/>
          <w:szCs w:val="32"/>
        </w:rPr>
        <w:t>六、一般公共预算财政拨款基本支出决算情况说明</w:t>
      </w:r>
    </w:p>
    <w:p w14:paraId="608AEA0F">
      <w:pPr>
        <w:spacing w:after="160" w:line="278" w:lineRule="auto"/>
        <w:ind w:firstLine="64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2025年度一般公共预算财政拨款基本支出190.08万元，其中：</w:t>
      </w:r>
    </w:p>
    <w:p w14:paraId="4C4232D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仿宋" w:hAnsi="仿宋" w:eastAsia="仿宋" w:cs="宋体"/>
          <w:sz w:val="32"/>
          <w:szCs w:val="32"/>
        </w:rPr>
        <w:t>167.01</w:t>
      </w:r>
      <w:r>
        <w:rPr>
          <w:rFonts w:ascii="仿宋" w:hAnsi="仿宋" w:eastAsia="仿宋" w:cs="宋体"/>
          <w:sz w:val="32"/>
          <w:szCs w:val="32"/>
        </w:rPr>
        <w:t>万元，占基本支出的</w:t>
      </w:r>
      <w:r>
        <w:rPr>
          <w:rFonts w:hint="eastAsia" w:ascii="仿宋" w:hAnsi="仿宋" w:eastAsia="仿宋" w:cs="宋体"/>
          <w:sz w:val="32"/>
          <w:szCs w:val="32"/>
        </w:rPr>
        <w:t>87.86</w:t>
      </w:r>
      <w:r>
        <w:rPr>
          <w:rFonts w:ascii="仿宋" w:hAnsi="仿宋" w:eastAsia="仿宋" w:cs="宋体"/>
          <w:sz w:val="32"/>
          <w:szCs w:val="32"/>
        </w:rPr>
        <w:t>%,主要包括基本工资、津贴补贴、奖金、</w:t>
      </w:r>
      <w:r>
        <w:rPr>
          <w:rFonts w:hint="eastAsia" w:ascii="仿宋" w:hAnsi="仿宋" w:eastAsia="仿宋" w:cs="宋体"/>
          <w:sz w:val="32"/>
          <w:szCs w:val="32"/>
        </w:rPr>
        <w:t>绩效工资、机关事业单位基本养老保险、职工基本医疗保险缴费、其他社会保险缴费、住房公积金、生活补助等</w:t>
      </w:r>
      <w:r>
        <w:rPr>
          <w:rFonts w:ascii="仿宋" w:hAnsi="仿宋" w:eastAsia="仿宋" w:cs="宋体"/>
          <w:sz w:val="32"/>
          <w:szCs w:val="32"/>
        </w:rPr>
        <w:t>。</w:t>
      </w:r>
    </w:p>
    <w:p w14:paraId="22A44EF3">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仿宋" w:hAnsi="仿宋" w:eastAsia="仿宋" w:cs="宋体"/>
          <w:sz w:val="32"/>
          <w:szCs w:val="32"/>
        </w:rPr>
        <w:t>23.07</w:t>
      </w:r>
      <w:r>
        <w:rPr>
          <w:rFonts w:ascii="仿宋" w:hAnsi="仿宋" w:eastAsia="仿宋" w:cs="宋体"/>
          <w:sz w:val="32"/>
          <w:szCs w:val="32"/>
        </w:rPr>
        <w:t>万元，占基本支出的</w:t>
      </w:r>
      <w:r>
        <w:rPr>
          <w:rFonts w:hint="eastAsia" w:ascii="仿宋" w:hAnsi="仿宋" w:eastAsia="仿宋" w:cs="宋体"/>
          <w:sz w:val="32"/>
          <w:szCs w:val="32"/>
        </w:rPr>
        <w:t>12.14</w:t>
      </w:r>
      <w:r>
        <w:rPr>
          <w:rFonts w:ascii="仿宋" w:hAnsi="仿宋" w:eastAsia="仿宋" w:cs="宋体"/>
          <w:sz w:val="32"/>
          <w:szCs w:val="32"/>
        </w:rPr>
        <w:t>%，主要包括办公费、</w:t>
      </w:r>
      <w:r>
        <w:rPr>
          <w:rFonts w:hint="eastAsia" w:ascii="仿宋" w:hAnsi="仿宋" w:eastAsia="仿宋" w:cs="宋体"/>
          <w:sz w:val="32"/>
          <w:szCs w:val="32"/>
          <w:lang w:val="en-US" w:eastAsia="zh-CN"/>
        </w:rPr>
        <w:t>水费、电费、邮电费、物业管理费、</w:t>
      </w:r>
      <w:r>
        <w:rPr>
          <w:rFonts w:hint="eastAsia" w:ascii="仿宋" w:hAnsi="仿宋" w:eastAsia="仿宋" w:cs="宋体"/>
          <w:sz w:val="32"/>
          <w:szCs w:val="32"/>
        </w:rPr>
        <w:t>差旅费、</w:t>
      </w:r>
      <w:r>
        <w:rPr>
          <w:rFonts w:hint="eastAsia" w:ascii="仿宋" w:hAnsi="仿宋" w:eastAsia="仿宋" w:cs="宋体"/>
          <w:sz w:val="32"/>
          <w:szCs w:val="32"/>
          <w:lang w:val="en-US" w:eastAsia="zh-CN"/>
        </w:rPr>
        <w:t>维修（护）费、培训费、公务接待费、</w:t>
      </w:r>
      <w:r>
        <w:rPr>
          <w:rFonts w:hint="eastAsia" w:ascii="仿宋" w:hAnsi="仿宋" w:eastAsia="仿宋" w:cs="宋体"/>
          <w:sz w:val="32"/>
          <w:szCs w:val="32"/>
        </w:rPr>
        <w:t>劳务费、</w:t>
      </w:r>
      <w:r>
        <w:rPr>
          <w:rFonts w:hint="eastAsia" w:ascii="仿宋" w:hAnsi="仿宋" w:eastAsia="仿宋" w:cs="宋体"/>
          <w:sz w:val="32"/>
          <w:szCs w:val="32"/>
          <w:lang w:val="en-US" w:eastAsia="zh-CN"/>
        </w:rPr>
        <w:t>委托业务费、</w:t>
      </w:r>
      <w:r>
        <w:rPr>
          <w:rFonts w:hint="eastAsia" w:ascii="仿宋" w:hAnsi="仿宋" w:eastAsia="仿宋" w:cs="宋体"/>
          <w:sz w:val="32"/>
          <w:szCs w:val="32"/>
        </w:rPr>
        <w:t>工会经费、福利费、</w:t>
      </w:r>
      <w:r>
        <w:rPr>
          <w:rFonts w:hint="eastAsia" w:ascii="仿宋" w:hAnsi="仿宋" w:eastAsia="仿宋" w:cs="宋体"/>
          <w:sz w:val="32"/>
          <w:szCs w:val="32"/>
          <w:lang w:val="en-US" w:eastAsia="zh-CN"/>
        </w:rPr>
        <w:t>公务用车运行维护费、</w:t>
      </w:r>
      <w:r>
        <w:rPr>
          <w:rFonts w:hint="eastAsia" w:ascii="仿宋" w:hAnsi="仿宋" w:eastAsia="仿宋" w:cs="宋体"/>
          <w:sz w:val="32"/>
          <w:szCs w:val="32"/>
        </w:rPr>
        <w:t>其他交通费用</w:t>
      </w:r>
      <w:r>
        <w:rPr>
          <w:rFonts w:hint="eastAsia" w:ascii="仿宋" w:hAnsi="仿宋" w:eastAsia="仿宋" w:cs="宋体"/>
          <w:sz w:val="32"/>
          <w:szCs w:val="32"/>
          <w:lang w:eastAsia="zh-CN"/>
        </w:rPr>
        <w:t>、</w:t>
      </w:r>
      <w:r>
        <w:rPr>
          <w:rFonts w:hint="eastAsia" w:ascii="仿宋" w:hAnsi="仿宋" w:eastAsia="仿宋" w:cs="宋体"/>
          <w:sz w:val="32"/>
          <w:szCs w:val="32"/>
          <w:lang w:val="en-US" w:eastAsia="zh-CN"/>
        </w:rPr>
        <w:t>其他商品和服务支出</w:t>
      </w:r>
      <w:r>
        <w:rPr>
          <w:rFonts w:hint="eastAsia" w:ascii="仿宋" w:hAnsi="仿宋" w:eastAsia="仿宋" w:cs="宋体"/>
          <w:sz w:val="32"/>
          <w:szCs w:val="32"/>
        </w:rPr>
        <w:t>等</w:t>
      </w:r>
      <w:r>
        <w:rPr>
          <w:rFonts w:ascii="仿宋" w:hAnsi="仿宋" w:eastAsia="仿宋" w:cs="宋体"/>
          <w:sz w:val="32"/>
          <w:szCs w:val="32"/>
        </w:rPr>
        <w:t>。</w:t>
      </w:r>
    </w:p>
    <w:p w14:paraId="14757DA6">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A61F3B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ACF85FB">
      <w:pPr>
        <w:pStyle w:val="13"/>
        <w:overflowPunct w:val="0"/>
        <w:autoSpaceDE/>
        <w:autoSpaceDN/>
        <w:spacing w:line="600" w:lineRule="exact"/>
        <w:ind w:firstLine="640" w:firstLineChars="200"/>
        <w:jc w:val="both"/>
        <w:rPr>
          <w:rFonts w:hint="eastAsia" w:ascii="仿宋" w:hAnsi="仿宋" w:eastAsia="仿宋" w:cs="宋体"/>
          <w:sz w:val="32"/>
          <w:szCs w:val="32"/>
        </w:rPr>
      </w:pPr>
      <w:r>
        <w:rPr>
          <w:rFonts w:ascii="仿宋" w:hAnsi="仿宋" w:eastAsia="仿宋" w:cs="宋体"/>
          <w:sz w:val="32"/>
          <w:szCs w:val="32"/>
        </w:rPr>
        <w:t>202</w:t>
      </w:r>
      <w:r>
        <w:rPr>
          <w:rFonts w:hint="eastAsia" w:ascii="仿宋" w:hAnsi="仿宋" w:eastAsia="仿宋" w:cs="宋体"/>
          <w:sz w:val="32"/>
          <w:szCs w:val="32"/>
        </w:rPr>
        <w:t>5</w:t>
      </w:r>
      <w:r>
        <w:rPr>
          <w:rFonts w:ascii="仿宋" w:hAnsi="仿宋" w:eastAsia="仿宋" w:cs="宋体"/>
          <w:sz w:val="32"/>
          <w:szCs w:val="32"/>
        </w:rPr>
        <w:t>年度“三公”经费财政拨款支出预算为</w:t>
      </w:r>
      <w:r>
        <w:rPr>
          <w:rFonts w:hint="eastAsia" w:ascii="仿宋" w:hAnsi="仿宋" w:eastAsia="仿宋" w:cs="宋体"/>
          <w:sz w:val="32"/>
          <w:szCs w:val="32"/>
        </w:rPr>
        <w:t>39</w:t>
      </w:r>
      <w:r>
        <w:rPr>
          <w:rFonts w:ascii="仿宋" w:hAnsi="仿宋" w:eastAsia="仿宋" w:cs="宋体"/>
          <w:sz w:val="32"/>
          <w:szCs w:val="32"/>
        </w:rPr>
        <w:t>万元，支出决算为</w:t>
      </w:r>
      <w:r>
        <w:rPr>
          <w:rFonts w:hint="eastAsia" w:ascii="仿宋" w:hAnsi="仿宋" w:eastAsia="仿宋" w:cs="宋体"/>
          <w:sz w:val="32"/>
          <w:szCs w:val="32"/>
        </w:rPr>
        <w:t>13.34</w:t>
      </w:r>
      <w:r>
        <w:rPr>
          <w:rFonts w:ascii="仿宋" w:hAnsi="仿宋" w:eastAsia="仿宋" w:cs="宋体"/>
          <w:sz w:val="32"/>
          <w:szCs w:val="32"/>
        </w:rPr>
        <w:t>万元，完成预算的</w:t>
      </w:r>
      <w:r>
        <w:rPr>
          <w:rFonts w:hint="eastAsia" w:ascii="仿宋" w:hAnsi="仿宋" w:eastAsia="仿宋" w:cs="宋体"/>
          <w:sz w:val="32"/>
          <w:szCs w:val="32"/>
        </w:rPr>
        <w:t>34.21</w:t>
      </w:r>
      <w:r>
        <w:rPr>
          <w:rFonts w:ascii="仿宋" w:hAnsi="仿宋" w:eastAsia="仿宋" w:cs="宋体"/>
          <w:sz w:val="32"/>
          <w:szCs w:val="32"/>
        </w:rPr>
        <w:t>%；与上年相比减少</w:t>
      </w:r>
      <w:r>
        <w:rPr>
          <w:rFonts w:hint="eastAsia" w:ascii="仿宋" w:hAnsi="仿宋" w:eastAsia="仿宋" w:cs="宋体"/>
          <w:sz w:val="32"/>
          <w:szCs w:val="32"/>
        </w:rPr>
        <w:t>25.37</w:t>
      </w:r>
      <w:r>
        <w:rPr>
          <w:rFonts w:ascii="仿宋" w:hAnsi="仿宋" w:eastAsia="仿宋" w:cs="宋体"/>
          <w:sz w:val="32"/>
          <w:szCs w:val="32"/>
        </w:rPr>
        <w:t>万元，降低</w:t>
      </w:r>
      <w:r>
        <w:rPr>
          <w:rFonts w:hint="eastAsia" w:ascii="仿宋" w:hAnsi="仿宋" w:eastAsia="仿宋" w:cs="宋体"/>
          <w:sz w:val="32"/>
          <w:szCs w:val="32"/>
        </w:rPr>
        <w:t>65</w:t>
      </w:r>
      <w:r>
        <w:rPr>
          <w:rFonts w:hint="eastAsia" w:ascii="仿宋" w:hAnsi="仿宋" w:eastAsia="仿宋" w:cs="宋体"/>
          <w:sz w:val="32"/>
          <w:szCs w:val="32"/>
          <w:lang w:val="en-US" w:eastAsia="zh-CN"/>
        </w:rPr>
        <w:t>.</w:t>
      </w:r>
      <w:r>
        <w:rPr>
          <w:rFonts w:hint="eastAsia" w:ascii="仿宋" w:hAnsi="仿宋" w:eastAsia="仿宋" w:cs="宋体"/>
          <w:sz w:val="32"/>
          <w:szCs w:val="32"/>
        </w:rPr>
        <w:t>54</w:t>
      </w:r>
      <w:r>
        <w:rPr>
          <w:rFonts w:ascii="仿宋" w:hAnsi="仿宋" w:eastAsia="仿宋" w:cs="宋体"/>
          <w:sz w:val="32"/>
          <w:szCs w:val="32"/>
        </w:rPr>
        <w:t>%。决算数小于预算数的主要原因是</w:t>
      </w:r>
      <w:r>
        <w:rPr>
          <w:rFonts w:hint="eastAsia" w:ascii="仿宋" w:hAnsi="仿宋" w:eastAsia="仿宋" w:cs="宋体"/>
          <w:sz w:val="32"/>
          <w:szCs w:val="32"/>
        </w:rPr>
        <w:t>落实过“紧日子”要求，严格执行开支标准，厉行节约</w:t>
      </w:r>
      <w:r>
        <w:rPr>
          <w:rFonts w:ascii="仿宋" w:hAnsi="仿宋" w:eastAsia="仿宋" w:cs="宋体"/>
          <w:sz w:val="32"/>
          <w:szCs w:val="32"/>
        </w:rPr>
        <w:t>。决算数小于上年数的主要原因是</w:t>
      </w:r>
      <w:r>
        <w:rPr>
          <w:rFonts w:hint="eastAsia" w:ascii="仿宋" w:hAnsi="仿宋" w:eastAsia="仿宋" w:cs="宋体"/>
          <w:sz w:val="32"/>
          <w:szCs w:val="32"/>
        </w:rPr>
        <w:t>按照财政“三公经费”逐年下降的要求，严格控制支</w:t>
      </w:r>
      <w:r>
        <w:rPr>
          <w:rFonts w:hint="eastAsia" w:ascii="仿宋" w:hAnsi="仿宋" w:eastAsia="仿宋" w:cs="宋体"/>
          <w:sz w:val="32"/>
          <w:szCs w:val="32"/>
          <w:lang w:eastAsia="zh-CN"/>
        </w:rPr>
        <w:t>出</w:t>
      </w:r>
      <w:r>
        <w:rPr>
          <w:rFonts w:hint="eastAsia" w:ascii="仿宋" w:hAnsi="仿宋" w:eastAsia="仿宋" w:cs="宋体"/>
          <w:sz w:val="32"/>
          <w:szCs w:val="32"/>
        </w:rPr>
        <w:t>。</w:t>
      </w:r>
    </w:p>
    <w:p w14:paraId="2653A13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29C8AC3">
      <w:pPr>
        <w:pStyle w:val="13"/>
        <w:spacing w:line="600" w:lineRule="exact"/>
        <w:ind w:firstLine="800" w:firstLineChars="250"/>
        <w:rPr>
          <w:rFonts w:hint="eastAsia" w:ascii="仿宋" w:hAnsi="仿宋" w:eastAsia="仿宋" w:cs="宋体"/>
          <w:sz w:val="32"/>
          <w:szCs w:val="32"/>
        </w:rPr>
      </w:pPr>
      <w:r>
        <w:rPr>
          <w:rFonts w:ascii="仿宋" w:hAnsi="仿宋" w:eastAsia="仿宋" w:cs="宋体"/>
          <w:sz w:val="32"/>
          <w:szCs w:val="32"/>
        </w:rPr>
        <w:t>1.</w:t>
      </w:r>
      <w:r>
        <w:rPr>
          <w:rFonts w:hint="eastAsia" w:ascii="仿宋" w:hAnsi="仿宋" w:eastAsia="仿宋" w:cs="宋体"/>
          <w:sz w:val="32"/>
          <w:szCs w:val="32"/>
        </w:rPr>
        <w:t>因公出国(境)费支出预算为0万元，支出决算为0万元，预算决算金额均为0万元，无法计算完成百分比，主要原因是单位未因公出国（境），与上年相比持平均为0万元，无法计算完成百分比，主要原因是单位未因公出国（境）。</w:t>
      </w:r>
    </w:p>
    <w:p w14:paraId="4A841C54">
      <w:pPr>
        <w:pStyle w:val="13"/>
        <w:overflowPunct w:val="0"/>
        <w:autoSpaceDE/>
        <w:autoSpaceDN/>
        <w:spacing w:line="600" w:lineRule="exact"/>
        <w:ind w:firstLine="640" w:firstLineChars="200"/>
        <w:jc w:val="both"/>
        <w:rPr>
          <w:rFonts w:hint="eastAsia" w:ascii="仿宋" w:hAnsi="仿宋" w:eastAsia="仿宋" w:cs="宋体"/>
          <w:sz w:val="32"/>
          <w:szCs w:val="32"/>
        </w:rPr>
      </w:pPr>
      <w:r>
        <w:rPr>
          <w:rFonts w:ascii="仿宋" w:hAnsi="仿宋" w:eastAsia="仿宋" w:cs="宋体"/>
          <w:sz w:val="32"/>
          <w:szCs w:val="32"/>
        </w:rPr>
        <w:t>2.公务用车购置费及运行维护费支出预算为</w:t>
      </w:r>
      <w:r>
        <w:rPr>
          <w:rFonts w:hint="eastAsia" w:ascii="仿宋" w:hAnsi="仿宋" w:eastAsia="仿宋" w:cs="宋体"/>
          <w:sz w:val="32"/>
          <w:szCs w:val="32"/>
        </w:rPr>
        <w:t>9</w:t>
      </w:r>
      <w:r>
        <w:rPr>
          <w:rFonts w:ascii="仿宋" w:hAnsi="仿宋" w:eastAsia="仿宋" w:cs="宋体"/>
          <w:sz w:val="32"/>
          <w:szCs w:val="32"/>
        </w:rPr>
        <w:t>万元，支出决算为</w:t>
      </w:r>
      <w:r>
        <w:rPr>
          <w:rFonts w:hint="eastAsia" w:ascii="仿宋" w:hAnsi="仿宋" w:eastAsia="仿宋" w:cs="宋体"/>
          <w:sz w:val="32"/>
          <w:szCs w:val="32"/>
        </w:rPr>
        <w:t>6.90</w:t>
      </w:r>
      <w:r>
        <w:rPr>
          <w:rFonts w:ascii="仿宋" w:hAnsi="仿宋" w:eastAsia="仿宋" w:cs="宋体"/>
          <w:sz w:val="32"/>
          <w:szCs w:val="32"/>
        </w:rPr>
        <w:t>万元，完成预算的</w:t>
      </w:r>
      <w:r>
        <w:rPr>
          <w:rFonts w:hint="eastAsia" w:ascii="仿宋" w:hAnsi="仿宋" w:eastAsia="仿宋" w:cs="宋体"/>
          <w:sz w:val="32"/>
          <w:szCs w:val="32"/>
        </w:rPr>
        <w:t>76.67</w:t>
      </w:r>
      <w:r>
        <w:rPr>
          <w:rFonts w:ascii="仿宋" w:hAnsi="仿宋" w:eastAsia="仿宋" w:cs="宋体"/>
          <w:sz w:val="32"/>
          <w:szCs w:val="32"/>
        </w:rPr>
        <w:t>%；与上年相比减少</w:t>
      </w:r>
      <w:r>
        <w:rPr>
          <w:rFonts w:hint="eastAsia" w:ascii="仿宋" w:hAnsi="仿宋" w:eastAsia="仿宋" w:cs="宋体"/>
          <w:sz w:val="32"/>
          <w:szCs w:val="32"/>
        </w:rPr>
        <w:t>8.06</w:t>
      </w:r>
      <w:r>
        <w:rPr>
          <w:rFonts w:ascii="仿宋" w:hAnsi="仿宋" w:eastAsia="仿宋" w:cs="宋体"/>
          <w:sz w:val="32"/>
          <w:szCs w:val="32"/>
        </w:rPr>
        <w:t>万元，降低</w:t>
      </w:r>
      <w:r>
        <w:rPr>
          <w:rFonts w:hint="eastAsia" w:ascii="仿宋" w:hAnsi="仿宋" w:eastAsia="仿宋" w:cs="宋体"/>
          <w:sz w:val="32"/>
          <w:szCs w:val="32"/>
        </w:rPr>
        <w:t>53.88</w:t>
      </w:r>
      <w:r>
        <w:rPr>
          <w:rFonts w:ascii="仿宋" w:hAnsi="仿宋" w:eastAsia="仿宋" w:cs="宋体"/>
          <w:sz w:val="32"/>
          <w:szCs w:val="32"/>
        </w:rPr>
        <w:t>%。其中：</w:t>
      </w:r>
    </w:p>
    <w:p w14:paraId="054332D3">
      <w:pPr>
        <w:pStyle w:val="13"/>
        <w:spacing w:line="600" w:lineRule="exact"/>
        <w:ind w:firstLine="640" w:firstLineChars="200"/>
        <w:rPr>
          <w:rFonts w:hint="eastAsia" w:ascii="仿宋" w:hAnsi="仿宋" w:eastAsia="仿宋" w:cs="宋体"/>
          <w:sz w:val="32"/>
          <w:szCs w:val="32"/>
        </w:rPr>
      </w:pPr>
      <w:r>
        <w:rPr>
          <w:rFonts w:hint="eastAsia" w:ascii="仿宋" w:hAnsi="仿宋" w:eastAsia="仿宋" w:cs="宋体"/>
          <w:sz w:val="32"/>
          <w:szCs w:val="32"/>
        </w:rPr>
        <w:t>公务用车购置费支出预算为0万元，支出决算为0万元，预算决算金额均为0万元，无法计算完成百分比，主要原因是未购置公务用车。与上年相比持平均为0万元，无法计算完成百分比，主要原因是未购置公务用车。</w:t>
      </w:r>
    </w:p>
    <w:p w14:paraId="6E015CD0">
      <w:pPr>
        <w:pStyle w:val="13"/>
        <w:overflowPunct w:val="0"/>
        <w:autoSpaceDE/>
        <w:autoSpaceDN/>
        <w:spacing w:line="600" w:lineRule="exact"/>
        <w:ind w:firstLine="640" w:firstLineChars="200"/>
        <w:jc w:val="both"/>
        <w:rPr>
          <w:rFonts w:ascii="仿宋" w:hAnsi="仿宋" w:eastAsia="仿宋" w:cs="宋体"/>
          <w:sz w:val="32"/>
          <w:szCs w:val="32"/>
        </w:rPr>
      </w:pPr>
      <w:r>
        <w:rPr>
          <w:rFonts w:ascii="仿宋" w:hAnsi="仿宋" w:eastAsia="仿宋" w:cs="宋体"/>
          <w:sz w:val="32"/>
          <w:szCs w:val="32"/>
        </w:rPr>
        <w:t>公务用车运行维护费支出预算为</w:t>
      </w:r>
      <w:r>
        <w:rPr>
          <w:rFonts w:hint="eastAsia" w:ascii="仿宋" w:hAnsi="仿宋" w:eastAsia="仿宋" w:cs="宋体"/>
          <w:sz w:val="32"/>
          <w:szCs w:val="32"/>
        </w:rPr>
        <w:t>9</w:t>
      </w:r>
      <w:r>
        <w:rPr>
          <w:rFonts w:ascii="仿宋" w:hAnsi="仿宋" w:eastAsia="仿宋" w:cs="宋体"/>
          <w:sz w:val="32"/>
          <w:szCs w:val="32"/>
        </w:rPr>
        <w:t>万元，支出决算为</w:t>
      </w:r>
      <w:r>
        <w:rPr>
          <w:rFonts w:hint="eastAsia" w:ascii="仿宋" w:hAnsi="仿宋" w:eastAsia="仿宋" w:cs="宋体"/>
          <w:sz w:val="32"/>
          <w:szCs w:val="32"/>
        </w:rPr>
        <w:t>6.90</w:t>
      </w:r>
      <w:r>
        <w:rPr>
          <w:rFonts w:ascii="仿宋" w:hAnsi="仿宋" w:eastAsia="仿宋" w:cs="宋体"/>
          <w:sz w:val="32"/>
          <w:szCs w:val="32"/>
        </w:rPr>
        <w:t>万元</w:t>
      </w:r>
      <w:r>
        <w:rPr>
          <w:rFonts w:hint="eastAsia" w:ascii="仿宋" w:hAnsi="仿宋" w:eastAsia="仿宋" w:cs="宋体"/>
          <w:sz w:val="32"/>
          <w:szCs w:val="32"/>
          <w:lang w:eastAsia="zh-CN"/>
        </w:rPr>
        <w:t>，</w:t>
      </w:r>
      <w:r>
        <w:rPr>
          <w:rFonts w:hint="eastAsia" w:ascii="仿宋" w:hAnsi="仿宋" w:eastAsia="仿宋" w:cs="宋体"/>
          <w:sz w:val="32"/>
          <w:szCs w:val="32"/>
        </w:rPr>
        <w:t>主要是车辆油料、保险、维修、路桥费等支出</w:t>
      </w:r>
      <w:r>
        <w:rPr>
          <w:rFonts w:ascii="仿宋" w:hAnsi="仿宋" w:eastAsia="仿宋" w:cs="宋体"/>
          <w:sz w:val="32"/>
          <w:szCs w:val="32"/>
        </w:rPr>
        <w:t>，完成预算的</w:t>
      </w:r>
      <w:r>
        <w:rPr>
          <w:rFonts w:hint="eastAsia" w:ascii="仿宋" w:hAnsi="仿宋" w:eastAsia="仿宋" w:cs="宋体"/>
          <w:sz w:val="32"/>
          <w:szCs w:val="32"/>
        </w:rPr>
        <w:t>76.67</w:t>
      </w:r>
      <w:r>
        <w:rPr>
          <w:rFonts w:ascii="仿宋" w:hAnsi="仿宋" w:eastAsia="仿宋" w:cs="宋体"/>
          <w:sz w:val="32"/>
          <w:szCs w:val="32"/>
        </w:rPr>
        <w:t>%；与上年相比减少</w:t>
      </w:r>
      <w:r>
        <w:rPr>
          <w:rFonts w:hint="eastAsia" w:ascii="仿宋" w:hAnsi="仿宋" w:eastAsia="仿宋" w:cs="宋体"/>
          <w:sz w:val="32"/>
          <w:szCs w:val="32"/>
        </w:rPr>
        <w:t>8.06</w:t>
      </w:r>
      <w:r>
        <w:rPr>
          <w:rFonts w:ascii="仿宋" w:hAnsi="仿宋" w:eastAsia="仿宋" w:cs="宋体"/>
          <w:sz w:val="32"/>
          <w:szCs w:val="32"/>
        </w:rPr>
        <w:t>万元，降低</w:t>
      </w:r>
      <w:r>
        <w:rPr>
          <w:rFonts w:hint="eastAsia" w:ascii="仿宋" w:hAnsi="仿宋" w:eastAsia="仿宋" w:cs="宋体"/>
          <w:sz w:val="32"/>
          <w:szCs w:val="32"/>
        </w:rPr>
        <w:t>53.88</w:t>
      </w:r>
      <w:r>
        <w:rPr>
          <w:rFonts w:ascii="仿宋" w:hAnsi="仿宋" w:eastAsia="仿宋" w:cs="宋体"/>
          <w:sz w:val="32"/>
          <w:szCs w:val="32"/>
        </w:rPr>
        <w:t>%。</w:t>
      </w:r>
      <w:r>
        <w:rPr>
          <w:rFonts w:hint="eastAsia" w:ascii="仿宋" w:hAnsi="仿宋" w:eastAsia="仿宋" w:cs="宋体"/>
          <w:sz w:val="32"/>
          <w:szCs w:val="32"/>
        </w:rPr>
        <w:t>决算数小于预算数的主要原因是厉行节约，严把公务出行审批关</w:t>
      </w:r>
      <w:r>
        <w:rPr>
          <w:rFonts w:ascii="仿宋" w:hAnsi="仿宋" w:eastAsia="仿宋" w:cs="宋体"/>
          <w:sz w:val="32"/>
          <w:szCs w:val="32"/>
        </w:rPr>
        <w:t>。决算数小于上年数的主要原因是</w:t>
      </w:r>
      <w:r>
        <w:rPr>
          <w:rFonts w:hint="eastAsia" w:ascii="仿宋" w:hAnsi="仿宋" w:eastAsia="仿宋" w:cs="宋体"/>
          <w:sz w:val="32"/>
          <w:szCs w:val="32"/>
        </w:rPr>
        <w:t>严格按照财政“三公</w:t>
      </w:r>
      <w:r>
        <w:rPr>
          <w:rFonts w:hint="eastAsia" w:ascii="仿宋" w:hAnsi="仿宋" w:eastAsia="仿宋" w:cs="宋体"/>
          <w:sz w:val="32"/>
          <w:szCs w:val="32"/>
          <w:lang w:eastAsia="zh-CN"/>
        </w:rPr>
        <w:t>”</w:t>
      </w:r>
      <w:r>
        <w:rPr>
          <w:rFonts w:hint="eastAsia" w:ascii="仿宋" w:hAnsi="仿宋" w:eastAsia="仿宋" w:cs="宋体"/>
          <w:sz w:val="32"/>
          <w:szCs w:val="32"/>
        </w:rPr>
        <w:t>经费逐年递减的规定控制支出。</w:t>
      </w:r>
      <w:r>
        <w:rPr>
          <w:rFonts w:ascii="仿宋" w:hAnsi="仿宋" w:eastAsia="仿宋" w:cs="宋体"/>
          <w:sz w:val="32"/>
          <w:szCs w:val="32"/>
        </w:rPr>
        <w:t>截</w:t>
      </w:r>
      <w:r>
        <w:rPr>
          <w:rFonts w:hint="eastAsia" w:ascii="仿宋" w:hAnsi="仿宋" w:eastAsia="仿宋" w:cs="宋体"/>
          <w:sz w:val="32"/>
          <w:szCs w:val="32"/>
          <w:lang w:eastAsia="zh-CN"/>
        </w:rPr>
        <w:t>至</w:t>
      </w:r>
      <w:r>
        <w:rPr>
          <w:rFonts w:ascii="仿宋" w:hAnsi="仿宋" w:eastAsia="仿宋" w:cs="宋体"/>
          <w:sz w:val="32"/>
          <w:szCs w:val="32"/>
        </w:rPr>
        <w:t>202</w:t>
      </w:r>
      <w:r>
        <w:rPr>
          <w:rFonts w:hint="eastAsia" w:ascii="仿宋" w:hAnsi="仿宋" w:eastAsia="仿宋" w:cs="宋体"/>
          <w:sz w:val="32"/>
          <w:szCs w:val="32"/>
        </w:rPr>
        <w:t>5</w:t>
      </w:r>
      <w:r>
        <w:rPr>
          <w:rFonts w:ascii="仿宋" w:hAnsi="仿宋" w:eastAsia="仿宋" w:cs="宋体"/>
          <w:sz w:val="32"/>
          <w:szCs w:val="32"/>
        </w:rPr>
        <w:t>年12月31日，我单位开支财政拨款的公务用车保有量为</w:t>
      </w:r>
      <w:r>
        <w:rPr>
          <w:rFonts w:hint="eastAsia" w:ascii="仿宋" w:hAnsi="仿宋" w:eastAsia="仿宋" w:cs="宋体"/>
          <w:sz w:val="32"/>
          <w:szCs w:val="32"/>
        </w:rPr>
        <w:t>2</w:t>
      </w:r>
      <w:r>
        <w:rPr>
          <w:rFonts w:ascii="仿宋" w:hAnsi="仿宋" w:eastAsia="仿宋" w:cs="宋体"/>
          <w:sz w:val="32"/>
          <w:szCs w:val="32"/>
        </w:rPr>
        <w:t>辆。</w:t>
      </w:r>
    </w:p>
    <w:p w14:paraId="3B0B2098">
      <w:pPr>
        <w:pStyle w:val="13"/>
        <w:overflowPunct w:val="0"/>
        <w:autoSpaceDE/>
        <w:autoSpaceDN/>
        <w:spacing w:line="600" w:lineRule="exact"/>
        <w:ind w:firstLine="640" w:firstLineChars="200"/>
        <w:jc w:val="both"/>
        <w:rPr>
          <w:rFonts w:hint="eastAsia" w:ascii="仿宋" w:hAnsi="仿宋" w:eastAsia="仿宋" w:cs="宋体"/>
          <w:sz w:val="32"/>
          <w:szCs w:val="32"/>
        </w:rPr>
      </w:pPr>
      <w:r>
        <w:rPr>
          <w:rFonts w:ascii="仿宋" w:hAnsi="仿宋" w:eastAsia="仿宋" w:cs="宋体"/>
          <w:sz w:val="32"/>
          <w:szCs w:val="32"/>
        </w:rPr>
        <w:t>3.公务接待费支出预算为</w:t>
      </w:r>
      <w:r>
        <w:rPr>
          <w:rFonts w:hint="eastAsia" w:ascii="仿宋" w:hAnsi="仿宋" w:eastAsia="仿宋" w:cs="宋体"/>
          <w:sz w:val="32"/>
          <w:szCs w:val="32"/>
        </w:rPr>
        <w:t>30</w:t>
      </w:r>
      <w:r>
        <w:rPr>
          <w:rFonts w:ascii="仿宋" w:hAnsi="仿宋" w:eastAsia="仿宋" w:cs="宋体"/>
          <w:sz w:val="32"/>
          <w:szCs w:val="32"/>
        </w:rPr>
        <w:t>万元，支出决算为</w:t>
      </w:r>
      <w:r>
        <w:rPr>
          <w:rFonts w:hint="eastAsia" w:ascii="仿宋" w:hAnsi="仿宋" w:eastAsia="仿宋" w:cs="宋体"/>
          <w:sz w:val="32"/>
          <w:szCs w:val="32"/>
        </w:rPr>
        <w:t>6.44</w:t>
      </w:r>
      <w:r>
        <w:rPr>
          <w:rFonts w:ascii="仿宋" w:hAnsi="仿宋" w:eastAsia="仿宋" w:cs="宋体"/>
          <w:sz w:val="32"/>
          <w:szCs w:val="32"/>
        </w:rPr>
        <w:t>万元，完成预算的</w:t>
      </w:r>
      <w:r>
        <w:rPr>
          <w:rFonts w:hint="eastAsia" w:ascii="仿宋" w:hAnsi="仿宋" w:eastAsia="仿宋" w:cs="宋体"/>
          <w:sz w:val="32"/>
          <w:szCs w:val="32"/>
        </w:rPr>
        <w:t>21.47</w:t>
      </w:r>
      <w:r>
        <w:rPr>
          <w:rFonts w:ascii="仿宋" w:hAnsi="仿宋" w:eastAsia="仿宋" w:cs="宋体"/>
          <w:sz w:val="32"/>
          <w:szCs w:val="32"/>
        </w:rPr>
        <w:t>%；与上年相比减少</w:t>
      </w:r>
      <w:r>
        <w:rPr>
          <w:rFonts w:hint="eastAsia" w:ascii="仿宋" w:hAnsi="仿宋" w:eastAsia="仿宋" w:cs="宋体"/>
          <w:sz w:val="32"/>
          <w:szCs w:val="32"/>
        </w:rPr>
        <w:t>17.31</w:t>
      </w:r>
      <w:r>
        <w:rPr>
          <w:rFonts w:ascii="仿宋" w:hAnsi="仿宋" w:eastAsia="仿宋" w:cs="宋体"/>
          <w:sz w:val="32"/>
          <w:szCs w:val="32"/>
        </w:rPr>
        <w:t>万元，降低</w:t>
      </w:r>
      <w:r>
        <w:rPr>
          <w:rFonts w:hint="eastAsia" w:ascii="仿宋" w:hAnsi="仿宋" w:eastAsia="仿宋" w:cs="宋体"/>
          <w:sz w:val="32"/>
          <w:szCs w:val="32"/>
        </w:rPr>
        <w:t>72.88</w:t>
      </w:r>
      <w:r>
        <w:rPr>
          <w:rFonts w:ascii="仿宋" w:hAnsi="仿宋" w:eastAsia="仿宋" w:cs="宋体"/>
          <w:sz w:val="32"/>
          <w:szCs w:val="32"/>
        </w:rPr>
        <w:t>%。</w:t>
      </w:r>
      <w:r>
        <w:rPr>
          <w:rFonts w:hint="eastAsia" w:ascii="仿宋" w:hAnsi="仿宋" w:eastAsia="仿宋" w:cs="宋体"/>
          <w:sz w:val="32"/>
          <w:szCs w:val="32"/>
        </w:rPr>
        <w:t>决算数小于预算数的主要原因是联络处严格控制公务接待费的规模和比例，严把公务接待支出的审核、审批关</w:t>
      </w:r>
      <w:r>
        <w:rPr>
          <w:rFonts w:ascii="仿宋" w:hAnsi="仿宋" w:eastAsia="仿宋" w:cs="宋体"/>
          <w:sz w:val="32"/>
          <w:szCs w:val="32"/>
        </w:rPr>
        <w:t>。决算数小于上年数的主要原因是</w:t>
      </w:r>
      <w:r>
        <w:rPr>
          <w:rFonts w:hint="eastAsia" w:ascii="仿宋" w:hAnsi="仿宋" w:eastAsia="仿宋" w:cs="宋体"/>
          <w:sz w:val="32"/>
          <w:szCs w:val="32"/>
        </w:rPr>
        <w:t>厉行节约、落实过紧日子的要求。2025年</w:t>
      </w:r>
      <w:r>
        <w:rPr>
          <w:rFonts w:ascii="仿宋" w:hAnsi="仿宋" w:eastAsia="仿宋" w:cs="宋体"/>
          <w:sz w:val="32"/>
          <w:szCs w:val="32"/>
        </w:rPr>
        <w:t>度共接待来访</w:t>
      </w:r>
      <w:r>
        <w:rPr>
          <w:rFonts w:hint="eastAsia" w:ascii="仿宋" w:hAnsi="仿宋" w:eastAsia="仿宋" w:cs="宋体"/>
          <w:sz w:val="32"/>
          <w:szCs w:val="32"/>
        </w:rPr>
        <w:t>来人81批次，530</w:t>
      </w:r>
      <w:r>
        <w:rPr>
          <w:rFonts w:ascii="仿宋" w:hAnsi="仿宋" w:eastAsia="仿宋" w:cs="宋体"/>
          <w:sz w:val="32"/>
          <w:szCs w:val="32"/>
        </w:rPr>
        <w:t>人，主要是</w:t>
      </w:r>
      <w:r>
        <w:rPr>
          <w:rFonts w:hint="eastAsia" w:ascii="仿宋" w:hAnsi="仿宋" w:eastAsia="仿宋" w:cs="宋体"/>
          <w:sz w:val="32"/>
          <w:szCs w:val="32"/>
        </w:rPr>
        <w:t>招商引资</w:t>
      </w:r>
      <w:r>
        <w:rPr>
          <w:rFonts w:ascii="仿宋" w:hAnsi="仿宋" w:eastAsia="仿宋" w:cs="宋体"/>
          <w:sz w:val="32"/>
          <w:szCs w:val="32"/>
        </w:rPr>
        <w:t>活动发生的接待支出。</w:t>
      </w:r>
    </w:p>
    <w:p w14:paraId="2CEDF9DF">
      <w:pPr>
        <w:overflowPunct w:val="0"/>
        <w:adjustRightInd w:val="0"/>
        <w:spacing w:after="160" w:line="600" w:lineRule="exact"/>
        <w:ind w:firstLine="640" w:firstLineChars="200"/>
        <w:rPr>
          <w:rFonts w:ascii="Times New Roman" w:hAnsi="Times New Roman" w:eastAsia="黑体" w:cs="Times New Roman"/>
          <w:bCs/>
          <w:color w:val="000000"/>
          <w:kern w:val="0"/>
          <w:sz w:val="32"/>
          <w:szCs w:val="32"/>
        </w:rPr>
      </w:pPr>
      <w:r>
        <w:rPr>
          <w:rFonts w:ascii="Times New Roman" w:hAnsi="Times New Roman" w:eastAsia="黑体" w:cs="Times New Roman"/>
          <w:bCs/>
          <w:color w:val="000000"/>
          <w:kern w:val="0"/>
          <w:sz w:val="32"/>
          <w:szCs w:val="32"/>
        </w:rPr>
        <w:t>八、政府性基金预算收入支出决算情况</w:t>
      </w:r>
    </w:p>
    <w:p w14:paraId="4097B428">
      <w:pPr>
        <w:overflowPunct w:val="0"/>
        <w:adjustRightInd w:val="0"/>
        <w:spacing w:after="160" w:line="600" w:lineRule="exact"/>
        <w:ind w:firstLine="640" w:firstLineChars="200"/>
        <w:rPr>
          <w:rFonts w:hint="eastAsia" w:ascii="仿宋" w:hAnsi="仿宋" w:eastAsia="仿宋" w:cs="宋体"/>
          <w:color w:val="000000"/>
          <w:kern w:val="0"/>
          <w:sz w:val="32"/>
          <w:szCs w:val="32"/>
        </w:rPr>
      </w:pPr>
      <w:r>
        <w:rPr>
          <w:rFonts w:ascii="仿宋" w:hAnsi="仿宋" w:eastAsia="仿宋" w:cs="宋体"/>
          <w:color w:val="000000"/>
          <w:kern w:val="0"/>
          <w:sz w:val="32"/>
          <w:szCs w:val="32"/>
        </w:rPr>
        <w:t>202</w:t>
      </w:r>
      <w:r>
        <w:rPr>
          <w:rFonts w:hint="eastAsia" w:ascii="仿宋" w:hAnsi="仿宋" w:eastAsia="仿宋" w:cs="宋体"/>
          <w:color w:val="000000"/>
          <w:kern w:val="0"/>
          <w:sz w:val="32"/>
          <w:szCs w:val="32"/>
        </w:rPr>
        <w:t>5</w:t>
      </w:r>
      <w:r>
        <w:rPr>
          <w:rFonts w:ascii="仿宋" w:hAnsi="仿宋" w:eastAsia="仿宋" w:cs="宋体"/>
          <w:color w:val="000000"/>
          <w:kern w:val="0"/>
          <w:sz w:val="32"/>
          <w:szCs w:val="32"/>
        </w:rPr>
        <w:t>年度</w:t>
      </w:r>
      <w:r>
        <w:rPr>
          <w:rFonts w:hint="eastAsia" w:ascii="仿宋" w:hAnsi="仿宋" w:eastAsia="仿宋" w:cs="宋体"/>
          <w:color w:val="000000"/>
          <w:kern w:val="0"/>
          <w:sz w:val="32"/>
          <w:szCs w:val="32"/>
        </w:rPr>
        <w:t>本单位无</w:t>
      </w:r>
      <w:r>
        <w:rPr>
          <w:rFonts w:ascii="仿宋" w:hAnsi="仿宋" w:eastAsia="仿宋" w:cs="宋体"/>
          <w:color w:val="000000"/>
          <w:kern w:val="0"/>
          <w:sz w:val="32"/>
          <w:szCs w:val="32"/>
        </w:rPr>
        <w:t>政府性基金</w:t>
      </w:r>
      <w:r>
        <w:rPr>
          <w:rFonts w:hint="eastAsia" w:ascii="仿宋" w:hAnsi="仿宋" w:eastAsia="仿宋" w:cs="宋体"/>
          <w:color w:val="000000"/>
          <w:kern w:val="0"/>
          <w:sz w:val="32"/>
          <w:szCs w:val="32"/>
        </w:rPr>
        <w:t>预算收支</w:t>
      </w:r>
      <w:r>
        <w:rPr>
          <w:rFonts w:ascii="仿宋" w:hAnsi="仿宋" w:eastAsia="仿宋" w:cs="宋体"/>
          <w:color w:val="000000"/>
          <w:kern w:val="0"/>
          <w:sz w:val="32"/>
          <w:szCs w:val="32"/>
        </w:rPr>
        <w:t>。</w:t>
      </w:r>
    </w:p>
    <w:p w14:paraId="16E73BB3">
      <w:pPr>
        <w:overflowPunct w:val="0"/>
        <w:adjustRightInd w:val="0"/>
        <w:spacing w:after="160" w:line="600" w:lineRule="exact"/>
        <w:ind w:firstLine="640" w:firstLineChars="200"/>
        <w:rPr>
          <w:rFonts w:ascii="Times New Roman" w:hAnsi="Times New Roman" w:eastAsia="黑体" w:cs="Times New Roman"/>
          <w:bCs/>
          <w:color w:val="000000"/>
          <w:kern w:val="0"/>
          <w:sz w:val="32"/>
          <w:szCs w:val="32"/>
        </w:rPr>
      </w:pPr>
      <w:r>
        <w:rPr>
          <w:rFonts w:hint="eastAsia" w:ascii="Times New Roman" w:hAnsi="Times New Roman" w:eastAsia="黑体" w:cs="Times New Roman"/>
          <w:bCs/>
          <w:color w:val="000000"/>
          <w:kern w:val="0"/>
          <w:sz w:val="32"/>
          <w:szCs w:val="32"/>
        </w:rPr>
        <w:t>九、国有资本经营预算收入支出决算情况</w:t>
      </w:r>
    </w:p>
    <w:p w14:paraId="3FE9FB59">
      <w:pPr>
        <w:overflowPunct w:val="0"/>
        <w:adjustRightInd w:val="0"/>
        <w:spacing w:after="160" w:line="60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 xml:space="preserve">2025年度本单位无国有资本经营预算收支。 </w:t>
      </w:r>
    </w:p>
    <w:p w14:paraId="1FD188D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十</w:t>
      </w:r>
      <w:r>
        <w:rPr>
          <w:rFonts w:ascii="Times New Roman" w:hAnsi="Times New Roman" w:cs="Times New Roman"/>
          <w:bCs/>
          <w:sz w:val="32"/>
          <w:szCs w:val="32"/>
        </w:rPr>
        <w:t>、关于机关运行经费支出说明</w:t>
      </w:r>
    </w:p>
    <w:p w14:paraId="447AB1D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仿宋" w:hAnsi="仿宋" w:eastAsia="仿宋" w:cs="宋体"/>
          <w:sz w:val="32"/>
          <w:szCs w:val="32"/>
        </w:rPr>
        <w:t>本部门202</w:t>
      </w:r>
      <w:r>
        <w:rPr>
          <w:rFonts w:hint="eastAsia" w:ascii="仿宋" w:hAnsi="仿宋" w:eastAsia="仿宋" w:cs="宋体"/>
          <w:sz w:val="32"/>
          <w:szCs w:val="32"/>
        </w:rPr>
        <w:t>5</w:t>
      </w:r>
      <w:r>
        <w:rPr>
          <w:rFonts w:ascii="仿宋" w:hAnsi="仿宋" w:eastAsia="仿宋" w:cs="宋体"/>
          <w:sz w:val="32"/>
          <w:szCs w:val="32"/>
        </w:rPr>
        <w:t>年度机关运行经费支出</w:t>
      </w:r>
      <w:r>
        <w:rPr>
          <w:rFonts w:hint="eastAsia" w:ascii="仿宋" w:hAnsi="仿宋" w:eastAsia="仿宋" w:cs="宋体"/>
          <w:sz w:val="32"/>
          <w:szCs w:val="32"/>
        </w:rPr>
        <w:t>23.07</w:t>
      </w:r>
      <w:r>
        <w:rPr>
          <w:rFonts w:ascii="仿宋" w:hAnsi="仿宋" w:eastAsia="仿宋" w:cs="宋体"/>
          <w:sz w:val="32"/>
          <w:szCs w:val="32"/>
        </w:rPr>
        <w:t>万元</w:t>
      </w:r>
      <w:r>
        <w:rPr>
          <w:rFonts w:ascii="Times New Roman" w:hAnsi="Times New Roman" w:eastAsia="仿宋_GB2312" w:cs="Times New Roman"/>
          <w:sz w:val="32"/>
          <w:szCs w:val="32"/>
        </w:rPr>
        <w:t>，</w:t>
      </w:r>
      <w:r>
        <w:rPr>
          <w:rFonts w:ascii="仿宋" w:hAnsi="仿宋" w:eastAsia="仿宋" w:cs="宋体"/>
          <w:sz w:val="32"/>
          <w:szCs w:val="32"/>
        </w:rPr>
        <w:t>比年初预算数减少</w:t>
      </w:r>
      <w:r>
        <w:rPr>
          <w:rFonts w:hint="eastAsia" w:ascii="仿宋" w:hAnsi="仿宋" w:eastAsia="仿宋" w:cs="宋体"/>
          <w:sz w:val="32"/>
          <w:szCs w:val="32"/>
        </w:rPr>
        <w:t>6.69</w:t>
      </w:r>
      <w:r>
        <w:rPr>
          <w:rFonts w:ascii="仿宋" w:hAnsi="仿宋" w:eastAsia="仿宋" w:cs="宋体"/>
          <w:sz w:val="32"/>
          <w:szCs w:val="32"/>
        </w:rPr>
        <w:t xml:space="preserve"> 万元，降低</w:t>
      </w:r>
      <w:r>
        <w:rPr>
          <w:rFonts w:hint="eastAsia" w:ascii="仿宋" w:hAnsi="仿宋" w:eastAsia="仿宋" w:cs="宋体"/>
          <w:sz w:val="32"/>
          <w:szCs w:val="32"/>
        </w:rPr>
        <w:t>22.48</w:t>
      </w:r>
      <w:r>
        <w:rPr>
          <w:rFonts w:ascii="仿宋" w:hAnsi="仿宋" w:eastAsia="仿宋" w:cs="宋体"/>
          <w:sz w:val="32"/>
          <w:szCs w:val="32"/>
        </w:rPr>
        <w:t>%。主要原因是：</w:t>
      </w:r>
      <w:r>
        <w:rPr>
          <w:rFonts w:hint="eastAsia" w:ascii="仿宋" w:hAnsi="仿宋" w:eastAsia="仿宋" w:cs="宋体"/>
          <w:sz w:val="32"/>
          <w:szCs w:val="32"/>
        </w:rPr>
        <w:t>落实过紧日子要求压减20%支出</w:t>
      </w:r>
      <w:r>
        <w:rPr>
          <w:rFonts w:ascii="Times New Roman" w:hAnsi="Times New Roman" w:eastAsia="仿宋_GB2312" w:cs="Times New Roman"/>
          <w:sz w:val="32"/>
          <w:szCs w:val="32"/>
        </w:rPr>
        <w:t>。</w:t>
      </w:r>
    </w:p>
    <w:p w14:paraId="3204440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320DE629">
      <w:pPr>
        <w:pStyle w:val="13"/>
        <w:overflowPunct w:val="0"/>
        <w:autoSpaceDE/>
        <w:autoSpaceDN/>
        <w:spacing w:line="600" w:lineRule="exact"/>
        <w:ind w:firstLine="640" w:firstLineChars="200"/>
        <w:jc w:val="both"/>
        <w:rPr>
          <w:rFonts w:hint="eastAsia" w:ascii="仿宋" w:hAnsi="仿宋" w:eastAsia="仿宋" w:cs="宋体"/>
          <w:sz w:val="32"/>
          <w:szCs w:val="32"/>
        </w:rPr>
      </w:pPr>
      <w:r>
        <w:rPr>
          <w:rFonts w:ascii="仿宋" w:hAnsi="仿宋" w:eastAsia="仿宋" w:cs="宋体"/>
          <w:sz w:val="32"/>
          <w:szCs w:val="32"/>
        </w:rPr>
        <w:t>202</w:t>
      </w:r>
      <w:r>
        <w:rPr>
          <w:rFonts w:hint="eastAsia" w:ascii="仿宋" w:hAnsi="仿宋" w:eastAsia="仿宋" w:cs="宋体"/>
          <w:sz w:val="32"/>
          <w:szCs w:val="32"/>
        </w:rPr>
        <w:t>5</w:t>
      </w:r>
      <w:r>
        <w:rPr>
          <w:rFonts w:ascii="仿宋" w:hAnsi="仿宋" w:eastAsia="仿宋" w:cs="宋体"/>
          <w:sz w:val="32"/>
          <w:szCs w:val="32"/>
        </w:rPr>
        <w:t>年本</w:t>
      </w:r>
      <w:r>
        <w:rPr>
          <w:rFonts w:hint="eastAsia" w:ascii="仿宋" w:hAnsi="仿宋" w:eastAsia="仿宋" w:cs="宋体"/>
          <w:sz w:val="32"/>
          <w:szCs w:val="32"/>
        </w:rPr>
        <w:t>单位</w:t>
      </w:r>
      <w:r>
        <w:rPr>
          <w:rFonts w:ascii="仿宋" w:hAnsi="仿宋" w:eastAsia="仿宋" w:cs="宋体"/>
          <w:sz w:val="32"/>
          <w:szCs w:val="32"/>
        </w:rPr>
        <w:t>开支会议费</w:t>
      </w:r>
      <w:r>
        <w:rPr>
          <w:rFonts w:hint="eastAsia" w:ascii="仿宋" w:hAnsi="仿宋" w:eastAsia="仿宋" w:cs="宋体"/>
          <w:sz w:val="32"/>
          <w:szCs w:val="32"/>
        </w:rPr>
        <w:t>0</w:t>
      </w:r>
      <w:r>
        <w:rPr>
          <w:rFonts w:ascii="仿宋" w:hAnsi="仿宋" w:eastAsia="仿宋" w:cs="宋体"/>
          <w:sz w:val="32"/>
          <w:szCs w:val="32"/>
        </w:rPr>
        <w:t>万元；开支培训费</w:t>
      </w:r>
      <w:r>
        <w:rPr>
          <w:rFonts w:hint="eastAsia" w:ascii="仿宋" w:hAnsi="仿宋" w:eastAsia="仿宋" w:cs="宋体"/>
          <w:sz w:val="32"/>
          <w:szCs w:val="32"/>
        </w:rPr>
        <w:t>0.018</w:t>
      </w:r>
      <w:r>
        <w:rPr>
          <w:rFonts w:ascii="仿宋" w:hAnsi="仿宋" w:eastAsia="仿宋" w:cs="宋体"/>
          <w:sz w:val="32"/>
          <w:szCs w:val="32"/>
        </w:rPr>
        <w:t>万元，用于</w:t>
      </w:r>
      <w:r>
        <w:rPr>
          <w:rFonts w:hint="eastAsia" w:ascii="仿宋" w:hAnsi="仿宋" w:eastAsia="仿宋" w:cs="宋体"/>
          <w:sz w:val="32"/>
          <w:szCs w:val="32"/>
        </w:rPr>
        <w:t>本单位在职人员业务培训，人数1人</w:t>
      </w:r>
      <w:r>
        <w:rPr>
          <w:rFonts w:ascii="仿宋" w:hAnsi="仿宋" w:eastAsia="仿宋" w:cs="宋体"/>
          <w:sz w:val="32"/>
          <w:szCs w:val="32"/>
        </w:rPr>
        <w:t>；</w:t>
      </w:r>
      <w:r>
        <w:rPr>
          <w:rFonts w:hint="eastAsia" w:ascii="仿宋" w:hAnsi="仿宋" w:eastAsia="仿宋" w:cs="宋体"/>
          <w:sz w:val="32"/>
          <w:szCs w:val="32"/>
        </w:rPr>
        <w:t>未</w:t>
      </w:r>
      <w:r>
        <w:rPr>
          <w:rFonts w:ascii="仿宋" w:hAnsi="仿宋" w:eastAsia="仿宋" w:cs="宋体"/>
          <w:sz w:val="32"/>
          <w:szCs w:val="32"/>
        </w:rPr>
        <w:t>举办节庆、晚会、论坛、赛事活动，开支</w:t>
      </w:r>
      <w:r>
        <w:rPr>
          <w:rFonts w:hint="eastAsia" w:ascii="仿宋" w:hAnsi="仿宋" w:eastAsia="仿宋" w:cs="宋体"/>
          <w:sz w:val="32"/>
          <w:szCs w:val="32"/>
        </w:rPr>
        <w:t>0</w:t>
      </w:r>
      <w:r>
        <w:rPr>
          <w:rFonts w:ascii="仿宋" w:hAnsi="仿宋" w:eastAsia="仿宋" w:cs="宋体"/>
          <w:sz w:val="32"/>
          <w:szCs w:val="32"/>
        </w:rPr>
        <w:t>万元</w:t>
      </w:r>
      <w:r>
        <w:rPr>
          <w:rFonts w:hint="eastAsia" w:ascii="仿宋" w:hAnsi="仿宋" w:eastAsia="仿宋" w:cs="宋体"/>
          <w:sz w:val="32"/>
          <w:szCs w:val="32"/>
        </w:rPr>
        <w:t>。</w:t>
      </w:r>
    </w:p>
    <w:p w14:paraId="1518DFB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274814DE">
      <w:pPr>
        <w:pStyle w:val="13"/>
        <w:overflowPunct w:val="0"/>
        <w:autoSpaceDE/>
        <w:autoSpaceDN/>
        <w:spacing w:line="600" w:lineRule="exact"/>
        <w:ind w:firstLine="640" w:firstLineChars="200"/>
        <w:jc w:val="both"/>
        <w:rPr>
          <w:rFonts w:hint="eastAsia" w:ascii="仿宋" w:hAnsi="仿宋" w:eastAsia="仿宋" w:cs="宋体"/>
          <w:sz w:val="32"/>
          <w:szCs w:val="32"/>
          <w:lang w:eastAsia="zh-CN"/>
        </w:rPr>
      </w:pPr>
      <w:r>
        <w:rPr>
          <w:rFonts w:ascii="仿宋" w:hAnsi="仿宋" w:eastAsia="仿宋" w:cs="宋体"/>
          <w:sz w:val="32"/>
          <w:szCs w:val="32"/>
        </w:rPr>
        <w:t>本部门202</w:t>
      </w:r>
      <w:r>
        <w:rPr>
          <w:rFonts w:hint="eastAsia" w:ascii="仿宋" w:hAnsi="仿宋" w:eastAsia="仿宋" w:cs="宋体"/>
          <w:sz w:val="32"/>
          <w:szCs w:val="32"/>
        </w:rPr>
        <w:t>5</w:t>
      </w:r>
      <w:r>
        <w:rPr>
          <w:rFonts w:ascii="仿宋" w:hAnsi="仿宋" w:eastAsia="仿宋" w:cs="宋体"/>
          <w:sz w:val="32"/>
          <w:szCs w:val="32"/>
        </w:rPr>
        <w:t>年度政府采购支出总额</w:t>
      </w:r>
      <w:r>
        <w:rPr>
          <w:rFonts w:hint="eastAsia" w:ascii="仿宋" w:hAnsi="仿宋" w:eastAsia="仿宋" w:cs="宋体"/>
          <w:sz w:val="32"/>
          <w:szCs w:val="32"/>
        </w:rPr>
        <w:t>0</w:t>
      </w:r>
      <w:r>
        <w:rPr>
          <w:rFonts w:ascii="仿宋" w:hAnsi="仿宋" w:eastAsia="仿宋" w:cs="宋体"/>
          <w:sz w:val="32"/>
          <w:szCs w:val="32"/>
        </w:rPr>
        <w:t>万元</w:t>
      </w:r>
      <w:r>
        <w:rPr>
          <w:rFonts w:hint="eastAsia" w:ascii="仿宋" w:hAnsi="仿宋" w:eastAsia="仿宋" w:cs="宋体"/>
          <w:sz w:val="32"/>
          <w:szCs w:val="32"/>
          <w:lang w:eastAsia="zh-CN"/>
        </w:rPr>
        <w:t>。</w:t>
      </w:r>
    </w:p>
    <w:p w14:paraId="62C17EF0">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42FB466">
      <w:pPr>
        <w:pStyle w:val="13"/>
        <w:overflowPunct w:val="0"/>
        <w:autoSpaceDE/>
        <w:autoSpaceDN/>
        <w:spacing w:line="600" w:lineRule="exact"/>
        <w:ind w:firstLine="640" w:firstLineChars="200"/>
        <w:jc w:val="both"/>
        <w:rPr>
          <w:rFonts w:hint="eastAsia" w:ascii="仿宋" w:hAnsi="仿宋" w:eastAsia="仿宋" w:cs="宋体"/>
          <w:sz w:val="32"/>
          <w:szCs w:val="32"/>
        </w:rPr>
      </w:pPr>
      <w:r>
        <w:rPr>
          <w:rFonts w:ascii="仿宋" w:hAnsi="仿宋" w:eastAsia="仿宋" w:cs="宋体"/>
          <w:sz w:val="32"/>
          <w:szCs w:val="32"/>
        </w:rPr>
        <w:t>截至202</w:t>
      </w:r>
      <w:r>
        <w:rPr>
          <w:rFonts w:hint="eastAsia" w:ascii="仿宋" w:hAnsi="仿宋" w:eastAsia="仿宋" w:cs="宋体"/>
          <w:sz w:val="32"/>
          <w:szCs w:val="32"/>
        </w:rPr>
        <w:t>5</w:t>
      </w:r>
      <w:r>
        <w:rPr>
          <w:rFonts w:ascii="仿宋" w:hAnsi="仿宋" w:eastAsia="仿宋" w:cs="宋体"/>
          <w:sz w:val="32"/>
          <w:szCs w:val="32"/>
        </w:rPr>
        <w:t>年12月31日，部门（单位）共有车辆</w:t>
      </w:r>
      <w:r>
        <w:rPr>
          <w:rFonts w:hint="eastAsia" w:ascii="仿宋" w:hAnsi="仿宋" w:eastAsia="仿宋" w:cs="宋体"/>
          <w:sz w:val="32"/>
          <w:szCs w:val="32"/>
          <w:lang w:val="en-US" w:eastAsia="zh-CN"/>
        </w:rPr>
        <w:t>2</w:t>
      </w:r>
      <w:r>
        <w:rPr>
          <w:rFonts w:ascii="仿宋" w:hAnsi="仿宋" w:eastAsia="仿宋" w:cs="宋体"/>
          <w:sz w:val="32"/>
          <w:szCs w:val="32"/>
        </w:rPr>
        <w:t>辆，其中，副部（省）级及以上领导用车</w:t>
      </w:r>
      <w:r>
        <w:rPr>
          <w:rFonts w:hint="eastAsia" w:ascii="仿宋" w:hAnsi="仿宋" w:eastAsia="仿宋" w:cs="宋体"/>
          <w:sz w:val="32"/>
          <w:szCs w:val="32"/>
        </w:rPr>
        <w:t>0</w:t>
      </w:r>
      <w:r>
        <w:rPr>
          <w:rFonts w:ascii="仿宋" w:hAnsi="仿宋" w:eastAsia="仿宋" w:cs="宋体"/>
          <w:sz w:val="32"/>
          <w:szCs w:val="32"/>
        </w:rPr>
        <w:t>辆、主要负责人用车</w:t>
      </w:r>
      <w:r>
        <w:rPr>
          <w:rFonts w:hint="eastAsia" w:ascii="仿宋" w:hAnsi="仿宋" w:eastAsia="仿宋" w:cs="宋体"/>
          <w:sz w:val="32"/>
          <w:szCs w:val="32"/>
        </w:rPr>
        <w:t>0</w:t>
      </w:r>
      <w:r>
        <w:rPr>
          <w:rFonts w:ascii="仿宋" w:hAnsi="仿宋" w:eastAsia="仿宋" w:cs="宋体"/>
          <w:sz w:val="32"/>
          <w:szCs w:val="32"/>
        </w:rPr>
        <w:t>辆、机要通信用车</w:t>
      </w:r>
      <w:r>
        <w:rPr>
          <w:rFonts w:hint="eastAsia" w:ascii="仿宋" w:hAnsi="仿宋" w:eastAsia="仿宋" w:cs="宋体"/>
          <w:sz w:val="32"/>
          <w:szCs w:val="32"/>
        </w:rPr>
        <w:t>0</w:t>
      </w:r>
      <w:r>
        <w:rPr>
          <w:rFonts w:ascii="仿宋" w:hAnsi="仿宋" w:eastAsia="仿宋" w:cs="宋体"/>
          <w:sz w:val="32"/>
          <w:szCs w:val="32"/>
        </w:rPr>
        <w:t>辆、应急保障用车</w:t>
      </w:r>
      <w:r>
        <w:rPr>
          <w:rFonts w:hint="eastAsia" w:ascii="仿宋" w:hAnsi="仿宋" w:eastAsia="仿宋" w:cs="宋体"/>
          <w:sz w:val="32"/>
          <w:szCs w:val="32"/>
        </w:rPr>
        <w:t>0</w:t>
      </w:r>
      <w:r>
        <w:rPr>
          <w:rFonts w:ascii="仿宋" w:hAnsi="仿宋" w:eastAsia="仿宋" w:cs="宋体"/>
          <w:sz w:val="32"/>
          <w:szCs w:val="32"/>
        </w:rPr>
        <w:t>辆、执法执勤用车XX辆、特种专业技术用车</w:t>
      </w:r>
      <w:r>
        <w:rPr>
          <w:rFonts w:hint="eastAsia" w:ascii="仿宋" w:hAnsi="仿宋" w:eastAsia="仿宋" w:cs="宋体"/>
          <w:sz w:val="32"/>
          <w:szCs w:val="32"/>
        </w:rPr>
        <w:t>0</w:t>
      </w:r>
      <w:r>
        <w:rPr>
          <w:rFonts w:ascii="仿宋" w:hAnsi="仿宋" w:eastAsia="仿宋" w:cs="宋体"/>
          <w:sz w:val="32"/>
          <w:szCs w:val="32"/>
        </w:rPr>
        <w:t>辆、离退休干部服务用车</w:t>
      </w:r>
      <w:r>
        <w:rPr>
          <w:rFonts w:hint="eastAsia" w:ascii="仿宋" w:hAnsi="仿宋" w:eastAsia="仿宋" w:cs="宋体"/>
          <w:sz w:val="32"/>
          <w:szCs w:val="32"/>
        </w:rPr>
        <w:t>0</w:t>
      </w:r>
      <w:r>
        <w:rPr>
          <w:rFonts w:ascii="仿宋" w:hAnsi="仿宋" w:eastAsia="仿宋" w:cs="宋体"/>
          <w:sz w:val="32"/>
          <w:szCs w:val="32"/>
        </w:rPr>
        <w:t>辆、其他用车</w:t>
      </w:r>
      <w:r>
        <w:rPr>
          <w:rFonts w:hint="eastAsia" w:ascii="仿宋" w:hAnsi="仿宋" w:eastAsia="仿宋" w:cs="宋体"/>
          <w:sz w:val="32"/>
          <w:szCs w:val="32"/>
        </w:rPr>
        <w:t>2</w:t>
      </w:r>
      <w:r>
        <w:rPr>
          <w:rFonts w:ascii="仿宋" w:hAnsi="仿宋" w:eastAsia="仿宋" w:cs="宋体"/>
          <w:sz w:val="32"/>
          <w:szCs w:val="32"/>
        </w:rPr>
        <w:t>辆，其他用车主要是</w:t>
      </w:r>
      <w:r>
        <w:rPr>
          <w:rFonts w:hint="eastAsia" w:ascii="仿宋" w:hAnsi="仿宋" w:eastAsia="仿宋" w:cs="宋体"/>
          <w:sz w:val="32"/>
          <w:szCs w:val="32"/>
        </w:rPr>
        <w:t>单位公务</w:t>
      </w:r>
      <w:r>
        <w:rPr>
          <w:rFonts w:hint="eastAsia" w:ascii="仿宋" w:hAnsi="仿宋" w:eastAsia="仿宋" w:cs="宋体"/>
          <w:sz w:val="32"/>
          <w:szCs w:val="32"/>
          <w:lang w:eastAsia="zh-CN"/>
        </w:rPr>
        <w:t>用车</w:t>
      </w:r>
      <w:r>
        <w:rPr>
          <w:rFonts w:ascii="仿宋" w:hAnsi="仿宋" w:eastAsia="仿宋" w:cs="宋体"/>
          <w:sz w:val="32"/>
          <w:szCs w:val="32"/>
        </w:rPr>
        <w:t>；单位价值100万元以上设备（不含车辆）</w:t>
      </w:r>
      <w:r>
        <w:rPr>
          <w:rFonts w:hint="eastAsia" w:ascii="仿宋" w:hAnsi="仿宋" w:eastAsia="仿宋" w:cs="宋体"/>
          <w:sz w:val="32"/>
          <w:szCs w:val="32"/>
        </w:rPr>
        <w:t>0</w:t>
      </w:r>
      <w:r>
        <w:rPr>
          <w:rFonts w:ascii="仿宋" w:hAnsi="仿宋" w:eastAsia="仿宋" w:cs="宋体"/>
          <w:sz w:val="32"/>
          <w:szCs w:val="32"/>
        </w:rPr>
        <w:t>台（套）。</w:t>
      </w:r>
    </w:p>
    <w:p w14:paraId="404A91D3">
      <w:pPr>
        <w:pStyle w:val="13"/>
        <w:overflowPunct w:val="0"/>
        <w:autoSpaceDE/>
        <w:autoSpaceDN/>
        <w:spacing w:line="600" w:lineRule="exact"/>
        <w:ind w:firstLine="640" w:firstLineChars="200"/>
        <w:jc w:val="both"/>
        <w:rPr>
          <w:rFonts w:ascii="仿宋" w:hAnsi="仿宋" w:eastAsia="仿宋" w:cs="宋体"/>
          <w:sz w:val="32"/>
          <w:szCs w:val="32"/>
        </w:rPr>
      </w:pPr>
      <w:r>
        <w:rPr>
          <w:rFonts w:hint="eastAsia" w:ascii="黑体" w:hAnsi="黑体" w:eastAsia="黑体" w:cs="黑体"/>
          <w:sz w:val="32"/>
          <w:szCs w:val="32"/>
        </w:rPr>
        <w:t>十</w:t>
      </w:r>
      <w:r>
        <w:rPr>
          <w:rFonts w:hint="eastAsia" w:ascii="黑体" w:hAnsi="黑体" w:eastAsia="黑体" w:cs="黑体"/>
          <w:sz w:val="32"/>
          <w:szCs w:val="32"/>
          <w:lang w:val="en-US" w:eastAsia="zh-CN"/>
        </w:rPr>
        <w:t>四</w:t>
      </w:r>
      <w:r>
        <w:rPr>
          <w:rFonts w:hint="eastAsia" w:ascii="黑体" w:hAnsi="黑体" w:eastAsia="黑体" w:cs="黑体"/>
          <w:sz w:val="32"/>
          <w:szCs w:val="32"/>
        </w:rPr>
        <w:t>、关于2025年度预算绩效情况的说明</w:t>
      </w:r>
    </w:p>
    <w:p w14:paraId="07C91550">
      <w:pPr>
        <w:pStyle w:val="13"/>
        <w:overflowPunct w:val="0"/>
        <w:autoSpaceDE/>
        <w:autoSpaceDN/>
        <w:spacing w:line="600" w:lineRule="exact"/>
        <w:ind w:firstLine="640" w:firstLineChars="200"/>
        <w:jc w:val="both"/>
        <w:rPr>
          <w:rFonts w:ascii="仿宋" w:hAnsi="仿宋" w:eastAsia="仿宋" w:cs="宋体"/>
          <w:color w:val="000000"/>
          <w:kern w:val="0"/>
          <w:sz w:val="32"/>
          <w:szCs w:val="32"/>
        </w:rPr>
      </w:pPr>
      <w:r>
        <w:rPr>
          <w:rFonts w:hint="eastAsia" w:ascii="楷体" w:hAnsi="楷体" w:eastAsia="楷体" w:cs="楷体"/>
          <w:b/>
          <w:bCs/>
          <w:sz w:val="32"/>
          <w:szCs w:val="32"/>
        </w:rPr>
        <w:t>（一）绩效评价工作开展情况。</w:t>
      </w:r>
      <w:r>
        <w:rPr>
          <w:rFonts w:hint="eastAsia" w:ascii="仿宋" w:hAnsi="仿宋" w:eastAsia="仿宋" w:cs="宋体"/>
          <w:sz w:val="32"/>
          <w:szCs w:val="32"/>
        </w:rPr>
        <w:t>一是绩效自评开展情况。组织对2025年度本部门（单位</w:t>
      </w:r>
      <w:r>
        <w:rPr>
          <w:rFonts w:hint="eastAsia" w:ascii="仿宋" w:hAnsi="仿宋" w:eastAsia="仿宋" w:cs="宋体"/>
          <w:color w:val="000000"/>
          <w:kern w:val="0"/>
          <w:sz w:val="32"/>
          <w:szCs w:val="32"/>
        </w:rPr>
        <w:t>）整体支出开展绩效自评，涉及项目</w:t>
      </w:r>
      <w:r>
        <w:rPr>
          <w:rFonts w:hint="eastAsia" w:ascii="仿宋" w:hAnsi="仿宋" w:eastAsia="仿宋" w:cs="宋体"/>
          <w:color w:val="000000"/>
          <w:kern w:val="0"/>
          <w:sz w:val="32"/>
          <w:szCs w:val="32"/>
          <w:lang w:val="en-US" w:eastAsia="zh-CN"/>
        </w:rPr>
        <w:t>5</w:t>
      </w:r>
      <w:r>
        <w:rPr>
          <w:rFonts w:hint="eastAsia" w:ascii="仿宋" w:hAnsi="仿宋" w:eastAsia="仿宋" w:cs="宋体"/>
          <w:color w:val="000000"/>
          <w:kern w:val="0"/>
          <w:sz w:val="32"/>
          <w:szCs w:val="32"/>
        </w:rPr>
        <w:t>个，共涉及资金</w:t>
      </w:r>
      <w:r>
        <w:rPr>
          <w:rFonts w:hint="eastAsia" w:ascii="仿宋" w:hAnsi="仿宋" w:eastAsia="仿宋" w:cs="宋体"/>
          <w:color w:val="000000"/>
          <w:kern w:val="0"/>
          <w:sz w:val="32"/>
          <w:szCs w:val="32"/>
          <w:lang w:val="en-US" w:eastAsia="zh-CN"/>
        </w:rPr>
        <w:t>183.99</w:t>
      </w:r>
      <w:r>
        <w:rPr>
          <w:rFonts w:hint="eastAsia" w:ascii="仿宋" w:hAnsi="仿宋" w:eastAsia="仿宋" w:cs="宋体"/>
          <w:color w:val="000000"/>
          <w:kern w:val="0"/>
          <w:sz w:val="32"/>
          <w:szCs w:val="32"/>
        </w:rPr>
        <w:t>万元。其中，一般公共预算项目</w:t>
      </w:r>
      <w:r>
        <w:rPr>
          <w:rFonts w:hint="eastAsia" w:ascii="仿宋" w:hAnsi="仿宋" w:eastAsia="仿宋" w:cs="宋体"/>
          <w:color w:val="000000"/>
          <w:kern w:val="0"/>
          <w:sz w:val="32"/>
          <w:szCs w:val="32"/>
          <w:lang w:val="en-US" w:eastAsia="zh-CN"/>
        </w:rPr>
        <w:t>4</w:t>
      </w:r>
      <w:r>
        <w:rPr>
          <w:rFonts w:hint="eastAsia" w:ascii="仿宋" w:hAnsi="仿宋" w:eastAsia="仿宋" w:cs="宋体"/>
          <w:color w:val="000000"/>
          <w:kern w:val="0"/>
          <w:sz w:val="32"/>
          <w:szCs w:val="32"/>
        </w:rPr>
        <w:t>个</w:t>
      </w:r>
      <w:r>
        <w:rPr>
          <w:rFonts w:hint="eastAsia" w:ascii="仿宋" w:hAnsi="仿宋" w:eastAsia="仿宋" w:cs="宋体"/>
          <w:color w:val="000000"/>
          <w:kern w:val="0"/>
          <w:sz w:val="32"/>
          <w:szCs w:val="32"/>
          <w:lang w:val="en-US" w:eastAsia="zh-CN"/>
        </w:rPr>
        <w:t>154.21</w:t>
      </w:r>
      <w:r>
        <w:rPr>
          <w:rFonts w:hint="eastAsia" w:ascii="仿宋" w:hAnsi="仿宋" w:eastAsia="仿宋" w:cs="宋体"/>
          <w:color w:val="000000"/>
          <w:kern w:val="0"/>
          <w:sz w:val="32"/>
          <w:szCs w:val="32"/>
        </w:rPr>
        <w:t>万元，占一般公共预算支出总额的</w:t>
      </w:r>
      <w:r>
        <w:rPr>
          <w:rFonts w:hint="eastAsia" w:ascii="仿宋" w:hAnsi="仿宋" w:eastAsia="仿宋" w:cs="宋体"/>
          <w:color w:val="000000"/>
          <w:kern w:val="0"/>
          <w:sz w:val="32"/>
          <w:szCs w:val="32"/>
          <w:lang w:val="en-US" w:eastAsia="zh-CN"/>
        </w:rPr>
        <w:t>44.79</w:t>
      </w:r>
      <w:r>
        <w:rPr>
          <w:rFonts w:hint="eastAsia" w:ascii="仿宋" w:hAnsi="仿宋" w:eastAsia="仿宋" w:cs="宋体"/>
          <w:color w:val="000000"/>
          <w:kern w:val="0"/>
          <w:sz w:val="32"/>
          <w:szCs w:val="32"/>
        </w:rPr>
        <w:t>%；政府性基金预算项目0个0万元，占政府性基金预算支出总额的0%；国有资本经营预算项目0个0万元，占国有资本经营预算支出总额的0%；社会保险基金预算项目0个0万元，占社会保险基金预算支出总额的0%。二是部门评价开展情况。组织对所属单位2025年度“招商引资经费</w:t>
      </w:r>
      <w:r>
        <w:rPr>
          <w:rFonts w:hint="eastAsia" w:ascii="仿宋" w:hAnsi="仿宋" w:eastAsia="仿宋" w:cs="宋体"/>
          <w:color w:val="000000"/>
          <w:kern w:val="0"/>
          <w:sz w:val="32"/>
          <w:szCs w:val="32"/>
          <w:lang w:eastAsia="zh-CN"/>
        </w:rPr>
        <w:t>”“</w:t>
      </w:r>
      <w:r>
        <w:rPr>
          <w:rFonts w:hint="eastAsia" w:ascii="仿宋" w:hAnsi="仿宋" w:eastAsia="仿宋" w:cs="宋体"/>
          <w:color w:val="000000"/>
          <w:kern w:val="0"/>
          <w:sz w:val="32"/>
          <w:szCs w:val="32"/>
        </w:rPr>
        <w:t>维稳联络经费</w:t>
      </w:r>
      <w:r>
        <w:rPr>
          <w:rFonts w:hint="eastAsia" w:ascii="仿宋" w:hAnsi="仿宋" w:eastAsia="仿宋" w:cs="宋体"/>
          <w:color w:val="000000"/>
          <w:kern w:val="0"/>
          <w:sz w:val="32"/>
          <w:szCs w:val="32"/>
          <w:lang w:eastAsia="zh-CN"/>
        </w:rPr>
        <w:t>”“</w:t>
      </w:r>
      <w:r>
        <w:rPr>
          <w:rFonts w:hint="eastAsia" w:ascii="仿宋" w:hAnsi="仿宋" w:eastAsia="仿宋" w:cs="宋体"/>
          <w:color w:val="000000"/>
          <w:kern w:val="0"/>
          <w:sz w:val="32"/>
          <w:szCs w:val="32"/>
        </w:rPr>
        <w:t>新办公楼运行维护费</w:t>
      </w:r>
      <w:r>
        <w:rPr>
          <w:rFonts w:hint="eastAsia" w:ascii="仿宋" w:hAnsi="仿宋" w:eastAsia="仿宋" w:cs="宋体"/>
          <w:color w:val="000000"/>
          <w:kern w:val="0"/>
          <w:sz w:val="32"/>
          <w:szCs w:val="32"/>
          <w:lang w:eastAsia="zh-CN"/>
        </w:rPr>
        <w:t>”</w:t>
      </w:r>
      <w:r>
        <w:rPr>
          <w:rFonts w:hint="eastAsia" w:ascii="仿宋" w:hAnsi="仿宋" w:eastAsia="仿宋" w:cs="宋体"/>
          <w:color w:val="000000"/>
          <w:kern w:val="0"/>
          <w:sz w:val="32"/>
          <w:szCs w:val="32"/>
        </w:rPr>
        <w:t>共3个项目开展了部门评价，涉及一般公共预算支出170万元，政府性基金预算支出0万元，国有资本经营预算支出0万元，社会保险基金预算支出0万元。三是事前绩效评估开展情况。组织对2025年度0个新增重大政策和3个重大项目开展事前绩效评估，共涉及资金170万元。</w:t>
      </w:r>
    </w:p>
    <w:p w14:paraId="38FA2045">
      <w:pPr>
        <w:overflowPunct w:val="0"/>
        <w:spacing w:line="600" w:lineRule="exact"/>
        <w:ind w:firstLine="640" w:firstLineChars="200"/>
        <w:rPr>
          <w:rFonts w:hint="eastAsia" w:ascii="仿宋" w:hAnsi="仿宋" w:eastAsia="仿宋" w:cs="宋体"/>
          <w:color w:val="000000"/>
          <w:kern w:val="0"/>
          <w:sz w:val="32"/>
          <w:szCs w:val="32"/>
        </w:rPr>
      </w:pPr>
      <w:r>
        <w:rPr>
          <w:rFonts w:hint="eastAsia" w:ascii="楷体" w:hAnsi="楷体" w:eastAsia="楷体" w:cs="楷体"/>
          <w:b/>
          <w:bCs/>
          <w:color w:val="000000"/>
          <w:kern w:val="0"/>
          <w:sz w:val="32"/>
          <w:szCs w:val="32"/>
        </w:rPr>
        <w:t>（二）绩效评价结果</w:t>
      </w:r>
      <w:r>
        <w:rPr>
          <w:rFonts w:hint="eastAsia" w:ascii="楷体" w:hAnsi="楷体" w:eastAsia="楷体" w:cs="楷体"/>
          <w:color w:val="000000"/>
          <w:kern w:val="0"/>
          <w:sz w:val="32"/>
          <w:szCs w:val="32"/>
        </w:rPr>
        <w:t>。</w:t>
      </w:r>
      <w:r>
        <w:rPr>
          <w:rFonts w:hint="eastAsia" w:ascii="仿宋" w:hAnsi="仿宋" w:eastAsia="仿宋" w:cs="宋体"/>
          <w:color w:val="000000"/>
          <w:kern w:val="0"/>
          <w:sz w:val="32"/>
          <w:szCs w:val="32"/>
        </w:rPr>
        <w:t>2025年度本部门（单位）整体支出全年预算数359.10万元，执行数374.07万元，完成预算的104.17%，绩效自评得分95.41分，评价等级为“优”。</w:t>
      </w:r>
    </w:p>
    <w:p w14:paraId="7604B461">
      <w:pPr>
        <w:overflowPunct w:val="0"/>
        <w:spacing w:line="60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绩效目标完成情况：</w:t>
      </w:r>
    </w:p>
    <w:p w14:paraId="2D88EFEA">
      <w:pPr>
        <w:overflowPunct w:val="0"/>
        <w:spacing w:line="60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1.强化政治引领，筑牢政治忠诚</w:t>
      </w:r>
    </w:p>
    <w:p w14:paraId="7968B574">
      <w:pPr>
        <w:overflowPunct w:val="0"/>
        <w:spacing w:line="60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抓实政治机关建设。常态化开展理想信念教育、政治机关意识教育、对党忠诚教育，引导驻京联络处党员干部深刻领悟“两个确立”的决定性意义、做到“两个维护”。严明党的政治纪律和政治规矩，严格党内法规制度执行，抓好重大事项请示报告制度的贯彻执行。</w:t>
      </w:r>
    </w:p>
    <w:p w14:paraId="41060DFD">
      <w:pPr>
        <w:overflowPunct w:val="0"/>
        <w:spacing w:line="600" w:lineRule="exact"/>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（2）坚持不懈强化理论武装。驻京党支部坚持把高起点高标准高质量做好中央八项</w:t>
      </w:r>
      <w:r>
        <w:rPr>
          <w:rFonts w:hint="eastAsia" w:ascii="仿宋" w:hAnsi="仿宋" w:eastAsia="仿宋" w:cs="宋体"/>
          <w:color w:val="000000"/>
          <w:kern w:val="0"/>
          <w:sz w:val="32"/>
          <w:szCs w:val="32"/>
          <w:lang w:eastAsia="zh-CN"/>
        </w:rPr>
        <w:t>规定精神</w:t>
      </w:r>
      <w:r>
        <w:rPr>
          <w:rFonts w:hint="eastAsia" w:ascii="仿宋" w:hAnsi="仿宋" w:eastAsia="仿宋" w:cs="宋体"/>
          <w:color w:val="000000"/>
          <w:kern w:val="0"/>
          <w:sz w:val="32"/>
          <w:szCs w:val="32"/>
        </w:rPr>
        <w:t>学习教育</w:t>
      </w:r>
      <w:r>
        <w:rPr>
          <w:rFonts w:ascii="仿宋" w:hAnsi="仿宋" w:eastAsia="仿宋" w:cs="宋体"/>
          <w:color w:val="000000"/>
          <w:kern w:val="0"/>
          <w:sz w:val="32"/>
          <w:szCs w:val="32"/>
        </w:rPr>
        <w:t>作为一项重大政治任务，组织学习习近平总书记关于加强党的作风建设的重要论述和中央八项规定及其实施细则精神，对标对表中央八项规定及其实施细则精神，驻京联络处党支部学习累计6次，集中研讨3次，支部书记授党课1次，警示教育1次。</w:t>
      </w:r>
    </w:p>
    <w:p w14:paraId="20537DA7">
      <w:pPr>
        <w:widowControl/>
        <w:spacing w:line="600" w:lineRule="atLeast"/>
        <w:ind w:firstLine="64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（3）</w:t>
      </w:r>
      <w:r>
        <w:rPr>
          <w:rFonts w:ascii="仿宋" w:hAnsi="仿宋" w:eastAsia="仿宋" w:cs="宋体"/>
          <w:color w:val="000000"/>
          <w:kern w:val="0"/>
          <w:sz w:val="32"/>
          <w:szCs w:val="32"/>
        </w:rPr>
        <w:t>严格落实意识形态工作责任。</w:t>
      </w:r>
      <w:r>
        <w:rPr>
          <w:rFonts w:hint="eastAsia" w:ascii="仿宋" w:hAnsi="仿宋" w:eastAsia="仿宋" w:cs="宋体"/>
          <w:color w:val="000000"/>
          <w:kern w:val="0"/>
          <w:sz w:val="32"/>
          <w:szCs w:val="32"/>
        </w:rPr>
        <w:t>联络处党支部全年开展1次专题研究意识形态工作，强化意识形态分析研判2次，到北京怀化企业商会宣讲1次，集中强化学习了习近平书记系列重要讲话</w:t>
      </w:r>
      <w:r>
        <w:rPr>
          <w:rFonts w:hint="eastAsia" w:ascii="仿宋" w:hAnsi="仿宋" w:eastAsia="仿宋" w:cs="宋体"/>
          <w:color w:val="000000"/>
          <w:kern w:val="0"/>
          <w:sz w:val="32"/>
          <w:szCs w:val="32"/>
          <w:lang w:eastAsia="zh-CN"/>
        </w:rPr>
        <w:t>精神</w:t>
      </w:r>
      <w:r>
        <w:rPr>
          <w:rFonts w:hint="eastAsia" w:ascii="仿宋" w:hAnsi="仿宋" w:eastAsia="仿宋" w:cs="宋体"/>
          <w:color w:val="000000"/>
          <w:kern w:val="0"/>
          <w:sz w:val="32"/>
          <w:szCs w:val="32"/>
        </w:rPr>
        <w:t>、重要指示精神和中央、上级党委关于意识形态工作的重大决策部署，教育引导驻京联络处全体党员捍卫“两个确立”、增强“四个意识”、坚定“四个自信”、做到“两个维护”，自觉在思想上政治上行动上以习近平同志为核心的党中央保持高度一致，加强意识形态阵地建设和管理。</w:t>
      </w:r>
    </w:p>
    <w:p w14:paraId="3E0821DF">
      <w:pPr>
        <w:widowControl/>
        <w:spacing w:line="600" w:lineRule="atLeast"/>
        <w:ind w:firstLine="64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2.服务大局激活了新质能</w:t>
      </w:r>
    </w:p>
    <w:p w14:paraId="63387FE0">
      <w:pPr>
        <w:widowControl/>
        <w:spacing w:line="600" w:lineRule="atLeast"/>
        <w:ind w:firstLine="64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（1）</w:t>
      </w:r>
      <w:r>
        <w:rPr>
          <w:rFonts w:ascii="仿宋" w:hAnsi="仿宋" w:eastAsia="仿宋" w:cs="宋体"/>
          <w:color w:val="000000"/>
          <w:kern w:val="0"/>
          <w:sz w:val="32"/>
          <w:szCs w:val="32"/>
        </w:rPr>
        <w:t>招商引资工作成效显著</w:t>
      </w:r>
      <w:r>
        <w:rPr>
          <w:rFonts w:hint="eastAsia" w:ascii="仿宋" w:hAnsi="仿宋" w:eastAsia="仿宋" w:cs="宋体"/>
          <w:color w:val="000000"/>
          <w:kern w:val="0"/>
          <w:sz w:val="32"/>
          <w:szCs w:val="32"/>
          <w:lang w:eastAsia="zh-CN"/>
        </w:rPr>
        <w:t>。</w:t>
      </w:r>
      <w:r>
        <w:rPr>
          <w:rFonts w:hint="eastAsia" w:ascii="仿宋" w:hAnsi="仿宋" w:eastAsia="仿宋" w:cs="宋体"/>
          <w:color w:val="000000"/>
          <w:kern w:val="0"/>
          <w:sz w:val="32"/>
          <w:szCs w:val="32"/>
        </w:rPr>
        <w:t>一是央企合作对接成果初显。全年累计开展招商推介活动</w:t>
      </w:r>
      <w:r>
        <w:rPr>
          <w:rFonts w:ascii="仿宋" w:hAnsi="仿宋" w:eastAsia="仿宋" w:cs="宋体"/>
          <w:color w:val="000000"/>
          <w:kern w:val="0"/>
          <w:sz w:val="32"/>
          <w:szCs w:val="32"/>
        </w:rPr>
        <w:t>28场，拜访央企国企及重点企业139家，对接商协会42家，推动一批重大项目签约落地，实现招商引资规模与质量双提升。重大项目攻坚成效显著，引进亿元级以上项目14个，30%的项目实现“当年签约、当年开工”，落地效率位居全省同类专班前列。二是重大招商引资成效显著。专班组织联络了副市长带队调研考察了星河动力集团，就星河动力集团的电子元器件和火箭推动器核心配件加工项目，进行了</w:t>
      </w:r>
      <w:r>
        <w:rPr>
          <w:rFonts w:hint="eastAsia" w:ascii="仿宋" w:hAnsi="仿宋" w:eastAsia="仿宋" w:cs="宋体"/>
          <w:color w:val="000000"/>
          <w:kern w:val="0"/>
          <w:sz w:val="32"/>
          <w:szCs w:val="32"/>
        </w:rPr>
        <w:t>考察洽谈。怀化市高新区与星河动力集团进行了深度交流，正在制定招商方案。引进了华西希望集团拟投资怀化市木薯产业园，该项目总投资</w:t>
      </w:r>
      <w:r>
        <w:rPr>
          <w:rFonts w:ascii="仿宋" w:hAnsi="仿宋" w:eastAsia="仿宋" w:cs="宋体"/>
          <w:color w:val="000000"/>
          <w:kern w:val="0"/>
          <w:sz w:val="32"/>
          <w:szCs w:val="32"/>
        </w:rPr>
        <w:t>6亿元，主要涉及木薯片和木薯淀粉进口贸易、工业木薯淀粉加工生产、木薯提炼酒精、加工农膜、加工胶水、加工一次性餐具、食用木薯深加工等项目。</w:t>
      </w:r>
    </w:p>
    <w:p w14:paraId="6904C43B">
      <w:pPr>
        <w:widowControl/>
        <w:spacing w:line="600" w:lineRule="atLeast"/>
        <w:ind w:firstLine="64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（2）</w:t>
      </w:r>
      <w:r>
        <w:rPr>
          <w:rFonts w:ascii="仿宋" w:hAnsi="仿宋" w:eastAsia="仿宋" w:cs="宋体"/>
          <w:color w:val="000000"/>
          <w:kern w:val="0"/>
          <w:sz w:val="32"/>
          <w:szCs w:val="32"/>
        </w:rPr>
        <w:t>接待联络水平稳步提升</w:t>
      </w:r>
      <w:r>
        <w:rPr>
          <w:rFonts w:hint="eastAsia" w:ascii="仿宋" w:hAnsi="仿宋" w:eastAsia="仿宋" w:cs="宋体"/>
          <w:color w:val="000000"/>
          <w:kern w:val="0"/>
          <w:sz w:val="32"/>
          <w:szCs w:val="32"/>
          <w:lang w:eastAsia="zh-CN"/>
        </w:rPr>
        <w:t>。</w:t>
      </w:r>
      <w:r>
        <w:rPr>
          <w:rFonts w:hint="eastAsia" w:ascii="仿宋" w:hAnsi="仿宋" w:eastAsia="仿宋" w:cs="宋体"/>
          <w:color w:val="000000"/>
          <w:kern w:val="0"/>
          <w:sz w:val="32"/>
          <w:szCs w:val="32"/>
        </w:rPr>
        <w:t>一是主动加强怀化市各级领导在京的政务、商务、公务活动、学习培训等的服务保障，加强部委、国企、央企的联络对接工作，不断提升协调服务</w:t>
      </w:r>
      <w:bookmarkStart w:id="9" w:name="_GoBack"/>
      <w:bookmarkEnd w:id="9"/>
      <w:r>
        <w:rPr>
          <w:rFonts w:hint="eastAsia" w:ascii="仿宋" w:hAnsi="仿宋" w:eastAsia="仿宋" w:cs="宋体"/>
          <w:color w:val="000000"/>
          <w:kern w:val="0"/>
          <w:sz w:val="32"/>
          <w:szCs w:val="32"/>
        </w:rPr>
        <w:t>的能力水平。高质量完成了全国“两会”代表赴京等重要接待工作，全年做好了市级领导和市有关部门来京汇报工作的全程服务工作，为市领导、市直部门（县市区）和项目单位赴京公务人员在京重大的联络工作提供便捷周到的服务。截</w:t>
      </w:r>
      <w:r>
        <w:rPr>
          <w:rFonts w:hint="eastAsia" w:ascii="仿宋" w:hAnsi="仿宋" w:eastAsia="仿宋" w:cs="宋体"/>
          <w:color w:val="000000"/>
          <w:kern w:val="0"/>
          <w:sz w:val="32"/>
          <w:szCs w:val="32"/>
          <w:lang w:eastAsia="zh-CN"/>
        </w:rPr>
        <w:t>至</w:t>
      </w:r>
      <w:r>
        <w:rPr>
          <w:rFonts w:hint="eastAsia" w:ascii="仿宋" w:hAnsi="仿宋" w:eastAsia="仿宋" w:cs="宋体"/>
          <w:color w:val="000000"/>
          <w:kern w:val="0"/>
          <w:sz w:val="32"/>
          <w:szCs w:val="32"/>
        </w:rPr>
        <w:t>目前，全年</w:t>
      </w:r>
      <w:r>
        <w:rPr>
          <w:rFonts w:ascii="仿宋" w:hAnsi="仿宋" w:eastAsia="仿宋" w:cs="宋体"/>
          <w:color w:val="000000"/>
          <w:kern w:val="0"/>
          <w:sz w:val="32"/>
          <w:szCs w:val="32"/>
        </w:rPr>
        <w:t>2025年共接待怀化来京公务人员共81批530余人次；全年拜访国家发改委、国家卫健委、工信部、财政部、自然资源部、中宣部等国家部委20余次，同时配合县市区领导对接部委、央企领导20余次。二是联络拜访原国家领导人，常态化走访拜访怀化籍在京知名人士、曾经在怀化工作过的领导、贤达和企业家，争取支持怀化发展。将</w:t>
      </w:r>
      <w:r>
        <w:rPr>
          <w:rFonts w:hint="eastAsia" w:ascii="仿宋" w:hAnsi="仿宋" w:eastAsia="仿宋" w:cs="宋体"/>
          <w:color w:val="000000"/>
          <w:kern w:val="0"/>
          <w:sz w:val="32"/>
          <w:szCs w:val="32"/>
        </w:rPr>
        <w:t>招才引智作为重点突破方向，先后拜访对接唐智勇、丁洪、方忠、李春来等院士，助力我市电子信息、新能源、新材料、生物医药等产业发展领域深化合作。今年，在做好联络保障服务的同时，严格贯彻落实中央“八项规定”及其实施细则精神，进一步规范接待服务工作。</w:t>
      </w:r>
    </w:p>
    <w:p w14:paraId="3DEAAAA6">
      <w:pPr>
        <w:widowControl/>
        <w:spacing w:line="600" w:lineRule="atLeast"/>
        <w:ind w:firstLine="64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（3）</w:t>
      </w:r>
      <w:r>
        <w:rPr>
          <w:rFonts w:ascii="仿宋" w:hAnsi="仿宋" w:eastAsia="仿宋" w:cs="宋体"/>
          <w:color w:val="000000"/>
          <w:kern w:val="0"/>
          <w:sz w:val="32"/>
          <w:szCs w:val="32"/>
        </w:rPr>
        <w:t>强化沟通对接力度</w:t>
      </w:r>
      <w:r>
        <w:rPr>
          <w:rFonts w:hint="eastAsia" w:ascii="仿宋" w:hAnsi="仿宋" w:eastAsia="仿宋" w:cs="宋体"/>
          <w:color w:val="000000"/>
          <w:kern w:val="0"/>
          <w:sz w:val="32"/>
          <w:szCs w:val="32"/>
          <w:lang w:eastAsia="zh-CN"/>
        </w:rPr>
        <w:t>。</w:t>
      </w:r>
      <w:r>
        <w:rPr>
          <w:rFonts w:hint="eastAsia" w:ascii="仿宋" w:hAnsi="仿宋" w:eastAsia="仿宋" w:cs="宋体"/>
          <w:color w:val="000000"/>
          <w:kern w:val="0"/>
          <w:sz w:val="32"/>
          <w:szCs w:val="32"/>
        </w:rPr>
        <w:t>联络</w:t>
      </w:r>
      <w:r>
        <w:rPr>
          <w:rFonts w:ascii="仿宋" w:hAnsi="仿宋" w:eastAsia="仿宋" w:cs="宋体"/>
          <w:color w:val="000000"/>
          <w:kern w:val="0"/>
          <w:sz w:val="32"/>
          <w:szCs w:val="32"/>
        </w:rPr>
        <w:t>处协同市农业农村局参加第二十二届中国国际农产品交易会，有力扩大了怀化农产品品牌效应；配合省文化和旅游厅、市人民政府在京举办</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2025湖南文旅产业招商推介（文旅科技专场）活动</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；为</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智汇潇湘 才聚湖南</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行动北京站专场招聘活动提供协调服；为市委市政府及相关部门赴京就怀化生态产品价值实现建设、舞水灌区建设、怀桂高铁建设规划、洪江古商城评级等工作做好</w:t>
      </w:r>
      <w:r>
        <w:rPr>
          <w:rFonts w:hint="eastAsia" w:ascii="仿宋" w:hAnsi="仿宋" w:eastAsia="仿宋" w:cs="宋体"/>
          <w:color w:val="000000"/>
          <w:kern w:val="0"/>
          <w:sz w:val="32"/>
          <w:szCs w:val="32"/>
        </w:rPr>
        <w:t>联络协调服务；加强对京津冀单位、企业、商会组织等在负责区域资源和工作的协调指导。推动</w:t>
      </w:r>
      <w:r>
        <w:rPr>
          <w:rFonts w:ascii="仿宋" w:hAnsi="仿宋" w:eastAsia="仿宋" w:cs="宋体"/>
          <w:color w:val="000000"/>
          <w:kern w:val="0"/>
          <w:sz w:val="32"/>
          <w:szCs w:val="32"/>
        </w:rPr>
        <w:t>48家企业为发起人单位成立北京怀化企业商会。积极推介我市优势资源，重视发挥生态、人脉等资源优势，不断提升我市对外影响力</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紧盯中央部署和国家战略，特别瞄准中央一揽子稳经济政策，重点加强与国家发改委、财政部、商务部等部委办局的沟通渠道，广泛与在京央企、知名高校院所、重要协会组织等开展联络对接，在政策、资金、项目上争支持，进一步深化</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湘商回归</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活动，鼓励引导湘商回怀投资。陪同市委市政府主要领导带队赴京开展叩门招商12次，与</w:t>
      </w:r>
      <w:r>
        <w:rPr>
          <w:rFonts w:hint="eastAsia" w:ascii="仿宋" w:hAnsi="仿宋" w:eastAsia="仿宋" w:cs="宋体"/>
          <w:color w:val="000000"/>
          <w:kern w:val="0"/>
          <w:sz w:val="32"/>
          <w:szCs w:val="32"/>
        </w:rPr>
        <w:t>中国能源建设集团、中国五矿集团、中铁五局、信达集团等近</w:t>
      </w:r>
      <w:r>
        <w:rPr>
          <w:rFonts w:ascii="仿宋" w:hAnsi="仿宋" w:eastAsia="仿宋" w:cs="宋体"/>
          <w:color w:val="000000"/>
          <w:kern w:val="0"/>
          <w:sz w:val="32"/>
          <w:szCs w:val="32"/>
        </w:rPr>
        <w:t>90家央企国企高层进行深度洽谈，建立战略对接机制。搭建平台化合作载体，依托全球湘商大会、经贸博览会等重要活动，成功邀请68家央企省企领导参会交流，组织</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怀化—京津冀产业合作推介会</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央企入怀专题对接会</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等特色活动8场，其中在京举办的</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陆港经济与央企合作高峰论坛</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吸引150余家企业参与，扩大怀化投资影响力。</w:t>
      </w:r>
    </w:p>
    <w:p w14:paraId="45551B68">
      <w:pPr>
        <w:widowControl/>
        <w:spacing w:line="600" w:lineRule="atLeast"/>
        <w:ind w:firstLine="64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（4）</w:t>
      </w:r>
      <w:r>
        <w:rPr>
          <w:rFonts w:ascii="仿宋" w:hAnsi="仿宋" w:eastAsia="仿宋" w:cs="宋体"/>
          <w:color w:val="000000"/>
          <w:kern w:val="0"/>
          <w:sz w:val="32"/>
          <w:szCs w:val="32"/>
        </w:rPr>
        <w:t>信访维稳工作有序推进</w:t>
      </w:r>
      <w:r>
        <w:rPr>
          <w:rFonts w:hint="eastAsia" w:ascii="仿宋" w:hAnsi="仿宋" w:eastAsia="仿宋" w:cs="宋体"/>
          <w:color w:val="000000"/>
          <w:kern w:val="0"/>
          <w:sz w:val="32"/>
          <w:szCs w:val="32"/>
          <w:lang w:eastAsia="zh-CN"/>
        </w:rPr>
        <w:t>。</w:t>
      </w:r>
      <w:r>
        <w:rPr>
          <w:rFonts w:ascii="仿宋" w:hAnsi="仿宋" w:eastAsia="仿宋" w:cs="宋体"/>
          <w:color w:val="000000"/>
          <w:kern w:val="0"/>
          <w:sz w:val="32"/>
          <w:szCs w:val="32"/>
        </w:rPr>
        <w:t>2025年，</w:t>
      </w:r>
      <w:r>
        <w:rPr>
          <w:rFonts w:hint="eastAsia" w:ascii="仿宋" w:hAnsi="仿宋" w:eastAsia="仿宋" w:cs="宋体"/>
          <w:color w:val="000000"/>
          <w:kern w:val="0"/>
          <w:sz w:val="32"/>
          <w:szCs w:val="32"/>
        </w:rPr>
        <w:t>联络处</w:t>
      </w:r>
      <w:r>
        <w:rPr>
          <w:rFonts w:ascii="仿宋" w:hAnsi="仿宋" w:eastAsia="仿宋" w:cs="宋体"/>
          <w:color w:val="000000"/>
          <w:kern w:val="0"/>
          <w:sz w:val="32"/>
          <w:szCs w:val="32"/>
        </w:rPr>
        <w:t>主动配合怀化市驻京维稳办及积极配合各县区、信访部门，加强与中央、省直有关机关和北京市有关部门的联系，落实信访维稳联动工作机制，全力做好全国</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两会</w:t>
      </w:r>
      <w:r>
        <w:rPr>
          <w:rFonts w:hint="eastAsia" w:ascii="仿宋" w:hAnsi="仿宋" w:eastAsia="仿宋" w:cs="宋体"/>
          <w:color w:val="000000"/>
          <w:kern w:val="0"/>
          <w:sz w:val="32"/>
          <w:szCs w:val="32"/>
        </w:rPr>
        <w:t>”</w:t>
      </w:r>
      <w:r>
        <w:rPr>
          <w:rFonts w:ascii="仿宋" w:hAnsi="仿宋" w:eastAsia="仿宋" w:cs="宋体"/>
          <w:color w:val="000000"/>
          <w:kern w:val="0"/>
          <w:sz w:val="32"/>
          <w:szCs w:val="32"/>
        </w:rPr>
        <w:t>、北戴河暑期值班、</w:t>
      </w:r>
      <w:r>
        <w:rPr>
          <w:rFonts w:hint="eastAsia" w:ascii="仿宋" w:hAnsi="仿宋" w:eastAsia="仿宋" w:cs="宋体"/>
          <w:color w:val="000000"/>
          <w:kern w:val="0"/>
          <w:sz w:val="32"/>
          <w:szCs w:val="32"/>
        </w:rPr>
        <w:t>九三</w:t>
      </w:r>
      <w:r>
        <w:rPr>
          <w:rFonts w:ascii="仿宋" w:hAnsi="仿宋" w:eastAsia="仿宋" w:cs="宋体"/>
          <w:color w:val="000000"/>
          <w:kern w:val="0"/>
          <w:sz w:val="32"/>
          <w:szCs w:val="32"/>
        </w:rPr>
        <w:t>阅兵、二十届四中全会等重大活动特护期维稳。截</w:t>
      </w:r>
      <w:r>
        <w:rPr>
          <w:rFonts w:hint="eastAsia" w:ascii="仿宋" w:hAnsi="仿宋" w:eastAsia="仿宋" w:cs="宋体"/>
          <w:color w:val="000000"/>
          <w:kern w:val="0"/>
          <w:sz w:val="32"/>
          <w:szCs w:val="32"/>
          <w:lang w:eastAsia="zh-CN"/>
        </w:rPr>
        <w:t>至</w:t>
      </w:r>
      <w:r>
        <w:rPr>
          <w:rFonts w:ascii="仿宋" w:hAnsi="仿宋" w:eastAsia="仿宋" w:cs="宋体"/>
          <w:color w:val="000000"/>
          <w:kern w:val="0"/>
          <w:sz w:val="32"/>
          <w:szCs w:val="32"/>
        </w:rPr>
        <w:t>目前，全市共在京、环京处置涉访涉稳人员338批次12人次，同比下降14%。其中，非接待场所登记8批次12人次，同比上升50%；社会面登记30批39人次，同比下降20%；在京外围查控300批356人次，同比下降19%。国家信访局越级走访登记共218批222人次，同比下降3%</w:t>
      </w:r>
      <w:r>
        <w:rPr>
          <w:rFonts w:hint="eastAsia" w:ascii="仿宋" w:hAnsi="仿宋" w:eastAsia="仿宋" w:cs="宋体"/>
          <w:color w:val="000000"/>
          <w:kern w:val="0"/>
          <w:sz w:val="32"/>
          <w:szCs w:val="32"/>
          <w:lang w:eastAsia="zh-CN"/>
        </w:rPr>
        <w:t>，</w:t>
      </w:r>
      <w:r>
        <w:rPr>
          <w:rFonts w:ascii="仿宋" w:hAnsi="仿宋" w:eastAsia="仿宋" w:cs="宋体"/>
          <w:color w:val="000000"/>
          <w:kern w:val="0"/>
          <w:sz w:val="32"/>
          <w:szCs w:val="32"/>
        </w:rPr>
        <w:t>确保了全</w:t>
      </w:r>
      <w:r>
        <w:rPr>
          <w:rFonts w:hint="eastAsia" w:ascii="仿宋" w:hAnsi="仿宋" w:eastAsia="仿宋" w:cs="宋体"/>
          <w:color w:val="000000"/>
          <w:kern w:val="0"/>
          <w:sz w:val="32"/>
          <w:szCs w:val="32"/>
        </w:rPr>
        <w:t>市没有发生大规模进京上访和聚集，没有发生因信访问题引发的重大</w:t>
      </w:r>
      <w:r>
        <w:rPr>
          <w:rFonts w:hint="eastAsia" w:ascii="仿宋" w:hAnsi="仿宋" w:eastAsia="仿宋" w:cs="宋体"/>
          <w:color w:val="000000"/>
          <w:kern w:val="0"/>
          <w:sz w:val="32"/>
          <w:szCs w:val="32"/>
          <w:lang w:eastAsia="zh-CN"/>
        </w:rPr>
        <w:t>群</w:t>
      </w:r>
      <w:r>
        <w:rPr>
          <w:rFonts w:hint="eastAsia" w:ascii="仿宋" w:hAnsi="仿宋" w:eastAsia="仿宋" w:cs="宋体"/>
          <w:color w:val="000000"/>
          <w:kern w:val="0"/>
          <w:sz w:val="32"/>
          <w:szCs w:val="32"/>
        </w:rPr>
        <w:t>体性事件，没有发生因工作不当引发的负面炒作，全市进京上访形势总体平稳向好，维护本地形象，做好了维护首都稳定的有关工作。</w:t>
      </w:r>
    </w:p>
    <w:p w14:paraId="12B47640">
      <w:pPr>
        <w:widowControl/>
        <w:spacing w:line="600" w:lineRule="atLeast"/>
        <w:ind w:firstLine="640"/>
        <w:rPr>
          <w:rFonts w:hint="eastAsia" w:ascii="仿宋" w:hAnsi="仿宋" w:eastAsia="仿宋" w:cs="宋体"/>
          <w:color w:val="000000"/>
          <w:kern w:val="0"/>
          <w:sz w:val="32"/>
          <w:szCs w:val="32"/>
          <w:lang w:eastAsia="zh-CN"/>
        </w:rPr>
      </w:pPr>
      <w:r>
        <w:rPr>
          <w:rFonts w:hint="eastAsia" w:ascii="仿宋" w:hAnsi="仿宋" w:eastAsia="仿宋" w:cs="宋体"/>
          <w:color w:val="000000"/>
          <w:kern w:val="0"/>
          <w:sz w:val="32"/>
          <w:szCs w:val="32"/>
        </w:rPr>
        <w:t>（5）</w:t>
      </w:r>
      <w:r>
        <w:rPr>
          <w:rFonts w:ascii="仿宋" w:hAnsi="仿宋" w:eastAsia="仿宋" w:cs="宋体"/>
          <w:color w:val="000000"/>
          <w:kern w:val="0"/>
          <w:sz w:val="32"/>
          <w:szCs w:val="32"/>
        </w:rPr>
        <w:t>扎实抓好巡察审计整改工作</w:t>
      </w:r>
      <w:r>
        <w:rPr>
          <w:rFonts w:hint="eastAsia" w:ascii="仿宋" w:hAnsi="仿宋" w:eastAsia="仿宋" w:cs="宋体"/>
          <w:color w:val="000000"/>
          <w:kern w:val="0"/>
          <w:sz w:val="32"/>
          <w:szCs w:val="32"/>
          <w:lang w:eastAsia="zh-CN"/>
        </w:rPr>
        <w:t>。</w:t>
      </w:r>
    </w:p>
    <w:p w14:paraId="3A308410">
      <w:pPr>
        <w:widowControl/>
        <w:spacing w:line="600" w:lineRule="atLeast"/>
        <w:ind w:firstLine="640"/>
        <w:rPr>
          <w:rFonts w:hint="eastAsia" w:ascii="仿宋" w:hAnsi="仿宋" w:eastAsia="仿宋" w:cs="宋体"/>
          <w:color w:val="000000"/>
          <w:kern w:val="0"/>
          <w:sz w:val="32"/>
          <w:szCs w:val="32"/>
        </w:rPr>
      </w:pPr>
      <w:r>
        <w:rPr>
          <w:rFonts w:ascii="仿宋" w:hAnsi="仿宋" w:eastAsia="仿宋" w:cs="宋体"/>
          <w:color w:val="000000"/>
          <w:kern w:val="0"/>
          <w:sz w:val="32"/>
          <w:szCs w:val="32"/>
        </w:rPr>
        <w:t>发现的主要问题及原因：</w:t>
      </w:r>
      <w:r>
        <w:rPr>
          <w:rFonts w:hint="eastAsia" w:ascii="仿宋" w:hAnsi="仿宋" w:eastAsia="仿宋" w:cs="宋体"/>
          <w:color w:val="000000"/>
          <w:kern w:val="0"/>
          <w:sz w:val="32"/>
          <w:szCs w:val="32"/>
        </w:rPr>
        <w:t>一是全面预算绩效管理工作经验不太丰富，绩效管理专业人员匮乏，规范管理有盲点。二是部门预算编制的科学化、精细化有待提高。目前，预算编制要求经济科目细化到款级，但在实际编制过程中，由于有的预算支出项目具有预测性和不确定性等特点，造成实际支出与预算编制不符。</w:t>
      </w:r>
    </w:p>
    <w:p w14:paraId="1469C5D2">
      <w:pPr>
        <w:widowControl/>
        <w:spacing w:line="600" w:lineRule="atLeast"/>
        <w:ind w:firstLine="64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rPr>
        <w:t>下一步改进措施</w:t>
      </w:r>
      <w:r>
        <w:rPr>
          <w:rFonts w:hint="eastAsia" w:ascii="仿宋" w:hAnsi="仿宋" w:eastAsia="仿宋" w:cs="宋体"/>
          <w:color w:val="000000"/>
          <w:kern w:val="0"/>
          <w:sz w:val="32"/>
          <w:szCs w:val="32"/>
          <w:lang w:eastAsia="zh-CN"/>
        </w:rPr>
        <w:t>：</w:t>
      </w:r>
      <w:r>
        <w:rPr>
          <w:rFonts w:hint="eastAsia" w:ascii="仿宋" w:hAnsi="仿宋" w:eastAsia="仿宋" w:cs="宋体"/>
          <w:color w:val="000000"/>
          <w:kern w:val="0"/>
          <w:sz w:val="32"/>
          <w:szCs w:val="32"/>
          <w:lang w:val="en-US" w:eastAsia="zh-CN"/>
        </w:rPr>
        <w:t>一是</w:t>
      </w:r>
      <w:r>
        <w:rPr>
          <w:rFonts w:hint="eastAsia" w:ascii="仿宋" w:hAnsi="仿宋" w:eastAsia="仿宋" w:cs="宋体"/>
          <w:color w:val="000000"/>
          <w:kern w:val="0"/>
          <w:sz w:val="32"/>
          <w:szCs w:val="32"/>
        </w:rPr>
        <w:t>更加全面、细致地制定绩效目标，进一步严肃财经纪律，在实施过程中遵循“实事求是、尊重客观、力求精准”的原则，努力使项目资金落到实处。</w:t>
      </w:r>
      <w:r>
        <w:rPr>
          <w:rFonts w:hint="eastAsia" w:ascii="仿宋" w:hAnsi="仿宋" w:eastAsia="仿宋" w:cs="宋体"/>
          <w:color w:val="000000"/>
          <w:kern w:val="0"/>
          <w:sz w:val="32"/>
          <w:szCs w:val="32"/>
          <w:lang w:val="en-US" w:eastAsia="zh-CN"/>
        </w:rPr>
        <w:t>二是</w:t>
      </w:r>
      <w:r>
        <w:rPr>
          <w:rFonts w:hint="eastAsia" w:ascii="仿宋" w:hAnsi="仿宋" w:eastAsia="仿宋" w:cs="宋体"/>
          <w:color w:val="000000"/>
          <w:kern w:val="0"/>
          <w:sz w:val="32"/>
          <w:szCs w:val="32"/>
        </w:rPr>
        <w:t>落实内控制度，严肃执行“三重一大”的原则，深入开展政府购买社会化服务，切实引进社会化竞争机制，引进相关专业人才，保障项目在公开、公平、公正的监督环境中实施，有效节约项目资金，把有限的资金用在刀刃上。</w:t>
      </w:r>
      <w:r>
        <w:rPr>
          <w:rFonts w:hint="eastAsia" w:ascii="仿宋" w:hAnsi="仿宋" w:eastAsia="仿宋" w:cs="宋体"/>
          <w:color w:val="000000"/>
          <w:kern w:val="0"/>
          <w:sz w:val="32"/>
          <w:szCs w:val="32"/>
          <w:lang w:val="en-US" w:eastAsia="zh-CN"/>
        </w:rPr>
        <w:t>三是</w:t>
      </w:r>
      <w:r>
        <w:rPr>
          <w:rFonts w:hint="eastAsia" w:ascii="仿宋" w:hAnsi="仿宋" w:eastAsia="仿宋" w:cs="宋体"/>
          <w:color w:val="000000"/>
          <w:kern w:val="0"/>
          <w:sz w:val="32"/>
          <w:szCs w:val="32"/>
        </w:rPr>
        <w:t>加强对财政资金的拨付和使用管理，加强对财务干部职工的业务培训，强化预算管理意识，严格执行预算，做到按项目核算，确保专款专用。</w:t>
      </w:r>
    </w:p>
    <w:p w14:paraId="0BE65E2C">
      <w:pPr>
        <w:widowControl/>
        <w:spacing w:line="600" w:lineRule="atLeast"/>
        <w:ind w:firstLine="640"/>
        <w:rPr>
          <w:rFonts w:hint="eastAsia" w:ascii="仿宋" w:hAnsi="仿宋" w:eastAsia="仿宋" w:cs="宋体"/>
          <w:color w:val="000000"/>
          <w:kern w:val="0"/>
          <w:sz w:val="32"/>
          <w:szCs w:val="32"/>
          <w:lang w:val="en-US" w:eastAsia="zh-CN"/>
        </w:rPr>
      </w:pPr>
      <w:r>
        <w:rPr>
          <w:rFonts w:hint="eastAsia" w:ascii="楷体" w:hAnsi="楷体" w:eastAsia="楷体" w:cs="楷体"/>
          <w:b/>
          <w:bCs/>
          <w:color w:val="000000"/>
          <w:kern w:val="0"/>
          <w:sz w:val="32"/>
          <w:szCs w:val="32"/>
          <w:lang w:val="en-US" w:eastAsia="zh-CN"/>
        </w:rPr>
        <w:t>（三）评价结果应用情况。</w:t>
      </w:r>
      <w:r>
        <w:rPr>
          <w:rFonts w:hint="eastAsia" w:ascii="仿宋" w:hAnsi="仿宋" w:eastAsia="仿宋" w:cs="宋体"/>
          <w:color w:val="000000"/>
          <w:kern w:val="0"/>
          <w:sz w:val="32"/>
          <w:szCs w:val="32"/>
        </w:rPr>
        <w:t>我单位将针对绩效自评中发现的问题，加强与相关业务部门的沟通协调，采取切实可行的整改举措并落实到位，进一步重视绩效考核激励作用，扎实做好绩效评价工作，提高财政资金的使用效益。</w:t>
      </w:r>
    </w:p>
    <w:p w14:paraId="0BBAAF95">
      <w:pPr>
        <w:pStyle w:val="13"/>
        <w:overflowPunct w:val="0"/>
        <w:autoSpaceDE/>
        <w:autoSpaceDN/>
        <w:spacing w:line="600" w:lineRule="exact"/>
        <w:ind w:firstLine="640" w:firstLineChars="200"/>
        <w:jc w:val="both"/>
        <w:rPr>
          <w:rFonts w:hint="eastAsia" w:ascii="仿宋" w:hAnsi="仿宋" w:eastAsia="仿宋" w:cs="宋体"/>
          <w:color w:val="000000"/>
          <w:kern w:val="0"/>
          <w:sz w:val="32"/>
          <w:szCs w:val="32"/>
          <w:lang w:val="en-US" w:eastAsia="zh-CN" w:bidi="ar-SA"/>
        </w:rPr>
      </w:pPr>
    </w:p>
    <w:p w14:paraId="43EA5B44">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p>
    <w:p w14:paraId="19A2ECE3">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p>
    <w:p w14:paraId="6B88678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p>
    <w:p w14:paraId="6701E0A7">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p>
    <w:p w14:paraId="7EEC53FE">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p>
    <w:p w14:paraId="1D47E76F">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p>
    <w:p w14:paraId="3DE08E15">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p>
    <w:p w14:paraId="1E13A39B">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p>
    <w:p w14:paraId="0A41357E">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p>
    <w:p w14:paraId="60BF3568">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p>
    <w:p w14:paraId="58516B24">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p>
    <w:p w14:paraId="1FA649BF">
      <w:pPr>
        <w:pStyle w:val="13"/>
        <w:spacing w:line="360" w:lineRule="auto"/>
        <w:jc w:val="both"/>
        <w:rPr>
          <w:rFonts w:ascii="Times New Roman" w:hAnsi="Times New Roman" w:eastAsia="方正小标宋_GBK" w:cs="Times New Roman"/>
          <w:sz w:val="52"/>
          <w:szCs w:val="52"/>
        </w:rPr>
      </w:pPr>
    </w:p>
    <w:p w14:paraId="3F946BF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BFE758A">
      <w:pPr>
        <w:widowControl/>
        <w:jc w:val="left"/>
        <w:rPr>
          <w:rFonts w:ascii="Times New Roman" w:hAnsi="Times New Roman" w:cs="Times New Roman"/>
          <w:color w:val="000000"/>
          <w:kern w:val="0"/>
          <w:sz w:val="32"/>
          <w:szCs w:val="32"/>
        </w:rPr>
      </w:pPr>
    </w:p>
    <w:p w14:paraId="6BA04355">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一、财政拨款收入：指财政当年拨付的资金。包括一般公共预算财政拨款和政府性基金财政拨款。</w:t>
      </w:r>
    </w:p>
    <w:p w14:paraId="7E43F283">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二、上级补助收入：指事业单位从主管部门和上级单位取得的非财政补助收入。</w:t>
      </w:r>
    </w:p>
    <w:p w14:paraId="0FBB7551">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三、事业收入：指事业单位开展专业业务活动及辅助活动所取得的收入。</w:t>
      </w:r>
    </w:p>
    <w:p w14:paraId="2590634B">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四、经营收入：指事业单位在专业业务活动及其辅助活动之外开展非独立核算经营活动取得的收入。</w:t>
      </w:r>
    </w:p>
    <w:p w14:paraId="2F3DF6EF">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五、附属单位上缴收入：指事业单位附属独立核算单位按照有关规定上缴的收入。</w:t>
      </w:r>
    </w:p>
    <w:p w14:paraId="7736FB9F">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六、其他收入：指除上述“财政拨款收入”、“事业收入”、“经营收入”等以外的收入。</w:t>
      </w:r>
    </w:p>
    <w:p w14:paraId="136009EF">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七、用事业基金弥补收支差额：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6669E35F">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八、年初结转和结余：指以前年度尚未完成、结转到本年按有关规定继续使用的资金。</w:t>
      </w:r>
    </w:p>
    <w:p w14:paraId="0744B3A5">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九、结余分配：指事业单位按规定从非财政补助结余中分配的事业基金和职工福利基金等。</w:t>
      </w:r>
    </w:p>
    <w:p w14:paraId="71AC6547">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十、年末结转和结余：指本年度或以前年度预算安排、因客观条件发生变化无法按原计划实施，需要延迟到以后年度按有关规定继续使用的资金。</w:t>
      </w:r>
    </w:p>
    <w:p w14:paraId="7DB658AA">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十一、基本支出：指为保障机构正常运转、完成日常工作任务而发生的人员支出和公用支出。</w:t>
      </w:r>
    </w:p>
    <w:p w14:paraId="577465F8">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十二、项目支出：指在基本支出之外为完成特定行政任务和事业发展目标所发生的支出。</w:t>
      </w:r>
    </w:p>
    <w:p w14:paraId="2778D0CF">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十三、经营支出：指事业单位在专业业务活动及其辅助活动之外开展非独立核算经营活动所发生的支出。</w:t>
      </w:r>
    </w:p>
    <w:p w14:paraId="60EF5663">
      <w:pPr>
        <w:spacing w:after="160" w:line="278" w:lineRule="auto"/>
        <w:ind w:firstLine="640"/>
        <w:rPr>
          <w:rFonts w:hint="eastAsia" w:ascii="宋体" w:hAnsi="宋体" w:eastAsia="宋体" w:cs="宋体"/>
          <w:kern w:val="0"/>
          <w:sz w:val="24"/>
          <w:szCs w:val="24"/>
        </w:rPr>
      </w:pPr>
      <w:r>
        <w:rPr>
          <w:rFonts w:hint="eastAsia" w:ascii="仿宋" w:hAnsi="仿宋" w:eastAsia="仿宋" w:cs="宋体"/>
          <w:color w:val="000000"/>
          <w:kern w:val="0"/>
          <w:sz w:val="32"/>
          <w:szCs w:val="32"/>
        </w:rPr>
        <w:t>十四、“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p>
    <w:p w14:paraId="1D37FCDE">
      <w:pPr>
        <w:pStyle w:val="13"/>
        <w:spacing w:line="600" w:lineRule="exact"/>
        <w:ind w:firstLine="640" w:firstLineChars="200"/>
        <w:rPr>
          <w:rFonts w:ascii="Times New Roman" w:hAnsi="Times New Roman" w:eastAsia="楷体_GB2312" w:cs="Times New Roman"/>
          <w:b/>
          <w:bCs/>
          <w:i/>
          <w:color w:val="auto"/>
          <w:sz w:val="32"/>
          <w:szCs w:val="32"/>
        </w:rPr>
      </w:pPr>
      <w:r>
        <w:rPr>
          <w:rFonts w:hint="eastAsia" w:ascii="仿宋" w:hAnsi="仿宋" w:eastAsia="仿宋" w:cs="宋体"/>
          <w:sz w:val="32"/>
          <w:szCs w:val="32"/>
        </w:rPr>
        <w:t>十五、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14:paraId="07EC8015">
      <w:pPr>
        <w:pStyle w:val="13"/>
        <w:jc w:val="center"/>
        <w:rPr>
          <w:rFonts w:ascii="Times New Roman" w:hAnsi="Times New Roman" w:cs="Times New Roman"/>
          <w:sz w:val="72"/>
          <w:szCs w:val="72"/>
        </w:rPr>
      </w:pPr>
    </w:p>
    <w:p w14:paraId="16FA5849">
      <w:pPr>
        <w:pStyle w:val="13"/>
        <w:jc w:val="center"/>
        <w:rPr>
          <w:rFonts w:ascii="Times New Roman" w:hAnsi="Times New Roman" w:cs="Times New Roman"/>
          <w:sz w:val="72"/>
          <w:szCs w:val="72"/>
        </w:rPr>
      </w:pPr>
    </w:p>
    <w:p w14:paraId="1D1993E8">
      <w:pPr>
        <w:pStyle w:val="13"/>
        <w:jc w:val="center"/>
        <w:rPr>
          <w:rFonts w:ascii="Times New Roman" w:hAnsi="Times New Roman" w:cs="Times New Roman"/>
          <w:sz w:val="72"/>
          <w:szCs w:val="72"/>
        </w:rPr>
      </w:pPr>
    </w:p>
    <w:p w14:paraId="794BE546">
      <w:pPr>
        <w:pStyle w:val="13"/>
        <w:jc w:val="center"/>
        <w:rPr>
          <w:rFonts w:ascii="Times New Roman" w:hAnsi="Times New Roman" w:cs="Times New Roman"/>
          <w:sz w:val="72"/>
          <w:szCs w:val="72"/>
        </w:rPr>
      </w:pPr>
    </w:p>
    <w:p w14:paraId="6FA79EE5">
      <w:pPr>
        <w:pStyle w:val="13"/>
        <w:jc w:val="center"/>
        <w:rPr>
          <w:rFonts w:ascii="Times New Roman" w:hAnsi="Times New Roman" w:cs="Times New Roman"/>
          <w:sz w:val="72"/>
          <w:szCs w:val="72"/>
        </w:rPr>
      </w:pPr>
    </w:p>
    <w:p w14:paraId="0C87A9C3">
      <w:pPr>
        <w:pStyle w:val="13"/>
        <w:jc w:val="center"/>
        <w:rPr>
          <w:rFonts w:ascii="Times New Roman" w:hAnsi="Times New Roman" w:cs="Times New Roman"/>
          <w:sz w:val="72"/>
          <w:szCs w:val="72"/>
        </w:rPr>
      </w:pPr>
    </w:p>
    <w:p w14:paraId="4B8846FA">
      <w:pPr>
        <w:pStyle w:val="13"/>
        <w:jc w:val="center"/>
        <w:rPr>
          <w:rFonts w:ascii="Times New Roman" w:hAnsi="Times New Roman" w:cs="Times New Roman"/>
          <w:sz w:val="72"/>
          <w:szCs w:val="72"/>
        </w:rPr>
      </w:pPr>
    </w:p>
    <w:p w14:paraId="4617B3F2">
      <w:pPr>
        <w:pStyle w:val="13"/>
        <w:jc w:val="both"/>
        <w:rPr>
          <w:rFonts w:ascii="Times New Roman" w:hAnsi="Times New Roman" w:cs="Times New Roman"/>
          <w:sz w:val="72"/>
          <w:szCs w:val="72"/>
        </w:rPr>
      </w:pPr>
    </w:p>
    <w:p w14:paraId="1B641486">
      <w:pPr>
        <w:pStyle w:val="13"/>
        <w:jc w:val="both"/>
        <w:rPr>
          <w:rFonts w:ascii="Times New Roman" w:hAnsi="Times New Roman" w:cs="Times New Roman"/>
          <w:sz w:val="72"/>
          <w:szCs w:val="72"/>
        </w:rPr>
      </w:pPr>
    </w:p>
    <w:p w14:paraId="157A8431">
      <w:pPr>
        <w:pStyle w:val="13"/>
        <w:jc w:val="both"/>
        <w:rPr>
          <w:rFonts w:ascii="Times New Roman" w:hAnsi="Times New Roman" w:cs="Times New Roman"/>
          <w:sz w:val="72"/>
          <w:szCs w:val="72"/>
        </w:rPr>
      </w:pPr>
    </w:p>
    <w:p w14:paraId="6BEC96F6">
      <w:pPr>
        <w:pStyle w:val="13"/>
        <w:jc w:val="both"/>
        <w:rPr>
          <w:rFonts w:ascii="Times New Roman" w:hAnsi="Times New Roman" w:cs="Times New Roman"/>
          <w:sz w:val="72"/>
          <w:szCs w:val="72"/>
        </w:rPr>
      </w:pPr>
    </w:p>
    <w:p w14:paraId="165F1D9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9FDDE33">
      <w:pPr>
        <w:rPr>
          <w:rFonts w:ascii="Times New Roman" w:hAnsi="Times New Roman" w:cs="Times New Roman"/>
          <w:sz w:val="72"/>
          <w:szCs w:val="72"/>
        </w:rPr>
      </w:pPr>
    </w:p>
    <w:p w14:paraId="7B422FE7">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14:paraId="3534A7E8">
      <w:pPr>
        <w:pStyle w:val="13"/>
        <w:ind w:firstLine="1280" w:firstLineChars="400"/>
        <w:rPr>
          <w:rFonts w:ascii="Times New Roman" w:hAnsi="Times New Roman" w:eastAsia="仿宋_GB2312" w:cs="Times New Roman"/>
          <w:sz w:val="32"/>
          <w:szCs w:val="32"/>
        </w:rPr>
      </w:pPr>
    </w:p>
    <w:p w14:paraId="401A33D7">
      <w:pPr>
        <w:pStyle w:val="13"/>
        <w:spacing w:line="600" w:lineRule="exact"/>
        <w:ind w:firstLine="640" w:firstLineChars="200"/>
        <w:rPr>
          <w:rFonts w:ascii="Times New Roman" w:hAnsi="Times New Roman" w:eastAsia="仿宋_GB2312" w:cs="Times New Roman"/>
          <w:sz w:val="32"/>
          <w:szCs w:val="32"/>
        </w:rPr>
      </w:pPr>
    </w:p>
    <w:p w14:paraId="4843A0A9">
      <w:pPr>
        <w:pStyle w:val="13"/>
        <w:jc w:val="center"/>
        <w:rPr>
          <w:rFonts w:ascii="Times New Roman" w:hAnsi="Times New Roman" w:cs="Times New Roman"/>
          <w:sz w:val="72"/>
          <w:szCs w:val="72"/>
        </w:rPr>
      </w:pPr>
    </w:p>
    <w:p w14:paraId="65776043">
      <w:pPr>
        <w:pStyle w:val="13"/>
        <w:jc w:val="center"/>
        <w:rPr>
          <w:rFonts w:ascii="Times New Roman" w:hAnsi="Times New Roman" w:cs="Times New Roman"/>
          <w:sz w:val="72"/>
          <w:szCs w:val="72"/>
        </w:rPr>
      </w:pPr>
    </w:p>
    <w:p w14:paraId="2FB4E79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roman"/>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roman"/>
    <w:pitch w:val="default"/>
    <w:sig w:usb0="00000001" w:usb1="080E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FB6F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3278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8BB84">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4FA56">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407074">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2407074">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F40CEF"/>
    <w:multiLevelType w:val="singleLevel"/>
    <w:tmpl w:val="97F40CEF"/>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06672"/>
    <w:rsid w:val="000073B8"/>
    <w:rsid w:val="0001099F"/>
    <w:rsid w:val="000150A5"/>
    <w:rsid w:val="0002229B"/>
    <w:rsid w:val="000272C3"/>
    <w:rsid w:val="000273BD"/>
    <w:rsid w:val="000326A1"/>
    <w:rsid w:val="0003620C"/>
    <w:rsid w:val="00040CBC"/>
    <w:rsid w:val="000415B7"/>
    <w:rsid w:val="00041E3F"/>
    <w:rsid w:val="0004283C"/>
    <w:rsid w:val="00043C0A"/>
    <w:rsid w:val="000450A3"/>
    <w:rsid w:val="00055DAA"/>
    <w:rsid w:val="00055F4B"/>
    <w:rsid w:val="000574B6"/>
    <w:rsid w:val="00061F7B"/>
    <w:rsid w:val="000658A3"/>
    <w:rsid w:val="00074155"/>
    <w:rsid w:val="000741B4"/>
    <w:rsid w:val="00080785"/>
    <w:rsid w:val="00082EE8"/>
    <w:rsid w:val="00090362"/>
    <w:rsid w:val="00094078"/>
    <w:rsid w:val="00094B21"/>
    <w:rsid w:val="000A3F69"/>
    <w:rsid w:val="000B20F1"/>
    <w:rsid w:val="000C5742"/>
    <w:rsid w:val="000C5833"/>
    <w:rsid w:val="000E7E7F"/>
    <w:rsid w:val="000F6341"/>
    <w:rsid w:val="000F7721"/>
    <w:rsid w:val="00100F0E"/>
    <w:rsid w:val="00103957"/>
    <w:rsid w:val="00104EEC"/>
    <w:rsid w:val="00106026"/>
    <w:rsid w:val="0012690A"/>
    <w:rsid w:val="001304CC"/>
    <w:rsid w:val="0013069C"/>
    <w:rsid w:val="00142DB0"/>
    <w:rsid w:val="00144F30"/>
    <w:rsid w:val="00152C6D"/>
    <w:rsid w:val="00162D39"/>
    <w:rsid w:val="00167089"/>
    <w:rsid w:val="001678BD"/>
    <w:rsid w:val="00172E34"/>
    <w:rsid w:val="00180E23"/>
    <w:rsid w:val="00182373"/>
    <w:rsid w:val="00182E1B"/>
    <w:rsid w:val="0019111A"/>
    <w:rsid w:val="001A2E48"/>
    <w:rsid w:val="001A2F38"/>
    <w:rsid w:val="001A3477"/>
    <w:rsid w:val="001A67DB"/>
    <w:rsid w:val="001B19E6"/>
    <w:rsid w:val="001B3D7C"/>
    <w:rsid w:val="001B67D1"/>
    <w:rsid w:val="001C3C29"/>
    <w:rsid w:val="001D2B79"/>
    <w:rsid w:val="001D51E5"/>
    <w:rsid w:val="001E080D"/>
    <w:rsid w:val="001E53D0"/>
    <w:rsid w:val="001F0C3B"/>
    <w:rsid w:val="001F418A"/>
    <w:rsid w:val="001F515F"/>
    <w:rsid w:val="001F5DA1"/>
    <w:rsid w:val="00202A1A"/>
    <w:rsid w:val="00202C82"/>
    <w:rsid w:val="00202DC2"/>
    <w:rsid w:val="00214427"/>
    <w:rsid w:val="0021572A"/>
    <w:rsid w:val="00220689"/>
    <w:rsid w:val="00221AFD"/>
    <w:rsid w:val="002220CA"/>
    <w:rsid w:val="00226CB7"/>
    <w:rsid w:val="00233F51"/>
    <w:rsid w:val="002374A1"/>
    <w:rsid w:val="0024305D"/>
    <w:rsid w:val="00252450"/>
    <w:rsid w:val="002600CB"/>
    <w:rsid w:val="00264552"/>
    <w:rsid w:val="00264EF9"/>
    <w:rsid w:val="00265724"/>
    <w:rsid w:val="0027426B"/>
    <w:rsid w:val="002742FC"/>
    <w:rsid w:val="0028268C"/>
    <w:rsid w:val="00282C11"/>
    <w:rsid w:val="0029005C"/>
    <w:rsid w:val="00294A1E"/>
    <w:rsid w:val="00296C5B"/>
    <w:rsid w:val="00296D60"/>
    <w:rsid w:val="002A169C"/>
    <w:rsid w:val="002A4F53"/>
    <w:rsid w:val="002B11C4"/>
    <w:rsid w:val="002E0A30"/>
    <w:rsid w:val="002E3C0E"/>
    <w:rsid w:val="0030077D"/>
    <w:rsid w:val="0030117D"/>
    <w:rsid w:val="00302DDC"/>
    <w:rsid w:val="00303826"/>
    <w:rsid w:val="003068AE"/>
    <w:rsid w:val="003106E2"/>
    <w:rsid w:val="003130C4"/>
    <w:rsid w:val="00313B6E"/>
    <w:rsid w:val="003140F1"/>
    <w:rsid w:val="00315BDF"/>
    <w:rsid w:val="00316C4B"/>
    <w:rsid w:val="003178C0"/>
    <w:rsid w:val="0032192B"/>
    <w:rsid w:val="0032620B"/>
    <w:rsid w:val="003278B9"/>
    <w:rsid w:val="0033283E"/>
    <w:rsid w:val="00343510"/>
    <w:rsid w:val="0034368B"/>
    <w:rsid w:val="003479BD"/>
    <w:rsid w:val="00351FB7"/>
    <w:rsid w:val="00355FAD"/>
    <w:rsid w:val="0037197D"/>
    <w:rsid w:val="003759D5"/>
    <w:rsid w:val="003768D5"/>
    <w:rsid w:val="00376A3F"/>
    <w:rsid w:val="003869CB"/>
    <w:rsid w:val="003924F0"/>
    <w:rsid w:val="003925A0"/>
    <w:rsid w:val="003926B9"/>
    <w:rsid w:val="003B0FAF"/>
    <w:rsid w:val="003B114D"/>
    <w:rsid w:val="003B2D0F"/>
    <w:rsid w:val="003B6EB3"/>
    <w:rsid w:val="003C2E17"/>
    <w:rsid w:val="003C47E6"/>
    <w:rsid w:val="003C4FC2"/>
    <w:rsid w:val="003D0EEC"/>
    <w:rsid w:val="003D3BED"/>
    <w:rsid w:val="003D5672"/>
    <w:rsid w:val="003F2365"/>
    <w:rsid w:val="00401F9A"/>
    <w:rsid w:val="00402620"/>
    <w:rsid w:val="00414C5E"/>
    <w:rsid w:val="00416A56"/>
    <w:rsid w:val="00416E61"/>
    <w:rsid w:val="0042790C"/>
    <w:rsid w:val="00436284"/>
    <w:rsid w:val="00436BCE"/>
    <w:rsid w:val="004408FA"/>
    <w:rsid w:val="00441FCA"/>
    <w:rsid w:val="00442013"/>
    <w:rsid w:val="00445040"/>
    <w:rsid w:val="0044770F"/>
    <w:rsid w:val="004506F9"/>
    <w:rsid w:val="00462315"/>
    <w:rsid w:val="00466118"/>
    <w:rsid w:val="004674F9"/>
    <w:rsid w:val="004709C5"/>
    <w:rsid w:val="00470FE3"/>
    <w:rsid w:val="004717A2"/>
    <w:rsid w:val="00473DF3"/>
    <w:rsid w:val="00477BD6"/>
    <w:rsid w:val="00487911"/>
    <w:rsid w:val="00490F48"/>
    <w:rsid w:val="00491741"/>
    <w:rsid w:val="004968C8"/>
    <w:rsid w:val="004A4DEA"/>
    <w:rsid w:val="004A5411"/>
    <w:rsid w:val="004B0CEE"/>
    <w:rsid w:val="004B4FBE"/>
    <w:rsid w:val="004C0B71"/>
    <w:rsid w:val="004C0E58"/>
    <w:rsid w:val="004C2A0A"/>
    <w:rsid w:val="004C70FE"/>
    <w:rsid w:val="004D037C"/>
    <w:rsid w:val="004D7F8F"/>
    <w:rsid w:val="004E0A34"/>
    <w:rsid w:val="004E57F4"/>
    <w:rsid w:val="004E7CD8"/>
    <w:rsid w:val="004F16F9"/>
    <w:rsid w:val="004F5EFB"/>
    <w:rsid w:val="00500E5F"/>
    <w:rsid w:val="005029B8"/>
    <w:rsid w:val="00502D02"/>
    <w:rsid w:val="005122EF"/>
    <w:rsid w:val="00513EA5"/>
    <w:rsid w:val="0051441A"/>
    <w:rsid w:val="00517C33"/>
    <w:rsid w:val="00517D5F"/>
    <w:rsid w:val="00523644"/>
    <w:rsid w:val="00530BC2"/>
    <w:rsid w:val="00531F33"/>
    <w:rsid w:val="00534782"/>
    <w:rsid w:val="00537773"/>
    <w:rsid w:val="0054069E"/>
    <w:rsid w:val="0054442A"/>
    <w:rsid w:val="00544866"/>
    <w:rsid w:val="00545CF4"/>
    <w:rsid w:val="00551C28"/>
    <w:rsid w:val="0055262C"/>
    <w:rsid w:val="00552A3D"/>
    <w:rsid w:val="00557739"/>
    <w:rsid w:val="00560645"/>
    <w:rsid w:val="00563731"/>
    <w:rsid w:val="00567430"/>
    <w:rsid w:val="00567529"/>
    <w:rsid w:val="00571F19"/>
    <w:rsid w:val="00572BDE"/>
    <w:rsid w:val="00574CC8"/>
    <w:rsid w:val="005767CC"/>
    <w:rsid w:val="00576E2D"/>
    <w:rsid w:val="0058458C"/>
    <w:rsid w:val="00590D9F"/>
    <w:rsid w:val="005914AC"/>
    <w:rsid w:val="00595D26"/>
    <w:rsid w:val="005A2D5C"/>
    <w:rsid w:val="005A4AEF"/>
    <w:rsid w:val="005A74E6"/>
    <w:rsid w:val="005B2B41"/>
    <w:rsid w:val="005B404E"/>
    <w:rsid w:val="005B6342"/>
    <w:rsid w:val="005C05E7"/>
    <w:rsid w:val="005D125A"/>
    <w:rsid w:val="005D4A43"/>
    <w:rsid w:val="005D4D55"/>
    <w:rsid w:val="005E0E6C"/>
    <w:rsid w:val="005E2CFB"/>
    <w:rsid w:val="005E33F6"/>
    <w:rsid w:val="005E48C2"/>
    <w:rsid w:val="005E5B03"/>
    <w:rsid w:val="005F2103"/>
    <w:rsid w:val="005F2C71"/>
    <w:rsid w:val="005F3D1C"/>
    <w:rsid w:val="005F4189"/>
    <w:rsid w:val="00602A81"/>
    <w:rsid w:val="00602EA2"/>
    <w:rsid w:val="00604BFC"/>
    <w:rsid w:val="0061334C"/>
    <w:rsid w:val="006171EE"/>
    <w:rsid w:val="00622016"/>
    <w:rsid w:val="0062378F"/>
    <w:rsid w:val="00627E6E"/>
    <w:rsid w:val="006304D6"/>
    <w:rsid w:val="0063515A"/>
    <w:rsid w:val="00641842"/>
    <w:rsid w:val="00651EEC"/>
    <w:rsid w:val="006577C7"/>
    <w:rsid w:val="006606DB"/>
    <w:rsid w:val="00660BD2"/>
    <w:rsid w:val="00671CB3"/>
    <w:rsid w:val="0067272E"/>
    <w:rsid w:val="00675BA8"/>
    <w:rsid w:val="006822F8"/>
    <w:rsid w:val="00686673"/>
    <w:rsid w:val="006873B4"/>
    <w:rsid w:val="00691E8C"/>
    <w:rsid w:val="006947A4"/>
    <w:rsid w:val="006A199A"/>
    <w:rsid w:val="006A22C4"/>
    <w:rsid w:val="006A351B"/>
    <w:rsid w:val="006B0422"/>
    <w:rsid w:val="006B58DC"/>
    <w:rsid w:val="006C13A1"/>
    <w:rsid w:val="006C1446"/>
    <w:rsid w:val="006C1B53"/>
    <w:rsid w:val="006D2851"/>
    <w:rsid w:val="006D7730"/>
    <w:rsid w:val="006E5284"/>
    <w:rsid w:val="006E5CE5"/>
    <w:rsid w:val="006F2893"/>
    <w:rsid w:val="006F2FDE"/>
    <w:rsid w:val="006F3EB5"/>
    <w:rsid w:val="006F56C8"/>
    <w:rsid w:val="00702E34"/>
    <w:rsid w:val="00704395"/>
    <w:rsid w:val="00705F1B"/>
    <w:rsid w:val="00710FE7"/>
    <w:rsid w:val="00712000"/>
    <w:rsid w:val="00712EB2"/>
    <w:rsid w:val="00716BBB"/>
    <w:rsid w:val="00716CCF"/>
    <w:rsid w:val="0071724A"/>
    <w:rsid w:val="00717621"/>
    <w:rsid w:val="00717A1A"/>
    <w:rsid w:val="00720FF1"/>
    <w:rsid w:val="00721782"/>
    <w:rsid w:val="00727A53"/>
    <w:rsid w:val="00736AD0"/>
    <w:rsid w:val="007502DE"/>
    <w:rsid w:val="00775663"/>
    <w:rsid w:val="00784BE8"/>
    <w:rsid w:val="00786657"/>
    <w:rsid w:val="00787B42"/>
    <w:rsid w:val="00791B30"/>
    <w:rsid w:val="00792BFB"/>
    <w:rsid w:val="007B3D32"/>
    <w:rsid w:val="007C4539"/>
    <w:rsid w:val="007D09AC"/>
    <w:rsid w:val="007E6596"/>
    <w:rsid w:val="007F3657"/>
    <w:rsid w:val="00802B54"/>
    <w:rsid w:val="00810F0C"/>
    <w:rsid w:val="00811AA2"/>
    <w:rsid w:val="00812ED5"/>
    <w:rsid w:val="0081526B"/>
    <w:rsid w:val="008206AA"/>
    <w:rsid w:val="008277D9"/>
    <w:rsid w:val="00833FC8"/>
    <w:rsid w:val="0084478C"/>
    <w:rsid w:val="008450E5"/>
    <w:rsid w:val="00846AC9"/>
    <w:rsid w:val="00862431"/>
    <w:rsid w:val="0086638C"/>
    <w:rsid w:val="008764FA"/>
    <w:rsid w:val="008815CF"/>
    <w:rsid w:val="0089426B"/>
    <w:rsid w:val="008A1079"/>
    <w:rsid w:val="008A2491"/>
    <w:rsid w:val="008A3659"/>
    <w:rsid w:val="008A3E8D"/>
    <w:rsid w:val="008A4483"/>
    <w:rsid w:val="008A4699"/>
    <w:rsid w:val="008A5055"/>
    <w:rsid w:val="008B0EE1"/>
    <w:rsid w:val="008B602A"/>
    <w:rsid w:val="008B7318"/>
    <w:rsid w:val="008D17F4"/>
    <w:rsid w:val="008D29C0"/>
    <w:rsid w:val="008D442D"/>
    <w:rsid w:val="008D7363"/>
    <w:rsid w:val="008E32E2"/>
    <w:rsid w:val="008F19F5"/>
    <w:rsid w:val="008F1BA6"/>
    <w:rsid w:val="00916C4C"/>
    <w:rsid w:val="00920C09"/>
    <w:rsid w:val="009237C4"/>
    <w:rsid w:val="0093447A"/>
    <w:rsid w:val="00940485"/>
    <w:rsid w:val="00943D33"/>
    <w:rsid w:val="00944C48"/>
    <w:rsid w:val="00946A4D"/>
    <w:rsid w:val="00950252"/>
    <w:rsid w:val="0095076E"/>
    <w:rsid w:val="00953FCF"/>
    <w:rsid w:val="009578C1"/>
    <w:rsid w:val="00966CB8"/>
    <w:rsid w:val="00967F5D"/>
    <w:rsid w:val="00972D50"/>
    <w:rsid w:val="009838AF"/>
    <w:rsid w:val="00985FB4"/>
    <w:rsid w:val="00995C21"/>
    <w:rsid w:val="009A0F95"/>
    <w:rsid w:val="009A0FC8"/>
    <w:rsid w:val="009A1909"/>
    <w:rsid w:val="009B3ADF"/>
    <w:rsid w:val="009C31C5"/>
    <w:rsid w:val="009C3B52"/>
    <w:rsid w:val="009C5281"/>
    <w:rsid w:val="009D221D"/>
    <w:rsid w:val="009E6817"/>
    <w:rsid w:val="009E6E9A"/>
    <w:rsid w:val="00A01D2B"/>
    <w:rsid w:val="00A04BBF"/>
    <w:rsid w:val="00A1392A"/>
    <w:rsid w:val="00A220D0"/>
    <w:rsid w:val="00A32555"/>
    <w:rsid w:val="00A345D7"/>
    <w:rsid w:val="00A419DB"/>
    <w:rsid w:val="00A42218"/>
    <w:rsid w:val="00A5352F"/>
    <w:rsid w:val="00A563F6"/>
    <w:rsid w:val="00A645D5"/>
    <w:rsid w:val="00A66857"/>
    <w:rsid w:val="00A70249"/>
    <w:rsid w:val="00A70418"/>
    <w:rsid w:val="00A70B02"/>
    <w:rsid w:val="00A71D9F"/>
    <w:rsid w:val="00A80C62"/>
    <w:rsid w:val="00A87A2A"/>
    <w:rsid w:val="00A92E9F"/>
    <w:rsid w:val="00A94ED3"/>
    <w:rsid w:val="00A968C7"/>
    <w:rsid w:val="00AB18FF"/>
    <w:rsid w:val="00AB5284"/>
    <w:rsid w:val="00AB7FAA"/>
    <w:rsid w:val="00AC081D"/>
    <w:rsid w:val="00AC1E0A"/>
    <w:rsid w:val="00AC417F"/>
    <w:rsid w:val="00AC5944"/>
    <w:rsid w:val="00AD0ACA"/>
    <w:rsid w:val="00AD1DCC"/>
    <w:rsid w:val="00AD2C3C"/>
    <w:rsid w:val="00AD4324"/>
    <w:rsid w:val="00AD5A89"/>
    <w:rsid w:val="00AE1BD7"/>
    <w:rsid w:val="00AE5061"/>
    <w:rsid w:val="00B00B5D"/>
    <w:rsid w:val="00B00CEB"/>
    <w:rsid w:val="00B10339"/>
    <w:rsid w:val="00B1645D"/>
    <w:rsid w:val="00B26269"/>
    <w:rsid w:val="00B2678B"/>
    <w:rsid w:val="00B30EA8"/>
    <w:rsid w:val="00B33BEA"/>
    <w:rsid w:val="00B44ECB"/>
    <w:rsid w:val="00B47B4D"/>
    <w:rsid w:val="00B56596"/>
    <w:rsid w:val="00B57C9F"/>
    <w:rsid w:val="00B63572"/>
    <w:rsid w:val="00B66ED2"/>
    <w:rsid w:val="00B770B8"/>
    <w:rsid w:val="00B776E2"/>
    <w:rsid w:val="00B8124C"/>
    <w:rsid w:val="00B845B3"/>
    <w:rsid w:val="00B85D8B"/>
    <w:rsid w:val="00B87EC6"/>
    <w:rsid w:val="00B927A2"/>
    <w:rsid w:val="00B95C6A"/>
    <w:rsid w:val="00BA2517"/>
    <w:rsid w:val="00BA3D6D"/>
    <w:rsid w:val="00BB1819"/>
    <w:rsid w:val="00BB1A6D"/>
    <w:rsid w:val="00BB1B43"/>
    <w:rsid w:val="00BB4A40"/>
    <w:rsid w:val="00BB7D9F"/>
    <w:rsid w:val="00BC0347"/>
    <w:rsid w:val="00BC60C3"/>
    <w:rsid w:val="00BC7E7F"/>
    <w:rsid w:val="00BD119B"/>
    <w:rsid w:val="00BD6022"/>
    <w:rsid w:val="00BD6C3E"/>
    <w:rsid w:val="00BE3674"/>
    <w:rsid w:val="00BF3029"/>
    <w:rsid w:val="00C02BCB"/>
    <w:rsid w:val="00C0710C"/>
    <w:rsid w:val="00C10681"/>
    <w:rsid w:val="00C10822"/>
    <w:rsid w:val="00C15C89"/>
    <w:rsid w:val="00C23396"/>
    <w:rsid w:val="00C27C0D"/>
    <w:rsid w:val="00C3049A"/>
    <w:rsid w:val="00C30E84"/>
    <w:rsid w:val="00C31B1E"/>
    <w:rsid w:val="00C32F2E"/>
    <w:rsid w:val="00C47577"/>
    <w:rsid w:val="00C51305"/>
    <w:rsid w:val="00C67922"/>
    <w:rsid w:val="00C70192"/>
    <w:rsid w:val="00C717FA"/>
    <w:rsid w:val="00C73888"/>
    <w:rsid w:val="00C77645"/>
    <w:rsid w:val="00C77D7A"/>
    <w:rsid w:val="00C81826"/>
    <w:rsid w:val="00C8201E"/>
    <w:rsid w:val="00C826A9"/>
    <w:rsid w:val="00C83686"/>
    <w:rsid w:val="00C85A1C"/>
    <w:rsid w:val="00CB138E"/>
    <w:rsid w:val="00CB1E50"/>
    <w:rsid w:val="00CB2179"/>
    <w:rsid w:val="00CB70A7"/>
    <w:rsid w:val="00CC7B7A"/>
    <w:rsid w:val="00CE04C3"/>
    <w:rsid w:val="00CE34BE"/>
    <w:rsid w:val="00CE76A0"/>
    <w:rsid w:val="00D103A6"/>
    <w:rsid w:val="00D12624"/>
    <w:rsid w:val="00D13E0F"/>
    <w:rsid w:val="00D148C6"/>
    <w:rsid w:val="00D14B86"/>
    <w:rsid w:val="00D17A8A"/>
    <w:rsid w:val="00D233F8"/>
    <w:rsid w:val="00D2423B"/>
    <w:rsid w:val="00D2442C"/>
    <w:rsid w:val="00D415BA"/>
    <w:rsid w:val="00D51418"/>
    <w:rsid w:val="00D62D09"/>
    <w:rsid w:val="00D6374F"/>
    <w:rsid w:val="00D63780"/>
    <w:rsid w:val="00D644EE"/>
    <w:rsid w:val="00D73C9B"/>
    <w:rsid w:val="00D76EDD"/>
    <w:rsid w:val="00D86916"/>
    <w:rsid w:val="00D87F4A"/>
    <w:rsid w:val="00DA321B"/>
    <w:rsid w:val="00DA764B"/>
    <w:rsid w:val="00DB257C"/>
    <w:rsid w:val="00DB5215"/>
    <w:rsid w:val="00DC3644"/>
    <w:rsid w:val="00DC3AF0"/>
    <w:rsid w:val="00DC6256"/>
    <w:rsid w:val="00DC6812"/>
    <w:rsid w:val="00DD06FF"/>
    <w:rsid w:val="00DD073E"/>
    <w:rsid w:val="00DD211A"/>
    <w:rsid w:val="00DD24CD"/>
    <w:rsid w:val="00DD3682"/>
    <w:rsid w:val="00DD5FE9"/>
    <w:rsid w:val="00DE293A"/>
    <w:rsid w:val="00DE2F41"/>
    <w:rsid w:val="00E00C7A"/>
    <w:rsid w:val="00E067CB"/>
    <w:rsid w:val="00E079B7"/>
    <w:rsid w:val="00E167F1"/>
    <w:rsid w:val="00E17922"/>
    <w:rsid w:val="00E22255"/>
    <w:rsid w:val="00E332AB"/>
    <w:rsid w:val="00E37D6C"/>
    <w:rsid w:val="00E506B3"/>
    <w:rsid w:val="00E55B68"/>
    <w:rsid w:val="00E561AE"/>
    <w:rsid w:val="00E62E55"/>
    <w:rsid w:val="00E67BE6"/>
    <w:rsid w:val="00E709A9"/>
    <w:rsid w:val="00E71765"/>
    <w:rsid w:val="00E8528E"/>
    <w:rsid w:val="00E862BF"/>
    <w:rsid w:val="00E8683C"/>
    <w:rsid w:val="00E96E6D"/>
    <w:rsid w:val="00EA2917"/>
    <w:rsid w:val="00EA2B72"/>
    <w:rsid w:val="00EB301A"/>
    <w:rsid w:val="00EB7A71"/>
    <w:rsid w:val="00EC4AED"/>
    <w:rsid w:val="00ED5EAF"/>
    <w:rsid w:val="00EE020A"/>
    <w:rsid w:val="00EE6119"/>
    <w:rsid w:val="00EE7EAD"/>
    <w:rsid w:val="00EF1BBB"/>
    <w:rsid w:val="00EF222D"/>
    <w:rsid w:val="00EF2B44"/>
    <w:rsid w:val="00EF6A80"/>
    <w:rsid w:val="00F0033D"/>
    <w:rsid w:val="00F114E6"/>
    <w:rsid w:val="00F14220"/>
    <w:rsid w:val="00F1473D"/>
    <w:rsid w:val="00F162AB"/>
    <w:rsid w:val="00F36A99"/>
    <w:rsid w:val="00F44CED"/>
    <w:rsid w:val="00F4591D"/>
    <w:rsid w:val="00F522EC"/>
    <w:rsid w:val="00F64C31"/>
    <w:rsid w:val="00F67A8E"/>
    <w:rsid w:val="00F71BB3"/>
    <w:rsid w:val="00F74360"/>
    <w:rsid w:val="00F80620"/>
    <w:rsid w:val="00F82863"/>
    <w:rsid w:val="00F913DC"/>
    <w:rsid w:val="00F9148D"/>
    <w:rsid w:val="00FA7D06"/>
    <w:rsid w:val="00FB0E0C"/>
    <w:rsid w:val="00FB452B"/>
    <w:rsid w:val="00FB462F"/>
    <w:rsid w:val="00FC365B"/>
    <w:rsid w:val="00FC6995"/>
    <w:rsid w:val="00FE16FA"/>
    <w:rsid w:val="00FE328A"/>
    <w:rsid w:val="00FE6269"/>
    <w:rsid w:val="00FE7870"/>
    <w:rsid w:val="00FF0B46"/>
    <w:rsid w:val="00FF3A9A"/>
    <w:rsid w:val="00FF5CD6"/>
    <w:rsid w:val="01741F3C"/>
    <w:rsid w:val="025D04FB"/>
    <w:rsid w:val="077945B1"/>
    <w:rsid w:val="11AF6FAB"/>
    <w:rsid w:val="199926F8"/>
    <w:rsid w:val="1D97DEFF"/>
    <w:rsid w:val="1DFF72E5"/>
    <w:rsid w:val="1EA27C15"/>
    <w:rsid w:val="1EFC6F07"/>
    <w:rsid w:val="216F3D14"/>
    <w:rsid w:val="25284930"/>
    <w:rsid w:val="265D48B9"/>
    <w:rsid w:val="28212236"/>
    <w:rsid w:val="2C482BC6"/>
    <w:rsid w:val="2FB436C9"/>
    <w:rsid w:val="2FDF85B8"/>
    <w:rsid w:val="2FFFEE04"/>
    <w:rsid w:val="31330BF0"/>
    <w:rsid w:val="347B794C"/>
    <w:rsid w:val="34DF85B0"/>
    <w:rsid w:val="364439B6"/>
    <w:rsid w:val="3B8F36BC"/>
    <w:rsid w:val="3C46007A"/>
    <w:rsid w:val="414E51B4"/>
    <w:rsid w:val="4662784A"/>
    <w:rsid w:val="488204C0"/>
    <w:rsid w:val="491FF225"/>
    <w:rsid w:val="4B1B4CCF"/>
    <w:rsid w:val="4CDE3FDB"/>
    <w:rsid w:val="4FFD214C"/>
    <w:rsid w:val="504338E1"/>
    <w:rsid w:val="522272BA"/>
    <w:rsid w:val="55BA0D56"/>
    <w:rsid w:val="5777D4F5"/>
    <w:rsid w:val="59DD8326"/>
    <w:rsid w:val="5B4824DC"/>
    <w:rsid w:val="5C5F065B"/>
    <w:rsid w:val="5D3E599D"/>
    <w:rsid w:val="5DEF592A"/>
    <w:rsid w:val="5FC6BB1E"/>
    <w:rsid w:val="5FF720F1"/>
    <w:rsid w:val="603F2C27"/>
    <w:rsid w:val="63157DB7"/>
    <w:rsid w:val="632E6FDA"/>
    <w:rsid w:val="635100F9"/>
    <w:rsid w:val="66CB0F2F"/>
    <w:rsid w:val="67FF5C0B"/>
    <w:rsid w:val="68925915"/>
    <w:rsid w:val="6A27776B"/>
    <w:rsid w:val="6EFC0924"/>
    <w:rsid w:val="6FB74722"/>
    <w:rsid w:val="6FEF8B7E"/>
    <w:rsid w:val="71A6591B"/>
    <w:rsid w:val="737D59BA"/>
    <w:rsid w:val="7521074C"/>
    <w:rsid w:val="77C37683"/>
    <w:rsid w:val="78B15C7E"/>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B84FB"/>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unhideWhenUsed/>
    <w:qFormat/>
    <w:uiPriority w:val="39"/>
    <w:pPr>
      <w:spacing w:after="160" w:line="278" w:lineRule="auto"/>
    </w:pPr>
  </w:style>
  <w:style w:type="character" w:customStyle="1" w:styleId="11">
    <w:name w:val="页眉 字符"/>
    <w:basedOn w:val="10"/>
    <w:link w:val="7"/>
    <w:qFormat/>
    <w:uiPriority w:val="99"/>
    <w:rPr>
      <w:sz w:val="18"/>
      <w:szCs w:val="18"/>
    </w:rPr>
  </w:style>
  <w:style w:type="character" w:customStyle="1" w:styleId="12">
    <w:name w:val="页脚 字符"/>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字符"/>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4正文"/>
    <w:basedOn w:val="1"/>
    <w:link w:val="20"/>
    <w:qFormat/>
    <w:uiPriority w:val="0"/>
    <w:pPr>
      <w:snapToGrid w:val="0"/>
      <w:spacing w:after="160" w:line="440" w:lineRule="exact"/>
      <w:ind w:firstLine="200" w:firstLineChars="200"/>
    </w:pPr>
    <w:rPr>
      <w:rFonts w:ascii="Times New Roman" w:hAnsi="Times New Roman" w:eastAsia="宋体"/>
      <w:sz w:val="24"/>
    </w:rPr>
  </w:style>
  <w:style w:type="character" w:customStyle="1" w:styleId="20">
    <w:name w:val="4正文 字符"/>
    <w:basedOn w:val="10"/>
    <w:link w:val="19"/>
    <w:qFormat/>
    <w:uiPriority w:val="0"/>
    <w:rPr>
      <w:rFonts w:cstheme="minorBidi"/>
      <w:kern w:val="2"/>
      <w:sz w:val="24"/>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package" Target="embeddings/Workbook1.xlsx"/><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9.emf"/><Relationship Id="rId24" Type="http://schemas.openxmlformats.org/officeDocument/2006/relationships/package" Target="embeddings/Workbook9.xlsx"/><Relationship Id="rId23" Type="http://schemas.openxmlformats.org/officeDocument/2006/relationships/image" Target="media/image8.emf"/><Relationship Id="rId22" Type="http://schemas.openxmlformats.org/officeDocument/2006/relationships/package" Target="embeddings/Workbook8.xlsx"/><Relationship Id="rId21" Type="http://schemas.openxmlformats.org/officeDocument/2006/relationships/image" Target="media/image7.emf"/><Relationship Id="rId20" Type="http://schemas.openxmlformats.org/officeDocument/2006/relationships/package" Target="embeddings/Workbook7.xlsx"/><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package" Target="embeddings/Workbook6.xlsx"/><Relationship Id="rId17" Type="http://schemas.openxmlformats.org/officeDocument/2006/relationships/image" Target="media/image5.emf"/><Relationship Id="rId16" Type="http://schemas.openxmlformats.org/officeDocument/2006/relationships/package" Target="embeddings/Workbook5.xlsx"/><Relationship Id="rId15" Type="http://schemas.openxmlformats.org/officeDocument/2006/relationships/image" Target="media/image4.emf"/><Relationship Id="rId14" Type="http://schemas.openxmlformats.org/officeDocument/2006/relationships/package" Target="embeddings/Workbook4.xlsx"/><Relationship Id="rId13" Type="http://schemas.openxmlformats.org/officeDocument/2006/relationships/image" Target="media/image3.emf"/><Relationship Id="rId12" Type="http://schemas.openxmlformats.org/officeDocument/2006/relationships/package" Target="embeddings/Workbook3.xlsx"/><Relationship Id="rId11" Type="http://schemas.openxmlformats.org/officeDocument/2006/relationships/image" Target="media/image2.emf"/><Relationship Id="rId10" Type="http://schemas.openxmlformats.org/officeDocument/2006/relationships/package" Target="embeddings/Workbook2.xlsx"/><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standalone='no'?>
<b:Sources xmlns:b="http://schemas.openxmlformats.org/officeDocument/2006/bibliography" SelectedStyle="\APASixthEditionOfficeOnline.xsl" xmlns:b="http://schemas.openxmlformats.org/officeDocument/2006/bibliography"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FC279E-D12D-4FDC-A277-90E365658C1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7771</Words>
  <Characters>8380</Characters>
  <Lines>92</Lines>
  <Paragraphs>25</Paragraphs>
  <TotalTime>2</TotalTime>
  <ScaleCrop>false</ScaleCrop>
  <LinksUpToDate>false</LinksUpToDate>
  <CharactersWithSpaces>8399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2026-10-15T16:04:07Z</dcterms:modified>
  <cp:revision>327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623155BED0D14636BF3BF42B5173BE0D_13</vt:lpwstr>
  </property>
  <property fmtid="{D5CDD505-2E9C-101B-9397-08002B2CF9AE}" pid="4" name="KSOTemplateDocerSaveRecord">
    <vt:lpwstr>eyJoZGlkIjoiZTdlYjQyZjMzNWU1ZDE3ZmM2YmFmNjE3YTcyMWI0MTIiLCJ1c2VySWQiOiI2MzAxNzU4NjkifQ==</vt:lpwstr>
  </property>
</Properties>
</file>