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14:paraId="611091E0">
      <w:pPr>
        <w:widowControl/>
        <w:spacing w:line="450" w:lineRule="atLeast"/>
        <w:jc w:val="center"/>
        <w:rPr>
          <w:rFonts w:ascii="方正小标宋简体" w:hAnsi="Times New Roman" w:eastAsia="方正小标宋简体" w:cs="Times New Roman"/>
          <w:color w:val="3D3D3D"/>
          <w:kern w:val="0"/>
          <w:sz w:val="52"/>
          <w:szCs w:val="52"/>
        </w:rPr>
      </w:pPr>
    </w:p>
    <w:p w14:paraId="0206A751">
      <w:pPr>
        <w:widowControl/>
        <w:spacing w:line="450" w:lineRule="atLeast"/>
        <w:rPr>
          <w:rFonts w:ascii="Times New Roman" w:hAnsi="Times New Roman" w:eastAsia="宋体" w:cs="Times New Roman"/>
          <w:color w:val="3D3D3D"/>
          <w:kern w:val="0"/>
          <w:szCs w:val="21"/>
        </w:rPr>
      </w:pPr>
      <w:r>
        <w:rPr>
          <w:rFonts w:hint="eastAsia" w:ascii="方正小标宋简体" w:hAnsi="Times New Roman" w:eastAsia="方正小标宋简体" w:cs="Times New Roman"/>
          <w:color w:val="3D3D3D"/>
          <w:kern w:val="0"/>
          <w:sz w:val="52"/>
          <w:szCs w:val="52"/>
        </w:rPr>
        <w:t>202</w:t>
      </w:r>
      <w:r>
        <w:rPr>
          <w:rFonts w:ascii="方正小标宋简体" w:hAnsi="Times New Roman" w:eastAsia="方正小标宋简体" w:cs="Times New Roman"/>
          <w:color w:val="3D3D3D"/>
          <w:kern w:val="0"/>
          <w:sz w:val="52"/>
          <w:szCs w:val="52"/>
        </w:rPr>
        <w:t>5</w:t>
      </w:r>
      <w:r>
        <w:rPr>
          <w:rFonts w:ascii="方正小标宋_GBK" w:hAnsi="Times New Roman" w:eastAsia="方正小标宋_GBK" w:cs="Times New Roman"/>
          <w:color w:val="3D3D3D"/>
          <w:kern w:val="0"/>
          <w:sz w:val="52"/>
          <w:szCs w:val="52"/>
        </w:rPr>
        <w:t>年度</w:t>
      </w:r>
      <w:r>
        <w:rPr>
          <w:rFonts w:hint="eastAsia" w:ascii="方正小标宋_GBK" w:hAnsi="Times New Roman" w:eastAsia="方正小标宋_GBK" w:cs="Times New Roman"/>
          <w:color w:val="3D3D3D"/>
          <w:kern w:val="0"/>
          <w:sz w:val="52"/>
          <w:szCs w:val="52"/>
        </w:rPr>
        <w:t>湖南省怀化市人民政府驻北京联络处整体支出</w:t>
      </w:r>
      <w:r>
        <w:rPr>
          <w:rFonts w:ascii="方正小标宋_GBK" w:hAnsi="Times New Roman" w:eastAsia="方正小标宋_GBK" w:cs="Times New Roman"/>
          <w:color w:val="3D3D3D"/>
          <w:kern w:val="0"/>
          <w:sz w:val="52"/>
          <w:szCs w:val="52"/>
        </w:rPr>
        <w:t>绩效自评报告</w:t>
      </w:r>
    </w:p>
    <w:p w14:paraId="161EC385">
      <w:pPr>
        <w:widowControl/>
        <w:spacing w:line="450" w:lineRule="atLeast"/>
        <w:rPr>
          <w:rFonts w:ascii="Times New Roman" w:hAnsi="Times New Roman" w:eastAsia="宋体" w:cs="Times New Roman"/>
          <w:color w:val="3D3D3D"/>
          <w:kern w:val="0"/>
          <w:szCs w:val="21"/>
        </w:rPr>
      </w:pPr>
      <w:r>
        <w:rPr>
          <w:rFonts w:ascii="Times New Roman" w:hAnsi="Times New Roman" w:eastAsia="宋体" w:cs="Times New Roman"/>
          <w:color w:val="3D3D3D"/>
          <w:kern w:val="0"/>
          <w:szCs w:val="21"/>
        </w:rPr>
        <w:t> </w:t>
      </w:r>
    </w:p>
    <w:p w14:paraId="790166D4">
      <w:pPr>
        <w:widowControl/>
        <w:spacing w:line="450" w:lineRule="atLeast"/>
        <w:jc w:val="center"/>
        <w:rPr>
          <w:rFonts w:ascii="Times New Roman" w:hAnsi="Times New Roman" w:eastAsia="宋体" w:cs="Times New Roman"/>
          <w:color w:val="3D3D3D"/>
          <w:kern w:val="0"/>
          <w:szCs w:val="21"/>
        </w:rPr>
      </w:pPr>
      <w:r>
        <w:rPr>
          <w:rFonts w:ascii="Times New Roman" w:hAnsi="Times New Roman" w:eastAsia="宋体" w:cs="Times New Roman"/>
          <w:color w:val="3D3D3D"/>
          <w:kern w:val="0"/>
          <w:szCs w:val="21"/>
        </w:rPr>
        <w:t> </w:t>
      </w:r>
    </w:p>
    <w:p w14:paraId="1576FBA0">
      <w:pPr>
        <w:widowControl/>
        <w:spacing w:line="450" w:lineRule="atLeast"/>
        <w:jc w:val="center"/>
        <w:rPr>
          <w:rFonts w:ascii="Times New Roman" w:hAnsi="Times New Roman" w:eastAsia="宋体" w:cs="Times New Roman"/>
          <w:color w:val="3D3D3D"/>
          <w:kern w:val="0"/>
          <w:szCs w:val="21"/>
        </w:rPr>
      </w:pPr>
      <w:r>
        <w:rPr>
          <w:rFonts w:ascii="Times New Roman" w:hAnsi="Times New Roman" w:eastAsia="宋体" w:cs="Times New Roman"/>
          <w:color w:val="3D3D3D"/>
          <w:kern w:val="0"/>
          <w:szCs w:val="21"/>
        </w:rPr>
        <w:t> </w:t>
      </w:r>
    </w:p>
    <w:p w14:paraId="706A5E70">
      <w:pPr>
        <w:widowControl/>
        <w:spacing w:line="450" w:lineRule="atLeast"/>
        <w:jc w:val="center"/>
        <w:rPr>
          <w:rFonts w:ascii="Times New Roman" w:hAnsi="Times New Roman" w:eastAsia="宋体" w:cs="Times New Roman"/>
          <w:color w:val="3D3D3D"/>
          <w:kern w:val="0"/>
          <w:szCs w:val="21"/>
        </w:rPr>
      </w:pPr>
    </w:p>
    <w:p w14:paraId="2947DE3B">
      <w:pPr>
        <w:widowControl/>
        <w:spacing w:line="450" w:lineRule="atLeast"/>
        <w:jc w:val="center"/>
        <w:rPr>
          <w:rFonts w:ascii="Times New Roman" w:hAnsi="Times New Roman" w:eastAsia="宋体" w:cs="Times New Roman"/>
          <w:color w:val="3D3D3D"/>
          <w:kern w:val="0"/>
          <w:szCs w:val="21"/>
        </w:rPr>
      </w:pPr>
    </w:p>
    <w:p w14:paraId="105354A5">
      <w:pPr>
        <w:widowControl/>
        <w:spacing w:line="450" w:lineRule="atLeast"/>
        <w:jc w:val="center"/>
        <w:rPr>
          <w:rFonts w:ascii="Times New Roman" w:hAnsi="Times New Roman" w:eastAsia="宋体" w:cs="Times New Roman"/>
          <w:color w:val="3D3D3D"/>
          <w:kern w:val="0"/>
          <w:szCs w:val="21"/>
        </w:rPr>
      </w:pPr>
    </w:p>
    <w:p w14:paraId="3C2785FA">
      <w:pPr>
        <w:widowControl/>
        <w:spacing w:line="450" w:lineRule="atLeast"/>
        <w:jc w:val="center"/>
        <w:rPr>
          <w:rFonts w:ascii="Times New Roman" w:hAnsi="Times New Roman" w:eastAsia="宋体" w:cs="Times New Roman"/>
          <w:color w:val="3D3D3D"/>
          <w:kern w:val="0"/>
          <w:szCs w:val="21"/>
        </w:rPr>
      </w:pPr>
    </w:p>
    <w:p w14:paraId="2927ECFD">
      <w:pPr>
        <w:widowControl/>
        <w:spacing w:line="450" w:lineRule="atLeast"/>
        <w:jc w:val="center"/>
        <w:rPr>
          <w:rFonts w:ascii="Times New Roman" w:hAnsi="Times New Roman" w:eastAsia="宋体" w:cs="Times New Roman"/>
          <w:color w:val="3D3D3D"/>
          <w:kern w:val="0"/>
          <w:szCs w:val="21"/>
        </w:rPr>
      </w:pPr>
    </w:p>
    <w:p w14:paraId="15C12DD6">
      <w:pPr>
        <w:widowControl/>
        <w:spacing w:line="450" w:lineRule="atLeast"/>
        <w:rPr>
          <w:rFonts w:ascii="Times New Roman" w:hAnsi="Times New Roman" w:eastAsia="宋体" w:cs="Times New Roman"/>
          <w:color w:val="3D3D3D"/>
          <w:kern w:val="0"/>
          <w:szCs w:val="21"/>
        </w:rPr>
      </w:pPr>
    </w:p>
    <w:p w14:paraId="58F9A275">
      <w:pPr>
        <w:widowControl/>
        <w:spacing w:line="450" w:lineRule="atLeast"/>
        <w:jc w:val="center"/>
        <w:rPr>
          <w:rFonts w:ascii="Times New Roman" w:hAnsi="Times New Roman" w:eastAsia="宋体" w:cs="Times New Roman"/>
          <w:color w:val="3D3D3D"/>
          <w:kern w:val="0"/>
          <w:szCs w:val="21"/>
        </w:rPr>
      </w:pPr>
      <w:r>
        <w:rPr>
          <w:rFonts w:ascii="Times New Roman" w:hAnsi="Times New Roman" w:eastAsia="宋体" w:cs="Times New Roman"/>
          <w:color w:val="3D3D3D"/>
          <w:kern w:val="0"/>
          <w:szCs w:val="21"/>
        </w:rPr>
        <w:t> </w:t>
      </w:r>
    </w:p>
    <w:p w14:paraId="264023DF">
      <w:pPr>
        <w:widowControl/>
        <w:spacing w:line="450" w:lineRule="atLeast"/>
        <w:jc w:val="center"/>
        <w:rPr>
          <w:rFonts w:ascii="Times New Roman" w:hAnsi="Times New Roman" w:eastAsia="宋体" w:cs="Times New Roman"/>
          <w:color w:val="3D3D3D"/>
          <w:kern w:val="0"/>
          <w:szCs w:val="21"/>
        </w:rPr>
      </w:pPr>
      <w:r>
        <w:rPr>
          <w:rFonts w:ascii="Times New Roman" w:hAnsi="Times New Roman" w:eastAsia="宋体" w:cs="Times New Roman"/>
          <w:color w:val="3D3D3D"/>
          <w:kern w:val="0"/>
          <w:szCs w:val="21"/>
        </w:rPr>
        <w:t> </w:t>
      </w:r>
    </w:p>
    <w:p w14:paraId="5015E320">
      <w:pPr>
        <w:widowControl/>
        <w:spacing w:line="450" w:lineRule="atLeast"/>
        <w:rPr>
          <w:rFonts w:ascii="Times New Roman" w:hAnsi="Times New Roman" w:eastAsia="宋体" w:cs="Times New Roman"/>
          <w:color w:val="3D3D3D"/>
          <w:kern w:val="0"/>
          <w:szCs w:val="21"/>
        </w:rPr>
      </w:pPr>
      <w:r>
        <w:rPr>
          <w:rFonts w:ascii="Times New Roman" w:hAnsi="Times New Roman" w:eastAsia="宋体" w:cs="Times New Roman"/>
          <w:color w:val="3D3D3D"/>
          <w:kern w:val="0"/>
          <w:szCs w:val="21"/>
        </w:rPr>
        <w:t> </w:t>
      </w:r>
    </w:p>
    <w:p w14:paraId="0D89E26F">
      <w:pPr>
        <w:widowControl/>
        <w:spacing w:line="450" w:lineRule="atLeast"/>
        <w:jc w:val="center"/>
        <w:rPr>
          <w:rFonts w:ascii="Times New Roman" w:hAnsi="Times New Roman" w:eastAsia="宋体" w:cs="Times New Roman"/>
          <w:color w:val="3D3D3D"/>
          <w:kern w:val="0"/>
          <w:szCs w:val="21"/>
        </w:rPr>
      </w:pPr>
      <w:r>
        <w:rPr>
          <w:rFonts w:ascii="Times New Roman" w:hAnsi="Times New Roman" w:eastAsia="宋体" w:cs="Times New Roman"/>
          <w:color w:val="3D3D3D"/>
          <w:kern w:val="0"/>
          <w:szCs w:val="21"/>
        </w:rPr>
        <w:t> </w:t>
      </w:r>
    </w:p>
    <w:p w14:paraId="571A3C12">
      <w:pPr>
        <w:widowControl/>
        <w:spacing w:line="600" w:lineRule="atLeast"/>
        <w:ind w:firstLine="1920"/>
        <w:rPr>
          <w:rFonts w:ascii="Times New Roman" w:hAnsi="Times New Roman" w:eastAsia="宋体" w:cs="Times New Roman"/>
          <w:color w:val="3D3D3D"/>
          <w:kern w:val="0"/>
          <w:szCs w:val="21"/>
        </w:rPr>
      </w:pPr>
      <w:r>
        <w:rPr>
          <w:rFonts w:ascii="仿宋_GB2312" w:hAnsi="Times New Roman" w:eastAsia="仿宋_GB2312" w:cs="Times New Roman"/>
          <w:color w:val="3D3D3D"/>
          <w:kern w:val="0"/>
          <w:sz w:val="32"/>
          <w:szCs w:val="32"/>
        </w:rPr>
        <w:t>单位名称：</w:t>
      </w:r>
      <w:r>
        <w:rPr>
          <w:rFonts w:ascii="仿宋_GB2312" w:hAnsi="Times New Roman" w:eastAsia="仿宋_GB2312" w:cs="Times New Roman"/>
          <w:color w:val="3D3D3D"/>
          <w:kern w:val="0"/>
          <w:sz w:val="32"/>
          <w:szCs w:val="32"/>
          <w:u w:val="single"/>
        </w:rPr>
        <w:t>（盖章）</w:t>
      </w:r>
      <w:r>
        <w:rPr>
          <w:rFonts w:hint="eastAsia" w:ascii="仿宋" w:hAnsi="仿宋" w:eastAsia="仿宋" w:cs="Times New Roman"/>
          <w:color w:val="3D3D3D"/>
          <w:kern w:val="0"/>
          <w:sz w:val="32"/>
          <w:szCs w:val="32"/>
          <w:u w:val="single"/>
        </w:rPr>
        <w:t>        </w:t>
      </w:r>
    </w:p>
    <w:p w14:paraId="1561CBA8">
      <w:pPr>
        <w:widowControl/>
        <w:spacing w:line="600" w:lineRule="atLeast"/>
        <w:ind w:firstLine="3520"/>
        <w:rPr>
          <w:rFonts w:ascii="Times New Roman" w:hAnsi="Times New Roman" w:eastAsia="宋体" w:cs="Times New Roman"/>
          <w:color w:val="3D3D3D"/>
          <w:kern w:val="0"/>
          <w:szCs w:val="21"/>
        </w:rPr>
      </w:pPr>
      <w:r>
        <w:rPr>
          <w:rFonts w:ascii="楷体_GB2312" w:hAnsi="Times New Roman" w:eastAsia="楷体_GB2312" w:cs="Times New Roman"/>
          <w:color w:val="3D3D3D"/>
          <w:kern w:val="0"/>
          <w:sz w:val="32"/>
          <w:szCs w:val="32"/>
        </w:rPr>
        <w:t>年</w:t>
      </w:r>
      <w:r>
        <w:rPr>
          <w:rFonts w:hint="eastAsia" w:ascii="楷体" w:hAnsi="楷体" w:eastAsia="楷体" w:cs="Times New Roman"/>
          <w:color w:val="3D3D3D"/>
          <w:kern w:val="0"/>
          <w:sz w:val="32"/>
          <w:szCs w:val="32"/>
        </w:rPr>
        <w:t>   </w:t>
      </w:r>
      <w:r>
        <w:rPr>
          <w:rFonts w:ascii="楷体_GB2312" w:hAnsi="Times New Roman" w:eastAsia="楷体_GB2312" w:cs="Times New Roman"/>
          <w:color w:val="3D3D3D"/>
          <w:kern w:val="0"/>
          <w:sz w:val="32"/>
          <w:szCs w:val="32"/>
        </w:rPr>
        <w:t>月</w:t>
      </w:r>
      <w:r>
        <w:rPr>
          <w:rFonts w:hint="eastAsia" w:ascii="楷体" w:hAnsi="楷体" w:eastAsia="楷体" w:cs="Times New Roman"/>
          <w:color w:val="3D3D3D"/>
          <w:kern w:val="0"/>
          <w:sz w:val="32"/>
          <w:szCs w:val="32"/>
        </w:rPr>
        <w:t>   </w:t>
      </w:r>
      <w:r>
        <w:rPr>
          <w:rFonts w:ascii="楷体_GB2312" w:hAnsi="Times New Roman" w:eastAsia="楷体_GB2312" w:cs="Times New Roman"/>
          <w:color w:val="3D3D3D"/>
          <w:kern w:val="0"/>
          <w:sz w:val="32"/>
          <w:szCs w:val="32"/>
        </w:rPr>
        <w:t>日</w:t>
      </w:r>
    </w:p>
    <w:p w14:paraId="2F97EB3D">
      <w:pPr>
        <w:widowControl/>
        <w:spacing w:line="315" w:lineRule="atLeast"/>
        <w:jc w:val="center"/>
        <w:rPr>
          <w:rFonts w:ascii="Calibri" w:hAnsi="Calibri" w:eastAsia="宋体" w:cs="Calibri"/>
          <w:color w:val="3D3D3D"/>
          <w:kern w:val="0"/>
          <w:szCs w:val="21"/>
        </w:rPr>
      </w:pPr>
      <w:r>
        <w:rPr>
          <w:rFonts w:ascii="Calibri" w:hAnsi="Calibri" w:eastAsia="宋体" w:cs="Calibri"/>
          <w:color w:val="3D3D3D"/>
          <w:kern w:val="0"/>
          <w:szCs w:val="21"/>
        </w:rPr>
        <w:t> </w:t>
      </w:r>
    </w:p>
    <w:p w14:paraId="69B8457F">
      <w:pPr>
        <w:widowControl/>
        <w:spacing w:line="640" w:lineRule="atLeast"/>
        <w:jc w:val="center"/>
        <w:rPr>
          <w:rFonts w:ascii="Calibri" w:hAnsi="Calibri" w:eastAsia="宋体" w:cs="Calibri"/>
          <w:color w:val="3D3D3D"/>
          <w:kern w:val="0"/>
          <w:szCs w:val="21"/>
        </w:rPr>
      </w:pPr>
      <w:r>
        <w:rPr>
          <w:rFonts w:hint="eastAsia" w:ascii="仿宋" w:hAnsi="仿宋" w:eastAsia="仿宋" w:cs="Calibri"/>
          <w:color w:val="3D3D3D"/>
          <w:kern w:val="0"/>
          <w:sz w:val="32"/>
          <w:szCs w:val="32"/>
        </w:rPr>
        <w:br w:type="textWrapping" w:clear="all"/>
      </w:r>
    </w:p>
    <w:p w14:paraId="5B20AF72">
      <w:pPr>
        <w:pStyle w:val="42"/>
        <w:ind w:firstLine="480"/>
      </w:pPr>
    </w:p>
    <w:p w14:paraId="03A4251D">
      <w:pPr>
        <w:pStyle w:val="42"/>
        <w:ind w:firstLine="480"/>
      </w:pPr>
    </w:p>
    <w:p w14:paraId="47C36891">
      <w:pPr>
        <w:pStyle w:val="42"/>
        <w:ind w:firstLine="480"/>
      </w:pPr>
    </w:p>
    <w:p w14:paraId="429C1778">
      <w:pPr>
        <w:pStyle w:val="42"/>
        <w:ind w:firstLine="480"/>
      </w:pPr>
    </w:p>
    <w:p w14:paraId="20BF88DA">
      <w:pPr>
        <w:pStyle w:val="42"/>
        <w:ind w:firstLine="480"/>
      </w:pPr>
    </w:p>
    <w:p w14:paraId="4B08551E">
      <w:pPr>
        <w:pStyle w:val="42"/>
        <w:spacing w:before="156" w:beforeLines="50" w:after="156" w:afterLines="50" w:line="240" w:lineRule="auto"/>
        <w:ind w:firstLine="0" w:firstLineChars="0"/>
        <w:jc w:val="center"/>
        <w:rPr>
          <w:rFonts w:ascii="宋体" w:hAnsi="宋体"/>
          <w:b/>
          <w:bCs/>
          <w:sz w:val="36"/>
          <w:szCs w:val="36"/>
          <w:shd w:val="clear" w:color="auto" w:fill="FFFFFF"/>
        </w:rPr>
      </w:pPr>
      <w:r>
        <w:rPr>
          <w:rFonts w:hint="eastAsia" w:ascii="宋体" w:hAnsi="宋体"/>
          <w:b/>
          <w:bCs/>
          <w:sz w:val="36"/>
          <w:szCs w:val="36"/>
          <w:shd w:val="clear" w:color="auto" w:fill="FFFFFF"/>
        </w:rPr>
        <w:t>湖南省怀化市人民政府驻北京联络处</w:t>
      </w:r>
    </w:p>
    <w:p w14:paraId="03DCE0E6">
      <w:pPr>
        <w:pStyle w:val="42"/>
        <w:spacing w:before="156" w:beforeLines="50" w:after="156" w:afterLines="50" w:line="240" w:lineRule="auto"/>
        <w:ind w:firstLine="0" w:firstLineChars="0"/>
        <w:jc w:val="center"/>
        <w:rPr>
          <w:rFonts w:ascii="宋体" w:hAnsi="宋体"/>
          <w:b/>
          <w:bCs/>
          <w:sz w:val="36"/>
          <w:szCs w:val="36"/>
        </w:rPr>
      </w:pPr>
      <w:r>
        <w:rPr>
          <w:rFonts w:hint="eastAsia" w:ascii="宋体" w:hAnsi="宋体"/>
          <w:b/>
          <w:bCs/>
          <w:sz w:val="36"/>
          <w:szCs w:val="36"/>
          <w:shd w:val="clear" w:color="auto" w:fill="FFFFFF"/>
        </w:rPr>
        <w:t>202</w:t>
      </w:r>
      <w:r>
        <w:rPr>
          <w:rFonts w:ascii="宋体" w:hAnsi="宋体"/>
          <w:b/>
          <w:bCs/>
          <w:sz w:val="36"/>
          <w:szCs w:val="36"/>
          <w:shd w:val="clear" w:color="auto" w:fill="FFFFFF"/>
        </w:rPr>
        <w:t>5</w:t>
      </w:r>
      <w:r>
        <w:rPr>
          <w:rFonts w:hint="eastAsia" w:ascii="宋体" w:hAnsi="宋体"/>
          <w:b/>
          <w:bCs/>
          <w:sz w:val="36"/>
          <w:szCs w:val="36"/>
          <w:shd w:val="clear" w:color="auto" w:fill="FFFFFF"/>
        </w:rPr>
        <w:t>年部门整体支出绩效自评报告</w:t>
      </w:r>
    </w:p>
    <w:p w14:paraId="03340C6F">
      <w:pPr>
        <w:pStyle w:val="42"/>
        <w:ind w:firstLine="482"/>
        <w:rPr>
          <w:b/>
          <w:bCs/>
        </w:rPr>
      </w:pPr>
      <w:r>
        <w:rPr>
          <w:rFonts w:hint="eastAsia"/>
          <w:b/>
          <w:bCs/>
        </w:rPr>
        <w:t>一、部门概况</w:t>
      </w:r>
    </w:p>
    <w:p w14:paraId="07145B53">
      <w:pPr>
        <w:pStyle w:val="42"/>
        <w:ind w:firstLine="480"/>
      </w:pPr>
      <w:r>
        <w:t>（一）</w:t>
      </w:r>
      <w:r>
        <w:rPr>
          <w:rFonts w:hint="eastAsia"/>
        </w:rPr>
        <w:t>部门单位基本情况</w:t>
      </w:r>
    </w:p>
    <w:p w14:paraId="28ABA433">
      <w:pPr>
        <w:pStyle w:val="42"/>
        <w:ind w:firstLine="480"/>
      </w:pPr>
      <w:r>
        <w:rPr>
          <w:rFonts w:hint="eastAsia"/>
        </w:rPr>
        <w:t>怀化市人民政府驻北京联络处作为一级部门预算单位，内设4个科室，分别为：综合科、招商引资科、接待科及信访维稳科。根据三定方案，202</w:t>
      </w:r>
      <w:r>
        <w:t>5</w:t>
      </w:r>
      <w:r>
        <w:rPr>
          <w:rFonts w:hint="eastAsia"/>
        </w:rPr>
        <w:t>年度怀化市人民政府驻北京联络处编制人员19人，在编在岗10人，其中：全额事业管理人员编制8人，工勤人员编制数2人，劳务派遣人员2人，离退休人员</w:t>
      </w:r>
      <w:r>
        <w:t>8</w:t>
      </w:r>
      <w:r>
        <w:rPr>
          <w:rFonts w:hint="eastAsia"/>
        </w:rPr>
        <w:t>人。</w:t>
      </w:r>
    </w:p>
    <w:p w14:paraId="27CED168">
      <w:pPr>
        <w:pStyle w:val="42"/>
        <w:ind w:firstLine="480"/>
      </w:pPr>
      <w:r>
        <w:rPr>
          <w:rFonts w:hint="eastAsia"/>
        </w:rPr>
        <w:t>单位主要职能是：根据市委、市政府的要求，主要开展政务联络、招商引资、接待服务、搜集与传输信息、对外宣传和信访维稳工作，同时完成市委、市政府等各部门交办的各项工作任务。</w:t>
      </w:r>
    </w:p>
    <w:p w14:paraId="00BC6755">
      <w:pPr>
        <w:pStyle w:val="42"/>
        <w:ind w:firstLine="480"/>
      </w:pPr>
      <w:r>
        <w:t>（</w:t>
      </w:r>
      <w:r>
        <w:rPr>
          <w:rFonts w:hint="eastAsia"/>
        </w:rPr>
        <w:t>二</w:t>
      </w:r>
      <w:r>
        <w:t>）</w:t>
      </w:r>
      <w:r>
        <w:rPr>
          <w:rFonts w:hint="eastAsia"/>
        </w:rPr>
        <w:t>部门（单位）整体支出规模、使用方向和主要内容、涉及范围等</w:t>
      </w:r>
    </w:p>
    <w:p w14:paraId="25421935">
      <w:pPr>
        <w:pStyle w:val="42"/>
        <w:ind w:firstLine="480"/>
      </w:pPr>
      <w:r>
        <w:rPr>
          <w:rFonts w:hint="eastAsia"/>
        </w:rPr>
        <w:t>按照市本级预算绩效管理工作的总体要求，202</w:t>
      </w:r>
      <w:r>
        <w:t>5</w:t>
      </w:r>
      <w:r>
        <w:rPr>
          <w:rFonts w:hint="eastAsia"/>
        </w:rPr>
        <w:t>年我单位整体支出</w:t>
      </w:r>
      <w:r>
        <w:t>359.10</w:t>
      </w:r>
      <w:r>
        <w:rPr>
          <w:rFonts w:hint="eastAsia"/>
        </w:rPr>
        <w:t>万元，全部实行整体支出绩效目标管理，年初编报绩效目标的项目</w:t>
      </w:r>
      <w:r>
        <w:t>3</w:t>
      </w:r>
      <w:r>
        <w:rPr>
          <w:rFonts w:hint="eastAsia"/>
        </w:rPr>
        <w:t>个，涉及的项目支出年初预算</w:t>
      </w:r>
      <w:r>
        <w:t>170</w:t>
      </w:r>
      <w:r>
        <w:rPr>
          <w:rFonts w:hint="eastAsia"/>
        </w:rPr>
        <w:t>万元，其中：招商引资经费</w:t>
      </w:r>
      <w:r>
        <w:t>60万元、维权维稳（工作）经费10万元、新办公楼运行维护费100万元</w:t>
      </w:r>
      <w:r>
        <w:rPr>
          <w:rFonts w:hint="eastAsia"/>
        </w:rPr>
        <w:t>，年中结转上年专项：工作经费1</w:t>
      </w:r>
      <w:r>
        <w:t>8.31</w:t>
      </w:r>
      <w:r>
        <w:rPr>
          <w:rFonts w:hint="eastAsia"/>
        </w:rPr>
        <w:t>万元、公务用车处置的更换经费</w:t>
      </w:r>
      <w:r>
        <w:t>2</w:t>
      </w:r>
      <w:r>
        <w:rPr>
          <w:rFonts w:hint="eastAsia"/>
          <w:lang w:val="en-US" w:eastAsia="zh-CN"/>
        </w:rPr>
        <w:t>8.66</w:t>
      </w:r>
      <w:r>
        <w:rPr>
          <w:rFonts w:hint="eastAsia"/>
        </w:rPr>
        <w:t>万元， 上年结转专项也全部实行项目支出绩效目标管理。</w:t>
      </w:r>
    </w:p>
    <w:p w14:paraId="661DE3E9">
      <w:pPr>
        <w:pStyle w:val="42"/>
        <w:ind w:firstLine="482"/>
        <w:rPr>
          <w:b/>
          <w:bCs/>
        </w:rPr>
      </w:pPr>
      <w:r>
        <w:rPr>
          <w:rFonts w:hint="eastAsia"/>
          <w:b/>
          <w:bCs/>
        </w:rPr>
        <w:t>二、一般公共预算支出情况</w:t>
      </w:r>
    </w:p>
    <w:p w14:paraId="3F0C5D0E">
      <w:pPr>
        <w:pStyle w:val="42"/>
        <w:ind w:firstLine="480"/>
      </w:pPr>
      <w:r>
        <w:rPr>
          <w:rFonts w:hint="eastAsia"/>
        </w:rPr>
        <w:t>（一）基本支出情况</w:t>
      </w:r>
    </w:p>
    <w:p w14:paraId="1BAFF05A">
      <w:pPr>
        <w:pStyle w:val="42"/>
        <w:ind w:firstLine="480"/>
      </w:pPr>
      <w:r>
        <w:rPr>
          <w:rFonts w:hint="eastAsia"/>
        </w:rPr>
        <w:t>202</w:t>
      </w:r>
      <w:r>
        <w:t>5</w:t>
      </w:r>
      <w:r>
        <w:rPr>
          <w:rFonts w:hint="eastAsia"/>
        </w:rPr>
        <w:t>年年初预算</w:t>
      </w:r>
      <w:r>
        <w:t>189.10</w:t>
      </w:r>
      <w:r>
        <w:rPr>
          <w:rFonts w:hint="eastAsia"/>
        </w:rPr>
        <w:t>万元，全年预算数</w:t>
      </w:r>
      <w:r>
        <w:t>289.40</w:t>
      </w:r>
      <w:r>
        <w:rPr>
          <w:rFonts w:hint="eastAsia"/>
        </w:rPr>
        <w:t>万元，实际支出</w:t>
      </w:r>
      <w:r>
        <w:t>190.08</w:t>
      </w:r>
      <w:r>
        <w:rPr>
          <w:rFonts w:hint="eastAsia"/>
        </w:rPr>
        <w:t>万元。基本支出是指为保障单位机构正常运转、完成日常工作任务而发生的各项支出，其中：基本工资</w:t>
      </w:r>
      <w:r>
        <w:t>59.04</w:t>
      </w:r>
      <w:r>
        <w:rPr>
          <w:rFonts w:hint="eastAsia"/>
        </w:rPr>
        <w:t>万元、津贴补贴</w:t>
      </w:r>
      <w:r>
        <w:t>0.13</w:t>
      </w:r>
      <w:r>
        <w:rPr>
          <w:rFonts w:hint="eastAsia"/>
        </w:rPr>
        <w:t>万元、奖金</w:t>
      </w:r>
      <w:r>
        <w:t>29.22</w:t>
      </w:r>
      <w:r>
        <w:rPr>
          <w:rFonts w:hint="eastAsia"/>
        </w:rPr>
        <w:t>万元、绩效工资</w:t>
      </w:r>
      <w:r>
        <w:t>28.64</w:t>
      </w:r>
      <w:r>
        <w:rPr>
          <w:rFonts w:hint="eastAsia"/>
        </w:rPr>
        <w:t>万元、基本养老保险</w:t>
      </w:r>
      <w:r>
        <w:t>16.45</w:t>
      </w:r>
      <w:r>
        <w:rPr>
          <w:rFonts w:hint="eastAsia"/>
        </w:rPr>
        <w:t>万元、职业年金</w:t>
      </w:r>
      <w:r>
        <w:t>0.27</w:t>
      </w:r>
      <w:r>
        <w:rPr>
          <w:rFonts w:hint="eastAsia"/>
        </w:rPr>
        <w:t>万元、职工基本医疗保险缴费</w:t>
      </w:r>
      <w:r>
        <w:t>9.16</w:t>
      </w:r>
      <w:r>
        <w:rPr>
          <w:rFonts w:hint="eastAsia"/>
        </w:rPr>
        <w:t>万元、其他社会保险缴费</w:t>
      </w:r>
      <w:r>
        <w:t>1.50</w:t>
      </w:r>
      <w:r>
        <w:rPr>
          <w:rFonts w:hint="eastAsia"/>
        </w:rPr>
        <w:t>万元、住房公积金</w:t>
      </w:r>
      <w:r>
        <w:t>14.09</w:t>
      </w:r>
      <w:r>
        <w:rPr>
          <w:rFonts w:hint="eastAsia"/>
        </w:rPr>
        <w:t>万元、生活补助</w:t>
      </w:r>
      <w:r>
        <w:t>8.51</w:t>
      </w:r>
      <w:r>
        <w:rPr>
          <w:rFonts w:hint="eastAsia"/>
        </w:rPr>
        <w:t>万元、办公费0</w:t>
      </w:r>
      <w:r>
        <w:t>.38</w:t>
      </w:r>
      <w:r>
        <w:rPr>
          <w:rFonts w:hint="eastAsia"/>
        </w:rPr>
        <w:t>万元、差旅费0</w:t>
      </w:r>
      <w:r>
        <w:t>.15</w:t>
      </w:r>
      <w:r>
        <w:rPr>
          <w:rFonts w:hint="eastAsia"/>
        </w:rPr>
        <w:t>万元、劳务费1</w:t>
      </w:r>
      <w:r>
        <w:t>.32</w:t>
      </w:r>
      <w:r>
        <w:rPr>
          <w:rFonts w:hint="eastAsia"/>
        </w:rPr>
        <w:t>万元、工会经费1</w:t>
      </w:r>
      <w:r>
        <w:t>1.28</w:t>
      </w:r>
      <w:r>
        <w:rPr>
          <w:rFonts w:hint="eastAsia"/>
        </w:rPr>
        <w:t>万元、其他交通费</w:t>
      </w:r>
      <w:r>
        <w:t>8.34</w:t>
      </w:r>
      <w:r>
        <w:rPr>
          <w:rFonts w:hint="eastAsia"/>
        </w:rPr>
        <w:t>万元等。</w:t>
      </w:r>
    </w:p>
    <w:p w14:paraId="753DFE6C">
      <w:pPr>
        <w:pStyle w:val="42"/>
        <w:ind w:firstLine="480"/>
      </w:pPr>
      <w:r>
        <w:rPr>
          <w:rFonts w:hint="eastAsia"/>
        </w:rPr>
        <w:t>202</w:t>
      </w:r>
      <w:r>
        <w:t>5</w:t>
      </w:r>
      <w:r>
        <w:rPr>
          <w:rFonts w:hint="eastAsia"/>
        </w:rPr>
        <w:t>年我单位年初预算安排“三公”经费39万元，实际支出数为</w:t>
      </w:r>
      <w:r>
        <w:t>13.34</w:t>
      </w:r>
      <w:r>
        <w:rPr>
          <w:rFonts w:hint="eastAsia"/>
        </w:rPr>
        <w:t>万元，其中，公务接待费</w:t>
      </w:r>
      <w:r>
        <w:t>6.44</w:t>
      </w:r>
      <w:r>
        <w:rPr>
          <w:rFonts w:hint="eastAsia"/>
        </w:rPr>
        <w:t>万元，公务用车购置费0万元，公务用车维护费</w:t>
      </w:r>
      <w:r>
        <w:t>6.90</w:t>
      </w:r>
      <w:r>
        <w:rPr>
          <w:rFonts w:hint="eastAsia"/>
        </w:rPr>
        <w:t>万元，因公出国（境）费0万元。202</w:t>
      </w:r>
      <w:r>
        <w:t>5</w:t>
      </w:r>
      <w:r>
        <w:rPr>
          <w:rFonts w:hint="eastAsia"/>
        </w:rPr>
        <w:t>年“三公”经费预算数与上年预算数持平。“三公”经费支出较上年减少2</w:t>
      </w:r>
      <w:r>
        <w:t>5.37</w:t>
      </w:r>
      <w:r>
        <w:rPr>
          <w:rFonts w:hint="eastAsia"/>
        </w:rPr>
        <w:t>万元，下降6</w:t>
      </w:r>
      <w:r>
        <w:t>5.54</w:t>
      </w:r>
      <w:r>
        <w:rPr>
          <w:rFonts w:hint="eastAsia"/>
        </w:rPr>
        <w:t>%。</w:t>
      </w:r>
    </w:p>
    <w:p w14:paraId="7C69B6C7">
      <w:pPr>
        <w:pStyle w:val="42"/>
        <w:ind w:firstLine="480"/>
      </w:pPr>
      <w:r>
        <w:rPr>
          <w:rFonts w:hint="eastAsia"/>
        </w:rPr>
        <w:t>（二）项目支出情况</w:t>
      </w:r>
    </w:p>
    <w:p w14:paraId="260A94D7">
      <w:pPr>
        <w:pStyle w:val="42"/>
        <w:ind w:firstLine="480"/>
      </w:pPr>
      <w:r>
        <w:rPr>
          <w:rFonts w:hint="eastAsia"/>
        </w:rPr>
        <w:t>1</w:t>
      </w:r>
      <w:r>
        <w:t>.</w:t>
      </w:r>
      <w:r>
        <w:rPr>
          <w:rFonts w:hint="eastAsia"/>
        </w:rPr>
        <w:t>项目资金（包括财政资金、自筹资金等）安排落实、总投入等情况分析</w:t>
      </w:r>
    </w:p>
    <w:p w14:paraId="2480BF92">
      <w:pPr>
        <w:pStyle w:val="42"/>
        <w:ind w:firstLine="480"/>
      </w:pPr>
      <w:r>
        <w:rPr>
          <w:rFonts w:hint="eastAsia"/>
        </w:rPr>
        <w:t>202</w:t>
      </w:r>
      <w:r>
        <w:t>5</w:t>
      </w:r>
      <w:r>
        <w:rPr>
          <w:rFonts w:hint="eastAsia"/>
        </w:rPr>
        <w:t>年年初预算</w:t>
      </w:r>
      <w:r>
        <w:t>170</w:t>
      </w:r>
      <w:r>
        <w:rPr>
          <w:rFonts w:hint="eastAsia"/>
        </w:rPr>
        <w:t>万元，全年预算</w:t>
      </w:r>
      <w:r>
        <w:t>401.92</w:t>
      </w:r>
      <w:r>
        <w:rPr>
          <w:rFonts w:hint="eastAsia"/>
        </w:rPr>
        <w:t>万元，实际支出</w:t>
      </w:r>
      <w:r>
        <w:t>183.99</w:t>
      </w:r>
      <w:r>
        <w:rPr>
          <w:rFonts w:hint="eastAsia"/>
        </w:rPr>
        <w:t>万元。项目支出是指单位为完成特定行政工作任务或事业发展目标而发生的支出，包括有关事业发展专项、专项业务费、基本建设支出等。</w:t>
      </w:r>
    </w:p>
    <w:p w14:paraId="61DB6D3B">
      <w:pPr>
        <w:pStyle w:val="42"/>
        <w:ind w:firstLine="480"/>
      </w:pPr>
      <w:r>
        <w:rPr>
          <w:rFonts w:hint="eastAsia"/>
        </w:rPr>
        <w:t>2</w:t>
      </w:r>
      <w:r>
        <w:t>.</w:t>
      </w:r>
      <w:r>
        <w:rPr>
          <w:rFonts w:hint="eastAsia"/>
        </w:rPr>
        <w:t>项目资金（主要指财政资金）实际使用情况分析</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58"/>
        <w:gridCol w:w="1250"/>
        <w:gridCol w:w="1248"/>
        <w:gridCol w:w="1583"/>
        <w:gridCol w:w="1583"/>
      </w:tblGrid>
      <w:tr w14:paraId="578E5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1676" w:type="pct"/>
            <w:shd w:val="clear" w:color="auto" w:fill="FFFFFF"/>
            <w:noWrap/>
            <w:vAlign w:val="center"/>
          </w:tcPr>
          <w:p w14:paraId="2DDE8275">
            <w:pPr>
              <w:pStyle w:val="44"/>
              <w:ind w:firstLine="420"/>
              <w:rPr>
                <w:rFonts w:eastAsia="新宋体"/>
              </w:rPr>
            </w:pPr>
            <w:r>
              <w:rPr>
                <w:rFonts w:hint="eastAsia"/>
              </w:rPr>
              <w:t>一级项目名称</w:t>
            </w:r>
          </w:p>
        </w:tc>
        <w:tc>
          <w:tcPr>
            <w:tcW w:w="733" w:type="pct"/>
            <w:shd w:val="clear" w:color="auto" w:fill="FFFFFF"/>
            <w:vAlign w:val="center"/>
          </w:tcPr>
          <w:p w14:paraId="5E727925">
            <w:pPr>
              <w:pStyle w:val="44"/>
              <w:ind w:firstLine="0" w:firstLineChars="0"/>
            </w:pPr>
            <w:r>
              <w:rPr>
                <w:rFonts w:hint="eastAsia"/>
              </w:rPr>
              <w:t>上年结转</w:t>
            </w:r>
          </w:p>
          <w:p w14:paraId="1B636A4E">
            <w:pPr>
              <w:pStyle w:val="44"/>
              <w:ind w:firstLine="0" w:firstLineChars="0"/>
            </w:pPr>
            <w:r>
              <w:rPr>
                <w:rFonts w:hint="eastAsia"/>
              </w:rPr>
              <w:t>（万元）</w:t>
            </w:r>
          </w:p>
        </w:tc>
        <w:tc>
          <w:tcPr>
            <w:tcW w:w="732" w:type="pct"/>
            <w:shd w:val="clear" w:color="auto" w:fill="FFFFFF"/>
            <w:vAlign w:val="center"/>
          </w:tcPr>
          <w:p w14:paraId="5A10F233">
            <w:pPr>
              <w:pStyle w:val="44"/>
              <w:ind w:firstLine="210" w:firstLineChars="100"/>
            </w:pPr>
            <w:r>
              <w:rPr>
                <w:rFonts w:hint="eastAsia"/>
              </w:rPr>
              <w:t>预算数</w:t>
            </w:r>
          </w:p>
          <w:p w14:paraId="1C243AAF">
            <w:pPr>
              <w:pStyle w:val="44"/>
              <w:ind w:firstLine="0" w:firstLineChars="0"/>
            </w:pPr>
            <w:r>
              <w:rPr>
                <w:rFonts w:hint="eastAsia"/>
              </w:rPr>
              <w:t>（万元）</w:t>
            </w:r>
          </w:p>
        </w:tc>
        <w:tc>
          <w:tcPr>
            <w:tcW w:w="928" w:type="pct"/>
            <w:shd w:val="clear" w:color="auto" w:fill="FFFFFF"/>
            <w:vAlign w:val="center"/>
          </w:tcPr>
          <w:p w14:paraId="4D67A2A6">
            <w:pPr>
              <w:pStyle w:val="44"/>
              <w:ind w:firstLine="0" w:firstLineChars="0"/>
            </w:pPr>
            <w:r>
              <w:rPr>
                <w:rFonts w:hint="eastAsia"/>
              </w:rPr>
              <w:t>实际到位资金（万元）</w:t>
            </w:r>
          </w:p>
        </w:tc>
        <w:tc>
          <w:tcPr>
            <w:tcW w:w="928" w:type="pct"/>
            <w:shd w:val="clear" w:color="auto" w:fill="FFFFFF"/>
            <w:noWrap/>
            <w:vAlign w:val="center"/>
          </w:tcPr>
          <w:p w14:paraId="767AF14B">
            <w:pPr>
              <w:pStyle w:val="44"/>
              <w:ind w:firstLine="0" w:firstLineChars="0"/>
            </w:pPr>
            <w:r>
              <w:rPr>
                <w:rFonts w:hint="eastAsia"/>
              </w:rPr>
              <w:t>实际使用资金</w:t>
            </w:r>
          </w:p>
          <w:p w14:paraId="6FB72B47">
            <w:pPr>
              <w:pStyle w:val="44"/>
              <w:ind w:firstLine="0" w:firstLineChars="0"/>
              <w:rPr>
                <w:rFonts w:eastAsia="新宋体"/>
              </w:rPr>
            </w:pPr>
            <w:r>
              <w:rPr>
                <w:rFonts w:hint="eastAsia"/>
              </w:rPr>
              <w:t>（万元）</w:t>
            </w:r>
          </w:p>
        </w:tc>
      </w:tr>
      <w:tr w14:paraId="7C85A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1676" w:type="pct"/>
            <w:shd w:val="clear" w:color="auto" w:fill="FFFFFF"/>
            <w:noWrap/>
            <w:vAlign w:val="center"/>
          </w:tcPr>
          <w:p w14:paraId="7E05A39A">
            <w:pPr>
              <w:pStyle w:val="44"/>
              <w:ind w:firstLine="0" w:firstLineChars="0"/>
              <w:rPr>
                <w:rFonts w:eastAsia="新宋体"/>
              </w:rPr>
            </w:pPr>
            <w:r>
              <w:rPr>
                <w:rFonts w:hint="eastAsia" w:eastAsia="新宋体"/>
              </w:rPr>
              <w:t>招商引资经费</w:t>
            </w:r>
          </w:p>
        </w:tc>
        <w:tc>
          <w:tcPr>
            <w:tcW w:w="733" w:type="pct"/>
            <w:shd w:val="clear" w:color="auto" w:fill="FFFFFF"/>
            <w:vAlign w:val="center"/>
          </w:tcPr>
          <w:p w14:paraId="591ADB91">
            <w:pPr>
              <w:pStyle w:val="44"/>
              <w:ind w:firstLine="0" w:firstLineChars="0"/>
              <w:jc w:val="center"/>
            </w:pPr>
          </w:p>
        </w:tc>
        <w:tc>
          <w:tcPr>
            <w:tcW w:w="732" w:type="pct"/>
            <w:shd w:val="clear" w:color="auto" w:fill="FFFFFF"/>
            <w:vAlign w:val="center"/>
          </w:tcPr>
          <w:p w14:paraId="627734AC">
            <w:pPr>
              <w:pStyle w:val="44"/>
              <w:ind w:firstLine="0" w:firstLineChars="0"/>
              <w:jc w:val="center"/>
            </w:pPr>
            <w:r>
              <w:t>60</w:t>
            </w:r>
          </w:p>
        </w:tc>
        <w:tc>
          <w:tcPr>
            <w:tcW w:w="928" w:type="pct"/>
            <w:shd w:val="clear" w:color="auto" w:fill="FFFFFF"/>
            <w:vAlign w:val="center"/>
          </w:tcPr>
          <w:p w14:paraId="5BE4D7D1">
            <w:pPr>
              <w:pStyle w:val="44"/>
              <w:ind w:firstLine="0" w:firstLineChars="0"/>
              <w:jc w:val="center"/>
              <w:rPr>
                <w:rFonts w:hint="default" w:eastAsia="宋体"/>
                <w:lang w:val="en-US" w:eastAsia="zh-CN"/>
              </w:rPr>
            </w:pPr>
            <w:r>
              <w:rPr>
                <w:rFonts w:hint="eastAsia"/>
                <w:lang w:val="en-US" w:eastAsia="zh-CN"/>
              </w:rPr>
              <w:t>55.30</w:t>
            </w:r>
          </w:p>
        </w:tc>
        <w:tc>
          <w:tcPr>
            <w:tcW w:w="928" w:type="pct"/>
            <w:shd w:val="clear" w:color="auto" w:fill="FFFFFF"/>
            <w:noWrap/>
            <w:vAlign w:val="center"/>
          </w:tcPr>
          <w:p w14:paraId="1B637EA2">
            <w:pPr>
              <w:pStyle w:val="44"/>
              <w:ind w:firstLine="0" w:firstLineChars="0"/>
              <w:jc w:val="center"/>
              <w:rPr>
                <w:rFonts w:eastAsia="新宋体"/>
              </w:rPr>
            </w:pPr>
            <w:r>
              <w:t>55.30</w:t>
            </w:r>
          </w:p>
        </w:tc>
      </w:tr>
      <w:tr w14:paraId="778B7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1676" w:type="pct"/>
            <w:shd w:val="clear" w:color="auto" w:fill="FFFFFF"/>
            <w:noWrap/>
            <w:vAlign w:val="center"/>
          </w:tcPr>
          <w:p w14:paraId="51E65F51">
            <w:pPr>
              <w:pStyle w:val="44"/>
              <w:ind w:firstLine="0" w:firstLineChars="0"/>
              <w:rPr>
                <w:rFonts w:eastAsia="新宋体"/>
              </w:rPr>
            </w:pPr>
            <w:r>
              <w:rPr>
                <w:rFonts w:hint="eastAsia"/>
              </w:rPr>
              <w:t>维稳联络专项</w:t>
            </w:r>
          </w:p>
        </w:tc>
        <w:tc>
          <w:tcPr>
            <w:tcW w:w="733" w:type="pct"/>
            <w:shd w:val="clear" w:color="auto" w:fill="FFFFFF"/>
            <w:vAlign w:val="center"/>
          </w:tcPr>
          <w:p w14:paraId="204CDDED">
            <w:pPr>
              <w:pStyle w:val="44"/>
              <w:ind w:firstLine="0" w:firstLineChars="0"/>
              <w:jc w:val="center"/>
            </w:pPr>
          </w:p>
        </w:tc>
        <w:tc>
          <w:tcPr>
            <w:tcW w:w="732" w:type="pct"/>
            <w:shd w:val="clear" w:color="auto" w:fill="FFFFFF"/>
            <w:vAlign w:val="center"/>
          </w:tcPr>
          <w:p w14:paraId="4E79C2EE">
            <w:pPr>
              <w:pStyle w:val="44"/>
              <w:ind w:firstLine="0" w:firstLineChars="0"/>
              <w:jc w:val="center"/>
            </w:pPr>
            <w:r>
              <w:rPr>
                <w:rFonts w:hint="eastAsia"/>
              </w:rPr>
              <w:t>1</w:t>
            </w:r>
            <w:r>
              <w:t>0</w:t>
            </w:r>
          </w:p>
        </w:tc>
        <w:tc>
          <w:tcPr>
            <w:tcW w:w="928" w:type="pct"/>
            <w:shd w:val="clear" w:color="auto" w:fill="FFFFFF"/>
            <w:vAlign w:val="center"/>
          </w:tcPr>
          <w:p w14:paraId="0C5DC97F">
            <w:pPr>
              <w:pStyle w:val="44"/>
              <w:ind w:firstLine="0" w:firstLineChars="0"/>
              <w:jc w:val="center"/>
            </w:pPr>
            <w:r>
              <w:t>0</w:t>
            </w:r>
          </w:p>
        </w:tc>
        <w:tc>
          <w:tcPr>
            <w:tcW w:w="928" w:type="pct"/>
            <w:shd w:val="clear" w:color="auto" w:fill="FFFFFF"/>
            <w:noWrap/>
            <w:vAlign w:val="center"/>
          </w:tcPr>
          <w:p w14:paraId="3E3E1651">
            <w:pPr>
              <w:pStyle w:val="44"/>
              <w:ind w:firstLine="0" w:firstLineChars="0"/>
              <w:jc w:val="center"/>
              <w:rPr>
                <w:rFonts w:eastAsia="新宋体"/>
              </w:rPr>
            </w:pPr>
            <w:r>
              <w:t>0</w:t>
            </w:r>
          </w:p>
        </w:tc>
      </w:tr>
      <w:tr w14:paraId="0A4EF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1676" w:type="pct"/>
            <w:shd w:val="clear" w:color="auto" w:fill="FFFFFF"/>
            <w:noWrap/>
            <w:vAlign w:val="center"/>
          </w:tcPr>
          <w:p w14:paraId="1A637858">
            <w:pPr>
              <w:pStyle w:val="44"/>
              <w:ind w:firstLine="0" w:firstLineChars="0"/>
              <w:rPr>
                <w:rFonts w:eastAsia="新宋体"/>
              </w:rPr>
            </w:pPr>
            <w:r>
              <w:rPr>
                <w:rFonts w:hint="eastAsia"/>
              </w:rPr>
              <w:t>工作经费</w:t>
            </w:r>
          </w:p>
        </w:tc>
        <w:tc>
          <w:tcPr>
            <w:tcW w:w="733" w:type="pct"/>
            <w:shd w:val="clear" w:color="auto" w:fill="FFFFFF"/>
            <w:vAlign w:val="center"/>
          </w:tcPr>
          <w:p w14:paraId="3EBD3D96">
            <w:pPr>
              <w:pStyle w:val="44"/>
              <w:ind w:firstLine="420"/>
              <w:jc w:val="both"/>
            </w:pPr>
            <w:r>
              <w:t>18.31</w:t>
            </w:r>
          </w:p>
        </w:tc>
        <w:tc>
          <w:tcPr>
            <w:tcW w:w="732" w:type="pct"/>
            <w:shd w:val="clear" w:color="auto" w:fill="FFFFFF"/>
            <w:vAlign w:val="center"/>
          </w:tcPr>
          <w:p w14:paraId="3993EA58">
            <w:pPr>
              <w:pStyle w:val="44"/>
              <w:ind w:firstLine="0" w:firstLineChars="0"/>
              <w:jc w:val="center"/>
            </w:pPr>
          </w:p>
        </w:tc>
        <w:tc>
          <w:tcPr>
            <w:tcW w:w="928" w:type="pct"/>
            <w:shd w:val="clear" w:color="auto" w:fill="FFFFFF"/>
            <w:vAlign w:val="center"/>
          </w:tcPr>
          <w:p w14:paraId="4CCFFDCA">
            <w:pPr>
              <w:pStyle w:val="44"/>
              <w:ind w:firstLine="0" w:firstLineChars="0"/>
              <w:jc w:val="center"/>
            </w:pPr>
            <w:r>
              <w:rPr>
                <w:rFonts w:hint="eastAsia"/>
              </w:rPr>
              <w:t>1</w:t>
            </w:r>
            <w:r>
              <w:t>8.31</w:t>
            </w:r>
          </w:p>
        </w:tc>
        <w:tc>
          <w:tcPr>
            <w:tcW w:w="928" w:type="pct"/>
            <w:shd w:val="clear" w:color="auto" w:fill="FFFFFF"/>
            <w:noWrap/>
            <w:vAlign w:val="center"/>
          </w:tcPr>
          <w:p w14:paraId="42987890">
            <w:pPr>
              <w:pStyle w:val="44"/>
              <w:ind w:firstLine="0" w:firstLineChars="0"/>
              <w:jc w:val="center"/>
              <w:rPr>
                <w:rFonts w:eastAsia="新宋体"/>
              </w:rPr>
            </w:pPr>
            <w:r>
              <w:t>18.31</w:t>
            </w:r>
          </w:p>
        </w:tc>
      </w:tr>
      <w:tr w14:paraId="261F5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1676" w:type="pct"/>
            <w:shd w:val="clear" w:color="auto" w:fill="FFFFFF"/>
            <w:noWrap/>
            <w:vAlign w:val="center"/>
          </w:tcPr>
          <w:p w14:paraId="0D432F8C">
            <w:pPr>
              <w:pStyle w:val="44"/>
              <w:ind w:firstLine="0" w:firstLineChars="0"/>
            </w:pPr>
            <w:r>
              <w:rPr>
                <w:rFonts w:hint="eastAsia"/>
              </w:rPr>
              <w:t>新办公楼运行经费</w:t>
            </w:r>
          </w:p>
        </w:tc>
        <w:tc>
          <w:tcPr>
            <w:tcW w:w="733" w:type="pct"/>
            <w:shd w:val="clear" w:color="auto" w:fill="FFFFFF"/>
            <w:vAlign w:val="center"/>
          </w:tcPr>
          <w:p w14:paraId="112CB2F2">
            <w:pPr>
              <w:pStyle w:val="44"/>
              <w:ind w:firstLine="420"/>
              <w:jc w:val="center"/>
            </w:pPr>
          </w:p>
        </w:tc>
        <w:tc>
          <w:tcPr>
            <w:tcW w:w="732" w:type="pct"/>
            <w:shd w:val="clear" w:color="auto" w:fill="FFFFFF"/>
            <w:vAlign w:val="center"/>
          </w:tcPr>
          <w:p w14:paraId="5AEA7A95">
            <w:pPr>
              <w:pStyle w:val="44"/>
              <w:ind w:firstLine="0" w:firstLineChars="0"/>
              <w:jc w:val="center"/>
            </w:pPr>
            <w:r>
              <w:t>100</w:t>
            </w:r>
          </w:p>
        </w:tc>
        <w:tc>
          <w:tcPr>
            <w:tcW w:w="928" w:type="pct"/>
            <w:shd w:val="clear" w:color="auto" w:fill="FFFFFF"/>
            <w:vAlign w:val="center"/>
          </w:tcPr>
          <w:p w14:paraId="56B45F4F">
            <w:pPr>
              <w:pStyle w:val="44"/>
              <w:ind w:firstLine="0" w:firstLineChars="0"/>
              <w:jc w:val="center"/>
            </w:pPr>
            <w:r>
              <w:t>84.20</w:t>
            </w:r>
          </w:p>
        </w:tc>
        <w:tc>
          <w:tcPr>
            <w:tcW w:w="928" w:type="pct"/>
            <w:shd w:val="clear" w:color="auto" w:fill="FFFFFF"/>
            <w:noWrap/>
            <w:vAlign w:val="center"/>
          </w:tcPr>
          <w:p w14:paraId="5D478B20">
            <w:pPr>
              <w:pStyle w:val="44"/>
              <w:ind w:firstLine="0" w:firstLineChars="0"/>
              <w:jc w:val="center"/>
            </w:pPr>
            <w:r>
              <w:t>84.20</w:t>
            </w:r>
          </w:p>
        </w:tc>
      </w:tr>
      <w:tr w14:paraId="1C964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1676" w:type="pct"/>
            <w:shd w:val="clear" w:color="auto" w:fill="FFFFFF"/>
            <w:noWrap/>
            <w:vAlign w:val="center"/>
          </w:tcPr>
          <w:p w14:paraId="0DE3166A">
            <w:pPr>
              <w:pStyle w:val="44"/>
              <w:ind w:firstLine="0" w:firstLineChars="0"/>
            </w:pPr>
            <w:r>
              <w:rPr>
                <w:rFonts w:hint="eastAsia"/>
              </w:rPr>
              <w:t>业务用车处置的更换经费</w:t>
            </w:r>
          </w:p>
        </w:tc>
        <w:tc>
          <w:tcPr>
            <w:tcW w:w="733" w:type="pct"/>
            <w:shd w:val="clear" w:color="auto" w:fill="FFFFFF"/>
            <w:vAlign w:val="center"/>
          </w:tcPr>
          <w:p w14:paraId="2F9B3D55">
            <w:pPr>
              <w:pStyle w:val="44"/>
              <w:ind w:firstLine="420"/>
              <w:jc w:val="both"/>
              <w:rPr>
                <w:rFonts w:hint="default" w:eastAsia="宋体"/>
                <w:lang w:val="en-US" w:eastAsia="zh-CN"/>
              </w:rPr>
            </w:pPr>
            <w:r>
              <w:rPr>
                <w:rFonts w:hint="eastAsia"/>
              </w:rPr>
              <w:t>2</w:t>
            </w:r>
            <w:r>
              <w:rPr>
                <w:rFonts w:hint="eastAsia"/>
                <w:lang w:val="en-US" w:eastAsia="zh-CN"/>
              </w:rPr>
              <w:t>8.66</w:t>
            </w:r>
          </w:p>
        </w:tc>
        <w:tc>
          <w:tcPr>
            <w:tcW w:w="732" w:type="pct"/>
            <w:shd w:val="clear" w:color="auto" w:fill="FFFFFF"/>
            <w:vAlign w:val="center"/>
          </w:tcPr>
          <w:p w14:paraId="0F114310">
            <w:pPr>
              <w:pStyle w:val="44"/>
              <w:ind w:firstLine="0" w:firstLineChars="0"/>
              <w:jc w:val="center"/>
            </w:pPr>
          </w:p>
        </w:tc>
        <w:tc>
          <w:tcPr>
            <w:tcW w:w="928" w:type="pct"/>
            <w:shd w:val="clear" w:color="auto" w:fill="FFFFFF"/>
            <w:vAlign w:val="center"/>
          </w:tcPr>
          <w:p w14:paraId="6114FC72">
            <w:pPr>
              <w:pStyle w:val="44"/>
              <w:ind w:firstLine="0" w:firstLineChars="0"/>
              <w:jc w:val="center"/>
              <w:rPr>
                <w:rFonts w:hint="default" w:eastAsia="宋体"/>
                <w:lang w:val="en-US" w:eastAsia="zh-CN"/>
              </w:rPr>
            </w:pPr>
            <w:r>
              <w:rPr>
                <w:rFonts w:hint="eastAsia"/>
              </w:rPr>
              <w:t>2</w:t>
            </w:r>
            <w:r>
              <w:rPr>
                <w:rFonts w:hint="eastAsia"/>
                <w:lang w:val="en-US" w:eastAsia="zh-CN"/>
              </w:rPr>
              <w:t>8.66</w:t>
            </w:r>
          </w:p>
        </w:tc>
        <w:tc>
          <w:tcPr>
            <w:tcW w:w="928" w:type="pct"/>
            <w:shd w:val="clear" w:color="auto" w:fill="FFFFFF"/>
            <w:noWrap/>
            <w:vAlign w:val="center"/>
          </w:tcPr>
          <w:p w14:paraId="33EE898D">
            <w:pPr>
              <w:pStyle w:val="44"/>
              <w:ind w:firstLine="0" w:firstLineChars="0"/>
              <w:jc w:val="center"/>
            </w:pPr>
            <w:r>
              <w:t>26.18</w:t>
            </w:r>
          </w:p>
        </w:tc>
      </w:tr>
      <w:tr w14:paraId="544E0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1676" w:type="pct"/>
            <w:shd w:val="clear" w:color="auto" w:fill="FFFFFF"/>
            <w:noWrap/>
            <w:vAlign w:val="center"/>
          </w:tcPr>
          <w:p w14:paraId="10EB23D5">
            <w:pPr>
              <w:pStyle w:val="44"/>
              <w:ind w:firstLine="0" w:firstLineChars="0"/>
              <w:rPr>
                <w:rFonts w:eastAsia="新宋体"/>
              </w:rPr>
            </w:pPr>
            <w:r>
              <w:rPr>
                <w:rFonts w:hint="eastAsia"/>
              </w:rPr>
              <w:t>合计</w:t>
            </w:r>
          </w:p>
        </w:tc>
        <w:tc>
          <w:tcPr>
            <w:tcW w:w="733" w:type="pct"/>
            <w:shd w:val="clear" w:color="auto" w:fill="FFFFFF"/>
            <w:vAlign w:val="center"/>
          </w:tcPr>
          <w:p w14:paraId="0CDC9579">
            <w:pPr>
              <w:pStyle w:val="44"/>
              <w:ind w:firstLine="0" w:firstLineChars="0"/>
              <w:jc w:val="both"/>
              <w:rPr>
                <w:rFonts w:hint="default" w:eastAsia="宋体"/>
                <w:lang w:val="en-US" w:eastAsia="zh-CN"/>
              </w:rPr>
            </w:pPr>
            <w:r>
              <w:rPr>
                <w:rFonts w:hint="eastAsia"/>
                <w:lang w:val="en-US" w:eastAsia="zh-CN"/>
              </w:rPr>
              <w:t xml:space="preserve">   46.97</w:t>
            </w:r>
          </w:p>
        </w:tc>
        <w:tc>
          <w:tcPr>
            <w:tcW w:w="732" w:type="pct"/>
            <w:shd w:val="clear" w:color="auto" w:fill="FFFFFF"/>
            <w:vAlign w:val="center"/>
          </w:tcPr>
          <w:p w14:paraId="2F97F98A">
            <w:pPr>
              <w:pStyle w:val="44"/>
              <w:ind w:firstLine="0" w:firstLineChars="0"/>
              <w:jc w:val="center"/>
            </w:pPr>
            <w:r>
              <w:t>170</w:t>
            </w:r>
          </w:p>
        </w:tc>
        <w:tc>
          <w:tcPr>
            <w:tcW w:w="928" w:type="pct"/>
            <w:shd w:val="clear" w:color="auto" w:fill="FFFFFF"/>
            <w:vAlign w:val="center"/>
          </w:tcPr>
          <w:p w14:paraId="22D8E0EC">
            <w:pPr>
              <w:pStyle w:val="44"/>
              <w:ind w:firstLine="0" w:firstLineChars="0"/>
              <w:jc w:val="center"/>
              <w:rPr>
                <w:rFonts w:hint="default" w:eastAsia="新宋体"/>
                <w:lang w:val="en-US" w:eastAsia="zh-CN"/>
              </w:rPr>
            </w:pPr>
            <w:r>
              <w:rPr>
                <w:rFonts w:eastAsia="新宋体"/>
              </w:rPr>
              <w:t>18</w:t>
            </w:r>
            <w:r>
              <w:rPr>
                <w:rFonts w:hint="eastAsia" w:eastAsia="新宋体"/>
                <w:lang w:val="en-US" w:eastAsia="zh-CN"/>
              </w:rPr>
              <w:t>6.47</w:t>
            </w:r>
          </w:p>
        </w:tc>
        <w:tc>
          <w:tcPr>
            <w:tcW w:w="928" w:type="pct"/>
            <w:shd w:val="clear" w:color="auto" w:fill="FFFFFF"/>
            <w:noWrap/>
            <w:vAlign w:val="center"/>
          </w:tcPr>
          <w:p w14:paraId="77A273F5">
            <w:pPr>
              <w:pStyle w:val="44"/>
              <w:ind w:firstLine="0" w:firstLineChars="0"/>
              <w:jc w:val="center"/>
              <w:rPr>
                <w:rFonts w:eastAsia="新宋体"/>
              </w:rPr>
            </w:pPr>
            <w:r>
              <w:rPr>
                <w:rFonts w:eastAsia="新宋体"/>
              </w:rPr>
              <w:t>183.99</w:t>
            </w:r>
          </w:p>
        </w:tc>
      </w:tr>
    </w:tbl>
    <w:p w14:paraId="4EAF9FB5">
      <w:pPr>
        <w:pStyle w:val="42"/>
        <w:ind w:firstLine="480"/>
      </w:pPr>
      <w:r>
        <w:rPr>
          <w:rFonts w:hint="eastAsia"/>
        </w:rPr>
        <w:t>招商引资经费、工作经费主要用于保证开展政务联络、招商引资、接待服务、搜集与传输信息、对外宣传工作、信访事项的化解、维护首都稳定等工作的开支，新办公楼运行经费用于驻京办新办公楼运行开支，业务用车处置的更换经费用于旧车处置更换新车经费。</w:t>
      </w:r>
    </w:p>
    <w:p w14:paraId="537E8ABA">
      <w:pPr>
        <w:pStyle w:val="42"/>
        <w:ind w:firstLine="482"/>
        <w:rPr>
          <w:b/>
          <w:bCs/>
        </w:rPr>
      </w:pPr>
      <w:r>
        <w:rPr>
          <w:rFonts w:hint="eastAsia"/>
          <w:b/>
          <w:bCs/>
        </w:rPr>
        <w:t>三、项目组织实施情况</w:t>
      </w:r>
    </w:p>
    <w:p w14:paraId="44605F2A">
      <w:pPr>
        <w:pStyle w:val="42"/>
        <w:ind w:firstLine="480"/>
      </w:pPr>
      <w:r>
        <w:rPr>
          <w:rFonts w:hint="eastAsia"/>
        </w:rPr>
        <w:t>我单位在项目组织实施管理方面取得了显著成效。通过构建完善的项目组织体系、明确职责分工与协调机制、加强进度管理和质量管理等措施，确保了项目的顺利实施和高效推进。同时，我单位也将不断优化和完善项目实施管理的各个环节，增强政府驻京办项目资金使用效率。</w:t>
      </w:r>
    </w:p>
    <w:p w14:paraId="181B51BB">
      <w:pPr>
        <w:pStyle w:val="42"/>
        <w:ind w:firstLine="480"/>
      </w:pPr>
      <w:r>
        <w:rPr>
          <w:rFonts w:hint="eastAsia"/>
        </w:rPr>
        <w:t>在资金使用和管理方面，我单位严格按照财政制度相关要求，坚持专款专用，按项目核算，严格按照规定的范围、标准和程序，加强专项资金的使用管理，确保了专项资金使用管理的规范性、安全性和有效性。</w:t>
      </w:r>
    </w:p>
    <w:p w14:paraId="1BC9CA6B">
      <w:pPr>
        <w:pStyle w:val="42"/>
        <w:ind w:firstLine="482"/>
        <w:rPr>
          <w:b/>
          <w:bCs/>
        </w:rPr>
      </w:pPr>
      <w:r>
        <w:rPr>
          <w:rFonts w:hint="eastAsia"/>
          <w:b/>
          <w:bCs/>
        </w:rPr>
        <w:t>四、资产管理情况</w:t>
      </w:r>
    </w:p>
    <w:p w14:paraId="76BA6DA9">
      <w:pPr>
        <w:pStyle w:val="42"/>
        <w:ind w:firstLine="480"/>
      </w:pPr>
      <w:r>
        <w:rPr>
          <w:rFonts w:hint="eastAsia"/>
        </w:rPr>
        <w:t>2</w:t>
      </w:r>
      <w:r>
        <w:t>025</w:t>
      </w:r>
      <w:r>
        <w:rPr>
          <w:rFonts w:hint="eastAsia"/>
        </w:rPr>
        <w:t>年，我单位资产总额</w:t>
      </w:r>
      <w:r>
        <w:t>225.73</w:t>
      </w:r>
      <w:r>
        <w:rPr>
          <w:rFonts w:hint="eastAsia"/>
        </w:rPr>
        <w:t>万元，2</w:t>
      </w:r>
      <w:r>
        <w:t>025</w:t>
      </w:r>
      <w:r>
        <w:rPr>
          <w:rFonts w:hint="eastAsia"/>
        </w:rPr>
        <w:t>年新增车辆1台，移交机关事务局别克车1台，价值3</w:t>
      </w:r>
      <w:r>
        <w:t>6.30</w:t>
      </w:r>
      <w:r>
        <w:rPr>
          <w:rFonts w:hint="eastAsia"/>
        </w:rPr>
        <w:t>万元，报废奥迪车1台，价值2</w:t>
      </w:r>
      <w:r>
        <w:t>8.58</w:t>
      </w:r>
      <w:r>
        <w:rPr>
          <w:rFonts w:hint="eastAsia"/>
        </w:rPr>
        <w:t>万元。2</w:t>
      </w:r>
      <w:r>
        <w:t>025</w:t>
      </w:r>
      <w:r>
        <w:rPr>
          <w:rFonts w:hint="eastAsia"/>
        </w:rPr>
        <w:t>年固定资产净值</w:t>
      </w:r>
      <w:r>
        <w:t>58.11</w:t>
      </w:r>
      <w:r>
        <w:rPr>
          <w:rFonts w:hint="eastAsia"/>
        </w:rPr>
        <w:t>万元，流动资产</w:t>
      </w:r>
      <w:r>
        <w:t>167.62</w:t>
      </w:r>
      <w:r>
        <w:rPr>
          <w:rFonts w:hint="eastAsia"/>
        </w:rPr>
        <w:t>万元。资产结构合理，资产负债率</w:t>
      </w:r>
      <w:r>
        <w:t>5.72</w:t>
      </w:r>
      <w:r>
        <w:rPr>
          <w:rFonts w:hint="eastAsia"/>
        </w:rPr>
        <w:t>%，保持在合理范围内，资产质量良好。</w:t>
      </w:r>
    </w:p>
    <w:p w14:paraId="56B60861">
      <w:pPr>
        <w:pStyle w:val="42"/>
        <w:ind w:firstLine="480"/>
      </w:pPr>
      <w:r>
        <w:t>（一）</w:t>
      </w:r>
      <w:r>
        <w:rPr>
          <w:rFonts w:hint="eastAsia"/>
        </w:rPr>
        <w:t>固定资产管理情况</w:t>
      </w:r>
    </w:p>
    <w:p w14:paraId="44F7DA8C">
      <w:pPr>
        <w:pStyle w:val="42"/>
        <w:ind w:firstLine="480"/>
      </w:pPr>
      <w:r>
        <w:t>我单位对固定资产建立了台账，对固定资产进行了分类清查和盘点，确保资产的真实性和准确性，同时加强了固定资产的维护和保养工作，提高了固定资产的使用寿命和价值。增减固定资产，严格按照机关事务局及财政局的规定和要求办理审批手续。</w:t>
      </w:r>
    </w:p>
    <w:p w14:paraId="002A2AE0">
      <w:pPr>
        <w:pStyle w:val="42"/>
        <w:ind w:firstLine="480"/>
      </w:pPr>
      <w:r>
        <w:t>（</w:t>
      </w:r>
      <w:r>
        <w:rPr>
          <w:rFonts w:hint="eastAsia"/>
        </w:rPr>
        <w:t>二</w:t>
      </w:r>
      <w:r>
        <w:t>）流动资产管理情况</w:t>
      </w:r>
    </w:p>
    <w:p w14:paraId="5E6B5F3F">
      <w:pPr>
        <w:pStyle w:val="42"/>
        <w:ind w:firstLine="480"/>
      </w:pPr>
      <w:r>
        <w:t>对于流动资产，我单位建立了严格的采购、使用和报废制度，加强了对现金、存货和应收款项的监管和管理，确保了资金的安全和有效利用。</w:t>
      </w:r>
    </w:p>
    <w:p w14:paraId="3FDE947F">
      <w:pPr>
        <w:pStyle w:val="42"/>
        <w:ind w:firstLine="482"/>
        <w:rPr>
          <w:b/>
          <w:bCs/>
        </w:rPr>
      </w:pPr>
      <w:r>
        <w:rPr>
          <w:rFonts w:hint="eastAsia"/>
          <w:b/>
          <w:bCs/>
        </w:rPr>
        <w:t>五、政府性基金预算支出情况</w:t>
      </w:r>
    </w:p>
    <w:p w14:paraId="737D0D92">
      <w:pPr>
        <w:pStyle w:val="42"/>
        <w:ind w:firstLine="480"/>
      </w:pPr>
      <w:r>
        <w:rPr>
          <w:rFonts w:hint="eastAsia"/>
        </w:rPr>
        <w:t>202</w:t>
      </w:r>
      <w:r>
        <w:t>5</w:t>
      </w:r>
      <w:r>
        <w:rPr>
          <w:rFonts w:hint="eastAsia"/>
        </w:rPr>
        <w:t>年无政府性基金预算支出。</w:t>
      </w:r>
    </w:p>
    <w:p w14:paraId="1ABA1D21">
      <w:pPr>
        <w:pStyle w:val="42"/>
        <w:ind w:firstLine="482"/>
        <w:rPr>
          <w:b/>
          <w:bCs/>
        </w:rPr>
      </w:pPr>
      <w:r>
        <w:rPr>
          <w:rFonts w:hint="eastAsia"/>
          <w:b/>
          <w:bCs/>
        </w:rPr>
        <w:t>六、国有资本经营预算支出情况</w:t>
      </w:r>
    </w:p>
    <w:p w14:paraId="5E0C2B99">
      <w:pPr>
        <w:pStyle w:val="42"/>
        <w:ind w:firstLine="480"/>
      </w:pPr>
      <w:r>
        <w:rPr>
          <w:rFonts w:hint="eastAsia"/>
        </w:rPr>
        <w:t>202</w:t>
      </w:r>
      <w:r>
        <w:t>5</w:t>
      </w:r>
      <w:r>
        <w:rPr>
          <w:rFonts w:hint="eastAsia"/>
        </w:rPr>
        <w:t>年无国有资本经营预算支出。</w:t>
      </w:r>
    </w:p>
    <w:p w14:paraId="09CE4FC0">
      <w:pPr>
        <w:pStyle w:val="42"/>
        <w:ind w:firstLine="482"/>
        <w:rPr>
          <w:b/>
          <w:bCs/>
        </w:rPr>
      </w:pPr>
      <w:r>
        <w:rPr>
          <w:rFonts w:hint="eastAsia"/>
          <w:b/>
          <w:bCs/>
        </w:rPr>
        <w:t>七、社会保险基金预算支出情况</w:t>
      </w:r>
    </w:p>
    <w:p w14:paraId="6B24D9C2">
      <w:pPr>
        <w:pStyle w:val="42"/>
        <w:ind w:firstLine="480"/>
      </w:pPr>
      <w:r>
        <w:rPr>
          <w:rFonts w:hint="eastAsia"/>
        </w:rPr>
        <w:t>202</w:t>
      </w:r>
      <w:r>
        <w:t>5</w:t>
      </w:r>
      <w:r>
        <w:rPr>
          <w:rFonts w:hint="eastAsia"/>
        </w:rPr>
        <w:t>年无社会保险基金预算支出。</w:t>
      </w:r>
    </w:p>
    <w:p w14:paraId="1F06D530">
      <w:pPr>
        <w:pStyle w:val="42"/>
        <w:ind w:firstLine="482"/>
        <w:rPr>
          <w:b/>
          <w:bCs/>
        </w:rPr>
      </w:pPr>
      <w:r>
        <w:rPr>
          <w:rFonts w:hint="eastAsia"/>
          <w:b/>
          <w:bCs/>
        </w:rPr>
        <w:t>八、部门整体支出绩效情况</w:t>
      </w:r>
    </w:p>
    <w:p w14:paraId="1299952F">
      <w:pPr>
        <w:pStyle w:val="42"/>
        <w:ind w:firstLine="480"/>
      </w:pPr>
      <w:r>
        <w:t>（一）综合评价结论</w:t>
      </w:r>
    </w:p>
    <w:p w14:paraId="5FAFC41B">
      <w:pPr>
        <w:pStyle w:val="42"/>
        <w:ind w:firstLine="480"/>
      </w:pPr>
      <w:r>
        <w:rPr>
          <w:rFonts w:hint="eastAsia"/>
        </w:rPr>
        <w:t>根据部门整体支出绩效评价指标规定的内容，经我单位认真自评，总评分为100分，实际得分</w:t>
      </w:r>
      <w:r>
        <w:rPr>
          <w:rFonts w:hint="eastAsia"/>
          <w:lang w:val="en-US" w:eastAsia="zh-CN"/>
        </w:rPr>
        <w:t>95.41</w:t>
      </w:r>
      <w:r>
        <w:rPr>
          <w:rFonts w:hint="eastAsia"/>
        </w:rPr>
        <w:t>分，202</w:t>
      </w:r>
      <w:r>
        <w:t>5</w:t>
      </w:r>
      <w:r>
        <w:rPr>
          <w:rFonts w:hint="eastAsia"/>
        </w:rPr>
        <w:t>年度部门整体绩效评价为优秀。</w:t>
      </w:r>
    </w:p>
    <w:p w14:paraId="1583C356">
      <w:pPr>
        <w:pStyle w:val="42"/>
        <w:ind w:firstLine="480"/>
      </w:pPr>
      <w:r>
        <w:rPr>
          <w:rFonts w:hint="eastAsia"/>
        </w:rPr>
        <w:t>我单位按照市级部门预决算编制通知和有关要求，按时完成预决算编制工作，并及时在网上进行预决算公开。部门整体绩效目标编制完整、合理，项目绩效目标编制明确、量化。按要求严格预算执行管理，及时足额将专项资金按指标拨付。严格执行“三公经费”预算，按要求及时公开预算、决算、绩效等信息。按要求及时、准确、全面开展资产清查工作，上报国有资产报表数据真实、准确、全面。内部控制制度健全完整并执行良好，在本年度内未出现廉政风险。</w:t>
      </w:r>
    </w:p>
    <w:p w14:paraId="04B09ACE">
      <w:pPr>
        <w:pStyle w:val="42"/>
        <w:ind w:firstLine="480"/>
      </w:pPr>
      <w:r>
        <w:t>（二）评价指标分析</w:t>
      </w:r>
    </w:p>
    <w:p w14:paraId="69CCC251">
      <w:pPr>
        <w:pStyle w:val="42"/>
        <w:ind w:firstLine="480"/>
      </w:pPr>
      <w:r>
        <w:rPr>
          <w:rFonts w:hint="eastAsia"/>
        </w:rPr>
        <w:t>我单位围绕部门职责、行业发展规划，以预算资金管理为主线，从整体绩效目标设定、预算配置、预算执行、预算管理、资产管理、职责履行、履职效益等方面综合分析。总结归纳本部门支出的绩效目标完成情况。</w:t>
      </w:r>
    </w:p>
    <w:p w14:paraId="660655B9">
      <w:pPr>
        <w:pStyle w:val="42"/>
        <w:ind w:firstLine="480"/>
      </w:pPr>
      <w:r>
        <w:rPr>
          <w:rFonts w:hint="eastAsia"/>
        </w:rPr>
        <w:t>1.强化政治引领，筑牢政治忠诚</w:t>
      </w:r>
    </w:p>
    <w:p w14:paraId="464ECB37">
      <w:pPr>
        <w:pStyle w:val="42"/>
        <w:ind w:firstLine="480"/>
      </w:pPr>
      <w:r>
        <w:rPr>
          <w:rFonts w:hint="eastAsia"/>
        </w:rPr>
        <w:t>（1）</w:t>
      </w:r>
      <w:r>
        <w:t>抓实政治机关建设。常态化开展理想信念教育、政治机关意识教育、对党忠诚教育，引导驻京联络处党员干部深刻领悟“两个确立”的决定性意义、做到“两个维护”。严明党的政治纪律和政治规矩，严格党内法规制度执行，抓好重大事项请示报告制度的贯彻执行。</w:t>
      </w:r>
    </w:p>
    <w:p w14:paraId="081F6B14">
      <w:pPr>
        <w:pStyle w:val="42"/>
        <w:ind w:firstLine="480"/>
      </w:pPr>
      <w:r>
        <w:rPr>
          <w:rFonts w:hint="eastAsia"/>
        </w:rPr>
        <w:t>（2）</w:t>
      </w:r>
      <w:r>
        <w:t>坚持不懈强化理论武装。深入学习中央八项规定</w:t>
      </w:r>
      <w:r>
        <w:rPr>
          <w:rFonts w:hint="eastAsia"/>
          <w:lang w:eastAsia="zh-CN"/>
        </w:rPr>
        <w:t>精神</w:t>
      </w:r>
      <w:r>
        <w:t>，自今年3月学习教育启动以来，驻京党支部坚持把高起点高标准高质量做好中央八项</w:t>
      </w:r>
      <w:r>
        <w:rPr>
          <w:rFonts w:hint="eastAsia"/>
          <w:lang w:eastAsia="zh-CN"/>
        </w:rPr>
        <w:t>规定精神</w:t>
      </w:r>
      <w:r>
        <w:t>学习教育作为一项重大政治任务，组织学习习近平总书记关于加强党的作风建设的重要论述和中央八项规定及其实施细则精神，对标对表中央八项规定及其实施细则精神，驻京联络处党支部学习累计6次，集中研讨3次，支部书记授党课1次，警示教育1次。对照《违反中央八项规定及其实施细则精神问题清单》和《隐形变异的作风问题清单》，认真查摆存在的问题并逐一整改。推动过紧日子成为党政机关常态，制止餐饮浪费行为。坚</w:t>
      </w:r>
      <w:r>
        <w:rPr>
          <w:rFonts w:hint="eastAsia"/>
        </w:rPr>
        <w:t>持联系实际学，做到学以致用、</w:t>
      </w:r>
      <w:r>
        <w:rPr>
          <w:rFonts w:hint="eastAsia"/>
          <w:lang w:eastAsia="zh-CN"/>
        </w:rPr>
        <w:t>知行</w:t>
      </w:r>
      <w:r>
        <w:rPr>
          <w:rFonts w:hint="eastAsia"/>
        </w:rPr>
        <w:t>合一，增强理论学习的针对性，推动驻京工作的强大动力。</w:t>
      </w:r>
    </w:p>
    <w:p w14:paraId="39F6A528">
      <w:pPr>
        <w:pStyle w:val="42"/>
        <w:ind w:firstLine="480"/>
      </w:pPr>
      <w:r>
        <w:rPr>
          <w:rFonts w:hint="eastAsia"/>
        </w:rPr>
        <w:t>（3）</w:t>
      </w:r>
      <w:r>
        <w:t>严格落实意识形态工作责任。联络处党支部全年开展1次专题研究意识形态工作，强化意识形态分析研判2次，到北京怀化企业商会宣讲1次，集中强化学习了习近平书记系列重要讲话</w:t>
      </w:r>
      <w:r>
        <w:rPr>
          <w:rFonts w:hint="eastAsia"/>
          <w:lang w:eastAsia="zh-CN"/>
        </w:rPr>
        <w:t>精神</w:t>
      </w:r>
      <w:r>
        <w:t>、重要指示精神和中央、上级党委关于意识形态工作的重大决策部署，教育引导驻京联络处全体党员捍卫</w:t>
      </w:r>
      <w:r>
        <w:rPr>
          <w:rFonts w:hint="eastAsia"/>
        </w:rPr>
        <w:t>“</w:t>
      </w:r>
      <w:r>
        <w:t>两个确立</w:t>
      </w:r>
      <w:r>
        <w:rPr>
          <w:rFonts w:hint="eastAsia"/>
        </w:rPr>
        <w:t>”</w:t>
      </w:r>
      <w:r>
        <w:t>、增强</w:t>
      </w:r>
      <w:r>
        <w:rPr>
          <w:rFonts w:hint="eastAsia"/>
        </w:rPr>
        <w:t>“</w:t>
      </w:r>
      <w:r>
        <w:t>四个意识</w:t>
      </w:r>
      <w:r>
        <w:rPr>
          <w:rFonts w:hint="eastAsia"/>
        </w:rPr>
        <w:t>”</w:t>
      </w:r>
      <w:r>
        <w:t>、坚定</w:t>
      </w:r>
      <w:r>
        <w:rPr>
          <w:rFonts w:hint="eastAsia"/>
        </w:rPr>
        <w:t>“</w:t>
      </w:r>
      <w:r>
        <w:t>四个自信</w:t>
      </w:r>
      <w:r>
        <w:rPr>
          <w:rFonts w:hint="eastAsia"/>
        </w:rPr>
        <w:t>”</w:t>
      </w:r>
      <w:r>
        <w:t>、做到</w:t>
      </w:r>
      <w:r>
        <w:rPr>
          <w:rFonts w:hint="eastAsia"/>
        </w:rPr>
        <w:t>“</w:t>
      </w:r>
      <w:r>
        <w:t>两个维护</w:t>
      </w:r>
      <w:r>
        <w:rPr>
          <w:rFonts w:hint="eastAsia"/>
        </w:rPr>
        <w:t>”</w:t>
      </w:r>
      <w:r>
        <w:t>，自觉在思想上政治上行动上以习近平同志为核心的党中央保持高度一致，加强意识形态阵地建设和管理。</w:t>
      </w:r>
    </w:p>
    <w:p w14:paraId="785279B4">
      <w:pPr>
        <w:pStyle w:val="42"/>
        <w:ind w:firstLine="480"/>
      </w:pPr>
      <w:r>
        <w:rPr>
          <w:rFonts w:hint="eastAsia"/>
        </w:rPr>
        <w:t>2.服务大局激活了新质能</w:t>
      </w:r>
    </w:p>
    <w:p w14:paraId="6E00EE70">
      <w:pPr>
        <w:pStyle w:val="42"/>
        <w:ind w:firstLine="480"/>
      </w:pPr>
      <w:r>
        <w:rPr>
          <w:rFonts w:hint="eastAsia"/>
        </w:rPr>
        <w:t>（1）</w:t>
      </w:r>
      <w:r>
        <w:t>招商引资工作成效显著</w:t>
      </w:r>
    </w:p>
    <w:p w14:paraId="11FA7750">
      <w:pPr>
        <w:pStyle w:val="42"/>
        <w:ind w:firstLine="480"/>
      </w:pPr>
      <w:r>
        <w:rPr>
          <w:rFonts w:hint="eastAsia"/>
        </w:rPr>
        <w:t>紧扣市委、市政府中心工作，积极牵线搭桥、担当作为。一是央企合作对接成果初显。全年累计开展招商推介活动</w:t>
      </w:r>
      <w:r>
        <w:t>28场，拜访央企国企及重点企业139家，对接商协会42家，推动一批重大项目签约落地，实现招商引资规模与质量双提升。重大项目攻坚成效显著，引进亿元级以上项目14个，30%的项目实现“当年签约、当年开工”，落地效率位居全省同类专班前列。</w:t>
      </w:r>
    </w:p>
    <w:p w14:paraId="09664CC2">
      <w:pPr>
        <w:pStyle w:val="42"/>
        <w:ind w:firstLine="480"/>
      </w:pPr>
      <w:r>
        <w:rPr>
          <w:rFonts w:hint="eastAsia"/>
        </w:rPr>
        <w:t>积极响应省专班号召，主动出击，精准发力。专班协助辰溪县政府与中国兵器工业集团就辰溪碳纤维产业暨军用箱包达成深度合作意向。该项目聚焦怀化市国际箱包产业链，计划投资</w:t>
      </w:r>
      <w:r>
        <w:t>5亿元，旨在打造一个集研发、生产、销售于一体的综合性碳纤维和军用应急箱包产业基地。项目建成后，将有效整合怀化市的产业资源，提升产业附加值，预计可带动上下游产业协同发展，新增就业岗位千余个，为地方经济增长注入强劲动力。二是重大招商引资成效显著。专班组织联络了副市长带队调研考察了星河动力集团，就星河动力集团的电子元器件和火箭推动器核心配件加工项目，进行了</w:t>
      </w:r>
      <w:r>
        <w:rPr>
          <w:rFonts w:hint="eastAsia"/>
        </w:rPr>
        <w:t>考察洽谈。怀化市高新区与星河动力集团进行了深度交流，正在制定招商方案。引进了华西希望集团拟投资怀化市木薯产业园，该项目总投资</w:t>
      </w:r>
      <w:r>
        <w:t>6亿元，主要涉及木薯片和木薯淀粉进口贸易、工业木薯淀粉加工生产、木薯提炼酒精、加工农膜、加工胶水、加工一次性餐具、食用木薯深加工等项目。</w:t>
      </w:r>
    </w:p>
    <w:p w14:paraId="56E649B0">
      <w:pPr>
        <w:pStyle w:val="42"/>
        <w:ind w:firstLine="480"/>
      </w:pPr>
      <w:r>
        <w:rPr>
          <w:rFonts w:hint="eastAsia"/>
        </w:rPr>
        <w:t>（2）</w:t>
      </w:r>
      <w:r>
        <w:t>接待联络水平稳步提升</w:t>
      </w:r>
    </w:p>
    <w:p w14:paraId="7F55A7BC">
      <w:pPr>
        <w:pStyle w:val="42"/>
        <w:ind w:firstLine="480"/>
      </w:pPr>
      <w:r>
        <w:rPr>
          <w:rFonts w:hint="eastAsia"/>
        </w:rPr>
        <w:t>一是主动加强怀化市各级领导在京的政务、商务、公务活动、学习培训等的服务保障，加强部委、国企、央企的联络对接工作，不断提升协调服务的能力水平。高质量完成了全国“两会”代表赴京等重要接待工作，全年做好了市级领导和市有关部门来京汇报工作的全程服务工作，为市领导、市直部门（县市区）和项目单位赴京公务人员在京重大的联络工作提供便捷周到的服务。截</w:t>
      </w:r>
      <w:r>
        <w:rPr>
          <w:rFonts w:hint="eastAsia"/>
          <w:lang w:eastAsia="zh-CN"/>
        </w:rPr>
        <w:t>至</w:t>
      </w:r>
      <w:r>
        <w:rPr>
          <w:rFonts w:hint="eastAsia"/>
        </w:rPr>
        <w:t>目前，全年</w:t>
      </w:r>
      <w:r>
        <w:t>2025年共接待怀化来京公务人员共81批530余人次；全年拜访国家发改委、国家卫健委、工信部、财政部、自然资源部、中宣部等国家部委20余次，同时配合县市区领导对接部委、央企领导20余次。</w:t>
      </w:r>
    </w:p>
    <w:p w14:paraId="39761BCC">
      <w:pPr>
        <w:pStyle w:val="42"/>
        <w:ind w:firstLine="480"/>
      </w:pPr>
      <w:r>
        <w:t>二是联络拜访原国家领导人，常态化走访拜访怀化籍在京知名人士、曾经在怀化工作过的领导、贤达和企业家，争取支持怀化发展。将</w:t>
      </w:r>
      <w:r>
        <w:rPr>
          <w:rFonts w:hint="eastAsia"/>
        </w:rPr>
        <w:t>招才引智作为重点突破方向，先后拜访对接唐智勇、丁洪、方忠、李春来等院士，助力我市电子信息、新能源、新材料、生物医药等产业发展领域深化合作。今年，在做好联络保障服务的同时，严格贯彻落实中央八项规定及其实施细则精神，进一步规范接待服务工作。</w:t>
      </w:r>
    </w:p>
    <w:p w14:paraId="4694F451">
      <w:pPr>
        <w:pStyle w:val="42"/>
        <w:ind w:firstLine="480"/>
      </w:pPr>
      <w:r>
        <w:rPr>
          <w:rFonts w:hint="eastAsia"/>
        </w:rPr>
        <w:t>（3）</w:t>
      </w:r>
      <w:r>
        <w:t>强化沟通对接力度</w:t>
      </w:r>
    </w:p>
    <w:p w14:paraId="1D2D7895">
      <w:pPr>
        <w:pStyle w:val="42"/>
        <w:ind w:firstLine="480"/>
      </w:pPr>
      <w:r>
        <w:rPr>
          <w:rFonts w:hint="eastAsia"/>
        </w:rPr>
        <w:t>一是做好与国家各部委的政务联系沟通，畅通联络渠道，组织协调我市相关对外宣传活动，提升怀化品牌形象。</w:t>
      </w:r>
      <w:r>
        <w:t>2025年10月17日，我处协同市农业农村局参加第二十二届中国国际农产品交易会，有力扩大了怀化农产品品牌效应；2025年8月21日，配合省文化和旅游厅、市人民政府在京举办</w:t>
      </w:r>
      <w:r>
        <w:rPr>
          <w:rFonts w:hint="eastAsia"/>
        </w:rPr>
        <w:t>“</w:t>
      </w:r>
      <w:r>
        <w:t>2025湖南文旅产业招商推介（文旅科技专场）活动</w:t>
      </w:r>
      <w:r>
        <w:rPr>
          <w:rFonts w:hint="eastAsia"/>
        </w:rPr>
        <w:t>”</w:t>
      </w:r>
      <w:r>
        <w:t>；2025年10月12日，为</w:t>
      </w:r>
      <w:r>
        <w:rPr>
          <w:rFonts w:hint="eastAsia"/>
        </w:rPr>
        <w:t>“</w:t>
      </w:r>
      <w:r>
        <w:t>智汇潇湘 才聚湖南</w:t>
      </w:r>
      <w:r>
        <w:rPr>
          <w:rFonts w:hint="eastAsia"/>
        </w:rPr>
        <w:t>”</w:t>
      </w:r>
      <w:r>
        <w:t>行动北京站专场招聘活动提供协调服</w:t>
      </w:r>
      <w:r>
        <w:rPr>
          <w:rFonts w:hint="eastAsia"/>
          <w:lang w:eastAsia="zh-CN"/>
        </w:rPr>
        <w:t>务</w:t>
      </w:r>
      <w:r>
        <w:t>；为市委市政府及相关部门赴京就怀化生态产品价值实现建设、舞水灌区建设、怀桂高铁建设规划、洪江古商城评级等工作做好</w:t>
      </w:r>
      <w:r>
        <w:rPr>
          <w:rFonts w:hint="eastAsia"/>
        </w:rPr>
        <w:t>联络协调服务。</w:t>
      </w:r>
    </w:p>
    <w:p w14:paraId="28FEE317">
      <w:pPr>
        <w:pStyle w:val="42"/>
        <w:ind w:firstLine="480"/>
      </w:pPr>
      <w:r>
        <w:rPr>
          <w:rFonts w:hint="eastAsia"/>
        </w:rPr>
        <w:t>二是加强对京津冀单位、企业、商会组织等在负责区域资源和工作的协调指导。推动</w:t>
      </w:r>
      <w:r>
        <w:t>48家企业为发起人单位成立北京怀化企业商会。积极推介我市优势资源，重视发挥生态、人脉等资源优势，不断提升我市对外影响力。</w:t>
      </w:r>
    </w:p>
    <w:p w14:paraId="0C7A9096">
      <w:pPr>
        <w:pStyle w:val="42"/>
        <w:ind w:firstLine="480"/>
      </w:pPr>
      <w:r>
        <w:t>三是紧盯中央部署和国家战略，特别瞄准中央一揽子稳经济政策，重点加强与国家发改委、财政部、商务部等部委办局的沟通渠道，广泛与在京央企、知名高校院所、重要协会组织等开展联络对接，在政策、资金、项目上争支持，进一步深化</w:t>
      </w:r>
      <w:r>
        <w:rPr>
          <w:rFonts w:hint="eastAsia"/>
        </w:rPr>
        <w:t>“</w:t>
      </w:r>
      <w:r>
        <w:t>湘商回归</w:t>
      </w:r>
      <w:r>
        <w:rPr>
          <w:rFonts w:hint="eastAsia"/>
        </w:rPr>
        <w:t>”</w:t>
      </w:r>
      <w:r>
        <w:t>活动，鼓励引导湘商回怀投资。陪同市委市政府主要领导带队赴京开展叩门招商12次，与</w:t>
      </w:r>
      <w:r>
        <w:rPr>
          <w:rFonts w:hint="eastAsia"/>
        </w:rPr>
        <w:t>中国能源建设集团、中国五矿集团、中铁五局、信达集团等近</w:t>
      </w:r>
      <w:r>
        <w:t>90家央企国企高层进行深度洽谈，建立战略对接机制。搭建平台化合作载体，依托全球湘商大会、经贸博览会等重要活动，成功邀请68家央企省企领导参会交流，组织</w:t>
      </w:r>
      <w:r>
        <w:rPr>
          <w:rFonts w:hint="eastAsia"/>
        </w:rPr>
        <w:t>“</w:t>
      </w:r>
      <w:r>
        <w:t>怀化—京津冀产业合作推介会</w:t>
      </w:r>
      <w:r>
        <w:rPr>
          <w:rFonts w:hint="eastAsia"/>
        </w:rPr>
        <w:t>”、“</w:t>
      </w:r>
      <w:r>
        <w:t>央企入怀专题对接会</w:t>
      </w:r>
      <w:r>
        <w:rPr>
          <w:rFonts w:hint="eastAsia"/>
        </w:rPr>
        <w:t>”</w:t>
      </w:r>
      <w:r>
        <w:t>等特色活动8场，其中在京举办的</w:t>
      </w:r>
      <w:r>
        <w:rPr>
          <w:rFonts w:hint="eastAsia"/>
        </w:rPr>
        <w:t>“</w:t>
      </w:r>
      <w:r>
        <w:t>陆港经济与央企合作高峰论坛</w:t>
      </w:r>
      <w:r>
        <w:rPr>
          <w:rFonts w:hint="eastAsia"/>
        </w:rPr>
        <w:t>”</w:t>
      </w:r>
      <w:r>
        <w:t>吸引150余家企业参与，扩大怀化投资影响力。</w:t>
      </w:r>
    </w:p>
    <w:p w14:paraId="70CF36BB">
      <w:pPr>
        <w:pStyle w:val="42"/>
        <w:ind w:firstLine="480"/>
      </w:pPr>
      <w:r>
        <w:rPr>
          <w:rFonts w:hint="eastAsia"/>
        </w:rPr>
        <w:t>（4）</w:t>
      </w:r>
      <w:r>
        <w:t>信访维稳工作有序推进</w:t>
      </w:r>
    </w:p>
    <w:p w14:paraId="6FDA8DFB">
      <w:pPr>
        <w:pStyle w:val="42"/>
        <w:ind w:firstLine="480"/>
      </w:pPr>
      <w:r>
        <w:t>2025年，我处主动配合怀化市驻京维稳办及积极配合各县区、信访部门，加强与中央、省直有关机关和北京市有关部门的联系，落实信访维稳联动工作机制，全力做好全国</w:t>
      </w:r>
      <w:r>
        <w:rPr>
          <w:rFonts w:hint="eastAsia"/>
        </w:rPr>
        <w:t>“</w:t>
      </w:r>
      <w:r>
        <w:t>两会</w:t>
      </w:r>
      <w:r>
        <w:rPr>
          <w:rFonts w:hint="eastAsia"/>
        </w:rPr>
        <w:t>”</w:t>
      </w:r>
      <w:r>
        <w:t>、北戴河暑期值班、</w:t>
      </w:r>
      <w:r>
        <w:rPr>
          <w:rFonts w:hint="eastAsia"/>
        </w:rPr>
        <w:t>九三</w:t>
      </w:r>
      <w:r>
        <w:t>阅兵、二十届四中全会等重大活动特护期维稳。截</w:t>
      </w:r>
      <w:r>
        <w:rPr>
          <w:rFonts w:hint="eastAsia"/>
          <w:lang w:eastAsia="zh-CN"/>
        </w:rPr>
        <w:t>至</w:t>
      </w:r>
      <w:r>
        <w:t>目前，全市共在京、环京处置涉访涉稳人员338批次12人次，同比下降14%。其中，非接待场所登记8批次12人次，同比上升50%；社会面登记30批39人次，同比下降20%；在京外围查控300批356人次，同比下降19%。国家信访局越级走访登记共218批222人次，同比下降3%</w:t>
      </w:r>
      <w:r>
        <w:rPr>
          <w:rFonts w:hint="eastAsia"/>
          <w:lang w:eastAsia="zh-CN"/>
        </w:rPr>
        <w:t>，</w:t>
      </w:r>
      <w:r>
        <w:t>确保了全</w:t>
      </w:r>
      <w:r>
        <w:rPr>
          <w:rFonts w:hint="eastAsia"/>
        </w:rPr>
        <w:t>市没有发生大规模进京上访和聚集，没有发生因信访问题引发的重大</w:t>
      </w:r>
      <w:r>
        <w:rPr>
          <w:rFonts w:hint="eastAsia"/>
          <w:lang w:eastAsia="zh-CN"/>
        </w:rPr>
        <w:t>群</w:t>
      </w:r>
      <w:bookmarkStart w:id="0" w:name="_GoBack"/>
      <w:bookmarkEnd w:id="0"/>
      <w:r>
        <w:rPr>
          <w:rFonts w:hint="eastAsia"/>
        </w:rPr>
        <w:t>体性事件，没有发生因工作不当引发的负面炒作，全市进京上访形势总体平稳向好，维护本地形象，做好了维护首都稳定的有关工作。</w:t>
      </w:r>
    </w:p>
    <w:p w14:paraId="41F8E41D">
      <w:pPr>
        <w:pStyle w:val="42"/>
        <w:ind w:firstLine="480"/>
      </w:pPr>
      <w:r>
        <w:rPr>
          <w:rFonts w:hint="eastAsia"/>
        </w:rPr>
        <w:t>（5）</w:t>
      </w:r>
      <w:r>
        <w:t>扎实抓好巡察审计整改工作</w:t>
      </w:r>
    </w:p>
    <w:p w14:paraId="48F169AE">
      <w:pPr>
        <w:pStyle w:val="42"/>
        <w:ind w:firstLine="482"/>
        <w:rPr>
          <w:b/>
          <w:bCs/>
        </w:rPr>
      </w:pPr>
      <w:r>
        <w:rPr>
          <w:rFonts w:hint="eastAsia"/>
          <w:b/>
          <w:bCs/>
        </w:rPr>
        <w:t>九、存在的问题及原因分析</w:t>
      </w:r>
    </w:p>
    <w:p w14:paraId="7E9E16A5">
      <w:pPr>
        <w:pStyle w:val="42"/>
        <w:ind w:firstLine="480"/>
      </w:pPr>
      <w:r>
        <w:rPr>
          <w:rFonts w:hint="eastAsia"/>
        </w:rPr>
        <w:t>（一）全面预算绩效管理工作经验不太丰富，绩效管理专业人员匮乏，规范管理有盲点。</w:t>
      </w:r>
    </w:p>
    <w:p w14:paraId="1F3E99EE">
      <w:pPr>
        <w:pStyle w:val="42"/>
        <w:ind w:firstLine="480"/>
      </w:pPr>
      <w:r>
        <w:rPr>
          <w:rFonts w:hint="eastAsia"/>
        </w:rPr>
        <w:t>（二）部门预算编制的科学化、精细化有待提高。目前，预算编制要求经济科目细化到款级，但在实际编制过程中，由于有的预算支出项目具有预测性和不确定性等特点，造成实际支出与预算编制不符。</w:t>
      </w:r>
    </w:p>
    <w:p w14:paraId="7E8ABA44">
      <w:pPr>
        <w:pStyle w:val="42"/>
        <w:ind w:firstLine="482"/>
        <w:rPr>
          <w:b/>
          <w:bCs/>
        </w:rPr>
      </w:pPr>
      <w:r>
        <w:rPr>
          <w:rFonts w:hint="eastAsia"/>
          <w:b/>
          <w:bCs/>
        </w:rPr>
        <w:t>十、下一步改进措施</w:t>
      </w:r>
    </w:p>
    <w:p w14:paraId="2FFFF857">
      <w:pPr>
        <w:pStyle w:val="42"/>
        <w:ind w:firstLine="480"/>
      </w:pPr>
      <w:r>
        <w:rPr>
          <w:rFonts w:hint="eastAsia"/>
        </w:rPr>
        <w:t>（一）我们将更加全面、细致地制定绩效目标，进一步严肃财经纪律，在实施过程中遵循“实事求是、尊重客观、力求精准”的原则，努力使项目资金落到实处。</w:t>
      </w:r>
    </w:p>
    <w:p w14:paraId="53329736">
      <w:pPr>
        <w:pStyle w:val="42"/>
        <w:ind w:firstLine="480"/>
      </w:pPr>
      <w:r>
        <w:rPr>
          <w:rFonts w:hint="eastAsia"/>
        </w:rPr>
        <w:t>（二）我们将落实内控制度，严肃执行“三重一大”的原则，深入开展政府购买社会化服务，切实引进社会化竞争机制，引进相关专业人才，保障项目在公开、公平、公正的监督环境中实施，有效节约项目资金，把有限的资金用在刀刃上。</w:t>
      </w:r>
    </w:p>
    <w:p w14:paraId="5E79FBA7">
      <w:pPr>
        <w:pStyle w:val="42"/>
        <w:ind w:firstLine="480"/>
      </w:pPr>
      <w:r>
        <w:rPr>
          <w:rFonts w:hint="eastAsia"/>
        </w:rPr>
        <w:t>（三）加强对财政资金的拨付和使用管理，加强对财务干部职工的业务培训，强化预算管理意识，严格执行预算，做到按项目核算，确保专款专用。</w:t>
      </w:r>
    </w:p>
    <w:p w14:paraId="6026466E">
      <w:pPr>
        <w:pStyle w:val="42"/>
        <w:ind w:firstLine="482"/>
        <w:rPr>
          <w:b/>
          <w:bCs/>
        </w:rPr>
      </w:pPr>
      <w:r>
        <w:rPr>
          <w:rFonts w:hint="eastAsia"/>
          <w:b/>
          <w:bCs/>
        </w:rPr>
        <w:t>十一、绩效自评结果拟应用和公开情况</w:t>
      </w:r>
    </w:p>
    <w:p w14:paraId="5D92C28B">
      <w:pPr>
        <w:pStyle w:val="42"/>
        <w:ind w:firstLine="480"/>
      </w:pPr>
      <w:r>
        <w:rPr>
          <w:rFonts w:hint="eastAsia"/>
        </w:rPr>
        <w:t>我单位将针对绩效自评中发现的问题，加强与相关业务部门的沟通协调，采取切实可行的整改举措并落实到位，进一步重视绩效考核激励作用，扎实做好绩效评价工作，提高财政资金的使用效益。同时，按照统一部署，在财政网站公开2</w:t>
      </w:r>
      <w:r>
        <w:t>025</w:t>
      </w:r>
      <w:r>
        <w:rPr>
          <w:rFonts w:hint="eastAsia"/>
        </w:rPr>
        <w:t>年度部门整体支出绩效自评报告，接受社会监督。</w:t>
      </w:r>
    </w:p>
    <w:p w14:paraId="2B054E66">
      <w:pPr>
        <w:pStyle w:val="42"/>
        <w:ind w:firstLine="482"/>
        <w:rPr>
          <w:b/>
          <w:bCs/>
        </w:rPr>
      </w:pPr>
      <w:r>
        <w:rPr>
          <w:rFonts w:hint="eastAsia"/>
          <w:b/>
          <w:bCs/>
        </w:rPr>
        <w:t>十二、其他需要说明的情况</w:t>
      </w:r>
    </w:p>
    <w:p w14:paraId="397D44DB">
      <w:pPr>
        <w:pStyle w:val="42"/>
        <w:ind w:firstLine="480"/>
        <w:rPr>
          <w:rFonts w:hint="default" w:eastAsia="宋体"/>
          <w:lang w:val="en-US" w:eastAsia="zh-CN"/>
        </w:rPr>
      </w:pPr>
      <w:r>
        <w:rPr>
          <w:rFonts w:hint="eastAsia"/>
        </w:rPr>
        <w:t>自评报告的数据来自于</w:t>
      </w:r>
      <w:r>
        <w:rPr>
          <w:rFonts w:hint="eastAsia"/>
          <w:lang w:val="en-US" w:eastAsia="zh-CN"/>
        </w:rPr>
        <w:t>2024年、</w:t>
      </w:r>
      <w:r>
        <w:rPr>
          <w:rFonts w:hint="eastAsia"/>
        </w:rPr>
        <w:t>2</w:t>
      </w:r>
      <w:r>
        <w:t>025</w:t>
      </w:r>
      <w:r>
        <w:rPr>
          <w:rFonts w:hint="eastAsia"/>
        </w:rPr>
        <w:t>年部门决算报告</w:t>
      </w:r>
      <w:r>
        <w:rPr>
          <w:rFonts w:hint="eastAsia"/>
          <w:lang w:eastAsia="zh-CN"/>
        </w:rPr>
        <w:t>，</w:t>
      </w:r>
      <w:r>
        <w:rPr>
          <w:rFonts w:hint="eastAsia"/>
          <w:lang w:val="en-US" w:eastAsia="zh-CN"/>
        </w:rPr>
        <w:t>2025年预算批复。</w:t>
      </w:r>
    </w:p>
    <w:p w14:paraId="0995FF2D">
      <w:pPr>
        <w:pStyle w:val="42"/>
        <w:ind w:firstLine="480"/>
      </w:pPr>
      <w:r>
        <w:rPr>
          <w:rFonts w:hint="eastAsia"/>
        </w:rPr>
        <w:t>报告包括以下附件：</w:t>
      </w:r>
    </w:p>
    <w:p w14:paraId="7B8D9CBC">
      <w:pPr>
        <w:pStyle w:val="42"/>
        <w:ind w:firstLine="480"/>
      </w:pPr>
      <w:r>
        <w:rPr>
          <w:rFonts w:hint="eastAsia"/>
        </w:rPr>
        <w:t xml:space="preserve">1.部门整体支出绩效评价基础数据表  </w:t>
      </w:r>
    </w:p>
    <w:p w14:paraId="2D549736">
      <w:pPr>
        <w:pStyle w:val="42"/>
        <w:ind w:firstLine="480"/>
      </w:pPr>
      <w:r>
        <w:rPr>
          <w:rFonts w:hint="eastAsia"/>
        </w:rPr>
        <w:t>2.部门整体支出绩效自评表</w:t>
      </w:r>
    </w:p>
    <w:p w14:paraId="15598826">
      <w:pPr>
        <w:pStyle w:val="42"/>
        <w:ind w:firstLine="480"/>
        <w:rPr>
          <w:rFonts w:hint="eastAsia"/>
        </w:rPr>
      </w:pPr>
      <w:r>
        <w:rPr>
          <w:rFonts w:hint="eastAsia"/>
        </w:rPr>
        <w:t>3</w:t>
      </w:r>
      <w:r>
        <w:t>.</w:t>
      </w:r>
      <w:r>
        <w:rPr>
          <w:rFonts w:hint="eastAsia"/>
        </w:rPr>
        <w:t>项目支出绩效自评表</w:t>
      </w:r>
    </w:p>
    <w:p w14:paraId="320BF7BD">
      <w:pPr>
        <w:pStyle w:val="42"/>
        <w:ind w:firstLine="480"/>
        <w:rPr>
          <w:rFonts w:hint="default" w:eastAsia="宋体"/>
          <w:lang w:val="en-US" w:eastAsia="zh-CN"/>
        </w:rPr>
      </w:pPr>
      <w:r>
        <w:rPr>
          <w:rFonts w:hint="eastAsia"/>
          <w:lang w:val="en-US" w:eastAsia="zh-CN"/>
        </w:rPr>
        <w:t>4.2025年部门决算报告</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等线">
    <w:altName w:val="汉仪中宋简"/>
    <w:panose1 w:val="02010600030101010101"/>
    <w:charset w:val="86"/>
    <w:family w:val="auto"/>
    <w:pitch w:val="default"/>
    <w:sig w:usb0="00000000" w:usb1="00000000" w:usb2="00000016" w:usb3="00000000" w:csb0="0004000F" w:csb1="00000000"/>
  </w:font>
  <w:font w:name="汉仪中宋简">
    <w:panose1 w:val="02010600000101010101"/>
    <w:charset w:val="86"/>
    <w:family w:val="auto"/>
    <w:pitch w:val="default"/>
    <w:sig w:usb0="00000001" w:usb1="080E0800" w:usb2="00000002" w:usb3="00000000" w:csb0="00040000" w:csb1="00000000"/>
  </w:font>
  <w:font w:name="等线">
    <w:altName w:val="仿宋_GB2312"/>
    <w:panose1 w:val="00000000000000000000"/>
    <w:charset w:val="86"/>
    <w:family w:val="auto"/>
    <w:pitch w:val="default"/>
    <w:sig w:usb0="00000000" w:usb1="00000000" w:usb2="00000000" w:usb3="00000000" w:csb0="00000000" w:csb1="00000000"/>
  </w:font>
  <w:font w:name="等线">
    <w:altName w:val="仿宋_GB2312"/>
    <w:panose1 w:val="00000000000000000000"/>
    <w:charset w:val="00"/>
    <w:family w:val="auto"/>
    <w:pitch w:val="default"/>
    <w:sig w:usb0="00000000" w:usb1="00000000" w:usb2="00000000" w:usb3="00000000" w:csb0="00000000" w:csb1="00000000"/>
  </w:font>
  <w:font w:name="等线 Light">
    <w:altName w:val="汉仪中宋简"/>
    <w:panose1 w:val="02010600030101010101"/>
    <w:charset w:val="86"/>
    <w:family w:val="auto"/>
    <w:pitch w:val="default"/>
    <w:sig w:usb0="00000000" w:usb1="00000000" w:usb2="00000016" w:usb3="00000000" w:csb0="0004000F" w:csb1="00000000"/>
  </w:font>
  <w:font w:name="微软雅黑">
    <w:altName w:val="方正黑体_GBK"/>
    <w:panose1 w:val="020B0503020204020204"/>
    <w:charset w:val="86"/>
    <w:family w:val="swiss"/>
    <w:pitch w:val="default"/>
    <w:sig w:usb0="00000000" w:usb1="00000000" w:usb2="00000016" w:usb3="00000000" w:csb0="0004001F" w:csb1="00000000"/>
  </w:font>
  <w:font w:name="方正黑体_GBK">
    <w:panose1 w:val="02000000000000000000"/>
    <w:charset w:val="86"/>
    <w:family w:val="auto"/>
    <w:pitch w:val="default"/>
    <w:sig w:usb0="00000001" w:usb1="08000000" w:usb2="00000000" w:usb3="00000000" w:csb0="00040000" w:csb1="00000000"/>
  </w:font>
  <w:font w:name="DLF-3-0-1061508550+ZLTFEy-360">
    <w:altName w:val="仿宋_GB2312"/>
    <w:panose1 w:val="00000000000000000000"/>
    <w:charset w:val="00"/>
    <w:family w:val="roman"/>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方正仿宋简体">
    <w:altName w:val="方正仿宋_GBK"/>
    <w:panose1 w:val="00000000000000000000"/>
    <w:charset w:val="86"/>
    <w:family w:val="auto"/>
    <w:pitch w:val="default"/>
    <w:sig w:usb0="00000000" w:usb1="00000000"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roman"/>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楷体_GB2312">
    <w:panose1 w:val="02010609030101010101"/>
    <w:charset w:val="86"/>
    <w:family w:val="roma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新宋体">
    <w:altName w:val="方正书宋_GBK"/>
    <w:panose1 w:val="02010609030101010101"/>
    <w:charset w:val="86"/>
    <w:family w:val="modern"/>
    <w:pitch w:val="default"/>
    <w:sig w:usb0="00000000" w:usb1="00000000" w:usb2="00000006" w:usb3="00000000" w:csb0="00040001" w:csb1="00000000"/>
  </w:font>
  <w:font w:name="DejaVu Sans">
    <w:panose1 w:val="020B0603030804020204"/>
    <w:charset w:val="00"/>
    <w:family w:val="auto"/>
    <w:pitch w:val="default"/>
    <w:sig w:usb0="E7006EFF" w:usb1="D200FDFF" w:usb2="0A246029" w:usb3="0400200C" w:csb0="600001FF" w:csb1="DFFF0000"/>
  </w:font>
  <w:font w:name="Noto Sans CJK JP Bold">
    <w:panose1 w:val="020B0800000000000000"/>
    <w:charset w:val="86"/>
    <w:family w:val="auto"/>
    <w:pitch w:val="default"/>
    <w:sig w:usb0="30000003" w:usb1="2BDF3C10" w:usb2="00000016" w:usb3="00000000" w:csb0="602E0107" w:csb1="00000000"/>
  </w:font>
  <w:font w:name="文泉驿微米黑">
    <w:panose1 w:val="020B0606030804020204"/>
    <w:charset w:val="86"/>
    <w:family w:val="auto"/>
    <w:pitch w:val="default"/>
    <w:sig w:usb0="E10002EF" w:usb1="6BDFFCFB" w:usb2="00800036" w:usb3="00000000" w:csb0="603E019F" w:csb1="DFD70000"/>
  </w:font>
  <w:font w:name="等线 Light">
    <w:altName w:val="仿宋_GB2312"/>
    <w:panose1 w:val="00000000000000000000"/>
    <w:charset w:val="00"/>
    <w:family w:val="auto"/>
    <w:pitch w:val="default"/>
    <w:sig w:usb0="00000000" w:usb1="00000000" w:usb2="00000000" w:usb3="00000000" w:csb0="00000000" w:csb1="00000000"/>
  </w:font>
  <w:font w:name="Noto Music">
    <w:panose1 w:val="020B0502040504020204"/>
    <w:charset w:val="00"/>
    <w:family w:val="auto"/>
    <w:pitch w:val="default"/>
    <w:sig w:usb0="00000003" w:usb1="02006000" w:usb2="01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14:paraId="554295FC">
        <w:pPr>
          <w:pStyle w:val="15"/>
          <w:jc w:val="center"/>
        </w:pPr>
        <w:r>
          <w:fldChar w:fldCharType="begin"/>
        </w:r>
        <w:r>
          <w:instrText xml:space="preserve">PAGE   \* MERGEFORMAT</w:instrText>
        </w:r>
        <w:r>
          <w:fldChar w:fldCharType="separate"/>
        </w:r>
        <w:r>
          <w:rPr>
            <w:lang w:val="zh-CN"/>
          </w:rPr>
          <w:t>8</w:t>
        </w:r>
        <w: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hideSpellingErrors/>
  <w:documentProtection w:enforcement="0"/>
  <w:defaultTabStop w:val="420"/>
  <w:drawingGridHorizontalSpacing w:val="181"/>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44D6"/>
    <w:rsid w:val="000000E6"/>
    <w:rsid w:val="000001A6"/>
    <w:rsid w:val="00000743"/>
    <w:rsid w:val="00000F4E"/>
    <w:rsid w:val="00000F50"/>
    <w:rsid w:val="0000100A"/>
    <w:rsid w:val="00001614"/>
    <w:rsid w:val="00002995"/>
    <w:rsid w:val="00002FB6"/>
    <w:rsid w:val="000034F0"/>
    <w:rsid w:val="00003F09"/>
    <w:rsid w:val="0000532B"/>
    <w:rsid w:val="000058D0"/>
    <w:rsid w:val="00007088"/>
    <w:rsid w:val="000075AE"/>
    <w:rsid w:val="00007666"/>
    <w:rsid w:val="00007E74"/>
    <w:rsid w:val="00010441"/>
    <w:rsid w:val="0001068B"/>
    <w:rsid w:val="00010AAF"/>
    <w:rsid w:val="00011C8D"/>
    <w:rsid w:val="0001239D"/>
    <w:rsid w:val="0001251D"/>
    <w:rsid w:val="00012A35"/>
    <w:rsid w:val="00012F21"/>
    <w:rsid w:val="00012F55"/>
    <w:rsid w:val="0001360E"/>
    <w:rsid w:val="00013F83"/>
    <w:rsid w:val="000143A5"/>
    <w:rsid w:val="0001514A"/>
    <w:rsid w:val="000155A4"/>
    <w:rsid w:val="00015DB2"/>
    <w:rsid w:val="00016BD1"/>
    <w:rsid w:val="0001726E"/>
    <w:rsid w:val="0001749E"/>
    <w:rsid w:val="00017A67"/>
    <w:rsid w:val="00017F83"/>
    <w:rsid w:val="00020E17"/>
    <w:rsid w:val="00021524"/>
    <w:rsid w:val="00022E76"/>
    <w:rsid w:val="0002380D"/>
    <w:rsid w:val="00023A34"/>
    <w:rsid w:val="00024953"/>
    <w:rsid w:val="00024C19"/>
    <w:rsid w:val="00024E55"/>
    <w:rsid w:val="00024EC5"/>
    <w:rsid w:val="00025855"/>
    <w:rsid w:val="000264B2"/>
    <w:rsid w:val="00027B50"/>
    <w:rsid w:val="00027CBD"/>
    <w:rsid w:val="000312DC"/>
    <w:rsid w:val="000315E9"/>
    <w:rsid w:val="00033C09"/>
    <w:rsid w:val="00033E5A"/>
    <w:rsid w:val="0003508D"/>
    <w:rsid w:val="00036493"/>
    <w:rsid w:val="0003652E"/>
    <w:rsid w:val="00036B19"/>
    <w:rsid w:val="0003700A"/>
    <w:rsid w:val="0003730C"/>
    <w:rsid w:val="00037DFC"/>
    <w:rsid w:val="00040116"/>
    <w:rsid w:val="00040735"/>
    <w:rsid w:val="000407E6"/>
    <w:rsid w:val="0004138D"/>
    <w:rsid w:val="0004274C"/>
    <w:rsid w:val="0004296C"/>
    <w:rsid w:val="00042A57"/>
    <w:rsid w:val="00042DD6"/>
    <w:rsid w:val="00042EEC"/>
    <w:rsid w:val="000431EA"/>
    <w:rsid w:val="000444D6"/>
    <w:rsid w:val="0004489F"/>
    <w:rsid w:val="0004577C"/>
    <w:rsid w:val="000460D1"/>
    <w:rsid w:val="000468A2"/>
    <w:rsid w:val="00046D79"/>
    <w:rsid w:val="00047101"/>
    <w:rsid w:val="00047C8C"/>
    <w:rsid w:val="000514EB"/>
    <w:rsid w:val="0005291D"/>
    <w:rsid w:val="0005304D"/>
    <w:rsid w:val="00053356"/>
    <w:rsid w:val="0005424B"/>
    <w:rsid w:val="00054851"/>
    <w:rsid w:val="00054986"/>
    <w:rsid w:val="00054F46"/>
    <w:rsid w:val="000555FB"/>
    <w:rsid w:val="00056C5D"/>
    <w:rsid w:val="00056D19"/>
    <w:rsid w:val="000604BD"/>
    <w:rsid w:val="000612C8"/>
    <w:rsid w:val="0006133F"/>
    <w:rsid w:val="00062A8B"/>
    <w:rsid w:val="00063605"/>
    <w:rsid w:val="0006410F"/>
    <w:rsid w:val="00064155"/>
    <w:rsid w:val="000642BA"/>
    <w:rsid w:val="00064793"/>
    <w:rsid w:val="00066433"/>
    <w:rsid w:val="00066F3E"/>
    <w:rsid w:val="00071096"/>
    <w:rsid w:val="00071305"/>
    <w:rsid w:val="00071F30"/>
    <w:rsid w:val="00073086"/>
    <w:rsid w:val="0007369A"/>
    <w:rsid w:val="00074188"/>
    <w:rsid w:val="000747B6"/>
    <w:rsid w:val="00074C51"/>
    <w:rsid w:val="000754AB"/>
    <w:rsid w:val="00075684"/>
    <w:rsid w:val="00075EE1"/>
    <w:rsid w:val="00076D96"/>
    <w:rsid w:val="0007700F"/>
    <w:rsid w:val="00077F3E"/>
    <w:rsid w:val="00080C16"/>
    <w:rsid w:val="00081A16"/>
    <w:rsid w:val="00082EF3"/>
    <w:rsid w:val="00083EBE"/>
    <w:rsid w:val="00083F5F"/>
    <w:rsid w:val="00085062"/>
    <w:rsid w:val="0008596E"/>
    <w:rsid w:val="00085D3C"/>
    <w:rsid w:val="0008638C"/>
    <w:rsid w:val="00086BE4"/>
    <w:rsid w:val="00087092"/>
    <w:rsid w:val="000879C0"/>
    <w:rsid w:val="0009003E"/>
    <w:rsid w:val="00090534"/>
    <w:rsid w:val="00091055"/>
    <w:rsid w:val="00091300"/>
    <w:rsid w:val="0009233A"/>
    <w:rsid w:val="0009251B"/>
    <w:rsid w:val="00092654"/>
    <w:rsid w:val="000932B5"/>
    <w:rsid w:val="00093504"/>
    <w:rsid w:val="00093B93"/>
    <w:rsid w:val="00093D91"/>
    <w:rsid w:val="00095B80"/>
    <w:rsid w:val="00095B8E"/>
    <w:rsid w:val="00095BBB"/>
    <w:rsid w:val="000962E2"/>
    <w:rsid w:val="00097AD2"/>
    <w:rsid w:val="00097CA7"/>
    <w:rsid w:val="00097F54"/>
    <w:rsid w:val="000A066E"/>
    <w:rsid w:val="000A1902"/>
    <w:rsid w:val="000A2743"/>
    <w:rsid w:val="000A2FAF"/>
    <w:rsid w:val="000A3C2A"/>
    <w:rsid w:val="000A4F87"/>
    <w:rsid w:val="000A52A8"/>
    <w:rsid w:val="000A546B"/>
    <w:rsid w:val="000A5482"/>
    <w:rsid w:val="000A596F"/>
    <w:rsid w:val="000A6B24"/>
    <w:rsid w:val="000A7EBA"/>
    <w:rsid w:val="000B04EC"/>
    <w:rsid w:val="000B2628"/>
    <w:rsid w:val="000B3CE4"/>
    <w:rsid w:val="000B4DD5"/>
    <w:rsid w:val="000B4FC4"/>
    <w:rsid w:val="000B52E9"/>
    <w:rsid w:val="000B5520"/>
    <w:rsid w:val="000B64C1"/>
    <w:rsid w:val="000B72E5"/>
    <w:rsid w:val="000C072F"/>
    <w:rsid w:val="000C0C81"/>
    <w:rsid w:val="000C10BE"/>
    <w:rsid w:val="000C18CB"/>
    <w:rsid w:val="000C207E"/>
    <w:rsid w:val="000C21D1"/>
    <w:rsid w:val="000C3926"/>
    <w:rsid w:val="000C3997"/>
    <w:rsid w:val="000C5778"/>
    <w:rsid w:val="000C6BA2"/>
    <w:rsid w:val="000C6CAA"/>
    <w:rsid w:val="000C7142"/>
    <w:rsid w:val="000C79A2"/>
    <w:rsid w:val="000C79D5"/>
    <w:rsid w:val="000C7D5A"/>
    <w:rsid w:val="000D0985"/>
    <w:rsid w:val="000D0B9D"/>
    <w:rsid w:val="000D1831"/>
    <w:rsid w:val="000D2F37"/>
    <w:rsid w:val="000D3976"/>
    <w:rsid w:val="000D3F8E"/>
    <w:rsid w:val="000D425B"/>
    <w:rsid w:val="000D4C92"/>
    <w:rsid w:val="000D5CBA"/>
    <w:rsid w:val="000D5DD9"/>
    <w:rsid w:val="000D638D"/>
    <w:rsid w:val="000D67E9"/>
    <w:rsid w:val="000D6BBF"/>
    <w:rsid w:val="000D6C30"/>
    <w:rsid w:val="000E0641"/>
    <w:rsid w:val="000E0669"/>
    <w:rsid w:val="000E08B9"/>
    <w:rsid w:val="000E2136"/>
    <w:rsid w:val="000E2A0C"/>
    <w:rsid w:val="000E3B77"/>
    <w:rsid w:val="000E3EE0"/>
    <w:rsid w:val="000E4436"/>
    <w:rsid w:val="000E764F"/>
    <w:rsid w:val="000F03D5"/>
    <w:rsid w:val="000F0503"/>
    <w:rsid w:val="000F0B1D"/>
    <w:rsid w:val="000F0C23"/>
    <w:rsid w:val="000F1BF7"/>
    <w:rsid w:val="000F1CF8"/>
    <w:rsid w:val="000F2211"/>
    <w:rsid w:val="000F35D2"/>
    <w:rsid w:val="000F3768"/>
    <w:rsid w:val="000F440C"/>
    <w:rsid w:val="000F44D6"/>
    <w:rsid w:val="000F45C6"/>
    <w:rsid w:val="000F4A52"/>
    <w:rsid w:val="000F5156"/>
    <w:rsid w:val="000F53EA"/>
    <w:rsid w:val="000F554E"/>
    <w:rsid w:val="000F5645"/>
    <w:rsid w:val="000F665E"/>
    <w:rsid w:val="000F7A3D"/>
    <w:rsid w:val="000F7F10"/>
    <w:rsid w:val="00100088"/>
    <w:rsid w:val="001029D1"/>
    <w:rsid w:val="00103FE0"/>
    <w:rsid w:val="0010449F"/>
    <w:rsid w:val="001058EB"/>
    <w:rsid w:val="00105D9F"/>
    <w:rsid w:val="00106CD6"/>
    <w:rsid w:val="00107FBD"/>
    <w:rsid w:val="00110134"/>
    <w:rsid w:val="001109CA"/>
    <w:rsid w:val="00110F68"/>
    <w:rsid w:val="001120B4"/>
    <w:rsid w:val="0011252C"/>
    <w:rsid w:val="00112646"/>
    <w:rsid w:val="001129C8"/>
    <w:rsid w:val="00112FDC"/>
    <w:rsid w:val="001139B7"/>
    <w:rsid w:val="00113C14"/>
    <w:rsid w:val="00114994"/>
    <w:rsid w:val="00114ACE"/>
    <w:rsid w:val="00114E44"/>
    <w:rsid w:val="00115CDA"/>
    <w:rsid w:val="00115FD8"/>
    <w:rsid w:val="001161C1"/>
    <w:rsid w:val="001169E8"/>
    <w:rsid w:val="001204A4"/>
    <w:rsid w:val="001209B7"/>
    <w:rsid w:val="00120EAF"/>
    <w:rsid w:val="001229C2"/>
    <w:rsid w:val="00123CA7"/>
    <w:rsid w:val="001248D7"/>
    <w:rsid w:val="001274C3"/>
    <w:rsid w:val="00127AEB"/>
    <w:rsid w:val="001302DA"/>
    <w:rsid w:val="00131040"/>
    <w:rsid w:val="00131842"/>
    <w:rsid w:val="001321CD"/>
    <w:rsid w:val="001333B7"/>
    <w:rsid w:val="00133B95"/>
    <w:rsid w:val="00135631"/>
    <w:rsid w:val="0013598D"/>
    <w:rsid w:val="00135E31"/>
    <w:rsid w:val="00135F75"/>
    <w:rsid w:val="00136B16"/>
    <w:rsid w:val="001371A9"/>
    <w:rsid w:val="00137F18"/>
    <w:rsid w:val="0014027C"/>
    <w:rsid w:val="001411A7"/>
    <w:rsid w:val="001415F5"/>
    <w:rsid w:val="00141D9B"/>
    <w:rsid w:val="001432A4"/>
    <w:rsid w:val="00143907"/>
    <w:rsid w:val="00146A8B"/>
    <w:rsid w:val="00147E2F"/>
    <w:rsid w:val="00151CE1"/>
    <w:rsid w:val="00151F19"/>
    <w:rsid w:val="001526C7"/>
    <w:rsid w:val="00152CD9"/>
    <w:rsid w:val="00152F4D"/>
    <w:rsid w:val="00153094"/>
    <w:rsid w:val="00154375"/>
    <w:rsid w:val="001543D6"/>
    <w:rsid w:val="00154CB1"/>
    <w:rsid w:val="00155094"/>
    <w:rsid w:val="0015732A"/>
    <w:rsid w:val="0015761C"/>
    <w:rsid w:val="00160F1C"/>
    <w:rsid w:val="00163065"/>
    <w:rsid w:val="00163272"/>
    <w:rsid w:val="00163709"/>
    <w:rsid w:val="00163D99"/>
    <w:rsid w:val="00165FB4"/>
    <w:rsid w:val="001665B3"/>
    <w:rsid w:val="001679EF"/>
    <w:rsid w:val="00167B59"/>
    <w:rsid w:val="00167D27"/>
    <w:rsid w:val="00170145"/>
    <w:rsid w:val="00170D85"/>
    <w:rsid w:val="0017186F"/>
    <w:rsid w:val="00172561"/>
    <w:rsid w:val="001727DF"/>
    <w:rsid w:val="00173411"/>
    <w:rsid w:val="00173683"/>
    <w:rsid w:val="00173FED"/>
    <w:rsid w:val="00174B83"/>
    <w:rsid w:val="001758B8"/>
    <w:rsid w:val="001759D3"/>
    <w:rsid w:val="00176781"/>
    <w:rsid w:val="0017683E"/>
    <w:rsid w:val="001769A5"/>
    <w:rsid w:val="0018032C"/>
    <w:rsid w:val="0018096A"/>
    <w:rsid w:val="00180ED3"/>
    <w:rsid w:val="00182CAC"/>
    <w:rsid w:val="00182D9C"/>
    <w:rsid w:val="00183BBB"/>
    <w:rsid w:val="00185D78"/>
    <w:rsid w:val="00186382"/>
    <w:rsid w:val="00186404"/>
    <w:rsid w:val="00186652"/>
    <w:rsid w:val="00186ADC"/>
    <w:rsid w:val="00186C7B"/>
    <w:rsid w:val="00186F5C"/>
    <w:rsid w:val="001872DD"/>
    <w:rsid w:val="0019012F"/>
    <w:rsid w:val="00190E7F"/>
    <w:rsid w:val="001913E6"/>
    <w:rsid w:val="00191989"/>
    <w:rsid w:val="001935AC"/>
    <w:rsid w:val="00193E41"/>
    <w:rsid w:val="00194362"/>
    <w:rsid w:val="00196CE6"/>
    <w:rsid w:val="001A0069"/>
    <w:rsid w:val="001A0F77"/>
    <w:rsid w:val="001A107D"/>
    <w:rsid w:val="001A170C"/>
    <w:rsid w:val="001A187C"/>
    <w:rsid w:val="001A2F7B"/>
    <w:rsid w:val="001A3E4D"/>
    <w:rsid w:val="001A5B4F"/>
    <w:rsid w:val="001A674F"/>
    <w:rsid w:val="001A6CAE"/>
    <w:rsid w:val="001A700A"/>
    <w:rsid w:val="001A7274"/>
    <w:rsid w:val="001A78AA"/>
    <w:rsid w:val="001B00D0"/>
    <w:rsid w:val="001B00FB"/>
    <w:rsid w:val="001B097A"/>
    <w:rsid w:val="001B1897"/>
    <w:rsid w:val="001B194F"/>
    <w:rsid w:val="001B1E19"/>
    <w:rsid w:val="001B1E96"/>
    <w:rsid w:val="001B2E5D"/>
    <w:rsid w:val="001B4209"/>
    <w:rsid w:val="001B6215"/>
    <w:rsid w:val="001B70C5"/>
    <w:rsid w:val="001B727B"/>
    <w:rsid w:val="001C079B"/>
    <w:rsid w:val="001C0ADD"/>
    <w:rsid w:val="001C0B99"/>
    <w:rsid w:val="001C1CD5"/>
    <w:rsid w:val="001C2B46"/>
    <w:rsid w:val="001C3B31"/>
    <w:rsid w:val="001C4BD0"/>
    <w:rsid w:val="001C4F02"/>
    <w:rsid w:val="001C51AD"/>
    <w:rsid w:val="001C5A48"/>
    <w:rsid w:val="001C666A"/>
    <w:rsid w:val="001C6C61"/>
    <w:rsid w:val="001C78BA"/>
    <w:rsid w:val="001C7DC9"/>
    <w:rsid w:val="001C7E06"/>
    <w:rsid w:val="001D0529"/>
    <w:rsid w:val="001D0F5D"/>
    <w:rsid w:val="001D1872"/>
    <w:rsid w:val="001D19CB"/>
    <w:rsid w:val="001D2819"/>
    <w:rsid w:val="001D2EE0"/>
    <w:rsid w:val="001D3E88"/>
    <w:rsid w:val="001D63C4"/>
    <w:rsid w:val="001D6A7A"/>
    <w:rsid w:val="001E0230"/>
    <w:rsid w:val="001E07BF"/>
    <w:rsid w:val="001E1930"/>
    <w:rsid w:val="001E39DD"/>
    <w:rsid w:val="001E3EF1"/>
    <w:rsid w:val="001E45D3"/>
    <w:rsid w:val="001E477E"/>
    <w:rsid w:val="001E4D56"/>
    <w:rsid w:val="001E5EB9"/>
    <w:rsid w:val="001E6391"/>
    <w:rsid w:val="001F04FF"/>
    <w:rsid w:val="001F293C"/>
    <w:rsid w:val="001F3C0D"/>
    <w:rsid w:val="001F3CEC"/>
    <w:rsid w:val="001F3F01"/>
    <w:rsid w:val="001F501F"/>
    <w:rsid w:val="001F567D"/>
    <w:rsid w:val="001F5D4B"/>
    <w:rsid w:val="001F6B33"/>
    <w:rsid w:val="001F7480"/>
    <w:rsid w:val="001F7686"/>
    <w:rsid w:val="001F7B4E"/>
    <w:rsid w:val="001F7CC6"/>
    <w:rsid w:val="00200607"/>
    <w:rsid w:val="002011E0"/>
    <w:rsid w:val="0020156B"/>
    <w:rsid w:val="0020218D"/>
    <w:rsid w:val="00202F81"/>
    <w:rsid w:val="00204284"/>
    <w:rsid w:val="00206099"/>
    <w:rsid w:val="0020740C"/>
    <w:rsid w:val="0021069B"/>
    <w:rsid w:val="00210A6A"/>
    <w:rsid w:val="00210EA2"/>
    <w:rsid w:val="002112AF"/>
    <w:rsid w:val="00211A12"/>
    <w:rsid w:val="00212E6F"/>
    <w:rsid w:val="00213B58"/>
    <w:rsid w:val="00214015"/>
    <w:rsid w:val="0021402B"/>
    <w:rsid w:val="002145E7"/>
    <w:rsid w:val="00214B8F"/>
    <w:rsid w:val="00214F50"/>
    <w:rsid w:val="00215BE3"/>
    <w:rsid w:val="00220429"/>
    <w:rsid w:val="00220638"/>
    <w:rsid w:val="00221165"/>
    <w:rsid w:val="002211B7"/>
    <w:rsid w:val="002218FB"/>
    <w:rsid w:val="00221970"/>
    <w:rsid w:val="00221EA7"/>
    <w:rsid w:val="002226ED"/>
    <w:rsid w:val="00222E8B"/>
    <w:rsid w:val="00222FD4"/>
    <w:rsid w:val="00223256"/>
    <w:rsid w:val="00223547"/>
    <w:rsid w:val="002243C7"/>
    <w:rsid w:val="002243FA"/>
    <w:rsid w:val="00225DA0"/>
    <w:rsid w:val="00226167"/>
    <w:rsid w:val="00226177"/>
    <w:rsid w:val="00226B6D"/>
    <w:rsid w:val="002300E3"/>
    <w:rsid w:val="00231E5E"/>
    <w:rsid w:val="0023229C"/>
    <w:rsid w:val="0023321A"/>
    <w:rsid w:val="00234435"/>
    <w:rsid w:val="00234816"/>
    <w:rsid w:val="002366C2"/>
    <w:rsid w:val="00241D95"/>
    <w:rsid w:val="002423A1"/>
    <w:rsid w:val="00243DA0"/>
    <w:rsid w:val="00244353"/>
    <w:rsid w:val="00244B4C"/>
    <w:rsid w:val="00244C03"/>
    <w:rsid w:val="00244D2F"/>
    <w:rsid w:val="002454FB"/>
    <w:rsid w:val="00246D7D"/>
    <w:rsid w:val="00247507"/>
    <w:rsid w:val="00247679"/>
    <w:rsid w:val="00247AB3"/>
    <w:rsid w:val="00247B2F"/>
    <w:rsid w:val="0025027C"/>
    <w:rsid w:val="0025046B"/>
    <w:rsid w:val="00250FA4"/>
    <w:rsid w:val="002512B4"/>
    <w:rsid w:val="00253055"/>
    <w:rsid w:val="00253776"/>
    <w:rsid w:val="00253D3D"/>
    <w:rsid w:val="00254A1F"/>
    <w:rsid w:val="00254F58"/>
    <w:rsid w:val="0025550F"/>
    <w:rsid w:val="00256801"/>
    <w:rsid w:val="00256CEF"/>
    <w:rsid w:val="00257200"/>
    <w:rsid w:val="0025728F"/>
    <w:rsid w:val="00257F37"/>
    <w:rsid w:val="00260CF7"/>
    <w:rsid w:val="00260DFB"/>
    <w:rsid w:val="002612BC"/>
    <w:rsid w:val="002633B7"/>
    <w:rsid w:val="002633D9"/>
    <w:rsid w:val="0026430E"/>
    <w:rsid w:val="00264B00"/>
    <w:rsid w:val="00266083"/>
    <w:rsid w:val="002668B6"/>
    <w:rsid w:val="00266AD9"/>
    <w:rsid w:val="00267851"/>
    <w:rsid w:val="0026798B"/>
    <w:rsid w:val="00267B8B"/>
    <w:rsid w:val="00267FBD"/>
    <w:rsid w:val="00270206"/>
    <w:rsid w:val="0027072C"/>
    <w:rsid w:val="00271B1B"/>
    <w:rsid w:val="00271B3D"/>
    <w:rsid w:val="002724D4"/>
    <w:rsid w:val="00272B70"/>
    <w:rsid w:val="002730C7"/>
    <w:rsid w:val="00273A07"/>
    <w:rsid w:val="00274265"/>
    <w:rsid w:val="00275405"/>
    <w:rsid w:val="0027713B"/>
    <w:rsid w:val="00281777"/>
    <w:rsid w:val="00281818"/>
    <w:rsid w:val="00283BE3"/>
    <w:rsid w:val="0028525A"/>
    <w:rsid w:val="002860BC"/>
    <w:rsid w:val="00286685"/>
    <w:rsid w:val="002869C7"/>
    <w:rsid w:val="0028788A"/>
    <w:rsid w:val="00287920"/>
    <w:rsid w:val="002916B8"/>
    <w:rsid w:val="002919DA"/>
    <w:rsid w:val="0029247E"/>
    <w:rsid w:val="00293E3D"/>
    <w:rsid w:val="002942B2"/>
    <w:rsid w:val="0029471A"/>
    <w:rsid w:val="00295188"/>
    <w:rsid w:val="00295BB9"/>
    <w:rsid w:val="002963E6"/>
    <w:rsid w:val="00296FC0"/>
    <w:rsid w:val="002A15DA"/>
    <w:rsid w:val="002A2130"/>
    <w:rsid w:val="002A2E26"/>
    <w:rsid w:val="002A4BF9"/>
    <w:rsid w:val="002A5165"/>
    <w:rsid w:val="002A5C09"/>
    <w:rsid w:val="002B0961"/>
    <w:rsid w:val="002B282A"/>
    <w:rsid w:val="002B2BBA"/>
    <w:rsid w:val="002B45E8"/>
    <w:rsid w:val="002B59BD"/>
    <w:rsid w:val="002B5ADF"/>
    <w:rsid w:val="002B67D4"/>
    <w:rsid w:val="002B6891"/>
    <w:rsid w:val="002B6BA2"/>
    <w:rsid w:val="002B77F4"/>
    <w:rsid w:val="002B798F"/>
    <w:rsid w:val="002C189A"/>
    <w:rsid w:val="002C24D0"/>
    <w:rsid w:val="002C3A5B"/>
    <w:rsid w:val="002C4531"/>
    <w:rsid w:val="002C543D"/>
    <w:rsid w:val="002C6060"/>
    <w:rsid w:val="002C6359"/>
    <w:rsid w:val="002C6D69"/>
    <w:rsid w:val="002C7019"/>
    <w:rsid w:val="002C775A"/>
    <w:rsid w:val="002D08FB"/>
    <w:rsid w:val="002D0A5A"/>
    <w:rsid w:val="002D0D87"/>
    <w:rsid w:val="002D0DBA"/>
    <w:rsid w:val="002D265E"/>
    <w:rsid w:val="002D288A"/>
    <w:rsid w:val="002D3552"/>
    <w:rsid w:val="002D39D5"/>
    <w:rsid w:val="002D42BE"/>
    <w:rsid w:val="002D438A"/>
    <w:rsid w:val="002D560D"/>
    <w:rsid w:val="002D5B46"/>
    <w:rsid w:val="002D6FF6"/>
    <w:rsid w:val="002D77A9"/>
    <w:rsid w:val="002E13CA"/>
    <w:rsid w:val="002E1770"/>
    <w:rsid w:val="002E44ED"/>
    <w:rsid w:val="002E6CBC"/>
    <w:rsid w:val="002E730F"/>
    <w:rsid w:val="002E73BD"/>
    <w:rsid w:val="002E77FA"/>
    <w:rsid w:val="002E7E1F"/>
    <w:rsid w:val="002F1699"/>
    <w:rsid w:val="002F1BDA"/>
    <w:rsid w:val="002F2190"/>
    <w:rsid w:val="002F2745"/>
    <w:rsid w:val="002F2B8E"/>
    <w:rsid w:val="002F2F11"/>
    <w:rsid w:val="002F3764"/>
    <w:rsid w:val="002F41A8"/>
    <w:rsid w:val="002F58C7"/>
    <w:rsid w:val="002F5D8A"/>
    <w:rsid w:val="002F666D"/>
    <w:rsid w:val="002F7372"/>
    <w:rsid w:val="00300832"/>
    <w:rsid w:val="00301A72"/>
    <w:rsid w:val="003042D9"/>
    <w:rsid w:val="00304DB3"/>
    <w:rsid w:val="003057CA"/>
    <w:rsid w:val="00306561"/>
    <w:rsid w:val="00307647"/>
    <w:rsid w:val="00307F5D"/>
    <w:rsid w:val="00310688"/>
    <w:rsid w:val="003108F0"/>
    <w:rsid w:val="003127C8"/>
    <w:rsid w:val="00312A57"/>
    <w:rsid w:val="00314821"/>
    <w:rsid w:val="003149D2"/>
    <w:rsid w:val="00315044"/>
    <w:rsid w:val="00315244"/>
    <w:rsid w:val="003163C3"/>
    <w:rsid w:val="0031715B"/>
    <w:rsid w:val="00317B99"/>
    <w:rsid w:val="00320703"/>
    <w:rsid w:val="00320FC5"/>
    <w:rsid w:val="003213E5"/>
    <w:rsid w:val="00321CFF"/>
    <w:rsid w:val="0032254D"/>
    <w:rsid w:val="00322942"/>
    <w:rsid w:val="003236F0"/>
    <w:rsid w:val="00323B83"/>
    <w:rsid w:val="003244AC"/>
    <w:rsid w:val="003251DF"/>
    <w:rsid w:val="00325318"/>
    <w:rsid w:val="0032532C"/>
    <w:rsid w:val="00325486"/>
    <w:rsid w:val="003267D0"/>
    <w:rsid w:val="00326C57"/>
    <w:rsid w:val="00326CD5"/>
    <w:rsid w:val="003271E6"/>
    <w:rsid w:val="00327F9F"/>
    <w:rsid w:val="0033060E"/>
    <w:rsid w:val="00330794"/>
    <w:rsid w:val="00332341"/>
    <w:rsid w:val="0033249D"/>
    <w:rsid w:val="00333CEC"/>
    <w:rsid w:val="00333E4C"/>
    <w:rsid w:val="00334344"/>
    <w:rsid w:val="00334F83"/>
    <w:rsid w:val="00336057"/>
    <w:rsid w:val="003364D1"/>
    <w:rsid w:val="003365A8"/>
    <w:rsid w:val="00337244"/>
    <w:rsid w:val="003373E4"/>
    <w:rsid w:val="00337743"/>
    <w:rsid w:val="003378F7"/>
    <w:rsid w:val="00337B18"/>
    <w:rsid w:val="003405CB"/>
    <w:rsid w:val="00340C55"/>
    <w:rsid w:val="00341C02"/>
    <w:rsid w:val="00344339"/>
    <w:rsid w:val="0034475D"/>
    <w:rsid w:val="00344D9C"/>
    <w:rsid w:val="003455F5"/>
    <w:rsid w:val="003456D8"/>
    <w:rsid w:val="003469EC"/>
    <w:rsid w:val="003472D4"/>
    <w:rsid w:val="00347466"/>
    <w:rsid w:val="00347BE5"/>
    <w:rsid w:val="003503E8"/>
    <w:rsid w:val="003510C7"/>
    <w:rsid w:val="00351CEC"/>
    <w:rsid w:val="00352131"/>
    <w:rsid w:val="003524FD"/>
    <w:rsid w:val="003558E5"/>
    <w:rsid w:val="00355F99"/>
    <w:rsid w:val="00356514"/>
    <w:rsid w:val="003565E7"/>
    <w:rsid w:val="003565F6"/>
    <w:rsid w:val="003573C2"/>
    <w:rsid w:val="003578F2"/>
    <w:rsid w:val="00360FF1"/>
    <w:rsid w:val="00361EDE"/>
    <w:rsid w:val="00361F97"/>
    <w:rsid w:val="00362BE2"/>
    <w:rsid w:val="00363D81"/>
    <w:rsid w:val="00363F37"/>
    <w:rsid w:val="0036408D"/>
    <w:rsid w:val="00364960"/>
    <w:rsid w:val="00364EE3"/>
    <w:rsid w:val="00365086"/>
    <w:rsid w:val="003666D4"/>
    <w:rsid w:val="00367ABA"/>
    <w:rsid w:val="00372394"/>
    <w:rsid w:val="003729BF"/>
    <w:rsid w:val="003748AD"/>
    <w:rsid w:val="00374BAC"/>
    <w:rsid w:val="0037546C"/>
    <w:rsid w:val="00375894"/>
    <w:rsid w:val="003768A3"/>
    <w:rsid w:val="003768A4"/>
    <w:rsid w:val="0037691C"/>
    <w:rsid w:val="00376CA1"/>
    <w:rsid w:val="00377D74"/>
    <w:rsid w:val="00377F15"/>
    <w:rsid w:val="00381688"/>
    <w:rsid w:val="0038187E"/>
    <w:rsid w:val="00381F4D"/>
    <w:rsid w:val="00383851"/>
    <w:rsid w:val="00384300"/>
    <w:rsid w:val="00384F71"/>
    <w:rsid w:val="00385F04"/>
    <w:rsid w:val="00385F43"/>
    <w:rsid w:val="00386007"/>
    <w:rsid w:val="00386F1E"/>
    <w:rsid w:val="003873A4"/>
    <w:rsid w:val="00387F74"/>
    <w:rsid w:val="003906C3"/>
    <w:rsid w:val="0039082B"/>
    <w:rsid w:val="00391704"/>
    <w:rsid w:val="00391785"/>
    <w:rsid w:val="00391C3B"/>
    <w:rsid w:val="0039249E"/>
    <w:rsid w:val="00392CE6"/>
    <w:rsid w:val="003936E0"/>
    <w:rsid w:val="00394957"/>
    <w:rsid w:val="0039605F"/>
    <w:rsid w:val="0039612F"/>
    <w:rsid w:val="003967C4"/>
    <w:rsid w:val="00397E29"/>
    <w:rsid w:val="003A033D"/>
    <w:rsid w:val="003A0852"/>
    <w:rsid w:val="003A0B2C"/>
    <w:rsid w:val="003A0D3B"/>
    <w:rsid w:val="003A2822"/>
    <w:rsid w:val="003A2D9B"/>
    <w:rsid w:val="003A2E02"/>
    <w:rsid w:val="003A3033"/>
    <w:rsid w:val="003A4AFD"/>
    <w:rsid w:val="003A575C"/>
    <w:rsid w:val="003A6025"/>
    <w:rsid w:val="003A73BF"/>
    <w:rsid w:val="003A7C3E"/>
    <w:rsid w:val="003B0298"/>
    <w:rsid w:val="003B071D"/>
    <w:rsid w:val="003B08A9"/>
    <w:rsid w:val="003B0CA9"/>
    <w:rsid w:val="003B13C2"/>
    <w:rsid w:val="003B1740"/>
    <w:rsid w:val="003B1862"/>
    <w:rsid w:val="003B1C73"/>
    <w:rsid w:val="003B1F60"/>
    <w:rsid w:val="003B2827"/>
    <w:rsid w:val="003B40F2"/>
    <w:rsid w:val="003B458E"/>
    <w:rsid w:val="003B4BF0"/>
    <w:rsid w:val="003B4D36"/>
    <w:rsid w:val="003B5696"/>
    <w:rsid w:val="003B56A6"/>
    <w:rsid w:val="003B5EA9"/>
    <w:rsid w:val="003B6270"/>
    <w:rsid w:val="003B6C28"/>
    <w:rsid w:val="003B7BBE"/>
    <w:rsid w:val="003B7C0D"/>
    <w:rsid w:val="003C0D62"/>
    <w:rsid w:val="003C1187"/>
    <w:rsid w:val="003C2AFE"/>
    <w:rsid w:val="003C2B67"/>
    <w:rsid w:val="003C702A"/>
    <w:rsid w:val="003C73EC"/>
    <w:rsid w:val="003D0634"/>
    <w:rsid w:val="003D098B"/>
    <w:rsid w:val="003D1399"/>
    <w:rsid w:val="003D1478"/>
    <w:rsid w:val="003D16D2"/>
    <w:rsid w:val="003D1F5F"/>
    <w:rsid w:val="003D2A6D"/>
    <w:rsid w:val="003D2F64"/>
    <w:rsid w:val="003D304D"/>
    <w:rsid w:val="003D3439"/>
    <w:rsid w:val="003D43AE"/>
    <w:rsid w:val="003D4CD2"/>
    <w:rsid w:val="003D6A74"/>
    <w:rsid w:val="003D78FF"/>
    <w:rsid w:val="003E245F"/>
    <w:rsid w:val="003E25DE"/>
    <w:rsid w:val="003E2A6B"/>
    <w:rsid w:val="003E2AE0"/>
    <w:rsid w:val="003E308E"/>
    <w:rsid w:val="003E3E73"/>
    <w:rsid w:val="003E3F16"/>
    <w:rsid w:val="003E63A9"/>
    <w:rsid w:val="003E6653"/>
    <w:rsid w:val="003E6799"/>
    <w:rsid w:val="003E75A6"/>
    <w:rsid w:val="003E794D"/>
    <w:rsid w:val="003F09B6"/>
    <w:rsid w:val="003F1653"/>
    <w:rsid w:val="003F16E2"/>
    <w:rsid w:val="003F3715"/>
    <w:rsid w:val="003F4D22"/>
    <w:rsid w:val="003F5A82"/>
    <w:rsid w:val="003F6A58"/>
    <w:rsid w:val="003F6D08"/>
    <w:rsid w:val="003F7B15"/>
    <w:rsid w:val="003F7F76"/>
    <w:rsid w:val="00400AA3"/>
    <w:rsid w:val="00401AAE"/>
    <w:rsid w:val="00401D78"/>
    <w:rsid w:val="00402D91"/>
    <w:rsid w:val="004030C8"/>
    <w:rsid w:val="00403EDD"/>
    <w:rsid w:val="004048DB"/>
    <w:rsid w:val="00404CDD"/>
    <w:rsid w:val="00404E3E"/>
    <w:rsid w:val="00405D13"/>
    <w:rsid w:val="00405D34"/>
    <w:rsid w:val="00406875"/>
    <w:rsid w:val="00406BB0"/>
    <w:rsid w:val="00407BD1"/>
    <w:rsid w:val="00407C6F"/>
    <w:rsid w:val="00407CD8"/>
    <w:rsid w:val="00407FE3"/>
    <w:rsid w:val="00410180"/>
    <w:rsid w:val="00411CDD"/>
    <w:rsid w:val="00411D2B"/>
    <w:rsid w:val="00412EA4"/>
    <w:rsid w:val="00412EE4"/>
    <w:rsid w:val="00413261"/>
    <w:rsid w:val="004138C9"/>
    <w:rsid w:val="00415769"/>
    <w:rsid w:val="00417FF5"/>
    <w:rsid w:val="0042045A"/>
    <w:rsid w:val="00420755"/>
    <w:rsid w:val="00420DAB"/>
    <w:rsid w:val="00421883"/>
    <w:rsid w:val="00421B64"/>
    <w:rsid w:val="004232FA"/>
    <w:rsid w:val="0042356D"/>
    <w:rsid w:val="004238AB"/>
    <w:rsid w:val="00423BC7"/>
    <w:rsid w:val="00425C33"/>
    <w:rsid w:val="004266AF"/>
    <w:rsid w:val="00426893"/>
    <w:rsid w:val="00426A74"/>
    <w:rsid w:val="00426AB4"/>
    <w:rsid w:val="00426DE0"/>
    <w:rsid w:val="00427401"/>
    <w:rsid w:val="00430BB3"/>
    <w:rsid w:val="00430ED4"/>
    <w:rsid w:val="00431DC4"/>
    <w:rsid w:val="00432202"/>
    <w:rsid w:val="00432DDE"/>
    <w:rsid w:val="00432F9F"/>
    <w:rsid w:val="00433A98"/>
    <w:rsid w:val="00433C14"/>
    <w:rsid w:val="004341C1"/>
    <w:rsid w:val="0043439F"/>
    <w:rsid w:val="00434B1C"/>
    <w:rsid w:val="00434B52"/>
    <w:rsid w:val="00435423"/>
    <w:rsid w:val="0043546C"/>
    <w:rsid w:val="00435552"/>
    <w:rsid w:val="00435970"/>
    <w:rsid w:val="00435F46"/>
    <w:rsid w:val="0043624C"/>
    <w:rsid w:val="004362B0"/>
    <w:rsid w:val="00437AB9"/>
    <w:rsid w:val="00437D0F"/>
    <w:rsid w:val="00440BAE"/>
    <w:rsid w:val="00440E56"/>
    <w:rsid w:val="004413A3"/>
    <w:rsid w:val="0044181F"/>
    <w:rsid w:val="0044183D"/>
    <w:rsid w:val="0044254B"/>
    <w:rsid w:val="0044255F"/>
    <w:rsid w:val="00443A93"/>
    <w:rsid w:val="00444EFC"/>
    <w:rsid w:val="00444FFC"/>
    <w:rsid w:val="0044547C"/>
    <w:rsid w:val="00446429"/>
    <w:rsid w:val="00447260"/>
    <w:rsid w:val="004473BA"/>
    <w:rsid w:val="004516C0"/>
    <w:rsid w:val="00451FF2"/>
    <w:rsid w:val="00452148"/>
    <w:rsid w:val="00452312"/>
    <w:rsid w:val="004535A7"/>
    <w:rsid w:val="00453EB3"/>
    <w:rsid w:val="004567F4"/>
    <w:rsid w:val="00456AA2"/>
    <w:rsid w:val="004602E2"/>
    <w:rsid w:val="004606C2"/>
    <w:rsid w:val="004615A3"/>
    <w:rsid w:val="004615B4"/>
    <w:rsid w:val="004621EE"/>
    <w:rsid w:val="00463C0A"/>
    <w:rsid w:val="00464B29"/>
    <w:rsid w:val="00464D7E"/>
    <w:rsid w:val="00465F37"/>
    <w:rsid w:val="004663F2"/>
    <w:rsid w:val="00466676"/>
    <w:rsid w:val="00466D58"/>
    <w:rsid w:val="00467558"/>
    <w:rsid w:val="004675CC"/>
    <w:rsid w:val="00467A2D"/>
    <w:rsid w:val="004710C2"/>
    <w:rsid w:val="00471709"/>
    <w:rsid w:val="00471D7C"/>
    <w:rsid w:val="00472064"/>
    <w:rsid w:val="0047218F"/>
    <w:rsid w:val="004728BF"/>
    <w:rsid w:val="00472C0A"/>
    <w:rsid w:val="00472EA5"/>
    <w:rsid w:val="00474A65"/>
    <w:rsid w:val="004750D0"/>
    <w:rsid w:val="004758C1"/>
    <w:rsid w:val="00475940"/>
    <w:rsid w:val="00475A18"/>
    <w:rsid w:val="00476381"/>
    <w:rsid w:val="00476485"/>
    <w:rsid w:val="00476C9F"/>
    <w:rsid w:val="00481897"/>
    <w:rsid w:val="00482ACF"/>
    <w:rsid w:val="004833B7"/>
    <w:rsid w:val="00483555"/>
    <w:rsid w:val="00483FF2"/>
    <w:rsid w:val="00485181"/>
    <w:rsid w:val="004869B7"/>
    <w:rsid w:val="004916AC"/>
    <w:rsid w:val="0049290B"/>
    <w:rsid w:val="0049363B"/>
    <w:rsid w:val="004944B2"/>
    <w:rsid w:val="00494552"/>
    <w:rsid w:val="00495CF6"/>
    <w:rsid w:val="00497343"/>
    <w:rsid w:val="00497762"/>
    <w:rsid w:val="004A0502"/>
    <w:rsid w:val="004A0821"/>
    <w:rsid w:val="004A08CB"/>
    <w:rsid w:val="004A1214"/>
    <w:rsid w:val="004A1D37"/>
    <w:rsid w:val="004A269D"/>
    <w:rsid w:val="004A3DB1"/>
    <w:rsid w:val="004A3E2F"/>
    <w:rsid w:val="004A3EAA"/>
    <w:rsid w:val="004A450C"/>
    <w:rsid w:val="004A45EC"/>
    <w:rsid w:val="004A4F6E"/>
    <w:rsid w:val="004A6CBC"/>
    <w:rsid w:val="004A7056"/>
    <w:rsid w:val="004B312B"/>
    <w:rsid w:val="004B3156"/>
    <w:rsid w:val="004B39B4"/>
    <w:rsid w:val="004B3A86"/>
    <w:rsid w:val="004B44FD"/>
    <w:rsid w:val="004B4658"/>
    <w:rsid w:val="004B5321"/>
    <w:rsid w:val="004B5CC9"/>
    <w:rsid w:val="004B5F5F"/>
    <w:rsid w:val="004B68E8"/>
    <w:rsid w:val="004B6F97"/>
    <w:rsid w:val="004C0233"/>
    <w:rsid w:val="004C0B69"/>
    <w:rsid w:val="004C18DD"/>
    <w:rsid w:val="004C35E3"/>
    <w:rsid w:val="004C3A55"/>
    <w:rsid w:val="004C6123"/>
    <w:rsid w:val="004C69E1"/>
    <w:rsid w:val="004C7A06"/>
    <w:rsid w:val="004D12BD"/>
    <w:rsid w:val="004D19BA"/>
    <w:rsid w:val="004D1E60"/>
    <w:rsid w:val="004D2796"/>
    <w:rsid w:val="004D2C6F"/>
    <w:rsid w:val="004D2CF2"/>
    <w:rsid w:val="004D454D"/>
    <w:rsid w:val="004D464A"/>
    <w:rsid w:val="004D62AA"/>
    <w:rsid w:val="004D6B61"/>
    <w:rsid w:val="004D76BF"/>
    <w:rsid w:val="004D772B"/>
    <w:rsid w:val="004D7987"/>
    <w:rsid w:val="004D7E2A"/>
    <w:rsid w:val="004E0003"/>
    <w:rsid w:val="004E09C0"/>
    <w:rsid w:val="004E167E"/>
    <w:rsid w:val="004E18BA"/>
    <w:rsid w:val="004E2967"/>
    <w:rsid w:val="004E2E94"/>
    <w:rsid w:val="004E3264"/>
    <w:rsid w:val="004E3C1D"/>
    <w:rsid w:val="004E3C41"/>
    <w:rsid w:val="004E57BD"/>
    <w:rsid w:val="004E5B20"/>
    <w:rsid w:val="004E7B83"/>
    <w:rsid w:val="004F10FC"/>
    <w:rsid w:val="004F1E7B"/>
    <w:rsid w:val="004F4ED1"/>
    <w:rsid w:val="004F50D2"/>
    <w:rsid w:val="004F51B6"/>
    <w:rsid w:val="004F5805"/>
    <w:rsid w:val="004F6555"/>
    <w:rsid w:val="004F7B63"/>
    <w:rsid w:val="004F7D8E"/>
    <w:rsid w:val="00501236"/>
    <w:rsid w:val="00502A0C"/>
    <w:rsid w:val="00503354"/>
    <w:rsid w:val="00503DA7"/>
    <w:rsid w:val="0050429B"/>
    <w:rsid w:val="005042E0"/>
    <w:rsid w:val="00504E77"/>
    <w:rsid w:val="005065DD"/>
    <w:rsid w:val="00506641"/>
    <w:rsid w:val="00506B12"/>
    <w:rsid w:val="00506D07"/>
    <w:rsid w:val="00507E0F"/>
    <w:rsid w:val="005101C1"/>
    <w:rsid w:val="005112D7"/>
    <w:rsid w:val="00511B5E"/>
    <w:rsid w:val="00512675"/>
    <w:rsid w:val="005127B2"/>
    <w:rsid w:val="0051280D"/>
    <w:rsid w:val="00512DE4"/>
    <w:rsid w:val="005133D8"/>
    <w:rsid w:val="00513A4F"/>
    <w:rsid w:val="00514A0F"/>
    <w:rsid w:val="00515D82"/>
    <w:rsid w:val="00516762"/>
    <w:rsid w:val="005170F3"/>
    <w:rsid w:val="00517D19"/>
    <w:rsid w:val="005226FC"/>
    <w:rsid w:val="00522AC9"/>
    <w:rsid w:val="005230CE"/>
    <w:rsid w:val="005233A7"/>
    <w:rsid w:val="0052371A"/>
    <w:rsid w:val="005237F8"/>
    <w:rsid w:val="00523C79"/>
    <w:rsid w:val="00524D62"/>
    <w:rsid w:val="005252D5"/>
    <w:rsid w:val="00525E2B"/>
    <w:rsid w:val="00526070"/>
    <w:rsid w:val="00526C42"/>
    <w:rsid w:val="00527486"/>
    <w:rsid w:val="00527683"/>
    <w:rsid w:val="005276AC"/>
    <w:rsid w:val="00527F74"/>
    <w:rsid w:val="0053002A"/>
    <w:rsid w:val="00531327"/>
    <w:rsid w:val="00531515"/>
    <w:rsid w:val="00531E86"/>
    <w:rsid w:val="00532601"/>
    <w:rsid w:val="00532C00"/>
    <w:rsid w:val="00533069"/>
    <w:rsid w:val="00533810"/>
    <w:rsid w:val="00533BB9"/>
    <w:rsid w:val="00534836"/>
    <w:rsid w:val="00535290"/>
    <w:rsid w:val="00535721"/>
    <w:rsid w:val="00535B7F"/>
    <w:rsid w:val="0054056D"/>
    <w:rsid w:val="00540699"/>
    <w:rsid w:val="0054299B"/>
    <w:rsid w:val="00543BBE"/>
    <w:rsid w:val="00544C10"/>
    <w:rsid w:val="00545658"/>
    <w:rsid w:val="00545A24"/>
    <w:rsid w:val="00545A63"/>
    <w:rsid w:val="00545F0D"/>
    <w:rsid w:val="005460A7"/>
    <w:rsid w:val="00546A9A"/>
    <w:rsid w:val="00546B04"/>
    <w:rsid w:val="005472FD"/>
    <w:rsid w:val="00547C3D"/>
    <w:rsid w:val="00550190"/>
    <w:rsid w:val="00550D85"/>
    <w:rsid w:val="00551DE4"/>
    <w:rsid w:val="0055271F"/>
    <w:rsid w:val="00552C65"/>
    <w:rsid w:val="00553AD2"/>
    <w:rsid w:val="00554476"/>
    <w:rsid w:val="00554481"/>
    <w:rsid w:val="00554DEC"/>
    <w:rsid w:val="005552B0"/>
    <w:rsid w:val="00555833"/>
    <w:rsid w:val="00555B2F"/>
    <w:rsid w:val="00556669"/>
    <w:rsid w:val="00556E08"/>
    <w:rsid w:val="0056001B"/>
    <w:rsid w:val="00560AE2"/>
    <w:rsid w:val="00562922"/>
    <w:rsid w:val="00563754"/>
    <w:rsid w:val="00564024"/>
    <w:rsid w:val="0056444C"/>
    <w:rsid w:val="0056452E"/>
    <w:rsid w:val="00564984"/>
    <w:rsid w:val="00564CC8"/>
    <w:rsid w:val="0056615F"/>
    <w:rsid w:val="00567270"/>
    <w:rsid w:val="00567302"/>
    <w:rsid w:val="0056756E"/>
    <w:rsid w:val="00567FAD"/>
    <w:rsid w:val="005733BA"/>
    <w:rsid w:val="005735B6"/>
    <w:rsid w:val="00574968"/>
    <w:rsid w:val="00574F44"/>
    <w:rsid w:val="00576B8D"/>
    <w:rsid w:val="0057749E"/>
    <w:rsid w:val="005818BC"/>
    <w:rsid w:val="00581E3D"/>
    <w:rsid w:val="005822E4"/>
    <w:rsid w:val="00582855"/>
    <w:rsid w:val="005843D6"/>
    <w:rsid w:val="00584587"/>
    <w:rsid w:val="00584AEA"/>
    <w:rsid w:val="00584D43"/>
    <w:rsid w:val="005859AE"/>
    <w:rsid w:val="00585BFC"/>
    <w:rsid w:val="0058672E"/>
    <w:rsid w:val="0058678C"/>
    <w:rsid w:val="00586955"/>
    <w:rsid w:val="00586C31"/>
    <w:rsid w:val="0058739C"/>
    <w:rsid w:val="0058750C"/>
    <w:rsid w:val="005875A7"/>
    <w:rsid w:val="005879C8"/>
    <w:rsid w:val="00587BC9"/>
    <w:rsid w:val="005915DA"/>
    <w:rsid w:val="00591E79"/>
    <w:rsid w:val="005926B9"/>
    <w:rsid w:val="0059286B"/>
    <w:rsid w:val="00592B09"/>
    <w:rsid w:val="00592FE0"/>
    <w:rsid w:val="00594D3F"/>
    <w:rsid w:val="00595B51"/>
    <w:rsid w:val="00595FDD"/>
    <w:rsid w:val="005965FD"/>
    <w:rsid w:val="005A2243"/>
    <w:rsid w:val="005A2F5D"/>
    <w:rsid w:val="005A3D7F"/>
    <w:rsid w:val="005A4150"/>
    <w:rsid w:val="005A4477"/>
    <w:rsid w:val="005A56D8"/>
    <w:rsid w:val="005A6538"/>
    <w:rsid w:val="005A70B7"/>
    <w:rsid w:val="005B0AA6"/>
    <w:rsid w:val="005B1363"/>
    <w:rsid w:val="005B1A60"/>
    <w:rsid w:val="005B1B66"/>
    <w:rsid w:val="005B1E23"/>
    <w:rsid w:val="005B329F"/>
    <w:rsid w:val="005B33F1"/>
    <w:rsid w:val="005B4225"/>
    <w:rsid w:val="005B4E80"/>
    <w:rsid w:val="005B6707"/>
    <w:rsid w:val="005B7B13"/>
    <w:rsid w:val="005C016C"/>
    <w:rsid w:val="005C077A"/>
    <w:rsid w:val="005C09FB"/>
    <w:rsid w:val="005C183A"/>
    <w:rsid w:val="005C264A"/>
    <w:rsid w:val="005C2C9B"/>
    <w:rsid w:val="005C33F3"/>
    <w:rsid w:val="005C4FDB"/>
    <w:rsid w:val="005C5A34"/>
    <w:rsid w:val="005C74ED"/>
    <w:rsid w:val="005C7849"/>
    <w:rsid w:val="005D07C7"/>
    <w:rsid w:val="005D2776"/>
    <w:rsid w:val="005D30CB"/>
    <w:rsid w:val="005D4C1A"/>
    <w:rsid w:val="005D521E"/>
    <w:rsid w:val="005D5D48"/>
    <w:rsid w:val="005D6A19"/>
    <w:rsid w:val="005E1002"/>
    <w:rsid w:val="005E31F1"/>
    <w:rsid w:val="005E395C"/>
    <w:rsid w:val="005E3CB5"/>
    <w:rsid w:val="005E3CE0"/>
    <w:rsid w:val="005E41E8"/>
    <w:rsid w:val="005E4681"/>
    <w:rsid w:val="005E4B35"/>
    <w:rsid w:val="005E59E5"/>
    <w:rsid w:val="005E5CB8"/>
    <w:rsid w:val="005E7388"/>
    <w:rsid w:val="005E7ABE"/>
    <w:rsid w:val="005F2CB6"/>
    <w:rsid w:val="005F2CD1"/>
    <w:rsid w:val="005F37CD"/>
    <w:rsid w:val="005F3921"/>
    <w:rsid w:val="005F5A1A"/>
    <w:rsid w:val="005F68E3"/>
    <w:rsid w:val="005F7192"/>
    <w:rsid w:val="005F76AB"/>
    <w:rsid w:val="00600DC2"/>
    <w:rsid w:val="00601152"/>
    <w:rsid w:val="00601A48"/>
    <w:rsid w:val="00601DBA"/>
    <w:rsid w:val="006026E4"/>
    <w:rsid w:val="0060286D"/>
    <w:rsid w:val="00602B89"/>
    <w:rsid w:val="00604C86"/>
    <w:rsid w:val="00605941"/>
    <w:rsid w:val="006061A1"/>
    <w:rsid w:val="006071D7"/>
    <w:rsid w:val="0060734C"/>
    <w:rsid w:val="00610B6D"/>
    <w:rsid w:val="00611A61"/>
    <w:rsid w:val="00614227"/>
    <w:rsid w:val="00614675"/>
    <w:rsid w:val="00614680"/>
    <w:rsid w:val="00615C9F"/>
    <w:rsid w:val="00617475"/>
    <w:rsid w:val="00620456"/>
    <w:rsid w:val="00621020"/>
    <w:rsid w:val="00621082"/>
    <w:rsid w:val="0062125D"/>
    <w:rsid w:val="00623694"/>
    <w:rsid w:val="00624295"/>
    <w:rsid w:val="006247DD"/>
    <w:rsid w:val="006251A3"/>
    <w:rsid w:val="0062541E"/>
    <w:rsid w:val="006257D0"/>
    <w:rsid w:val="00626FD1"/>
    <w:rsid w:val="0062735F"/>
    <w:rsid w:val="00627C7C"/>
    <w:rsid w:val="00627F53"/>
    <w:rsid w:val="00630A9C"/>
    <w:rsid w:val="00631F6A"/>
    <w:rsid w:val="00632024"/>
    <w:rsid w:val="006328DA"/>
    <w:rsid w:val="00633E7E"/>
    <w:rsid w:val="00634176"/>
    <w:rsid w:val="0063486B"/>
    <w:rsid w:val="006369E4"/>
    <w:rsid w:val="00637463"/>
    <w:rsid w:val="006405DB"/>
    <w:rsid w:val="00640792"/>
    <w:rsid w:val="00640B49"/>
    <w:rsid w:val="00641EA0"/>
    <w:rsid w:val="00641FB2"/>
    <w:rsid w:val="00642062"/>
    <w:rsid w:val="006424D4"/>
    <w:rsid w:val="00645393"/>
    <w:rsid w:val="006455D0"/>
    <w:rsid w:val="00646327"/>
    <w:rsid w:val="0064639F"/>
    <w:rsid w:val="00647062"/>
    <w:rsid w:val="006473F6"/>
    <w:rsid w:val="00647896"/>
    <w:rsid w:val="00650D62"/>
    <w:rsid w:val="00651BE7"/>
    <w:rsid w:val="00651D31"/>
    <w:rsid w:val="00651D3A"/>
    <w:rsid w:val="006527C5"/>
    <w:rsid w:val="0065304D"/>
    <w:rsid w:val="00653252"/>
    <w:rsid w:val="006538B5"/>
    <w:rsid w:val="0065392C"/>
    <w:rsid w:val="00653DC4"/>
    <w:rsid w:val="00654DF0"/>
    <w:rsid w:val="00656165"/>
    <w:rsid w:val="00656841"/>
    <w:rsid w:val="00656E22"/>
    <w:rsid w:val="006576FD"/>
    <w:rsid w:val="00662DDB"/>
    <w:rsid w:val="00662ED4"/>
    <w:rsid w:val="00665EBC"/>
    <w:rsid w:val="0066667A"/>
    <w:rsid w:val="00666876"/>
    <w:rsid w:val="006673A8"/>
    <w:rsid w:val="00667682"/>
    <w:rsid w:val="00667796"/>
    <w:rsid w:val="00667D52"/>
    <w:rsid w:val="006703F1"/>
    <w:rsid w:val="00671092"/>
    <w:rsid w:val="0067130D"/>
    <w:rsid w:val="00671C58"/>
    <w:rsid w:val="00671D97"/>
    <w:rsid w:val="00672B6C"/>
    <w:rsid w:val="006744C3"/>
    <w:rsid w:val="00674C23"/>
    <w:rsid w:val="006754AF"/>
    <w:rsid w:val="00677F9F"/>
    <w:rsid w:val="006807FE"/>
    <w:rsid w:val="0068265B"/>
    <w:rsid w:val="00682875"/>
    <w:rsid w:val="00683E6A"/>
    <w:rsid w:val="0068452A"/>
    <w:rsid w:val="00685D55"/>
    <w:rsid w:val="006861F9"/>
    <w:rsid w:val="006869AA"/>
    <w:rsid w:val="006874FD"/>
    <w:rsid w:val="00687E86"/>
    <w:rsid w:val="0069139A"/>
    <w:rsid w:val="006913B4"/>
    <w:rsid w:val="00691D24"/>
    <w:rsid w:val="00691DED"/>
    <w:rsid w:val="0069297D"/>
    <w:rsid w:val="006934FF"/>
    <w:rsid w:val="006941DA"/>
    <w:rsid w:val="00694BB6"/>
    <w:rsid w:val="00695E65"/>
    <w:rsid w:val="00696BB8"/>
    <w:rsid w:val="00696EED"/>
    <w:rsid w:val="006A0277"/>
    <w:rsid w:val="006A0F5F"/>
    <w:rsid w:val="006A18BE"/>
    <w:rsid w:val="006A1D9F"/>
    <w:rsid w:val="006A211B"/>
    <w:rsid w:val="006A2AB7"/>
    <w:rsid w:val="006A2AC5"/>
    <w:rsid w:val="006A3A92"/>
    <w:rsid w:val="006A49BA"/>
    <w:rsid w:val="006A5031"/>
    <w:rsid w:val="006A5164"/>
    <w:rsid w:val="006A59E3"/>
    <w:rsid w:val="006A6598"/>
    <w:rsid w:val="006B0081"/>
    <w:rsid w:val="006B02F7"/>
    <w:rsid w:val="006B0BBB"/>
    <w:rsid w:val="006B1C82"/>
    <w:rsid w:val="006B1DF2"/>
    <w:rsid w:val="006B2392"/>
    <w:rsid w:val="006B3059"/>
    <w:rsid w:val="006B32A3"/>
    <w:rsid w:val="006B39EA"/>
    <w:rsid w:val="006B3D48"/>
    <w:rsid w:val="006B3DF6"/>
    <w:rsid w:val="006B4CB8"/>
    <w:rsid w:val="006B5080"/>
    <w:rsid w:val="006B5652"/>
    <w:rsid w:val="006B5E49"/>
    <w:rsid w:val="006B6AA5"/>
    <w:rsid w:val="006B70DA"/>
    <w:rsid w:val="006B7384"/>
    <w:rsid w:val="006C0161"/>
    <w:rsid w:val="006C2E3D"/>
    <w:rsid w:val="006C3D12"/>
    <w:rsid w:val="006C452B"/>
    <w:rsid w:val="006C4AD3"/>
    <w:rsid w:val="006C5153"/>
    <w:rsid w:val="006C529E"/>
    <w:rsid w:val="006C5448"/>
    <w:rsid w:val="006C64C9"/>
    <w:rsid w:val="006C6851"/>
    <w:rsid w:val="006C6C4D"/>
    <w:rsid w:val="006C6D11"/>
    <w:rsid w:val="006C723F"/>
    <w:rsid w:val="006C7A53"/>
    <w:rsid w:val="006D013D"/>
    <w:rsid w:val="006D044A"/>
    <w:rsid w:val="006D1A21"/>
    <w:rsid w:val="006D3278"/>
    <w:rsid w:val="006D366C"/>
    <w:rsid w:val="006D3C25"/>
    <w:rsid w:val="006D4403"/>
    <w:rsid w:val="006D454C"/>
    <w:rsid w:val="006D5398"/>
    <w:rsid w:val="006D5407"/>
    <w:rsid w:val="006D54A9"/>
    <w:rsid w:val="006D56C7"/>
    <w:rsid w:val="006D67B2"/>
    <w:rsid w:val="006D6C32"/>
    <w:rsid w:val="006E03A7"/>
    <w:rsid w:val="006E066B"/>
    <w:rsid w:val="006E2890"/>
    <w:rsid w:val="006E3B9E"/>
    <w:rsid w:val="006E418D"/>
    <w:rsid w:val="006E4930"/>
    <w:rsid w:val="006E4AED"/>
    <w:rsid w:val="006E6BA3"/>
    <w:rsid w:val="006F0E4F"/>
    <w:rsid w:val="006F3034"/>
    <w:rsid w:val="006F50EC"/>
    <w:rsid w:val="006F578F"/>
    <w:rsid w:val="006F74FD"/>
    <w:rsid w:val="006F784B"/>
    <w:rsid w:val="006F7C1A"/>
    <w:rsid w:val="00700F4E"/>
    <w:rsid w:val="00700FA7"/>
    <w:rsid w:val="00701A81"/>
    <w:rsid w:val="007026B9"/>
    <w:rsid w:val="00702BED"/>
    <w:rsid w:val="00703488"/>
    <w:rsid w:val="00703905"/>
    <w:rsid w:val="007051EF"/>
    <w:rsid w:val="00705900"/>
    <w:rsid w:val="00706D66"/>
    <w:rsid w:val="007073BE"/>
    <w:rsid w:val="00707C54"/>
    <w:rsid w:val="00707E26"/>
    <w:rsid w:val="007104AC"/>
    <w:rsid w:val="0071121E"/>
    <w:rsid w:val="00711300"/>
    <w:rsid w:val="00712C13"/>
    <w:rsid w:val="007130AF"/>
    <w:rsid w:val="007130D9"/>
    <w:rsid w:val="007130EF"/>
    <w:rsid w:val="007135D3"/>
    <w:rsid w:val="00714918"/>
    <w:rsid w:val="00714A4D"/>
    <w:rsid w:val="0071585E"/>
    <w:rsid w:val="00715EE9"/>
    <w:rsid w:val="0071683F"/>
    <w:rsid w:val="00716E0A"/>
    <w:rsid w:val="007178FB"/>
    <w:rsid w:val="00720293"/>
    <w:rsid w:val="00721025"/>
    <w:rsid w:val="00721952"/>
    <w:rsid w:val="00721B22"/>
    <w:rsid w:val="007222AC"/>
    <w:rsid w:val="00722967"/>
    <w:rsid w:val="007229D1"/>
    <w:rsid w:val="00722F25"/>
    <w:rsid w:val="00723B8F"/>
    <w:rsid w:val="00723BD6"/>
    <w:rsid w:val="00724435"/>
    <w:rsid w:val="00724F96"/>
    <w:rsid w:val="00724FE5"/>
    <w:rsid w:val="00725121"/>
    <w:rsid w:val="00725648"/>
    <w:rsid w:val="007256EE"/>
    <w:rsid w:val="00725AA6"/>
    <w:rsid w:val="00725D74"/>
    <w:rsid w:val="00727236"/>
    <w:rsid w:val="0072791A"/>
    <w:rsid w:val="007303C9"/>
    <w:rsid w:val="0073087F"/>
    <w:rsid w:val="0073143E"/>
    <w:rsid w:val="00732016"/>
    <w:rsid w:val="00733381"/>
    <w:rsid w:val="00733892"/>
    <w:rsid w:val="00733ACE"/>
    <w:rsid w:val="00734AE2"/>
    <w:rsid w:val="00734F12"/>
    <w:rsid w:val="00734F6D"/>
    <w:rsid w:val="007352A1"/>
    <w:rsid w:val="00735AC1"/>
    <w:rsid w:val="00735BB2"/>
    <w:rsid w:val="00736853"/>
    <w:rsid w:val="007376E5"/>
    <w:rsid w:val="007409A9"/>
    <w:rsid w:val="00743359"/>
    <w:rsid w:val="00743F7A"/>
    <w:rsid w:val="00744545"/>
    <w:rsid w:val="00744851"/>
    <w:rsid w:val="0074511E"/>
    <w:rsid w:val="00745ECB"/>
    <w:rsid w:val="00745F28"/>
    <w:rsid w:val="007479F8"/>
    <w:rsid w:val="00747BCB"/>
    <w:rsid w:val="00750018"/>
    <w:rsid w:val="0075076E"/>
    <w:rsid w:val="007508E2"/>
    <w:rsid w:val="007514C5"/>
    <w:rsid w:val="007530F4"/>
    <w:rsid w:val="00753580"/>
    <w:rsid w:val="00753CAB"/>
    <w:rsid w:val="007545AE"/>
    <w:rsid w:val="00754A35"/>
    <w:rsid w:val="00754E69"/>
    <w:rsid w:val="00755048"/>
    <w:rsid w:val="00756DAA"/>
    <w:rsid w:val="00757C12"/>
    <w:rsid w:val="00760068"/>
    <w:rsid w:val="00760A07"/>
    <w:rsid w:val="0076145E"/>
    <w:rsid w:val="007616DA"/>
    <w:rsid w:val="00761B06"/>
    <w:rsid w:val="00762016"/>
    <w:rsid w:val="00762442"/>
    <w:rsid w:val="0076298E"/>
    <w:rsid w:val="00763084"/>
    <w:rsid w:val="00763BFE"/>
    <w:rsid w:val="0076455F"/>
    <w:rsid w:val="00765416"/>
    <w:rsid w:val="00765DD7"/>
    <w:rsid w:val="00765EC2"/>
    <w:rsid w:val="00765EDF"/>
    <w:rsid w:val="00766975"/>
    <w:rsid w:val="00767057"/>
    <w:rsid w:val="00770339"/>
    <w:rsid w:val="00771C9D"/>
    <w:rsid w:val="00773838"/>
    <w:rsid w:val="007754EB"/>
    <w:rsid w:val="007757FD"/>
    <w:rsid w:val="007762AF"/>
    <w:rsid w:val="00780B1F"/>
    <w:rsid w:val="00781D86"/>
    <w:rsid w:val="007827CC"/>
    <w:rsid w:val="00782813"/>
    <w:rsid w:val="00783061"/>
    <w:rsid w:val="007834EF"/>
    <w:rsid w:val="00783C6C"/>
    <w:rsid w:val="00784D93"/>
    <w:rsid w:val="00784EAA"/>
    <w:rsid w:val="007853A4"/>
    <w:rsid w:val="00785B11"/>
    <w:rsid w:val="00785CC9"/>
    <w:rsid w:val="00786B29"/>
    <w:rsid w:val="007871A2"/>
    <w:rsid w:val="00787A71"/>
    <w:rsid w:val="00790479"/>
    <w:rsid w:val="00790CF6"/>
    <w:rsid w:val="0079165F"/>
    <w:rsid w:val="00791862"/>
    <w:rsid w:val="007921E6"/>
    <w:rsid w:val="00792AC2"/>
    <w:rsid w:val="00794398"/>
    <w:rsid w:val="00794BC1"/>
    <w:rsid w:val="00795D16"/>
    <w:rsid w:val="0079640B"/>
    <w:rsid w:val="00797831"/>
    <w:rsid w:val="007A0904"/>
    <w:rsid w:val="007A1AA9"/>
    <w:rsid w:val="007A1EBA"/>
    <w:rsid w:val="007A2517"/>
    <w:rsid w:val="007A4862"/>
    <w:rsid w:val="007A59C2"/>
    <w:rsid w:val="007A5A20"/>
    <w:rsid w:val="007A5BC1"/>
    <w:rsid w:val="007A5D8C"/>
    <w:rsid w:val="007A6053"/>
    <w:rsid w:val="007A697D"/>
    <w:rsid w:val="007B0295"/>
    <w:rsid w:val="007B1AB0"/>
    <w:rsid w:val="007B24F7"/>
    <w:rsid w:val="007B31DA"/>
    <w:rsid w:val="007B3432"/>
    <w:rsid w:val="007B3D8C"/>
    <w:rsid w:val="007B3E85"/>
    <w:rsid w:val="007B5EA2"/>
    <w:rsid w:val="007C04AF"/>
    <w:rsid w:val="007C06C2"/>
    <w:rsid w:val="007C10D1"/>
    <w:rsid w:val="007C1F91"/>
    <w:rsid w:val="007C2886"/>
    <w:rsid w:val="007C2F66"/>
    <w:rsid w:val="007C3A77"/>
    <w:rsid w:val="007C6161"/>
    <w:rsid w:val="007C6A88"/>
    <w:rsid w:val="007C7212"/>
    <w:rsid w:val="007C7BF1"/>
    <w:rsid w:val="007D0C39"/>
    <w:rsid w:val="007D0D16"/>
    <w:rsid w:val="007D1499"/>
    <w:rsid w:val="007D1599"/>
    <w:rsid w:val="007D1D81"/>
    <w:rsid w:val="007D1E58"/>
    <w:rsid w:val="007D2080"/>
    <w:rsid w:val="007D2EB3"/>
    <w:rsid w:val="007D318F"/>
    <w:rsid w:val="007D3381"/>
    <w:rsid w:val="007D4026"/>
    <w:rsid w:val="007D4EDD"/>
    <w:rsid w:val="007D6089"/>
    <w:rsid w:val="007D64F5"/>
    <w:rsid w:val="007D7088"/>
    <w:rsid w:val="007D7D81"/>
    <w:rsid w:val="007E03CD"/>
    <w:rsid w:val="007E2D57"/>
    <w:rsid w:val="007E442D"/>
    <w:rsid w:val="007E56C6"/>
    <w:rsid w:val="007E6847"/>
    <w:rsid w:val="007E726C"/>
    <w:rsid w:val="007E7741"/>
    <w:rsid w:val="007F1652"/>
    <w:rsid w:val="007F19EB"/>
    <w:rsid w:val="007F2D13"/>
    <w:rsid w:val="007F48DF"/>
    <w:rsid w:val="007F4A1F"/>
    <w:rsid w:val="007F5E94"/>
    <w:rsid w:val="007F6AB9"/>
    <w:rsid w:val="007F6AE8"/>
    <w:rsid w:val="007F78D6"/>
    <w:rsid w:val="008006E8"/>
    <w:rsid w:val="00800738"/>
    <w:rsid w:val="00801124"/>
    <w:rsid w:val="008038FE"/>
    <w:rsid w:val="0080390F"/>
    <w:rsid w:val="00803F6B"/>
    <w:rsid w:val="0080799E"/>
    <w:rsid w:val="008101E7"/>
    <w:rsid w:val="008112F3"/>
    <w:rsid w:val="00812CFB"/>
    <w:rsid w:val="008137B0"/>
    <w:rsid w:val="008140F4"/>
    <w:rsid w:val="00814F0F"/>
    <w:rsid w:val="008155AF"/>
    <w:rsid w:val="00815C83"/>
    <w:rsid w:val="0082171F"/>
    <w:rsid w:val="00821E8B"/>
    <w:rsid w:val="008233FD"/>
    <w:rsid w:val="00823C80"/>
    <w:rsid w:val="00823FE7"/>
    <w:rsid w:val="00824B7F"/>
    <w:rsid w:val="00826C6B"/>
    <w:rsid w:val="00827097"/>
    <w:rsid w:val="008270F8"/>
    <w:rsid w:val="008274EF"/>
    <w:rsid w:val="00827C81"/>
    <w:rsid w:val="00830FB2"/>
    <w:rsid w:val="00832014"/>
    <w:rsid w:val="008327EA"/>
    <w:rsid w:val="00832E93"/>
    <w:rsid w:val="008335D3"/>
    <w:rsid w:val="008337CA"/>
    <w:rsid w:val="00833A21"/>
    <w:rsid w:val="00833F5F"/>
    <w:rsid w:val="00834345"/>
    <w:rsid w:val="00835364"/>
    <w:rsid w:val="0083600C"/>
    <w:rsid w:val="00836601"/>
    <w:rsid w:val="008366F5"/>
    <w:rsid w:val="008369D4"/>
    <w:rsid w:val="00837DD3"/>
    <w:rsid w:val="008407DD"/>
    <w:rsid w:val="00841813"/>
    <w:rsid w:val="008423EE"/>
    <w:rsid w:val="00842D86"/>
    <w:rsid w:val="00843153"/>
    <w:rsid w:val="008436A8"/>
    <w:rsid w:val="00846399"/>
    <w:rsid w:val="00847005"/>
    <w:rsid w:val="008470AB"/>
    <w:rsid w:val="00850762"/>
    <w:rsid w:val="0085159E"/>
    <w:rsid w:val="00852558"/>
    <w:rsid w:val="00854482"/>
    <w:rsid w:val="008544EF"/>
    <w:rsid w:val="00855A45"/>
    <w:rsid w:val="00856EBC"/>
    <w:rsid w:val="00857F18"/>
    <w:rsid w:val="00860494"/>
    <w:rsid w:val="0086070F"/>
    <w:rsid w:val="0086097E"/>
    <w:rsid w:val="008615C9"/>
    <w:rsid w:val="00861B84"/>
    <w:rsid w:val="008624E1"/>
    <w:rsid w:val="00863505"/>
    <w:rsid w:val="00863F48"/>
    <w:rsid w:val="0086467B"/>
    <w:rsid w:val="0086546A"/>
    <w:rsid w:val="00865FEF"/>
    <w:rsid w:val="00866736"/>
    <w:rsid w:val="00866BE0"/>
    <w:rsid w:val="008671DE"/>
    <w:rsid w:val="00867274"/>
    <w:rsid w:val="008673E7"/>
    <w:rsid w:val="008709C7"/>
    <w:rsid w:val="00871F6B"/>
    <w:rsid w:val="00872B4D"/>
    <w:rsid w:val="008730FA"/>
    <w:rsid w:val="0087393A"/>
    <w:rsid w:val="00875092"/>
    <w:rsid w:val="008759A3"/>
    <w:rsid w:val="00875B69"/>
    <w:rsid w:val="00876B52"/>
    <w:rsid w:val="00877560"/>
    <w:rsid w:val="00877924"/>
    <w:rsid w:val="008805C7"/>
    <w:rsid w:val="00880CAE"/>
    <w:rsid w:val="00881E51"/>
    <w:rsid w:val="00882802"/>
    <w:rsid w:val="00882AC1"/>
    <w:rsid w:val="00883124"/>
    <w:rsid w:val="00883358"/>
    <w:rsid w:val="008838CC"/>
    <w:rsid w:val="00884DEC"/>
    <w:rsid w:val="00884F04"/>
    <w:rsid w:val="00885191"/>
    <w:rsid w:val="0088592F"/>
    <w:rsid w:val="008860D3"/>
    <w:rsid w:val="00886AE9"/>
    <w:rsid w:val="00886B12"/>
    <w:rsid w:val="00886C69"/>
    <w:rsid w:val="00886F73"/>
    <w:rsid w:val="008872C3"/>
    <w:rsid w:val="0088788F"/>
    <w:rsid w:val="0088794C"/>
    <w:rsid w:val="008879FF"/>
    <w:rsid w:val="00887FFC"/>
    <w:rsid w:val="00890314"/>
    <w:rsid w:val="0089049C"/>
    <w:rsid w:val="00891266"/>
    <w:rsid w:val="00891AEE"/>
    <w:rsid w:val="00892335"/>
    <w:rsid w:val="00892B21"/>
    <w:rsid w:val="0089319D"/>
    <w:rsid w:val="00895788"/>
    <w:rsid w:val="0089618C"/>
    <w:rsid w:val="008961CF"/>
    <w:rsid w:val="008963E4"/>
    <w:rsid w:val="00897531"/>
    <w:rsid w:val="008A05C6"/>
    <w:rsid w:val="008A0A3D"/>
    <w:rsid w:val="008A0E06"/>
    <w:rsid w:val="008A2ACE"/>
    <w:rsid w:val="008A3BC6"/>
    <w:rsid w:val="008A4990"/>
    <w:rsid w:val="008A4D17"/>
    <w:rsid w:val="008A56C8"/>
    <w:rsid w:val="008A59FD"/>
    <w:rsid w:val="008A63C3"/>
    <w:rsid w:val="008A7166"/>
    <w:rsid w:val="008A79FF"/>
    <w:rsid w:val="008B02DC"/>
    <w:rsid w:val="008B0E6E"/>
    <w:rsid w:val="008B104E"/>
    <w:rsid w:val="008B29EB"/>
    <w:rsid w:val="008B3093"/>
    <w:rsid w:val="008B3596"/>
    <w:rsid w:val="008B365D"/>
    <w:rsid w:val="008B41E5"/>
    <w:rsid w:val="008B45E8"/>
    <w:rsid w:val="008B62F9"/>
    <w:rsid w:val="008B6A5C"/>
    <w:rsid w:val="008C04E5"/>
    <w:rsid w:val="008C07EB"/>
    <w:rsid w:val="008C2856"/>
    <w:rsid w:val="008C2FF6"/>
    <w:rsid w:val="008C3CED"/>
    <w:rsid w:val="008C3CF5"/>
    <w:rsid w:val="008C6D7E"/>
    <w:rsid w:val="008C7F83"/>
    <w:rsid w:val="008D06B5"/>
    <w:rsid w:val="008D0850"/>
    <w:rsid w:val="008D2ABF"/>
    <w:rsid w:val="008D2C20"/>
    <w:rsid w:val="008D35AA"/>
    <w:rsid w:val="008D37F8"/>
    <w:rsid w:val="008D4FF7"/>
    <w:rsid w:val="008D55B0"/>
    <w:rsid w:val="008D7343"/>
    <w:rsid w:val="008D73B2"/>
    <w:rsid w:val="008D7E67"/>
    <w:rsid w:val="008D7EC4"/>
    <w:rsid w:val="008E2045"/>
    <w:rsid w:val="008E23A2"/>
    <w:rsid w:val="008E2E30"/>
    <w:rsid w:val="008E39E9"/>
    <w:rsid w:val="008E464B"/>
    <w:rsid w:val="008E46BA"/>
    <w:rsid w:val="008E4FFA"/>
    <w:rsid w:val="008E53B8"/>
    <w:rsid w:val="008E6039"/>
    <w:rsid w:val="008E6AC7"/>
    <w:rsid w:val="008E7358"/>
    <w:rsid w:val="008E7807"/>
    <w:rsid w:val="008F06C5"/>
    <w:rsid w:val="008F0AD7"/>
    <w:rsid w:val="008F0CD6"/>
    <w:rsid w:val="008F0D33"/>
    <w:rsid w:val="008F1B61"/>
    <w:rsid w:val="008F22A8"/>
    <w:rsid w:val="008F2EEE"/>
    <w:rsid w:val="008F3963"/>
    <w:rsid w:val="008F3AD3"/>
    <w:rsid w:val="008F40E8"/>
    <w:rsid w:val="008F4C32"/>
    <w:rsid w:val="008F6722"/>
    <w:rsid w:val="008F6C20"/>
    <w:rsid w:val="008F73F1"/>
    <w:rsid w:val="008F7984"/>
    <w:rsid w:val="009000FC"/>
    <w:rsid w:val="0090102C"/>
    <w:rsid w:val="00901A36"/>
    <w:rsid w:val="00901A5C"/>
    <w:rsid w:val="00902291"/>
    <w:rsid w:val="009024F4"/>
    <w:rsid w:val="0090397A"/>
    <w:rsid w:val="009053CA"/>
    <w:rsid w:val="0090561C"/>
    <w:rsid w:val="0090696F"/>
    <w:rsid w:val="00906A90"/>
    <w:rsid w:val="00906E35"/>
    <w:rsid w:val="00910537"/>
    <w:rsid w:val="00910FAD"/>
    <w:rsid w:val="00911957"/>
    <w:rsid w:val="00911CAD"/>
    <w:rsid w:val="0091405C"/>
    <w:rsid w:val="0091518B"/>
    <w:rsid w:val="0091577D"/>
    <w:rsid w:val="0091618C"/>
    <w:rsid w:val="00916B34"/>
    <w:rsid w:val="009171E6"/>
    <w:rsid w:val="009175BC"/>
    <w:rsid w:val="0092018E"/>
    <w:rsid w:val="00920340"/>
    <w:rsid w:val="009213F6"/>
    <w:rsid w:val="0092184E"/>
    <w:rsid w:val="00921B7E"/>
    <w:rsid w:val="00921BE8"/>
    <w:rsid w:val="0092205B"/>
    <w:rsid w:val="009223BF"/>
    <w:rsid w:val="00922704"/>
    <w:rsid w:val="00923013"/>
    <w:rsid w:val="0092356A"/>
    <w:rsid w:val="00923AF8"/>
    <w:rsid w:val="009240D6"/>
    <w:rsid w:val="0092458F"/>
    <w:rsid w:val="0092491F"/>
    <w:rsid w:val="00924D49"/>
    <w:rsid w:val="009251AF"/>
    <w:rsid w:val="00925B7F"/>
    <w:rsid w:val="00926E51"/>
    <w:rsid w:val="00927BCB"/>
    <w:rsid w:val="00927F9F"/>
    <w:rsid w:val="009302C8"/>
    <w:rsid w:val="0093185B"/>
    <w:rsid w:val="00931B89"/>
    <w:rsid w:val="00931F29"/>
    <w:rsid w:val="009327B4"/>
    <w:rsid w:val="009327DF"/>
    <w:rsid w:val="00932E55"/>
    <w:rsid w:val="0093363A"/>
    <w:rsid w:val="00933684"/>
    <w:rsid w:val="00933B50"/>
    <w:rsid w:val="00934427"/>
    <w:rsid w:val="009348F3"/>
    <w:rsid w:val="00934C06"/>
    <w:rsid w:val="009351CE"/>
    <w:rsid w:val="00935DD9"/>
    <w:rsid w:val="00936552"/>
    <w:rsid w:val="00936745"/>
    <w:rsid w:val="00936A5D"/>
    <w:rsid w:val="0093782B"/>
    <w:rsid w:val="00940BF5"/>
    <w:rsid w:val="00941474"/>
    <w:rsid w:val="009417E6"/>
    <w:rsid w:val="00941D3E"/>
    <w:rsid w:val="00941F58"/>
    <w:rsid w:val="00941FF0"/>
    <w:rsid w:val="00942107"/>
    <w:rsid w:val="00942218"/>
    <w:rsid w:val="009428B9"/>
    <w:rsid w:val="00942FEF"/>
    <w:rsid w:val="00943DCA"/>
    <w:rsid w:val="00944272"/>
    <w:rsid w:val="00944452"/>
    <w:rsid w:val="0094456B"/>
    <w:rsid w:val="00945935"/>
    <w:rsid w:val="0094612C"/>
    <w:rsid w:val="009466AF"/>
    <w:rsid w:val="00951406"/>
    <w:rsid w:val="00952C45"/>
    <w:rsid w:val="009531C5"/>
    <w:rsid w:val="00953BC4"/>
    <w:rsid w:val="00954632"/>
    <w:rsid w:val="009561FF"/>
    <w:rsid w:val="00957F0D"/>
    <w:rsid w:val="00960264"/>
    <w:rsid w:val="0096050E"/>
    <w:rsid w:val="00961C97"/>
    <w:rsid w:val="009629C6"/>
    <w:rsid w:val="00962E30"/>
    <w:rsid w:val="00963468"/>
    <w:rsid w:val="009647AC"/>
    <w:rsid w:val="00967086"/>
    <w:rsid w:val="0097043F"/>
    <w:rsid w:val="00970D23"/>
    <w:rsid w:val="0097143E"/>
    <w:rsid w:val="009715F3"/>
    <w:rsid w:val="009728AC"/>
    <w:rsid w:val="009732F3"/>
    <w:rsid w:val="0097484B"/>
    <w:rsid w:val="00974E6C"/>
    <w:rsid w:val="00974EA6"/>
    <w:rsid w:val="009761B1"/>
    <w:rsid w:val="00980673"/>
    <w:rsid w:val="0098098F"/>
    <w:rsid w:val="00980BF5"/>
    <w:rsid w:val="00980DDA"/>
    <w:rsid w:val="00981240"/>
    <w:rsid w:val="009816FD"/>
    <w:rsid w:val="009817BA"/>
    <w:rsid w:val="009838EF"/>
    <w:rsid w:val="00983E10"/>
    <w:rsid w:val="00984443"/>
    <w:rsid w:val="009858A4"/>
    <w:rsid w:val="009864DD"/>
    <w:rsid w:val="009867B0"/>
    <w:rsid w:val="00987354"/>
    <w:rsid w:val="00991204"/>
    <w:rsid w:val="00991A22"/>
    <w:rsid w:val="00991B41"/>
    <w:rsid w:val="00992529"/>
    <w:rsid w:val="0099371B"/>
    <w:rsid w:val="00994A78"/>
    <w:rsid w:val="00995525"/>
    <w:rsid w:val="009955B2"/>
    <w:rsid w:val="00996BA2"/>
    <w:rsid w:val="00996ECD"/>
    <w:rsid w:val="009970EF"/>
    <w:rsid w:val="00997CE5"/>
    <w:rsid w:val="009A07B9"/>
    <w:rsid w:val="009A255B"/>
    <w:rsid w:val="009A2CCE"/>
    <w:rsid w:val="009A2E8D"/>
    <w:rsid w:val="009A39DC"/>
    <w:rsid w:val="009A3AC5"/>
    <w:rsid w:val="009A3F03"/>
    <w:rsid w:val="009A510F"/>
    <w:rsid w:val="009A556B"/>
    <w:rsid w:val="009A6B8C"/>
    <w:rsid w:val="009A74DC"/>
    <w:rsid w:val="009B12FB"/>
    <w:rsid w:val="009B2002"/>
    <w:rsid w:val="009B256E"/>
    <w:rsid w:val="009B3767"/>
    <w:rsid w:val="009B4E3D"/>
    <w:rsid w:val="009B6991"/>
    <w:rsid w:val="009B6B39"/>
    <w:rsid w:val="009B6DEC"/>
    <w:rsid w:val="009C0406"/>
    <w:rsid w:val="009C12CC"/>
    <w:rsid w:val="009C2585"/>
    <w:rsid w:val="009C27B5"/>
    <w:rsid w:val="009C3947"/>
    <w:rsid w:val="009C428A"/>
    <w:rsid w:val="009C5D66"/>
    <w:rsid w:val="009C6804"/>
    <w:rsid w:val="009C6A33"/>
    <w:rsid w:val="009C75AD"/>
    <w:rsid w:val="009C786F"/>
    <w:rsid w:val="009D00CF"/>
    <w:rsid w:val="009D1628"/>
    <w:rsid w:val="009D1754"/>
    <w:rsid w:val="009D277B"/>
    <w:rsid w:val="009D44B0"/>
    <w:rsid w:val="009D4708"/>
    <w:rsid w:val="009E0AC7"/>
    <w:rsid w:val="009E15E0"/>
    <w:rsid w:val="009E1E7B"/>
    <w:rsid w:val="009E39F1"/>
    <w:rsid w:val="009E43B1"/>
    <w:rsid w:val="009E4A18"/>
    <w:rsid w:val="009E5453"/>
    <w:rsid w:val="009E54D7"/>
    <w:rsid w:val="009E5B5A"/>
    <w:rsid w:val="009E6A50"/>
    <w:rsid w:val="009E6F51"/>
    <w:rsid w:val="009F1CD3"/>
    <w:rsid w:val="009F2C26"/>
    <w:rsid w:val="009F348B"/>
    <w:rsid w:val="009F3CE9"/>
    <w:rsid w:val="009F4DD0"/>
    <w:rsid w:val="009F4F77"/>
    <w:rsid w:val="009F528D"/>
    <w:rsid w:val="009F58DE"/>
    <w:rsid w:val="009F6358"/>
    <w:rsid w:val="009F6C23"/>
    <w:rsid w:val="009F715B"/>
    <w:rsid w:val="009F7338"/>
    <w:rsid w:val="009F743C"/>
    <w:rsid w:val="009F74C8"/>
    <w:rsid w:val="009F79C3"/>
    <w:rsid w:val="009F7C93"/>
    <w:rsid w:val="00A00A07"/>
    <w:rsid w:val="00A00B18"/>
    <w:rsid w:val="00A0115D"/>
    <w:rsid w:val="00A01AE2"/>
    <w:rsid w:val="00A01EB7"/>
    <w:rsid w:val="00A031ED"/>
    <w:rsid w:val="00A0679D"/>
    <w:rsid w:val="00A0725B"/>
    <w:rsid w:val="00A07E58"/>
    <w:rsid w:val="00A11E2A"/>
    <w:rsid w:val="00A12F65"/>
    <w:rsid w:val="00A12FD1"/>
    <w:rsid w:val="00A131B8"/>
    <w:rsid w:val="00A138CA"/>
    <w:rsid w:val="00A144F5"/>
    <w:rsid w:val="00A14CD1"/>
    <w:rsid w:val="00A150D7"/>
    <w:rsid w:val="00A15BF9"/>
    <w:rsid w:val="00A163CA"/>
    <w:rsid w:val="00A164CC"/>
    <w:rsid w:val="00A207E9"/>
    <w:rsid w:val="00A21B8D"/>
    <w:rsid w:val="00A21E89"/>
    <w:rsid w:val="00A23138"/>
    <w:rsid w:val="00A2331E"/>
    <w:rsid w:val="00A2351F"/>
    <w:rsid w:val="00A23757"/>
    <w:rsid w:val="00A23E04"/>
    <w:rsid w:val="00A256CA"/>
    <w:rsid w:val="00A25AA8"/>
    <w:rsid w:val="00A25E97"/>
    <w:rsid w:val="00A266E1"/>
    <w:rsid w:val="00A26765"/>
    <w:rsid w:val="00A268BF"/>
    <w:rsid w:val="00A27A83"/>
    <w:rsid w:val="00A30A58"/>
    <w:rsid w:val="00A30A7B"/>
    <w:rsid w:val="00A313A9"/>
    <w:rsid w:val="00A32457"/>
    <w:rsid w:val="00A32D5C"/>
    <w:rsid w:val="00A32D79"/>
    <w:rsid w:val="00A3332C"/>
    <w:rsid w:val="00A33CEA"/>
    <w:rsid w:val="00A34058"/>
    <w:rsid w:val="00A345A6"/>
    <w:rsid w:val="00A34986"/>
    <w:rsid w:val="00A34A79"/>
    <w:rsid w:val="00A34C8D"/>
    <w:rsid w:val="00A356D6"/>
    <w:rsid w:val="00A35E2E"/>
    <w:rsid w:val="00A362D3"/>
    <w:rsid w:val="00A36DB8"/>
    <w:rsid w:val="00A37FE6"/>
    <w:rsid w:val="00A42330"/>
    <w:rsid w:val="00A42B2F"/>
    <w:rsid w:val="00A432F0"/>
    <w:rsid w:val="00A43B88"/>
    <w:rsid w:val="00A43D69"/>
    <w:rsid w:val="00A4459B"/>
    <w:rsid w:val="00A45244"/>
    <w:rsid w:val="00A45A05"/>
    <w:rsid w:val="00A45A12"/>
    <w:rsid w:val="00A45CB2"/>
    <w:rsid w:val="00A45EB4"/>
    <w:rsid w:val="00A463CD"/>
    <w:rsid w:val="00A46BC6"/>
    <w:rsid w:val="00A46D91"/>
    <w:rsid w:val="00A474B2"/>
    <w:rsid w:val="00A47768"/>
    <w:rsid w:val="00A47B37"/>
    <w:rsid w:val="00A503E8"/>
    <w:rsid w:val="00A512B0"/>
    <w:rsid w:val="00A513EB"/>
    <w:rsid w:val="00A51C82"/>
    <w:rsid w:val="00A522A9"/>
    <w:rsid w:val="00A53076"/>
    <w:rsid w:val="00A53821"/>
    <w:rsid w:val="00A53952"/>
    <w:rsid w:val="00A53A90"/>
    <w:rsid w:val="00A5418F"/>
    <w:rsid w:val="00A5443C"/>
    <w:rsid w:val="00A54E35"/>
    <w:rsid w:val="00A54F0D"/>
    <w:rsid w:val="00A55306"/>
    <w:rsid w:val="00A55950"/>
    <w:rsid w:val="00A574B9"/>
    <w:rsid w:val="00A576EC"/>
    <w:rsid w:val="00A6078B"/>
    <w:rsid w:val="00A60FBE"/>
    <w:rsid w:val="00A611E0"/>
    <w:rsid w:val="00A627E7"/>
    <w:rsid w:val="00A646BA"/>
    <w:rsid w:val="00A673F0"/>
    <w:rsid w:val="00A67515"/>
    <w:rsid w:val="00A7015B"/>
    <w:rsid w:val="00A70E7C"/>
    <w:rsid w:val="00A72CB4"/>
    <w:rsid w:val="00A72FAF"/>
    <w:rsid w:val="00A73B0B"/>
    <w:rsid w:val="00A7447E"/>
    <w:rsid w:val="00A74561"/>
    <w:rsid w:val="00A75213"/>
    <w:rsid w:val="00A75698"/>
    <w:rsid w:val="00A75723"/>
    <w:rsid w:val="00A75844"/>
    <w:rsid w:val="00A76328"/>
    <w:rsid w:val="00A76D7E"/>
    <w:rsid w:val="00A77409"/>
    <w:rsid w:val="00A775E2"/>
    <w:rsid w:val="00A80594"/>
    <w:rsid w:val="00A80794"/>
    <w:rsid w:val="00A80A9A"/>
    <w:rsid w:val="00A810AE"/>
    <w:rsid w:val="00A81DFB"/>
    <w:rsid w:val="00A825BE"/>
    <w:rsid w:val="00A82D38"/>
    <w:rsid w:val="00A83639"/>
    <w:rsid w:val="00A84475"/>
    <w:rsid w:val="00A8499E"/>
    <w:rsid w:val="00A861C1"/>
    <w:rsid w:val="00A867AB"/>
    <w:rsid w:val="00A900EF"/>
    <w:rsid w:val="00A901F0"/>
    <w:rsid w:val="00A91350"/>
    <w:rsid w:val="00A91EC3"/>
    <w:rsid w:val="00A92434"/>
    <w:rsid w:val="00A926DF"/>
    <w:rsid w:val="00A92A91"/>
    <w:rsid w:val="00A935F2"/>
    <w:rsid w:val="00A93F24"/>
    <w:rsid w:val="00A94210"/>
    <w:rsid w:val="00A94E97"/>
    <w:rsid w:val="00A96A3C"/>
    <w:rsid w:val="00A97905"/>
    <w:rsid w:val="00AA0916"/>
    <w:rsid w:val="00AA0EB2"/>
    <w:rsid w:val="00AA1E76"/>
    <w:rsid w:val="00AA24AD"/>
    <w:rsid w:val="00AA3137"/>
    <w:rsid w:val="00AA34BC"/>
    <w:rsid w:val="00AA3DC7"/>
    <w:rsid w:val="00AA456C"/>
    <w:rsid w:val="00AA4735"/>
    <w:rsid w:val="00AA599C"/>
    <w:rsid w:val="00AA67DF"/>
    <w:rsid w:val="00AA6AB3"/>
    <w:rsid w:val="00AA7458"/>
    <w:rsid w:val="00AA7D9E"/>
    <w:rsid w:val="00AB070B"/>
    <w:rsid w:val="00AB0A11"/>
    <w:rsid w:val="00AB297D"/>
    <w:rsid w:val="00AB2E90"/>
    <w:rsid w:val="00AB32B3"/>
    <w:rsid w:val="00AB359B"/>
    <w:rsid w:val="00AB428F"/>
    <w:rsid w:val="00AB6CAB"/>
    <w:rsid w:val="00AB77C5"/>
    <w:rsid w:val="00AC0398"/>
    <w:rsid w:val="00AC088D"/>
    <w:rsid w:val="00AC2910"/>
    <w:rsid w:val="00AC4222"/>
    <w:rsid w:val="00AC5164"/>
    <w:rsid w:val="00AC51AA"/>
    <w:rsid w:val="00AC54FA"/>
    <w:rsid w:val="00AC59AC"/>
    <w:rsid w:val="00AD018B"/>
    <w:rsid w:val="00AD0387"/>
    <w:rsid w:val="00AD0EAA"/>
    <w:rsid w:val="00AD1340"/>
    <w:rsid w:val="00AD2639"/>
    <w:rsid w:val="00AD2CE5"/>
    <w:rsid w:val="00AD33EC"/>
    <w:rsid w:val="00AD4591"/>
    <w:rsid w:val="00AD5C20"/>
    <w:rsid w:val="00AD5C81"/>
    <w:rsid w:val="00AD6011"/>
    <w:rsid w:val="00AD642D"/>
    <w:rsid w:val="00AD695D"/>
    <w:rsid w:val="00AD6F03"/>
    <w:rsid w:val="00AD6FFE"/>
    <w:rsid w:val="00AE0616"/>
    <w:rsid w:val="00AE0903"/>
    <w:rsid w:val="00AE1241"/>
    <w:rsid w:val="00AE18D1"/>
    <w:rsid w:val="00AE22F2"/>
    <w:rsid w:val="00AE49FB"/>
    <w:rsid w:val="00AE57C3"/>
    <w:rsid w:val="00AE762D"/>
    <w:rsid w:val="00AE7C51"/>
    <w:rsid w:val="00AF0038"/>
    <w:rsid w:val="00AF1229"/>
    <w:rsid w:val="00AF287E"/>
    <w:rsid w:val="00AF2D52"/>
    <w:rsid w:val="00AF35A9"/>
    <w:rsid w:val="00AF37F7"/>
    <w:rsid w:val="00AF4E4D"/>
    <w:rsid w:val="00AF5695"/>
    <w:rsid w:val="00AF5952"/>
    <w:rsid w:val="00AF5E6E"/>
    <w:rsid w:val="00AF62F1"/>
    <w:rsid w:val="00AF65A8"/>
    <w:rsid w:val="00AF7642"/>
    <w:rsid w:val="00B00EEF"/>
    <w:rsid w:val="00B0178A"/>
    <w:rsid w:val="00B01C95"/>
    <w:rsid w:val="00B03F90"/>
    <w:rsid w:val="00B070AC"/>
    <w:rsid w:val="00B11012"/>
    <w:rsid w:val="00B11C52"/>
    <w:rsid w:val="00B12D6C"/>
    <w:rsid w:val="00B13D3A"/>
    <w:rsid w:val="00B15165"/>
    <w:rsid w:val="00B1632F"/>
    <w:rsid w:val="00B168B4"/>
    <w:rsid w:val="00B175F7"/>
    <w:rsid w:val="00B17666"/>
    <w:rsid w:val="00B17705"/>
    <w:rsid w:val="00B2070F"/>
    <w:rsid w:val="00B20A60"/>
    <w:rsid w:val="00B20BB2"/>
    <w:rsid w:val="00B21B10"/>
    <w:rsid w:val="00B23C2C"/>
    <w:rsid w:val="00B24821"/>
    <w:rsid w:val="00B25356"/>
    <w:rsid w:val="00B265B9"/>
    <w:rsid w:val="00B268FF"/>
    <w:rsid w:val="00B26D4A"/>
    <w:rsid w:val="00B307FA"/>
    <w:rsid w:val="00B30E4C"/>
    <w:rsid w:val="00B31554"/>
    <w:rsid w:val="00B322DC"/>
    <w:rsid w:val="00B32C1B"/>
    <w:rsid w:val="00B332C9"/>
    <w:rsid w:val="00B345BF"/>
    <w:rsid w:val="00B35489"/>
    <w:rsid w:val="00B367B0"/>
    <w:rsid w:val="00B36B97"/>
    <w:rsid w:val="00B375BB"/>
    <w:rsid w:val="00B40E82"/>
    <w:rsid w:val="00B418EF"/>
    <w:rsid w:val="00B421B4"/>
    <w:rsid w:val="00B4354E"/>
    <w:rsid w:val="00B4380C"/>
    <w:rsid w:val="00B45C99"/>
    <w:rsid w:val="00B46203"/>
    <w:rsid w:val="00B4671D"/>
    <w:rsid w:val="00B50FDF"/>
    <w:rsid w:val="00B51610"/>
    <w:rsid w:val="00B52961"/>
    <w:rsid w:val="00B5360E"/>
    <w:rsid w:val="00B53C2E"/>
    <w:rsid w:val="00B54983"/>
    <w:rsid w:val="00B551AC"/>
    <w:rsid w:val="00B55284"/>
    <w:rsid w:val="00B573CD"/>
    <w:rsid w:val="00B57D74"/>
    <w:rsid w:val="00B634EA"/>
    <w:rsid w:val="00B63FEF"/>
    <w:rsid w:val="00B6418F"/>
    <w:rsid w:val="00B64451"/>
    <w:rsid w:val="00B64FE5"/>
    <w:rsid w:val="00B6625F"/>
    <w:rsid w:val="00B66A98"/>
    <w:rsid w:val="00B67657"/>
    <w:rsid w:val="00B70A43"/>
    <w:rsid w:val="00B70ED1"/>
    <w:rsid w:val="00B711B4"/>
    <w:rsid w:val="00B72615"/>
    <w:rsid w:val="00B72E36"/>
    <w:rsid w:val="00B741A0"/>
    <w:rsid w:val="00B762AC"/>
    <w:rsid w:val="00B76B56"/>
    <w:rsid w:val="00B76DF1"/>
    <w:rsid w:val="00B82024"/>
    <w:rsid w:val="00B82707"/>
    <w:rsid w:val="00B847DE"/>
    <w:rsid w:val="00B84CBB"/>
    <w:rsid w:val="00B85880"/>
    <w:rsid w:val="00B86C55"/>
    <w:rsid w:val="00B877C1"/>
    <w:rsid w:val="00B920A1"/>
    <w:rsid w:val="00B9376C"/>
    <w:rsid w:val="00B949FD"/>
    <w:rsid w:val="00B957C3"/>
    <w:rsid w:val="00B968BA"/>
    <w:rsid w:val="00B97491"/>
    <w:rsid w:val="00BA0035"/>
    <w:rsid w:val="00BA0672"/>
    <w:rsid w:val="00BA10D6"/>
    <w:rsid w:val="00BA2027"/>
    <w:rsid w:val="00BA2866"/>
    <w:rsid w:val="00BA295E"/>
    <w:rsid w:val="00BA39E1"/>
    <w:rsid w:val="00BA3A1F"/>
    <w:rsid w:val="00BA5A14"/>
    <w:rsid w:val="00BA5DCA"/>
    <w:rsid w:val="00BA6772"/>
    <w:rsid w:val="00BA686B"/>
    <w:rsid w:val="00BA6F06"/>
    <w:rsid w:val="00BA7183"/>
    <w:rsid w:val="00BA7222"/>
    <w:rsid w:val="00BA7CD0"/>
    <w:rsid w:val="00BB0506"/>
    <w:rsid w:val="00BB1100"/>
    <w:rsid w:val="00BB12FE"/>
    <w:rsid w:val="00BB148A"/>
    <w:rsid w:val="00BB15C2"/>
    <w:rsid w:val="00BB2654"/>
    <w:rsid w:val="00BB33A0"/>
    <w:rsid w:val="00BB38C7"/>
    <w:rsid w:val="00BB515B"/>
    <w:rsid w:val="00BB5C6C"/>
    <w:rsid w:val="00BC0889"/>
    <w:rsid w:val="00BC0CFB"/>
    <w:rsid w:val="00BC1E76"/>
    <w:rsid w:val="00BC218D"/>
    <w:rsid w:val="00BC229E"/>
    <w:rsid w:val="00BC2C1E"/>
    <w:rsid w:val="00BC41A9"/>
    <w:rsid w:val="00BC4350"/>
    <w:rsid w:val="00BC4A83"/>
    <w:rsid w:val="00BC4EC3"/>
    <w:rsid w:val="00BC5BA8"/>
    <w:rsid w:val="00BC67E3"/>
    <w:rsid w:val="00BC743F"/>
    <w:rsid w:val="00BC76B9"/>
    <w:rsid w:val="00BC778A"/>
    <w:rsid w:val="00BC7ED2"/>
    <w:rsid w:val="00BC7EF0"/>
    <w:rsid w:val="00BD0BAF"/>
    <w:rsid w:val="00BD3024"/>
    <w:rsid w:val="00BD591E"/>
    <w:rsid w:val="00BD768B"/>
    <w:rsid w:val="00BD7F67"/>
    <w:rsid w:val="00BE1744"/>
    <w:rsid w:val="00BE176E"/>
    <w:rsid w:val="00BE24C2"/>
    <w:rsid w:val="00BE3F13"/>
    <w:rsid w:val="00BE437E"/>
    <w:rsid w:val="00BE59AB"/>
    <w:rsid w:val="00BE5C3B"/>
    <w:rsid w:val="00BE7838"/>
    <w:rsid w:val="00BF01DF"/>
    <w:rsid w:val="00BF0593"/>
    <w:rsid w:val="00BF0B25"/>
    <w:rsid w:val="00BF0C1B"/>
    <w:rsid w:val="00BF0D2E"/>
    <w:rsid w:val="00BF2EC9"/>
    <w:rsid w:val="00BF32A8"/>
    <w:rsid w:val="00BF407D"/>
    <w:rsid w:val="00BF4F5C"/>
    <w:rsid w:val="00BF63D3"/>
    <w:rsid w:val="00BF7897"/>
    <w:rsid w:val="00BF7F9A"/>
    <w:rsid w:val="00C00C08"/>
    <w:rsid w:val="00C02245"/>
    <w:rsid w:val="00C0269A"/>
    <w:rsid w:val="00C03088"/>
    <w:rsid w:val="00C03F3D"/>
    <w:rsid w:val="00C0505B"/>
    <w:rsid w:val="00C0510A"/>
    <w:rsid w:val="00C05208"/>
    <w:rsid w:val="00C057A9"/>
    <w:rsid w:val="00C058E6"/>
    <w:rsid w:val="00C069AD"/>
    <w:rsid w:val="00C10192"/>
    <w:rsid w:val="00C1122A"/>
    <w:rsid w:val="00C11EF5"/>
    <w:rsid w:val="00C12C1B"/>
    <w:rsid w:val="00C13493"/>
    <w:rsid w:val="00C13EEA"/>
    <w:rsid w:val="00C1469A"/>
    <w:rsid w:val="00C147EB"/>
    <w:rsid w:val="00C14B2A"/>
    <w:rsid w:val="00C15156"/>
    <w:rsid w:val="00C157B1"/>
    <w:rsid w:val="00C165E2"/>
    <w:rsid w:val="00C175CF"/>
    <w:rsid w:val="00C17B3D"/>
    <w:rsid w:val="00C202BD"/>
    <w:rsid w:val="00C20979"/>
    <w:rsid w:val="00C22EC7"/>
    <w:rsid w:val="00C23E9F"/>
    <w:rsid w:val="00C24301"/>
    <w:rsid w:val="00C244D5"/>
    <w:rsid w:val="00C24D4F"/>
    <w:rsid w:val="00C25433"/>
    <w:rsid w:val="00C254A3"/>
    <w:rsid w:val="00C2573D"/>
    <w:rsid w:val="00C269D2"/>
    <w:rsid w:val="00C27518"/>
    <w:rsid w:val="00C304A4"/>
    <w:rsid w:val="00C30FA4"/>
    <w:rsid w:val="00C31653"/>
    <w:rsid w:val="00C32A68"/>
    <w:rsid w:val="00C33939"/>
    <w:rsid w:val="00C34A0F"/>
    <w:rsid w:val="00C34C1E"/>
    <w:rsid w:val="00C34DC1"/>
    <w:rsid w:val="00C351B4"/>
    <w:rsid w:val="00C35214"/>
    <w:rsid w:val="00C3543C"/>
    <w:rsid w:val="00C356A7"/>
    <w:rsid w:val="00C3745A"/>
    <w:rsid w:val="00C37666"/>
    <w:rsid w:val="00C376B0"/>
    <w:rsid w:val="00C4110E"/>
    <w:rsid w:val="00C41C69"/>
    <w:rsid w:val="00C42E7B"/>
    <w:rsid w:val="00C4311A"/>
    <w:rsid w:val="00C4312A"/>
    <w:rsid w:val="00C45A3B"/>
    <w:rsid w:val="00C46296"/>
    <w:rsid w:val="00C472D9"/>
    <w:rsid w:val="00C4789A"/>
    <w:rsid w:val="00C51501"/>
    <w:rsid w:val="00C51666"/>
    <w:rsid w:val="00C5453B"/>
    <w:rsid w:val="00C549B2"/>
    <w:rsid w:val="00C54CB0"/>
    <w:rsid w:val="00C56064"/>
    <w:rsid w:val="00C609A3"/>
    <w:rsid w:val="00C61998"/>
    <w:rsid w:val="00C62C4A"/>
    <w:rsid w:val="00C62E2F"/>
    <w:rsid w:val="00C66082"/>
    <w:rsid w:val="00C66A5C"/>
    <w:rsid w:val="00C67CEF"/>
    <w:rsid w:val="00C71CB8"/>
    <w:rsid w:val="00C729F5"/>
    <w:rsid w:val="00C72C72"/>
    <w:rsid w:val="00C740E2"/>
    <w:rsid w:val="00C74178"/>
    <w:rsid w:val="00C74786"/>
    <w:rsid w:val="00C74A99"/>
    <w:rsid w:val="00C751FD"/>
    <w:rsid w:val="00C7526D"/>
    <w:rsid w:val="00C80D61"/>
    <w:rsid w:val="00C81311"/>
    <w:rsid w:val="00C81DF0"/>
    <w:rsid w:val="00C83196"/>
    <w:rsid w:val="00C83292"/>
    <w:rsid w:val="00C8336B"/>
    <w:rsid w:val="00C84EF1"/>
    <w:rsid w:val="00C8544E"/>
    <w:rsid w:val="00C85837"/>
    <w:rsid w:val="00C86685"/>
    <w:rsid w:val="00C9115F"/>
    <w:rsid w:val="00C91D19"/>
    <w:rsid w:val="00C929B3"/>
    <w:rsid w:val="00C930C3"/>
    <w:rsid w:val="00C94E9C"/>
    <w:rsid w:val="00C95267"/>
    <w:rsid w:val="00C95C0E"/>
    <w:rsid w:val="00C96488"/>
    <w:rsid w:val="00C96DC3"/>
    <w:rsid w:val="00CA013F"/>
    <w:rsid w:val="00CA03D0"/>
    <w:rsid w:val="00CA1647"/>
    <w:rsid w:val="00CA216C"/>
    <w:rsid w:val="00CA3C15"/>
    <w:rsid w:val="00CA4A35"/>
    <w:rsid w:val="00CA58CA"/>
    <w:rsid w:val="00CA5FE2"/>
    <w:rsid w:val="00CA6539"/>
    <w:rsid w:val="00CB0839"/>
    <w:rsid w:val="00CB09E8"/>
    <w:rsid w:val="00CB140F"/>
    <w:rsid w:val="00CB1B23"/>
    <w:rsid w:val="00CB255F"/>
    <w:rsid w:val="00CB29A5"/>
    <w:rsid w:val="00CB3016"/>
    <w:rsid w:val="00CB3424"/>
    <w:rsid w:val="00CB34B2"/>
    <w:rsid w:val="00CB3DBA"/>
    <w:rsid w:val="00CB3DFB"/>
    <w:rsid w:val="00CB3EAC"/>
    <w:rsid w:val="00CB40DA"/>
    <w:rsid w:val="00CB4B53"/>
    <w:rsid w:val="00CB517E"/>
    <w:rsid w:val="00CB5B8D"/>
    <w:rsid w:val="00CB7107"/>
    <w:rsid w:val="00CB7134"/>
    <w:rsid w:val="00CB754C"/>
    <w:rsid w:val="00CB7AA5"/>
    <w:rsid w:val="00CC0449"/>
    <w:rsid w:val="00CC0C0E"/>
    <w:rsid w:val="00CC0F02"/>
    <w:rsid w:val="00CC13E8"/>
    <w:rsid w:val="00CC167E"/>
    <w:rsid w:val="00CC191B"/>
    <w:rsid w:val="00CC232C"/>
    <w:rsid w:val="00CC32C8"/>
    <w:rsid w:val="00CC4050"/>
    <w:rsid w:val="00CC52AD"/>
    <w:rsid w:val="00CC5E6B"/>
    <w:rsid w:val="00CC7E3B"/>
    <w:rsid w:val="00CD0560"/>
    <w:rsid w:val="00CD16AE"/>
    <w:rsid w:val="00CD1B89"/>
    <w:rsid w:val="00CD279D"/>
    <w:rsid w:val="00CD387E"/>
    <w:rsid w:val="00CD38B0"/>
    <w:rsid w:val="00CD3CA4"/>
    <w:rsid w:val="00CD498D"/>
    <w:rsid w:val="00CD6E47"/>
    <w:rsid w:val="00CD7A67"/>
    <w:rsid w:val="00CE05FB"/>
    <w:rsid w:val="00CE0670"/>
    <w:rsid w:val="00CE0F70"/>
    <w:rsid w:val="00CE2A41"/>
    <w:rsid w:val="00CE3404"/>
    <w:rsid w:val="00CE3DA6"/>
    <w:rsid w:val="00CE4469"/>
    <w:rsid w:val="00CE7256"/>
    <w:rsid w:val="00CF002F"/>
    <w:rsid w:val="00CF0953"/>
    <w:rsid w:val="00CF0B14"/>
    <w:rsid w:val="00CF0B76"/>
    <w:rsid w:val="00CF14A7"/>
    <w:rsid w:val="00CF2731"/>
    <w:rsid w:val="00CF3C7F"/>
    <w:rsid w:val="00CF53DC"/>
    <w:rsid w:val="00CF6929"/>
    <w:rsid w:val="00CF784D"/>
    <w:rsid w:val="00CF7C47"/>
    <w:rsid w:val="00D01843"/>
    <w:rsid w:val="00D01942"/>
    <w:rsid w:val="00D0240D"/>
    <w:rsid w:val="00D03598"/>
    <w:rsid w:val="00D0425B"/>
    <w:rsid w:val="00D05013"/>
    <w:rsid w:val="00D0560B"/>
    <w:rsid w:val="00D073DB"/>
    <w:rsid w:val="00D1014C"/>
    <w:rsid w:val="00D10B2F"/>
    <w:rsid w:val="00D10CB6"/>
    <w:rsid w:val="00D12B9A"/>
    <w:rsid w:val="00D13F78"/>
    <w:rsid w:val="00D15A3A"/>
    <w:rsid w:val="00D16746"/>
    <w:rsid w:val="00D16BF2"/>
    <w:rsid w:val="00D16DAD"/>
    <w:rsid w:val="00D16EC2"/>
    <w:rsid w:val="00D1752F"/>
    <w:rsid w:val="00D1785D"/>
    <w:rsid w:val="00D17ACD"/>
    <w:rsid w:val="00D17B15"/>
    <w:rsid w:val="00D208B2"/>
    <w:rsid w:val="00D20957"/>
    <w:rsid w:val="00D22EF3"/>
    <w:rsid w:val="00D2303B"/>
    <w:rsid w:val="00D254AA"/>
    <w:rsid w:val="00D25CA8"/>
    <w:rsid w:val="00D269BE"/>
    <w:rsid w:val="00D273A9"/>
    <w:rsid w:val="00D27C77"/>
    <w:rsid w:val="00D3003E"/>
    <w:rsid w:val="00D30527"/>
    <w:rsid w:val="00D308F3"/>
    <w:rsid w:val="00D31087"/>
    <w:rsid w:val="00D310FA"/>
    <w:rsid w:val="00D31899"/>
    <w:rsid w:val="00D331AB"/>
    <w:rsid w:val="00D3326E"/>
    <w:rsid w:val="00D33745"/>
    <w:rsid w:val="00D351F7"/>
    <w:rsid w:val="00D363E5"/>
    <w:rsid w:val="00D36801"/>
    <w:rsid w:val="00D36D04"/>
    <w:rsid w:val="00D37FFA"/>
    <w:rsid w:val="00D41100"/>
    <w:rsid w:val="00D4127D"/>
    <w:rsid w:val="00D41FCB"/>
    <w:rsid w:val="00D431D5"/>
    <w:rsid w:val="00D43C90"/>
    <w:rsid w:val="00D448BD"/>
    <w:rsid w:val="00D452FC"/>
    <w:rsid w:val="00D453B4"/>
    <w:rsid w:val="00D4569E"/>
    <w:rsid w:val="00D4582E"/>
    <w:rsid w:val="00D45B9A"/>
    <w:rsid w:val="00D464ED"/>
    <w:rsid w:val="00D50459"/>
    <w:rsid w:val="00D51A10"/>
    <w:rsid w:val="00D52375"/>
    <w:rsid w:val="00D52E61"/>
    <w:rsid w:val="00D55243"/>
    <w:rsid w:val="00D55869"/>
    <w:rsid w:val="00D56737"/>
    <w:rsid w:val="00D6090F"/>
    <w:rsid w:val="00D60EDF"/>
    <w:rsid w:val="00D615E2"/>
    <w:rsid w:val="00D61E45"/>
    <w:rsid w:val="00D62B1D"/>
    <w:rsid w:val="00D6329D"/>
    <w:rsid w:val="00D633BE"/>
    <w:rsid w:val="00D638BA"/>
    <w:rsid w:val="00D6394F"/>
    <w:rsid w:val="00D63DF3"/>
    <w:rsid w:val="00D63FEF"/>
    <w:rsid w:val="00D6458F"/>
    <w:rsid w:val="00D64656"/>
    <w:rsid w:val="00D65264"/>
    <w:rsid w:val="00D65E7A"/>
    <w:rsid w:val="00D67318"/>
    <w:rsid w:val="00D67616"/>
    <w:rsid w:val="00D67AA0"/>
    <w:rsid w:val="00D67D28"/>
    <w:rsid w:val="00D70649"/>
    <w:rsid w:val="00D70AC1"/>
    <w:rsid w:val="00D712A7"/>
    <w:rsid w:val="00D72C70"/>
    <w:rsid w:val="00D7324B"/>
    <w:rsid w:val="00D738F2"/>
    <w:rsid w:val="00D743ED"/>
    <w:rsid w:val="00D745F2"/>
    <w:rsid w:val="00D7517E"/>
    <w:rsid w:val="00D7574A"/>
    <w:rsid w:val="00D763DA"/>
    <w:rsid w:val="00D77085"/>
    <w:rsid w:val="00D77500"/>
    <w:rsid w:val="00D775A0"/>
    <w:rsid w:val="00D80324"/>
    <w:rsid w:val="00D808B8"/>
    <w:rsid w:val="00D80DBE"/>
    <w:rsid w:val="00D816CD"/>
    <w:rsid w:val="00D81739"/>
    <w:rsid w:val="00D8180F"/>
    <w:rsid w:val="00D82ADC"/>
    <w:rsid w:val="00D82C4D"/>
    <w:rsid w:val="00D832E8"/>
    <w:rsid w:val="00D84CC1"/>
    <w:rsid w:val="00D8590F"/>
    <w:rsid w:val="00D8698E"/>
    <w:rsid w:val="00D86CE8"/>
    <w:rsid w:val="00D86E0D"/>
    <w:rsid w:val="00D87738"/>
    <w:rsid w:val="00D879E7"/>
    <w:rsid w:val="00D903BC"/>
    <w:rsid w:val="00D92247"/>
    <w:rsid w:val="00D92D73"/>
    <w:rsid w:val="00D954FA"/>
    <w:rsid w:val="00D9626E"/>
    <w:rsid w:val="00D96662"/>
    <w:rsid w:val="00D96EAB"/>
    <w:rsid w:val="00D973C4"/>
    <w:rsid w:val="00D97E81"/>
    <w:rsid w:val="00D97FDA"/>
    <w:rsid w:val="00DA046A"/>
    <w:rsid w:val="00DA1676"/>
    <w:rsid w:val="00DA35B7"/>
    <w:rsid w:val="00DA404D"/>
    <w:rsid w:val="00DA4162"/>
    <w:rsid w:val="00DA4269"/>
    <w:rsid w:val="00DA6007"/>
    <w:rsid w:val="00DA6223"/>
    <w:rsid w:val="00DA6EE3"/>
    <w:rsid w:val="00DA707D"/>
    <w:rsid w:val="00DB0F9D"/>
    <w:rsid w:val="00DB1AED"/>
    <w:rsid w:val="00DB36FD"/>
    <w:rsid w:val="00DB39DC"/>
    <w:rsid w:val="00DB3B62"/>
    <w:rsid w:val="00DB3E8D"/>
    <w:rsid w:val="00DC14A4"/>
    <w:rsid w:val="00DC193F"/>
    <w:rsid w:val="00DC1C0E"/>
    <w:rsid w:val="00DC1CB2"/>
    <w:rsid w:val="00DC1FB1"/>
    <w:rsid w:val="00DC36C6"/>
    <w:rsid w:val="00DC3D93"/>
    <w:rsid w:val="00DC3E0B"/>
    <w:rsid w:val="00DC495D"/>
    <w:rsid w:val="00DC61B6"/>
    <w:rsid w:val="00DC70C9"/>
    <w:rsid w:val="00DC710A"/>
    <w:rsid w:val="00DD0512"/>
    <w:rsid w:val="00DD1597"/>
    <w:rsid w:val="00DD1E02"/>
    <w:rsid w:val="00DD2B30"/>
    <w:rsid w:val="00DD2FAD"/>
    <w:rsid w:val="00DD3D29"/>
    <w:rsid w:val="00DD3F53"/>
    <w:rsid w:val="00DD4BFC"/>
    <w:rsid w:val="00DD4E56"/>
    <w:rsid w:val="00DD5C3F"/>
    <w:rsid w:val="00DD5F53"/>
    <w:rsid w:val="00DD6A32"/>
    <w:rsid w:val="00DD74AA"/>
    <w:rsid w:val="00DD7923"/>
    <w:rsid w:val="00DE0161"/>
    <w:rsid w:val="00DE07D5"/>
    <w:rsid w:val="00DE1AF4"/>
    <w:rsid w:val="00DE2964"/>
    <w:rsid w:val="00DE2A26"/>
    <w:rsid w:val="00DE3C2E"/>
    <w:rsid w:val="00DE60C6"/>
    <w:rsid w:val="00DE6191"/>
    <w:rsid w:val="00DE64B7"/>
    <w:rsid w:val="00DE6994"/>
    <w:rsid w:val="00DE7084"/>
    <w:rsid w:val="00DE7F8A"/>
    <w:rsid w:val="00DF051B"/>
    <w:rsid w:val="00DF2058"/>
    <w:rsid w:val="00DF2150"/>
    <w:rsid w:val="00DF226C"/>
    <w:rsid w:val="00DF2B5E"/>
    <w:rsid w:val="00DF332F"/>
    <w:rsid w:val="00DF4A87"/>
    <w:rsid w:val="00DF672D"/>
    <w:rsid w:val="00DF6C74"/>
    <w:rsid w:val="00DF72FA"/>
    <w:rsid w:val="00DF7D37"/>
    <w:rsid w:val="00E004D5"/>
    <w:rsid w:val="00E00DEC"/>
    <w:rsid w:val="00E019F2"/>
    <w:rsid w:val="00E01E49"/>
    <w:rsid w:val="00E024B0"/>
    <w:rsid w:val="00E03AC7"/>
    <w:rsid w:val="00E03E7A"/>
    <w:rsid w:val="00E04E8C"/>
    <w:rsid w:val="00E052E9"/>
    <w:rsid w:val="00E068C6"/>
    <w:rsid w:val="00E06A0C"/>
    <w:rsid w:val="00E06D00"/>
    <w:rsid w:val="00E07143"/>
    <w:rsid w:val="00E07204"/>
    <w:rsid w:val="00E07431"/>
    <w:rsid w:val="00E07C18"/>
    <w:rsid w:val="00E10739"/>
    <w:rsid w:val="00E13012"/>
    <w:rsid w:val="00E1365B"/>
    <w:rsid w:val="00E14AE7"/>
    <w:rsid w:val="00E14BED"/>
    <w:rsid w:val="00E15B32"/>
    <w:rsid w:val="00E16801"/>
    <w:rsid w:val="00E16924"/>
    <w:rsid w:val="00E16E86"/>
    <w:rsid w:val="00E20AAC"/>
    <w:rsid w:val="00E20DF2"/>
    <w:rsid w:val="00E21A78"/>
    <w:rsid w:val="00E21C05"/>
    <w:rsid w:val="00E23641"/>
    <w:rsid w:val="00E23AD2"/>
    <w:rsid w:val="00E23CC5"/>
    <w:rsid w:val="00E23E0C"/>
    <w:rsid w:val="00E270A1"/>
    <w:rsid w:val="00E303AF"/>
    <w:rsid w:val="00E314EC"/>
    <w:rsid w:val="00E3235F"/>
    <w:rsid w:val="00E32634"/>
    <w:rsid w:val="00E33C5B"/>
    <w:rsid w:val="00E33F35"/>
    <w:rsid w:val="00E348C8"/>
    <w:rsid w:val="00E351F8"/>
    <w:rsid w:val="00E35890"/>
    <w:rsid w:val="00E35DF9"/>
    <w:rsid w:val="00E36422"/>
    <w:rsid w:val="00E378E1"/>
    <w:rsid w:val="00E37944"/>
    <w:rsid w:val="00E37A32"/>
    <w:rsid w:val="00E41A02"/>
    <w:rsid w:val="00E41A34"/>
    <w:rsid w:val="00E437C3"/>
    <w:rsid w:val="00E43ED8"/>
    <w:rsid w:val="00E456EE"/>
    <w:rsid w:val="00E45B3A"/>
    <w:rsid w:val="00E4648C"/>
    <w:rsid w:val="00E46730"/>
    <w:rsid w:val="00E46832"/>
    <w:rsid w:val="00E473FE"/>
    <w:rsid w:val="00E475DD"/>
    <w:rsid w:val="00E50EF1"/>
    <w:rsid w:val="00E51C65"/>
    <w:rsid w:val="00E546C6"/>
    <w:rsid w:val="00E5487C"/>
    <w:rsid w:val="00E55E3F"/>
    <w:rsid w:val="00E60713"/>
    <w:rsid w:val="00E60A71"/>
    <w:rsid w:val="00E60E27"/>
    <w:rsid w:val="00E61562"/>
    <w:rsid w:val="00E61A06"/>
    <w:rsid w:val="00E624DC"/>
    <w:rsid w:val="00E62666"/>
    <w:rsid w:val="00E62F11"/>
    <w:rsid w:val="00E63476"/>
    <w:rsid w:val="00E64751"/>
    <w:rsid w:val="00E64D88"/>
    <w:rsid w:val="00E65D3A"/>
    <w:rsid w:val="00E66B83"/>
    <w:rsid w:val="00E673E1"/>
    <w:rsid w:val="00E67919"/>
    <w:rsid w:val="00E679A2"/>
    <w:rsid w:val="00E67AEA"/>
    <w:rsid w:val="00E67D7F"/>
    <w:rsid w:val="00E70E2D"/>
    <w:rsid w:val="00E718B1"/>
    <w:rsid w:val="00E719EA"/>
    <w:rsid w:val="00E72439"/>
    <w:rsid w:val="00E739E3"/>
    <w:rsid w:val="00E74E5F"/>
    <w:rsid w:val="00E74F0C"/>
    <w:rsid w:val="00E7666E"/>
    <w:rsid w:val="00E76B81"/>
    <w:rsid w:val="00E76CE3"/>
    <w:rsid w:val="00E77A62"/>
    <w:rsid w:val="00E8078A"/>
    <w:rsid w:val="00E80CA1"/>
    <w:rsid w:val="00E81C53"/>
    <w:rsid w:val="00E8223F"/>
    <w:rsid w:val="00E829C6"/>
    <w:rsid w:val="00E834F8"/>
    <w:rsid w:val="00E848A4"/>
    <w:rsid w:val="00E84CB2"/>
    <w:rsid w:val="00E853AA"/>
    <w:rsid w:val="00E85BF2"/>
    <w:rsid w:val="00E87B2C"/>
    <w:rsid w:val="00E903C7"/>
    <w:rsid w:val="00E90632"/>
    <w:rsid w:val="00E913D2"/>
    <w:rsid w:val="00E914FA"/>
    <w:rsid w:val="00E91F1F"/>
    <w:rsid w:val="00E9288E"/>
    <w:rsid w:val="00E94A89"/>
    <w:rsid w:val="00E94E22"/>
    <w:rsid w:val="00E96885"/>
    <w:rsid w:val="00E97EE6"/>
    <w:rsid w:val="00EA01A5"/>
    <w:rsid w:val="00EA0F0E"/>
    <w:rsid w:val="00EA1D8E"/>
    <w:rsid w:val="00EA3354"/>
    <w:rsid w:val="00EA4039"/>
    <w:rsid w:val="00EA4430"/>
    <w:rsid w:val="00EA4C5E"/>
    <w:rsid w:val="00EA4FAF"/>
    <w:rsid w:val="00EA558B"/>
    <w:rsid w:val="00EA6619"/>
    <w:rsid w:val="00EB08D1"/>
    <w:rsid w:val="00EB12B4"/>
    <w:rsid w:val="00EB1BFF"/>
    <w:rsid w:val="00EB27AB"/>
    <w:rsid w:val="00EB2BFD"/>
    <w:rsid w:val="00EB3358"/>
    <w:rsid w:val="00EB3606"/>
    <w:rsid w:val="00EB37B3"/>
    <w:rsid w:val="00EB40D2"/>
    <w:rsid w:val="00EB4B28"/>
    <w:rsid w:val="00EB4DEF"/>
    <w:rsid w:val="00EB6460"/>
    <w:rsid w:val="00EB6BA3"/>
    <w:rsid w:val="00EB7A2F"/>
    <w:rsid w:val="00EC015B"/>
    <w:rsid w:val="00EC185B"/>
    <w:rsid w:val="00EC263C"/>
    <w:rsid w:val="00EC32B5"/>
    <w:rsid w:val="00EC3339"/>
    <w:rsid w:val="00EC3694"/>
    <w:rsid w:val="00EC3E32"/>
    <w:rsid w:val="00EC42E4"/>
    <w:rsid w:val="00EC5863"/>
    <w:rsid w:val="00EC624F"/>
    <w:rsid w:val="00EC686A"/>
    <w:rsid w:val="00EC68DD"/>
    <w:rsid w:val="00EC691F"/>
    <w:rsid w:val="00EC7FF3"/>
    <w:rsid w:val="00ED03B9"/>
    <w:rsid w:val="00ED0760"/>
    <w:rsid w:val="00ED1251"/>
    <w:rsid w:val="00ED181B"/>
    <w:rsid w:val="00ED2C4F"/>
    <w:rsid w:val="00ED2FE2"/>
    <w:rsid w:val="00ED3CED"/>
    <w:rsid w:val="00ED5416"/>
    <w:rsid w:val="00ED6574"/>
    <w:rsid w:val="00ED7338"/>
    <w:rsid w:val="00ED7BB2"/>
    <w:rsid w:val="00ED7BDC"/>
    <w:rsid w:val="00EE002E"/>
    <w:rsid w:val="00EE03FA"/>
    <w:rsid w:val="00EE0A03"/>
    <w:rsid w:val="00EE0B61"/>
    <w:rsid w:val="00EE1ED9"/>
    <w:rsid w:val="00EE2BEA"/>
    <w:rsid w:val="00EE32A1"/>
    <w:rsid w:val="00EE34E9"/>
    <w:rsid w:val="00EE35B1"/>
    <w:rsid w:val="00EE43E1"/>
    <w:rsid w:val="00EE4DD8"/>
    <w:rsid w:val="00EE504A"/>
    <w:rsid w:val="00EE50E9"/>
    <w:rsid w:val="00EE6E7B"/>
    <w:rsid w:val="00EE7980"/>
    <w:rsid w:val="00EE7EBC"/>
    <w:rsid w:val="00EF09D1"/>
    <w:rsid w:val="00EF0FD6"/>
    <w:rsid w:val="00EF188C"/>
    <w:rsid w:val="00EF21C4"/>
    <w:rsid w:val="00EF2372"/>
    <w:rsid w:val="00EF2A53"/>
    <w:rsid w:val="00EF35A4"/>
    <w:rsid w:val="00EF46F9"/>
    <w:rsid w:val="00EF746F"/>
    <w:rsid w:val="00EF7EBD"/>
    <w:rsid w:val="00F00781"/>
    <w:rsid w:val="00F00E7A"/>
    <w:rsid w:val="00F00F38"/>
    <w:rsid w:val="00F014C0"/>
    <w:rsid w:val="00F01E6F"/>
    <w:rsid w:val="00F01EEF"/>
    <w:rsid w:val="00F03F51"/>
    <w:rsid w:val="00F045C3"/>
    <w:rsid w:val="00F045CC"/>
    <w:rsid w:val="00F04742"/>
    <w:rsid w:val="00F06298"/>
    <w:rsid w:val="00F06C11"/>
    <w:rsid w:val="00F11864"/>
    <w:rsid w:val="00F119E5"/>
    <w:rsid w:val="00F12046"/>
    <w:rsid w:val="00F1276A"/>
    <w:rsid w:val="00F12C88"/>
    <w:rsid w:val="00F1385D"/>
    <w:rsid w:val="00F13AF4"/>
    <w:rsid w:val="00F13B78"/>
    <w:rsid w:val="00F140EC"/>
    <w:rsid w:val="00F1571B"/>
    <w:rsid w:val="00F17356"/>
    <w:rsid w:val="00F179DD"/>
    <w:rsid w:val="00F22C1F"/>
    <w:rsid w:val="00F22CCC"/>
    <w:rsid w:val="00F23706"/>
    <w:rsid w:val="00F24830"/>
    <w:rsid w:val="00F25430"/>
    <w:rsid w:val="00F26036"/>
    <w:rsid w:val="00F268CF"/>
    <w:rsid w:val="00F308F8"/>
    <w:rsid w:val="00F30951"/>
    <w:rsid w:val="00F3121E"/>
    <w:rsid w:val="00F3180B"/>
    <w:rsid w:val="00F33519"/>
    <w:rsid w:val="00F338AB"/>
    <w:rsid w:val="00F3555D"/>
    <w:rsid w:val="00F35A2E"/>
    <w:rsid w:val="00F36081"/>
    <w:rsid w:val="00F37DC1"/>
    <w:rsid w:val="00F40632"/>
    <w:rsid w:val="00F40D05"/>
    <w:rsid w:val="00F40E3E"/>
    <w:rsid w:val="00F41C7A"/>
    <w:rsid w:val="00F42221"/>
    <w:rsid w:val="00F4231D"/>
    <w:rsid w:val="00F4272B"/>
    <w:rsid w:val="00F42872"/>
    <w:rsid w:val="00F43117"/>
    <w:rsid w:val="00F43C9E"/>
    <w:rsid w:val="00F44410"/>
    <w:rsid w:val="00F44943"/>
    <w:rsid w:val="00F45787"/>
    <w:rsid w:val="00F46DC7"/>
    <w:rsid w:val="00F46F2B"/>
    <w:rsid w:val="00F470FF"/>
    <w:rsid w:val="00F503E9"/>
    <w:rsid w:val="00F518F1"/>
    <w:rsid w:val="00F52659"/>
    <w:rsid w:val="00F53828"/>
    <w:rsid w:val="00F549A7"/>
    <w:rsid w:val="00F54C5E"/>
    <w:rsid w:val="00F54FAE"/>
    <w:rsid w:val="00F554F2"/>
    <w:rsid w:val="00F55709"/>
    <w:rsid w:val="00F55729"/>
    <w:rsid w:val="00F576F7"/>
    <w:rsid w:val="00F57ABE"/>
    <w:rsid w:val="00F57C26"/>
    <w:rsid w:val="00F61ED9"/>
    <w:rsid w:val="00F62E09"/>
    <w:rsid w:val="00F64ECE"/>
    <w:rsid w:val="00F6551F"/>
    <w:rsid w:val="00F659F0"/>
    <w:rsid w:val="00F65A14"/>
    <w:rsid w:val="00F65D00"/>
    <w:rsid w:val="00F66524"/>
    <w:rsid w:val="00F66F38"/>
    <w:rsid w:val="00F716F1"/>
    <w:rsid w:val="00F71F88"/>
    <w:rsid w:val="00F72CF8"/>
    <w:rsid w:val="00F734FB"/>
    <w:rsid w:val="00F7417B"/>
    <w:rsid w:val="00F747CD"/>
    <w:rsid w:val="00F765E5"/>
    <w:rsid w:val="00F77C06"/>
    <w:rsid w:val="00F77CC9"/>
    <w:rsid w:val="00F80828"/>
    <w:rsid w:val="00F81132"/>
    <w:rsid w:val="00F816A7"/>
    <w:rsid w:val="00F81E0B"/>
    <w:rsid w:val="00F81FBC"/>
    <w:rsid w:val="00F82836"/>
    <w:rsid w:val="00F82A83"/>
    <w:rsid w:val="00F832FB"/>
    <w:rsid w:val="00F837DE"/>
    <w:rsid w:val="00F841DE"/>
    <w:rsid w:val="00F84FA4"/>
    <w:rsid w:val="00F87F65"/>
    <w:rsid w:val="00F90DBB"/>
    <w:rsid w:val="00F92169"/>
    <w:rsid w:val="00F92692"/>
    <w:rsid w:val="00F927DA"/>
    <w:rsid w:val="00F938CB"/>
    <w:rsid w:val="00F93B9B"/>
    <w:rsid w:val="00F960CB"/>
    <w:rsid w:val="00F96AE8"/>
    <w:rsid w:val="00F96C4A"/>
    <w:rsid w:val="00F96F3B"/>
    <w:rsid w:val="00F97A3B"/>
    <w:rsid w:val="00FA0345"/>
    <w:rsid w:val="00FA07DD"/>
    <w:rsid w:val="00FA0DA4"/>
    <w:rsid w:val="00FA0F79"/>
    <w:rsid w:val="00FA1D44"/>
    <w:rsid w:val="00FA25DB"/>
    <w:rsid w:val="00FA3592"/>
    <w:rsid w:val="00FA3C8C"/>
    <w:rsid w:val="00FA4C98"/>
    <w:rsid w:val="00FA4D75"/>
    <w:rsid w:val="00FA51E0"/>
    <w:rsid w:val="00FA55A4"/>
    <w:rsid w:val="00FA708A"/>
    <w:rsid w:val="00FA76E4"/>
    <w:rsid w:val="00FA776C"/>
    <w:rsid w:val="00FB0A91"/>
    <w:rsid w:val="00FB15B6"/>
    <w:rsid w:val="00FB1E7C"/>
    <w:rsid w:val="00FB22C1"/>
    <w:rsid w:val="00FB3069"/>
    <w:rsid w:val="00FB34C3"/>
    <w:rsid w:val="00FB3AD6"/>
    <w:rsid w:val="00FB521F"/>
    <w:rsid w:val="00FB5773"/>
    <w:rsid w:val="00FB6678"/>
    <w:rsid w:val="00FB6C09"/>
    <w:rsid w:val="00FB7188"/>
    <w:rsid w:val="00FB7770"/>
    <w:rsid w:val="00FB7F7D"/>
    <w:rsid w:val="00FC0211"/>
    <w:rsid w:val="00FC0780"/>
    <w:rsid w:val="00FC0FC7"/>
    <w:rsid w:val="00FC1297"/>
    <w:rsid w:val="00FC1D2C"/>
    <w:rsid w:val="00FC2215"/>
    <w:rsid w:val="00FC3766"/>
    <w:rsid w:val="00FC588F"/>
    <w:rsid w:val="00FC5B3D"/>
    <w:rsid w:val="00FC7279"/>
    <w:rsid w:val="00FC75FE"/>
    <w:rsid w:val="00FC79B5"/>
    <w:rsid w:val="00FD02D7"/>
    <w:rsid w:val="00FD1E8C"/>
    <w:rsid w:val="00FD1F6B"/>
    <w:rsid w:val="00FD2E2C"/>
    <w:rsid w:val="00FD38C7"/>
    <w:rsid w:val="00FD3DB2"/>
    <w:rsid w:val="00FD408C"/>
    <w:rsid w:val="00FD482B"/>
    <w:rsid w:val="00FD5859"/>
    <w:rsid w:val="00FD5DFB"/>
    <w:rsid w:val="00FD6762"/>
    <w:rsid w:val="00FD72AB"/>
    <w:rsid w:val="00FD7A28"/>
    <w:rsid w:val="00FD7C7E"/>
    <w:rsid w:val="00FD7DFA"/>
    <w:rsid w:val="00FE11A2"/>
    <w:rsid w:val="00FE3258"/>
    <w:rsid w:val="00FE37AF"/>
    <w:rsid w:val="00FE4B83"/>
    <w:rsid w:val="00FE562F"/>
    <w:rsid w:val="00FE566E"/>
    <w:rsid w:val="00FE579F"/>
    <w:rsid w:val="00FE7A3A"/>
    <w:rsid w:val="00FE7AD5"/>
    <w:rsid w:val="00FF00AC"/>
    <w:rsid w:val="00FF0F0E"/>
    <w:rsid w:val="00FF13F2"/>
    <w:rsid w:val="00FF141F"/>
    <w:rsid w:val="00FF187C"/>
    <w:rsid w:val="00FF28B9"/>
    <w:rsid w:val="00FF32D1"/>
    <w:rsid w:val="00FF3552"/>
    <w:rsid w:val="00FF37C4"/>
    <w:rsid w:val="00FF54D0"/>
    <w:rsid w:val="00FF574D"/>
    <w:rsid w:val="00FF584F"/>
    <w:rsid w:val="00FF5EC8"/>
    <w:rsid w:val="00FF6D6F"/>
    <w:rsid w:val="00FF7129"/>
    <w:rsid w:val="00FF7809"/>
    <w:rsid w:val="014F75C4"/>
    <w:rsid w:val="075D42C2"/>
    <w:rsid w:val="09A47762"/>
    <w:rsid w:val="0D996966"/>
    <w:rsid w:val="1A9D4C11"/>
    <w:rsid w:val="1E640224"/>
    <w:rsid w:val="20A456B9"/>
    <w:rsid w:val="22147351"/>
    <w:rsid w:val="282C1AAD"/>
    <w:rsid w:val="296D7A53"/>
    <w:rsid w:val="3527671D"/>
    <w:rsid w:val="38ED4657"/>
    <w:rsid w:val="42A76738"/>
    <w:rsid w:val="43790046"/>
    <w:rsid w:val="44134E9B"/>
    <w:rsid w:val="447C6808"/>
    <w:rsid w:val="48B563B4"/>
    <w:rsid w:val="502C28CB"/>
    <w:rsid w:val="58CB43C0"/>
    <w:rsid w:val="64577362"/>
    <w:rsid w:val="6A97B6EA"/>
    <w:rsid w:val="6E8E5F54"/>
    <w:rsid w:val="7DE64F55"/>
    <w:rsid w:val="7EC145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99" w:semiHidden="0" w:name="Normal Indent"/>
    <w:lsdException w:uiPriority="99" w:name="footnote text"/>
    <w:lsdException w:qFormat="1"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qFormat="1"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2"/>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3"/>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4">
    <w:name w:val="toc 7"/>
    <w:basedOn w:val="1"/>
    <w:next w:val="1"/>
    <w:unhideWhenUsed/>
    <w:qFormat/>
    <w:uiPriority w:val="39"/>
    <w:pPr>
      <w:ind w:left="2520" w:leftChars="1200"/>
    </w:pPr>
  </w:style>
  <w:style w:type="paragraph" w:styleId="5">
    <w:name w:val="table of authorities"/>
    <w:basedOn w:val="1"/>
    <w:next w:val="1"/>
    <w:link w:val="49"/>
    <w:semiHidden/>
    <w:unhideWhenUsed/>
    <w:qFormat/>
    <w:uiPriority w:val="99"/>
    <w:pPr>
      <w:ind w:left="420" w:leftChars="200"/>
    </w:pPr>
  </w:style>
  <w:style w:type="paragraph" w:styleId="6">
    <w:name w:val="Normal Indent"/>
    <w:basedOn w:val="1"/>
    <w:unhideWhenUsed/>
    <w:qFormat/>
    <w:uiPriority w:val="99"/>
    <w:pPr>
      <w:ind w:firstLine="420" w:firstLineChars="200"/>
    </w:pPr>
  </w:style>
  <w:style w:type="paragraph" w:styleId="7">
    <w:name w:val="annotation text"/>
    <w:basedOn w:val="1"/>
    <w:link w:val="71"/>
    <w:semiHidden/>
    <w:unhideWhenUsed/>
    <w:qFormat/>
    <w:uiPriority w:val="99"/>
    <w:pPr>
      <w:jc w:val="left"/>
    </w:pPr>
  </w:style>
  <w:style w:type="paragraph" w:styleId="8">
    <w:name w:val="Body Text Indent"/>
    <w:basedOn w:val="1"/>
    <w:link w:val="67"/>
    <w:unhideWhenUsed/>
    <w:qFormat/>
    <w:uiPriority w:val="0"/>
    <w:pPr>
      <w:spacing w:after="120"/>
      <w:ind w:left="420" w:leftChars="200"/>
    </w:pPr>
  </w:style>
  <w:style w:type="paragraph" w:styleId="9">
    <w:name w:val="toc 5"/>
    <w:basedOn w:val="1"/>
    <w:next w:val="1"/>
    <w:unhideWhenUsed/>
    <w:qFormat/>
    <w:uiPriority w:val="39"/>
    <w:pPr>
      <w:ind w:left="1680" w:leftChars="800"/>
    </w:pPr>
  </w:style>
  <w:style w:type="paragraph" w:styleId="10">
    <w:name w:val="toc 3"/>
    <w:basedOn w:val="11"/>
    <w:next w:val="1"/>
    <w:unhideWhenUsed/>
    <w:qFormat/>
    <w:uiPriority w:val="39"/>
    <w:pPr>
      <w:widowControl/>
      <w:tabs>
        <w:tab w:val="right" w:leader="dot" w:pos="8296"/>
      </w:tabs>
      <w:spacing w:after="100" w:line="276" w:lineRule="auto"/>
      <w:ind w:left="442"/>
    </w:pPr>
    <w:rPr>
      <w:b w:val="0"/>
      <w:kern w:val="0"/>
    </w:rPr>
  </w:style>
  <w:style w:type="paragraph" w:customStyle="1" w:styleId="11">
    <w:name w:val="3标题"/>
    <w:basedOn w:val="12"/>
    <w:link w:val="41"/>
    <w:qFormat/>
    <w:uiPriority w:val="0"/>
    <w:pPr>
      <w:snapToGrid w:val="0"/>
      <w:spacing w:before="0" w:after="0" w:line="440" w:lineRule="exact"/>
      <w:ind w:firstLine="200" w:firstLineChars="200"/>
      <w:jc w:val="left"/>
      <w:outlineLvl w:val="2"/>
    </w:pPr>
    <w:rPr>
      <w:rFonts w:ascii="Times New Roman" w:hAnsi="Times New Roman" w:eastAsia="宋体"/>
      <w:sz w:val="24"/>
      <w:szCs w:val="21"/>
    </w:rPr>
  </w:style>
  <w:style w:type="paragraph" w:styleId="12">
    <w:name w:val="Title"/>
    <w:basedOn w:val="1"/>
    <w:next w:val="1"/>
    <w:link w:val="38"/>
    <w:qFormat/>
    <w:uiPriority w:val="10"/>
    <w:pPr>
      <w:spacing w:before="240" w:after="60"/>
      <w:jc w:val="center"/>
      <w:outlineLvl w:val="0"/>
    </w:pPr>
    <w:rPr>
      <w:rFonts w:asciiTheme="majorHAnsi" w:hAnsiTheme="majorHAnsi" w:eastAsiaTheme="majorEastAsia" w:cstheme="majorBidi"/>
      <w:b/>
      <w:bCs/>
      <w:sz w:val="32"/>
      <w:szCs w:val="32"/>
    </w:rPr>
  </w:style>
  <w:style w:type="paragraph" w:styleId="13">
    <w:name w:val="toc 8"/>
    <w:basedOn w:val="1"/>
    <w:next w:val="1"/>
    <w:unhideWhenUsed/>
    <w:qFormat/>
    <w:uiPriority w:val="39"/>
    <w:pPr>
      <w:ind w:left="2940" w:leftChars="1400"/>
    </w:pPr>
  </w:style>
  <w:style w:type="paragraph" w:styleId="14">
    <w:name w:val="Balloon Text"/>
    <w:basedOn w:val="1"/>
    <w:link w:val="54"/>
    <w:semiHidden/>
    <w:unhideWhenUsed/>
    <w:qFormat/>
    <w:uiPriority w:val="99"/>
    <w:rPr>
      <w:sz w:val="18"/>
      <w:szCs w:val="18"/>
    </w:rPr>
  </w:style>
  <w:style w:type="paragraph" w:styleId="15">
    <w:name w:val="footer"/>
    <w:basedOn w:val="1"/>
    <w:link w:val="35"/>
    <w:unhideWhenUsed/>
    <w:qFormat/>
    <w:uiPriority w:val="0"/>
    <w:pPr>
      <w:tabs>
        <w:tab w:val="center" w:pos="4153"/>
        <w:tab w:val="right" w:pos="8306"/>
      </w:tabs>
      <w:snapToGrid w:val="0"/>
      <w:jc w:val="left"/>
    </w:pPr>
    <w:rPr>
      <w:sz w:val="18"/>
      <w:szCs w:val="18"/>
    </w:rPr>
  </w:style>
  <w:style w:type="paragraph" w:styleId="16">
    <w:name w:val="header"/>
    <w:basedOn w:val="1"/>
    <w:link w:val="34"/>
    <w:unhideWhenUsed/>
    <w:qFormat/>
    <w:uiPriority w:val="0"/>
    <w:pPr>
      <w:pBdr>
        <w:bottom w:val="single" w:color="auto" w:sz="6" w:space="1"/>
      </w:pBdr>
      <w:tabs>
        <w:tab w:val="center" w:pos="4153"/>
        <w:tab w:val="right" w:pos="8306"/>
      </w:tabs>
      <w:snapToGrid w:val="0"/>
      <w:jc w:val="center"/>
    </w:pPr>
    <w:rPr>
      <w:sz w:val="18"/>
      <w:szCs w:val="18"/>
    </w:rPr>
  </w:style>
  <w:style w:type="paragraph" w:styleId="17">
    <w:name w:val="toc 1"/>
    <w:basedOn w:val="18"/>
    <w:next w:val="1"/>
    <w:unhideWhenUsed/>
    <w:qFormat/>
    <w:uiPriority w:val="39"/>
    <w:pPr>
      <w:widowControl/>
      <w:spacing w:line="276" w:lineRule="auto"/>
    </w:pPr>
    <w:rPr>
      <w:b w:val="0"/>
      <w:snapToGrid w:val="0"/>
      <w:kern w:val="0"/>
    </w:rPr>
  </w:style>
  <w:style w:type="paragraph" w:customStyle="1" w:styleId="18">
    <w:name w:val="1标题"/>
    <w:basedOn w:val="19"/>
    <w:link w:val="39"/>
    <w:qFormat/>
    <w:uiPriority w:val="0"/>
    <w:pPr>
      <w:snapToGrid/>
      <w:spacing w:line="288" w:lineRule="auto"/>
      <w:ind w:firstLine="562"/>
    </w:pPr>
    <w:rPr>
      <w:sz w:val="30"/>
    </w:rPr>
  </w:style>
  <w:style w:type="paragraph" w:customStyle="1" w:styleId="19">
    <w:name w:val="2标题"/>
    <w:basedOn w:val="12"/>
    <w:link w:val="40"/>
    <w:qFormat/>
    <w:uiPriority w:val="0"/>
    <w:pPr>
      <w:snapToGrid w:val="0"/>
      <w:spacing w:before="0" w:after="0" w:line="440" w:lineRule="exact"/>
      <w:ind w:firstLine="200" w:firstLineChars="200"/>
      <w:jc w:val="left"/>
      <w:outlineLvl w:val="1"/>
    </w:pPr>
    <w:rPr>
      <w:rFonts w:ascii="Times New Roman" w:hAnsi="Times New Roman" w:eastAsia="宋体"/>
      <w:sz w:val="28"/>
      <w:szCs w:val="24"/>
    </w:rPr>
  </w:style>
  <w:style w:type="paragraph" w:styleId="20">
    <w:name w:val="toc 4"/>
    <w:basedOn w:val="1"/>
    <w:next w:val="1"/>
    <w:unhideWhenUsed/>
    <w:qFormat/>
    <w:uiPriority w:val="39"/>
    <w:pPr>
      <w:ind w:left="1260" w:leftChars="600"/>
    </w:pPr>
  </w:style>
  <w:style w:type="paragraph" w:styleId="21">
    <w:name w:val="toc 6"/>
    <w:basedOn w:val="1"/>
    <w:next w:val="1"/>
    <w:unhideWhenUsed/>
    <w:qFormat/>
    <w:uiPriority w:val="39"/>
    <w:pPr>
      <w:ind w:left="2100" w:leftChars="1000"/>
    </w:pPr>
  </w:style>
  <w:style w:type="paragraph" w:styleId="22">
    <w:name w:val="toc 2"/>
    <w:basedOn w:val="19"/>
    <w:next w:val="1"/>
    <w:unhideWhenUsed/>
    <w:qFormat/>
    <w:uiPriority w:val="39"/>
    <w:pPr>
      <w:widowControl/>
      <w:tabs>
        <w:tab w:val="right" w:leader="dot" w:pos="8296"/>
      </w:tabs>
      <w:spacing w:line="276" w:lineRule="auto"/>
      <w:ind w:left="221"/>
    </w:pPr>
    <w:rPr>
      <w:b w:val="0"/>
      <w:kern w:val="0"/>
    </w:rPr>
  </w:style>
  <w:style w:type="paragraph" w:styleId="23">
    <w:name w:val="toc 9"/>
    <w:basedOn w:val="1"/>
    <w:next w:val="1"/>
    <w:unhideWhenUsed/>
    <w:qFormat/>
    <w:uiPriority w:val="39"/>
    <w:pPr>
      <w:ind w:left="3360" w:leftChars="1600"/>
    </w:pPr>
  </w:style>
  <w:style w:type="paragraph" w:styleId="24">
    <w:name w:val="Normal (Web)"/>
    <w:basedOn w:val="1"/>
    <w:qFormat/>
    <w:uiPriority w:val="0"/>
    <w:pPr>
      <w:widowControl/>
      <w:shd w:val="clear" w:color="auto" w:fill="FFFFFF"/>
      <w:snapToGrid w:val="0"/>
      <w:spacing w:line="520" w:lineRule="exact"/>
      <w:ind w:firstLine="320" w:firstLineChars="100"/>
      <w:jc w:val="left"/>
    </w:pPr>
    <w:rPr>
      <w:rFonts w:ascii="微软雅黑" w:hAnsi="微软雅黑" w:eastAsia="微软雅黑" w:cs="微软雅黑"/>
      <w:color w:val="000000"/>
      <w:kern w:val="0"/>
      <w:sz w:val="32"/>
      <w:szCs w:val="32"/>
    </w:rPr>
  </w:style>
  <w:style w:type="paragraph" w:styleId="25">
    <w:name w:val="annotation subject"/>
    <w:basedOn w:val="7"/>
    <w:next w:val="7"/>
    <w:link w:val="72"/>
    <w:semiHidden/>
    <w:unhideWhenUsed/>
    <w:qFormat/>
    <w:uiPriority w:val="99"/>
    <w:rPr>
      <w:b/>
      <w:bCs/>
    </w:rPr>
  </w:style>
  <w:style w:type="paragraph" w:styleId="26">
    <w:name w:val="Body Text First Indent 2"/>
    <w:basedOn w:val="8"/>
    <w:link w:val="68"/>
    <w:unhideWhenUsed/>
    <w:qFormat/>
    <w:uiPriority w:val="99"/>
    <w:pPr>
      <w:ind w:firstLine="420" w:firstLineChars="200"/>
    </w:pPr>
  </w:style>
  <w:style w:type="table" w:styleId="28">
    <w:name w:val="Table Grid"/>
    <w:basedOn w:val="2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Hyperlink"/>
    <w:basedOn w:val="29"/>
    <w:unhideWhenUsed/>
    <w:qFormat/>
    <w:uiPriority w:val="99"/>
    <w:rPr>
      <w:color w:val="0563C1" w:themeColor="hyperlink"/>
      <w:u w:val="single"/>
      <w14:textFill>
        <w14:solidFill>
          <w14:schemeClr w14:val="hlink"/>
        </w14:solidFill>
      </w14:textFill>
    </w:rPr>
  </w:style>
  <w:style w:type="character" w:styleId="31">
    <w:name w:val="annotation reference"/>
    <w:basedOn w:val="29"/>
    <w:semiHidden/>
    <w:unhideWhenUsed/>
    <w:qFormat/>
    <w:uiPriority w:val="99"/>
    <w:rPr>
      <w:sz w:val="21"/>
      <w:szCs w:val="21"/>
    </w:rPr>
  </w:style>
  <w:style w:type="character" w:customStyle="1" w:styleId="32">
    <w:name w:val="标题 1 字符"/>
    <w:basedOn w:val="29"/>
    <w:link w:val="2"/>
    <w:qFormat/>
    <w:uiPriority w:val="9"/>
    <w:rPr>
      <w:b/>
      <w:bCs/>
      <w:kern w:val="44"/>
      <w:sz w:val="44"/>
      <w:szCs w:val="44"/>
    </w:rPr>
  </w:style>
  <w:style w:type="character" w:customStyle="1" w:styleId="33">
    <w:name w:val="标题 2 字符"/>
    <w:basedOn w:val="29"/>
    <w:link w:val="3"/>
    <w:qFormat/>
    <w:uiPriority w:val="0"/>
    <w:rPr>
      <w:rFonts w:asciiTheme="majorHAnsi" w:hAnsiTheme="majorHAnsi" w:eastAsiaTheme="majorEastAsia" w:cstheme="majorBidi"/>
      <w:b/>
      <w:bCs/>
      <w:sz w:val="32"/>
      <w:szCs w:val="32"/>
    </w:rPr>
  </w:style>
  <w:style w:type="character" w:customStyle="1" w:styleId="34">
    <w:name w:val="页眉 字符"/>
    <w:basedOn w:val="29"/>
    <w:link w:val="16"/>
    <w:qFormat/>
    <w:uiPriority w:val="0"/>
    <w:rPr>
      <w:sz w:val="18"/>
      <w:szCs w:val="18"/>
    </w:rPr>
  </w:style>
  <w:style w:type="character" w:customStyle="1" w:styleId="35">
    <w:name w:val="页脚 字符"/>
    <w:basedOn w:val="29"/>
    <w:link w:val="15"/>
    <w:qFormat/>
    <w:uiPriority w:val="0"/>
    <w:rPr>
      <w:sz w:val="18"/>
      <w:szCs w:val="18"/>
    </w:rPr>
  </w:style>
  <w:style w:type="table" w:customStyle="1" w:styleId="36">
    <w:name w:val="TableGrid"/>
    <w:qFormat/>
    <w:uiPriority w:val="0"/>
    <w:tblPr>
      <w:tblCellMar>
        <w:top w:w="0" w:type="dxa"/>
        <w:left w:w="0" w:type="dxa"/>
        <w:bottom w:w="0" w:type="dxa"/>
        <w:right w:w="0" w:type="dxa"/>
      </w:tblCellMar>
    </w:tblPr>
  </w:style>
  <w:style w:type="paragraph" w:styleId="37">
    <w:name w:val="List Paragraph"/>
    <w:basedOn w:val="1"/>
    <w:qFormat/>
    <w:uiPriority w:val="34"/>
    <w:pPr>
      <w:ind w:firstLine="420" w:firstLineChars="200"/>
    </w:pPr>
  </w:style>
  <w:style w:type="character" w:customStyle="1" w:styleId="38">
    <w:name w:val="标题 字符"/>
    <w:basedOn w:val="29"/>
    <w:link w:val="12"/>
    <w:qFormat/>
    <w:uiPriority w:val="10"/>
    <w:rPr>
      <w:rFonts w:asciiTheme="majorHAnsi" w:hAnsiTheme="majorHAnsi" w:eastAsiaTheme="majorEastAsia" w:cstheme="majorBidi"/>
      <w:b/>
      <w:bCs/>
      <w:sz w:val="32"/>
      <w:szCs w:val="32"/>
    </w:rPr>
  </w:style>
  <w:style w:type="character" w:customStyle="1" w:styleId="39">
    <w:name w:val="1标题 字符"/>
    <w:basedOn w:val="29"/>
    <w:link w:val="18"/>
    <w:qFormat/>
    <w:uiPriority w:val="0"/>
    <w:rPr>
      <w:rFonts w:ascii="Times New Roman" w:hAnsi="Times New Roman" w:eastAsia="宋体" w:cstheme="majorBidi"/>
      <w:b/>
      <w:bCs/>
      <w:sz w:val="30"/>
      <w:szCs w:val="24"/>
    </w:rPr>
  </w:style>
  <w:style w:type="character" w:customStyle="1" w:styleId="40">
    <w:name w:val="2标题 字符"/>
    <w:basedOn w:val="29"/>
    <w:link w:val="19"/>
    <w:qFormat/>
    <w:uiPriority w:val="0"/>
    <w:rPr>
      <w:rFonts w:ascii="Times New Roman" w:hAnsi="Times New Roman" w:eastAsia="宋体" w:cstheme="majorBidi"/>
      <w:b/>
      <w:bCs/>
      <w:sz w:val="28"/>
      <w:szCs w:val="24"/>
    </w:rPr>
  </w:style>
  <w:style w:type="character" w:customStyle="1" w:styleId="41">
    <w:name w:val="3标题 字符"/>
    <w:basedOn w:val="40"/>
    <w:link w:val="11"/>
    <w:qFormat/>
    <w:uiPriority w:val="0"/>
    <w:rPr>
      <w:rFonts w:ascii="Times New Roman" w:hAnsi="Times New Roman" w:eastAsia="宋体" w:cstheme="majorBidi"/>
      <w:sz w:val="24"/>
      <w:szCs w:val="21"/>
    </w:rPr>
  </w:style>
  <w:style w:type="paragraph" w:customStyle="1" w:styleId="42">
    <w:name w:val="4正文"/>
    <w:basedOn w:val="1"/>
    <w:link w:val="43"/>
    <w:qFormat/>
    <w:uiPriority w:val="0"/>
    <w:pPr>
      <w:snapToGrid w:val="0"/>
      <w:spacing w:line="440" w:lineRule="exact"/>
      <w:ind w:firstLine="200" w:firstLineChars="200"/>
    </w:pPr>
    <w:rPr>
      <w:rFonts w:ascii="Times New Roman" w:hAnsi="Times New Roman" w:eastAsia="宋体"/>
      <w:sz w:val="24"/>
    </w:rPr>
  </w:style>
  <w:style w:type="character" w:customStyle="1" w:styleId="43">
    <w:name w:val="4正文 字符"/>
    <w:basedOn w:val="29"/>
    <w:link w:val="42"/>
    <w:qFormat/>
    <w:uiPriority w:val="0"/>
    <w:rPr>
      <w:rFonts w:ascii="Times New Roman" w:hAnsi="Times New Roman" w:eastAsia="宋体"/>
      <w:sz w:val="24"/>
    </w:rPr>
  </w:style>
  <w:style w:type="paragraph" w:customStyle="1" w:styleId="44">
    <w:name w:val="5表格内标题"/>
    <w:basedOn w:val="1"/>
    <w:link w:val="45"/>
    <w:qFormat/>
    <w:uiPriority w:val="0"/>
    <w:pPr>
      <w:snapToGrid w:val="0"/>
      <w:spacing w:line="440" w:lineRule="exact"/>
      <w:ind w:firstLine="200" w:firstLineChars="200"/>
      <w:jc w:val="center"/>
    </w:pPr>
    <w:rPr>
      <w:rFonts w:ascii="Times New Roman" w:hAnsi="Times New Roman" w:eastAsia="宋体"/>
    </w:rPr>
  </w:style>
  <w:style w:type="character" w:customStyle="1" w:styleId="45">
    <w:name w:val="5表格内标题 字符"/>
    <w:basedOn w:val="29"/>
    <w:link w:val="44"/>
    <w:qFormat/>
    <w:uiPriority w:val="0"/>
    <w:rPr>
      <w:rFonts w:ascii="Times New Roman" w:hAnsi="Times New Roman" w:eastAsia="宋体"/>
    </w:rPr>
  </w:style>
  <w:style w:type="paragraph" w:customStyle="1" w:styleId="46">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2F5597" w:themeColor="accent1" w:themeShade="BF"/>
      <w:kern w:val="0"/>
      <w:sz w:val="28"/>
      <w:szCs w:val="28"/>
    </w:rPr>
  </w:style>
  <w:style w:type="paragraph" w:customStyle="1" w:styleId="47">
    <w:name w:val="我的笔记目录"/>
    <w:basedOn w:val="17"/>
    <w:link w:val="48"/>
    <w:qFormat/>
    <w:uiPriority w:val="0"/>
    <w:pPr>
      <w:tabs>
        <w:tab w:val="right" w:leader="dot" w:pos="8296"/>
      </w:tabs>
    </w:pPr>
    <w:rPr>
      <w:szCs w:val="21"/>
    </w:rPr>
  </w:style>
  <w:style w:type="character" w:customStyle="1" w:styleId="48">
    <w:name w:val="我的笔记目录 字符"/>
    <w:basedOn w:val="49"/>
    <w:link w:val="47"/>
    <w:qFormat/>
    <w:uiPriority w:val="0"/>
    <w:rPr>
      <w:rFonts w:ascii="微软雅黑" w:hAnsi="微软雅黑" w:eastAsia="微软雅黑"/>
      <w:snapToGrid w:val="0"/>
      <w:kern w:val="0"/>
      <w:szCs w:val="21"/>
    </w:rPr>
  </w:style>
  <w:style w:type="character" w:customStyle="1" w:styleId="49">
    <w:name w:val="引文目录 字符"/>
    <w:basedOn w:val="29"/>
    <w:link w:val="5"/>
    <w:semiHidden/>
    <w:qFormat/>
    <w:uiPriority w:val="99"/>
  </w:style>
  <w:style w:type="table" w:customStyle="1" w:styleId="50">
    <w:name w:val="网格型1"/>
    <w:basedOn w:val="2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
    <w:name w:val="网格型2"/>
    <w:basedOn w:val="2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2">
    <w:name w:val="TableGrid1"/>
    <w:qFormat/>
    <w:uiPriority w:val="0"/>
    <w:tblPr>
      <w:tblCellMar>
        <w:top w:w="0" w:type="dxa"/>
        <w:left w:w="0" w:type="dxa"/>
        <w:bottom w:w="0" w:type="dxa"/>
        <w:right w:w="0" w:type="dxa"/>
      </w:tblCellMar>
    </w:tblPr>
  </w:style>
  <w:style w:type="character" w:customStyle="1" w:styleId="53">
    <w:name w:val="未处理的提及1"/>
    <w:basedOn w:val="29"/>
    <w:semiHidden/>
    <w:unhideWhenUsed/>
    <w:qFormat/>
    <w:uiPriority w:val="99"/>
    <w:rPr>
      <w:color w:val="808080"/>
      <w:shd w:val="clear" w:color="auto" w:fill="E6E6E6"/>
    </w:rPr>
  </w:style>
  <w:style w:type="character" w:customStyle="1" w:styleId="54">
    <w:name w:val="批注框文本 字符"/>
    <w:basedOn w:val="29"/>
    <w:link w:val="14"/>
    <w:semiHidden/>
    <w:qFormat/>
    <w:uiPriority w:val="99"/>
    <w:rPr>
      <w:sz w:val="18"/>
      <w:szCs w:val="18"/>
    </w:rPr>
  </w:style>
  <w:style w:type="paragraph" w:customStyle="1" w:styleId="55">
    <w:name w:val="书目1"/>
    <w:basedOn w:val="1"/>
    <w:next w:val="1"/>
    <w:unhideWhenUsed/>
    <w:qFormat/>
    <w:uiPriority w:val="37"/>
    <w:pPr>
      <w:tabs>
        <w:tab w:val="left" w:pos="384"/>
      </w:tabs>
      <w:ind w:left="384" w:hanging="384"/>
    </w:pPr>
  </w:style>
  <w:style w:type="character" w:customStyle="1" w:styleId="56">
    <w:name w:val="fontstyle01"/>
    <w:basedOn w:val="29"/>
    <w:qFormat/>
    <w:uiPriority w:val="0"/>
    <w:rPr>
      <w:rFonts w:hint="eastAsia" w:ascii="宋体" w:hAnsi="宋体" w:eastAsia="宋体"/>
      <w:color w:val="242021"/>
      <w:sz w:val="20"/>
      <w:szCs w:val="20"/>
    </w:rPr>
  </w:style>
  <w:style w:type="character" w:customStyle="1" w:styleId="57">
    <w:name w:val="fontstyle11"/>
    <w:basedOn w:val="29"/>
    <w:qFormat/>
    <w:uiPriority w:val="0"/>
    <w:rPr>
      <w:color w:val="242021"/>
      <w:sz w:val="20"/>
      <w:szCs w:val="20"/>
    </w:rPr>
  </w:style>
  <w:style w:type="character" w:customStyle="1" w:styleId="58">
    <w:name w:val="fontstyle21"/>
    <w:basedOn w:val="29"/>
    <w:qFormat/>
    <w:uiPriority w:val="0"/>
    <w:rPr>
      <w:rFonts w:hint="default" w:ascii="DLF-3-0-1061508550+ZLTFEy-360" w:hAnsi="DLF-3-0-1061508550+ZLTFEy-360"/>
      <w:color w:val="242021"/>
      <w:sz w:val="22"/>
      <w:szCs w:val="22"/>
    </w:rPr>
  </w:style>
  <w:style w:type="paragraph" w:customStyle="1" w:styleId="59">
    <w:name w:val="正文缩进1"/>
    <w:basedOn w:val="1"/>
    <w:next w:val="6"/>
    <w:unhideWhenUsed/>
    <w:qFormat/>
    <w:uiPriority w:val="99"/>
    <w:pPr>
      <w:widowControl/>
      <w:ind w:firstLine="420" w:firstLineChars="200"/>
      <w:jc w:val="left"/>
    </w:pPr>
    <w:rPr>
      <w:sz w:val="24"/>
      <w:szCs w:val="24"/>
    </w:rPr>
  </w:style>
  <w:style w:type="paragraph" w:customStyle="1" w:styleId="60">
    <w:name w:val="正文文本缩进1"/>
    <w:basedOn w:val="1"/>
    <w:next w:val="8"/>
    <w:link w:val="61"/>
    <w:unhideWhenUsed/>
    <w:qFormat/>
    <w:uiPriority w:val="0"/>
    <w:pPr>
      <w:widowControl/>
      <w:ind w:firstLine="640" w:firstLineChars="200"/>
      <w:jc w:val="left"/>
    </w:pPr>
    <w:rPr>
      <w:sz w:val="32"/>
      <w:szCs w:val="24"/>
    </w:rPr>
  </w:style>
  <w:style w:type="character" w:customStyle="1" w:styleId="61">
    <w:name w:val="正文文本缩进 字符"/>
    <w:basedOn w:val="29"/>
    <w:link w:val="60"/>
    <w:qFormat/>
    <w:uiPriority w:val="0"/>
    <w:rPr>
      <w:kern w:val="2"/>
      <w:sz w:val="32"/>
      <w:szCs w:val="24"/>
    </w:rPr>
  </w:style>
  <w:style w:type="paragraph" w:customStyle="1" w:styleId="62">
    <w:name w:val="正文文本首行缩进 21"/>
    <w:basedOn w:val="8"/>
    <w:next w:val="26"/>
    <w:link w:val="63"/>
    <w:unhideWhenUsed/>
    <w:qFormat/>
    <w:uiPriority w:val="99"/>
    <w:pPr>
      <w:widowControl/>
      <w:spacing w:after="0"/>
      <w:ind w:left="0" w:leftChars="0" w:firstLine="420" w:firstLineChars="200"/>
      <w:jc w:val="left"/>
    </w:pPr>
    <w:rPr>
      <w:sz w:val="32"/>
      <w:szCs w:val="24"/>
    </w:rPr>
  </w:style>
  <w:style w:type="character" w:customStyle="1" w:styleId="63">
    <w:name w:val="正文文本首行缩进 2 字符"/>
    <w:basedOn w:val="61"/>
    <w:link w:val="62"/>
    <w:qFormat/>
    <w:uiPriority w:val="99"/>
    <w:rPr>
      <w:kern w:val="2"/>
      <w:sz w:val="32"/>
      <w:szCs w:val="24"/>
    </w:rPr>
  </w:style>
  <w:style w:type="paragraph" w:customStyle="1" w:styleId="64">
    <w:name w:val="标题1总标题"/>
    <w:basedOn w:val="11"/>
    <w:qFormat/>
    <w:uiPriority w:val="0"/>
    <w:pPr>
      <w:spacing w:line="360" w:lineRule="auto"/>
      <w:ind w:firstLine="0" w:firstLineChars="0"/>
      <w:jc w:val="center"/>
    </w:pPr>
    <w:rPr>
      <w:sz w:val="36"/>
    </w:rPr>
  </w:style>
  <w:style w:type="paragraph" w:customStyle="1" w:styleId="65">
    <w:name w:val="首行缩进"/>
    <w:basedOn w:val="1"/>
    <w:qFormat/>
    <w:uiPriority w:val="0"/>
    <w:pPr>
      <w:widowControl/>
      <w:ind w:firstLine="480" w:firstLineChars="200"/>
      <w:jc w:val="left"/>
    </w:pPr>
    <w:rPr>
      <w:sz w:val="24"/>
      <w:szCs w:val="24"/>
      <w:lang w:val="zh-CN"/>
    </w:rPr>
  </w:style>
  <w:style w:type="paragraph" w:styleId="66">
    <w:name w:val="No Spacing"/>
    <w:qFormat/>
    <w:uiPriority w:val="0"/>
    <w:pPr>
      <w:widowControl w:val="0"/>
      <w:jc w:val="both"/>
    </w:pPr>
    <w:rPr>
      <w:rFonts w:ascii="Calibri" w:hAnsi="Calibri" w:eastAsia="宋体" w:cs="Times New Roman"/>
      <w:kern w:val="2"/>
      <w:sz w:val="21"/>
      <w:szCs w:val="22"/>
      <w:lang w:val="en-US" w:eastAsia="zh-CN" w:bidi="ar-SA"/>
    </w:rPr>
  </w:style>
  <w:style w:type="character" w:customStyle="1" w:styleId="67">
    <w:name w:val="正文文本缩进 字符1"/>
    <w:basedOn w:val="29"/>
    <w:link w:val="8"/>
    <w:semiHidden/>
    <w:qFormat/>
    <w:uiPriority w:val="99"/>
  </w:style>
  <w:style w:type="character" w:customStyle="1" w:styleId="68">
    <w:name w:val="正文首行缩进 2 字符"/>
    <w:basedOn w:val="67"/>
    <w:link w:val="26"/>
    <w:semiHidden/>
    <w:qFormat/>
    <w:uiPriority w:val="99"/>
  </w:style>
  <w:style w:type="paragraph" w:customStyle="1" w:styleId="69">
    <w:name w:val="总标题"/>
    <w:basedOn w:val="42"/>
    <w:link w:val="70"/>
    <w:qFormat/>
    <w:uiPriority w:val="0"/>
    <w:pPr>
      <w:ind w:firstLine="480"/>
    </w:pPr>
    <w:rPr>
      <w:rFonts w:cs="方正仿宋简体"/>
      <w:bCs/>
    </w:rPr>
  </w:style>
  <w:style w:type="character" w:customStyle="1" w:styleId="70">
    <w:name w:val="总标题 字符"/>
    <w:basedOn w:val="43"/>
    <w:link w:val="69"/>
    <w:qFormat/>
    <w:uiPriority w:val="0"/>
    <w:rPr>
      <w:rFonts w:ascii="Times New Roman" w:hAnsi="Times New Roman" w:eastAsia="宋体" w:cs="方正仿宋简体"/>
      <w:bCs/>
      <w:sz w:val="24"/>
    </w:rPr>
  </w:style>
  <w:style w:type="character" w:customStyle="1" w:styleId="71">
    <w:name w:val="批注文字 字符"/>
    <w:basedOn w:val="29"/>
    <w:link w:val="7"/>
    <w:semiHidden/>
    <w:qFormat/>
    <w:uiPriority w:val="99"/>
    <w:rPr>
      <w:kern w:val="2"/>
      <w:sz w:val="21"/>
      <w:szCs w:val="22"/>
    </w:rPr>
  </w:style>
  <w:style w:type="character" w:customStyle="1" w:styleId="72">
    <w:name w:val="批注主题 字符"/>
    <w:basedOn w:val="71"/>
    <w:link w:val="25"/>
    <w:semiHidden/>
    <w:qFormat/>
    <w:uiPriority w:val="99"/>
    <w:rPr>
      <w:b/>
      <w:bCs/>
      <w:kern w:val="2"/>
      <w:sz w:val="21"/>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APA" SelectedStyle="\APASixthEditionOfficeOnline.xsl" Version="6"/>
</file>

<file path=customXml/itemProps1.xml><?xml version="1.0" encoding="utf-8"?>
<ds:datastoreItem xmlns:ds="http://schemas.openxmlformats.org/officeDocument/2006/customXml" ds:itemID="{046D43A4-89FF-4096-9AA4-4432792855B1}">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8</Pages>
  <Words>1881</Words>
  <Characters>10728</Characters>
  <Lines>89</Lines>
  <Paragraphs>25</Paragraphs>
  <TotalTime>185</TotalTime>
  <ScaleCrop>false</ScaleCrop>
  <LinksUpToDate>false</LinksUpToDate>
  <CharactersWithSpaces>12584</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2025-07-15T11:09:00Z</dcterms:created>
  <dc:creator>Administrator</dc:creator>
  <cp:lastModifiedBy>A梦</cp:lastModifiedBy>
  <cp:lastPrinted>2026-07-02T22:39:00Z</cp:lastPrinted>
  <dcterms:modified xsi:type="dcterms:W3CDTF">2026-10-15T16:01:08Z</dcterms:modified>
  <cp:revision>81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zotero-version="6.0.30"&gt;&lt;session id="LcMjNekG"/&gt;&lt;style id="http://www.zotero.org/styles/china-national-standard-gb-t-7714-2015-numeric" hasBibliography="1" bibliographyStyleHasBeenSet="1"/&gt;&lt;prefs&gt;&lt;pref name="fieldType" value="Field"</vt:lpwstr>
  </property>
  <property fmtid="{D5CDD505-2E9C-101B-9397-08002B2CF9AE}" pid="3" name="ZOTERO_PREF_2">
    <vt:lpwstr>/&gt;&lt;/prefs&gt;&lt;/data&gt;</vt:lpwstr>
  </property>
  <property fmtid="{D5CDD505-2E9C-101B-9397-08002B2CF9AE}" pid="4" name="KSOProductBuildVer">
    <vt:lpwstr>2052-12.1.2.23578</vt:lpwstr>
  </property>
  <property fmtid="{D5CDD505-2E9C-101B-9397-08002B2CF9AE}" pid="5" name="KSOTemplateDocerSaveRecord">
    <vt:lpwstr>eyJoZGlkIjoiODViY2JkMjU3NGYzZTEwMzZmMGFkZWViYmNkYWU3NDIiLCJ1c2VySWQiOiI3MDI3NjM3NjAifQ==</vt:lpwstr>
  </property>
  <property fmtid="{D5CDD505-2E9C-101B-9397-08002B2CF9AE}" pid="6" name="ICV">
    <vt:lpwstr>C2E51805D99A4CB3A1D7768BD7D4AF7C_12</vt:lpwstr>
  </property>
</Properties>
</file>