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hAnsi="黑体"/>
          <w:sz w:val="36"/>
          <w:szCs w:val="36"/>
        </w:rPr>
      </w:pPr>
      <w:r>
        <w:rPr>
          <w:rFonts w:hint="eastAsia" w:hAnsi="黑体"/>
          <w:sz w:val="36"/>
          <w:szCs w:val="36"/>
        </w:rPr>
        <w:t>附件1</w:t>
      </w:r>
    </w:p>
    <w:p>
      <w:pPr>
        <w:pStyle w:val="14"/>
        <w:jc w:val="center"/>
        <w:rPr>
          <w:rFonts w:ascii="Times New Roman" w:hAnsi="Times New Roman" w:cs="Times New Roman"/>
          <w:sz w:val="56"/>
          <w:szCs w:val="56"/>
        </w:rPr>
      </w:pPr>
    </w:p>
    <w:p>
      <w:pPr>
        <w:pStyle w:val="14"/>
        <w:jc w:val="center"/>
        <w:rPr>
          <w:rFonts w:ascii="Times New Roman" w:hAnsi="Times New Roman" w:cs="Times New Roman"/>
          <w:sz w:val="84"/>
          <w:szCs w:val="84"/>
        </w:rPr>
      </w:pPr>
    </w:p>
    <w:p>
      <w:pPr>
        <w:pStyle w:val="14"/>
        <w:jc w:val="center"/>
        <w:rPr>
          <w:rFonts w:ascii="Times New Roman" w:hAnsi="Times New Roman" w:cs="Times New Roman"/>
          <w:sz w:val="84"/>
          <w:szCs w:val="84"/>
        </w:rPr>
      </w:pPr>
    </w:p>
    <w:p>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湖南省怀化市人民政府驻北京联络处</w:t>
      </w:r>
      <w:r>
        <w:rPr>
          <w:rFonts w:ascii="Times New Roman" w:hAnsi="Times New Roman" w:eastAsia="方正小标宋简体" w:cs="Times New Roman"/>
          <w:sz w:val="72"/>
          <w:szCs w:val="72"/>
        </w:rPr>
        <w:t>部门决算</w:t>
      </w:r>
    </w:p>
    <w:p>
      <w:pPr>
        <w:pStyle w:val="14"/>
        <w:jc w:val="center"/>
        <w:rPr>
          <w:rFonts w:ascii="Times New Roman" w:hAnsi="Times New Roman" w:eastAsia="方正小标宋_GBK" w:cs="Times New Roman"/>
          <w:sz w:val="56"/>
          <w:szCs w:val="56"/>
        </w:rPr>
      </w:pPr>
    </w:p>
    <w:p>
      <w:pPr>
        <w:pStyle w:val="14"/>
        <w:jc w:val="center"/>
        <w:rPr>
          <w:rFonts w:ascii="Times New Roman" w:hAnsi="Times New Roman" w:cs="Times New Roman"/>
          <w:sz w:val="56"/>
          <w:szCs w:val="56"/>
        </w:rPr>
      </w:pPr>
    </w:p>
    <w:p>
      <w:pPr>
        <w:pStyle w:val="14"/>
        <w:rPr>
          <w:rFonts w:ascii="Times New Roman" w:hAnsi="Times New Roman" w:cs="Times New Roman"/>
          <w:sz w:val="56"/>
          <w:szCs w:val="56"/>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4"/>
        <w:spacing w:line="600" w:lineRule="exact"/>
        <w:jc w:val="both"/>
        <w:rPr>
          <w:rFonts w:ascii="Times New Roman" w:hAnsi="Times New Roman" w:cs="Times New Roman"/>
          <w:b/>
          <w:sz w:val="36"/>
          <w:szCs w:val="28"/>
        </w:rPr>
      </w:pPr>
    </w:p>
    <w:p>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4"/>
        <w:spacing w:line="600" w:lineRule="exact"/>
        <w:jc w:val="center"/>
        <w:rPr>
          <w:rFonts w:ascii="Times New Roman" w:hAnsi="Times New Roman" w:cs="Times New Roman"/>
          <w:b/>
          <w:sz w:val="36"/>
          <w:szCs w:val="28"/>
        </w:rPr>
      </w:pPr>
    </w:p>
    <w:p>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湖南省怀化市人民政府驻北京联络处</w:t>
      </w:r>
      <w:r>
        <w:rPr>
          <w:rFonts w:ascii="Times New Roman" w:hAnsi="Times New Roman" w:cs="Times New Roman"/>
          <w:bCs/>
          <w:sz w:val="32"/>
          <w:szCs w:val="32"/>
        </w:rPr>
        <w:t>概况</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pStyle w:val="2"/>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九、国有资本经营预算收入支出决算情况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4"/>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4"/>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湖南省怀化市人民政府</w:t>
      </w:r>
    </w:p>
    <w:p>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驻北京联络处</w:t>
      </w:r>
      <w:r>
        <w:rPr>
          <w:rFonts w:ascii="Times New Roman" w:hAnsi="Times New Roman" w:eastAsia="方正小标宋_GBK" w:cs="Times New Roman"/>
          <w:sz w:val="52"/>
          <w:szCs w:val="52"/>
        </w:rPr>
        <w:t>概况</w:t>
      </w:r>
    </w:p>
    <w:p>
      <w:pPr>
        <w:pStyle w:val="4"/>
        <w:ind w:left="0" w:leftChars="0" w:firstLine="0" w:firstLineChars="0"/>
        <w:rPr>
          <w:rFonts w:ascii="Times New Roman" w:hAnsi="Times New Roman" w:cs="Times New Roman"/>
        </w:rPr>
      </w:pPr>
    </w:p>
    <w:p>
      <w:pPr>
        <w:pStyle w:val="15"/>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宋体" w:cs="宋体"/>
          <w:kern w:val="0"/>
          <w:sz w:val="24"/>
          <w:szCs w:val="24"/>
        </w:rPr>
      </w:pPr>
      <w:r>
        <w:rPr>
          <w:rFonts w:hint="eastAsia" w:ascii="仿宋" w:hAnsi="仿宋" w:eastAsia="仿宋" w:cs="宋体"/>
          <w:color w:val="000000"/>
          <w:kern w:val="0"/>
          <w:sz w:val="32"/>
          <w:szCs w:val="32"/>
        </w:rPr>
        <w:t>（一）按照市委、市人民政府的要求，宣传、推介怀化，发展怀化与省会城市的经济技术合作，积极开展招商引资工作，为怀化产品输出、劳动力输出和引进资金、技术、人才及先进管理经验牵线搭桥。</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宋体" w:cs="宋体"/>
          <w:kern w:val="0"/>
          <w:sz w:val="24"/>
          <w:szCs w:val="24"/>
        </w:rPr>
      </w:pPr>
      <w:r>
        <w:rPr>
          <w:rFonts w:hint="eastAsia" w:ascii="仿宋" w:hAnsi="仿宋" w:eastAsia="仿宋" w:cs="宋体"/>
          <w:color w:val="000000"/>
          <w:kern w:val="0"/>
          <w:sz w:val="32"/>
          <w:szCs w:val="32"/>
        </w:rPr>
        <w:t>（二）围绕市委、市人民政府的中心工作，开发信息资源，建立健全信息网络，强化信息处理手段，开展专题信息调研，为领导决策提供信息服务。</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宋体" w:cs="宋体"/>
          <w:kern w:val="0"/>
          <w:sz w:val="24"/>
          <w:szCs w:val="24"/>
        </w:rPr>
      </w:pPr>
      <w:r>
        <w:rPr>
          <w:rFonts w:hint="eastAsia" w:ascii="仿宋" w:hAnsi="仿宋" w:eastAsia="仿宋" w:cs="宋体"/>
          <w:color w:val="000000"/>
          <w:kern w:val="0"/>
          <w:sz w:val="32"/>
          <w:szCs w:val="32"/>
        </w:rPr>
        <w:t>（三）负责与省直各部门及北京市党、政、军机关的联系；负责与驻地怀化籍人士、社会各界人士的联络，争取他们对怀化经济建设和社会发展的支持帮助。</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宋体" w:cs="宋体"/>
          <w:kern w:val="0"/>
          <w:sz w:val="24"/>
          <w:szCs w:val="24"/>
        </w:rPr>
      </w:pPr>
      <w:r>
        <w:rPr>
          <w:rFonts w:hint="eastAsia" w:ascii="仿宋" w:hAnsi="仿宋" w:eastAsia="仿宋" w:cs="宋体"/>
          <w:color w:val="000000"/>
          <w:kern w:val="0"/>
          <w:sz w:val="32"/>
          <w:szCs w:val="32"/>
        </w:rPr>
        <w:t>（四）负责市领导在北京的接待服务工作，为市直单位和各县（市、区）在北京进行公务活动的人员提供方便。</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宋体" w:cs="宋体"/>
          <w:kern w:val="0"/>
          <w:sz w:val="24"/>
          <w:szCs w:val="24"/>
        </w:rPr>
      </w:pPr>
      <w:r>
        <w:rPr>
          <w:rFonts w:hint="eastAsia" w:ascii="仿宋" w:hAnsi="仿宋" w:eastAsia="仿宋" w:cs="宋体"/>
          <w:color w:val="000000"/>
          <w:kern w:val="0"/>
          <w:sz w:val="32"/>
          <w:szCs w:val="32"/>
        </w:rPr>
        <w:t>（五）负责做好怀化赴京上访人员处置工作。</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宋体" w:cs="宋体"/>
          <w:kern w:val="0"/>
          <w:sz w:val="24"/>
          <w:szCs w:val="24"/>
        </w:rPr>
      </w:pPr>
      <w:r>
        <w:rPr>
          <w:rFonts w:hint="eastAsia" w:ascii="仿宋" w:hAnsi="仿宋" w:eastAsia="仿宋" w:cs="宋体"/>
          <w:color w:val="000000"/>
          <w:kern w:val="0"/>
          <w:sz w:val="32"/>
          <w:szCs w:val="32"/>
        </w:rPr>
        <w:t>（六）对怀化各县级人民政府驻北京的办事处进行指导和协调。</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宋体" w:cs="宋体"/>
          <w:kern w:val="0"/>
          <w:sz w:val="24"/>
          <w:szCs w:val="24"/>
        </w:rPr>
      </w:pPr>
      <w:r>
        <w:rPr>
          <w:rFonts w:ascii="Times New Roman" w:hAnsi="Times New Roman" w:eastAsia="宋体" w:cs="Times New Roman"/>
          <w:color w:val="000000"/>
          <w:kern w:val="0"/>
          <w:sz w:val="32"/>
          <w:szCs w:val="32"/>
        </w:rPr>
        <w:t>（七）</w:t>
      </w:r>
      <w:r>
        <w:rPr>
          <w:rFonts w:hint="eastAsia" w:ascii="仿宋" w:hAnsi="仿宋" w:eastAsia="仿宋" w:cs="宋体"/>
          <w:color w:val="000000"/>
          <w:kern w:val="0"/>
          <w:sz w:val="32"/>
          <w:szCs w:val="32"/>
        </w:rPr>
        <w:t>承办市委、市人民政府交办的其他事项。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宋体" w:cs="宋体"/>
          <w:kern w:val="0"/>
          <w:sz w:val="24"/>
          <w:szCs w:val="24"/>
        </w:rPr>
      </w:pPr>
      <w:r>
        <w:rPr>
          <w:rFonts w:ascii="Times New Roman" w:hAnsi="Times New Roman" w:eastAsia="仿宋_GB2312" w:cs="Times New Roman"/>
          <w:bCs/>
          <w:kern w:val="0"/>
          <w:sz w:val="32"/>
          <w:szCs w:val="32"/>
        </w:rPr>
        <w:t>（一）内设机构设置。</w:t>
      </w:r>
      <w:bookmarkStart w:id="0" w:name="_Hlk177246832"/>
      <w:r>
        <w:rPr>
          <w:rFonts w:hint="eastAsia" w:ascii="仿宋" w:hAnsi="仿宋" w:eastAsia="仿宋" w:cs="宋体"/>
          <w:color w:val="000000"/>
          <w:kern w:val="0"/>
          <w:sz w:val="32"/>
          <w:szCs w:val="32"/>
        </w:rPr>
        <w:t>湖南省怀化市人民政府驻北京联络处</w:t>
      </w:r>
      <w:bookmarkEnd w:id="0"/>
      <w:r>
        <w:rPr>
          <w:rFonts w:hint="eastAsia" w:ascii="仿宋" w:hAnsi="仿宋" w:eastAsia="仿宋" w:cs="宋体"/>
          <w:color w:val="000000"/>
          <w:kern w:val="0"/>
          <w:sz w:val="32"/>
          <w:szCs w:val="32"/>
        </w:rPr>
        <w:t>作为一级部门决算，单位内设科室为：综合科、招商引资科、接待科及信访维稳科。</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宋体" w:cs="宋体"/>
          <w:kern w:val="0"/>
          <w:sz w:val="24"/>
          <w:szCs w:val="24"/>
        </w:rPr>
      </w:pPr>
      <w:r>
        <w:rPr>
          <w:rFonts w:ascii="Times New Roman" w:hAnsi="Times New Roman" w:eastAsia="仿宋_GB2312" w:cs="Times New Roman"/>
          <w:bCs/>
          <w:kern w:val="0"/>
          <w:sz w:val="32"/>
          <w:szCs w:val="32"/>
        </w:rPr>
        <w:t>（二）决算单位构成。</w:t>
      </w:r>
      <w:r>
        <w:rPr>
          <w:rFonts w:hint="eastAsia" w:ascii="仿宋" w:hAnsi="仿宋" w:eastAsia="仿宋" w:cs="宋体"/>
          <w:color w:val="000000"/>
          <w:kern w:val="0"/>
          <w:sz w:val="32"/>
          <w:szCs w:val="32"/>
        </w:rPr>
        <w:t>湖南省怀化市人民政府驻北京联络处202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年部门决算汇总公开单位构成包括：湖南省怀化市人民政府驻北京联络处本级。</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hAnsi="宋体" w:eastAsia="宋体" w:cs="宋体"/>
          <w:kern w:val="0"/>
          <w:sz w:val="24"/>
          <w:szCs w:val="24"/>
        </w:rPr>
      </w:pPr>
      <w:r>
        <w:rPr>
          <w:rFonts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Cs/>
          <w:kern w:val="0"/>
          <w:sz w:val="32"/>
          <w:szCs w:val="32"/>
        </w:rPr>
      </w:pPr>
    </w:p>
    <w:p>
      <w:pPr>
        <w:keepNext w:val="0"/>
        <w:keepLines w:val="0"/>
        <w:pageBreakBefore w:val="0"/>
        <w:kinsoku/>
        <w:wordWrap/>
        <w:overflowPunct/>
        <w:topLinePunct w:val="0"/>
        <w:autoSpaceDE/>
        <w:autoSpaceDN/>
        <w:bidi w:val="0"/>
        <w:adjustRightInd/>
        <w:snapToGrid/>
        <w:ind w:firstLine="560" w:firstLineChars="200"/>
        <w:jc w:val="left"/>
        <w:textAlignment w:val="auto"/>
        <w:rPr>
          <w:rFonts w:ascii="Times New Roman" w:hAnsi="Times New Roman" w:eastAsia="仿宋_GB2312" w:cs="Times New Roman"/>
          <w:sz w:val="28"/>
          <w:szCs w:val="32"/>
        </w:rPr>
      </w:pPr>
    </w:p>
    <w:p>
      <w:pPr>
        <w:keepNext w:val="0"/>
        <w:keepLines w:val="0"/>
        <w:pageBreakBefore w:val="0"/>
        <w:kinsoku/>
        <w:wordWrap/>
        <w:overflowPunct/>
        <w:topLinePunct w:val="0"/>
        <w:autoSpaceDE/>
        <w:autoSpaceDN/>
        <w:bidi w:val="0"/>
        <w:adjustRightInd/>
        <w:snapToGrid/>
        <w:ind w:firstLine="560" w:firstLineChars="200"/>
        <w:jc w:val="center"/>
        <w:textAlignment w:val="auto"/>
        <w:rPr>
          <w:rFonts w:ascii="Times New Roman" w:hAnsi="Times New Roman" w:eastAsia="黑体" w:cs="Times New Roman"/>
          <w:sz w:val="28"/>
          <w:szCs w:val="28"/>
        </w:rPr>
      </w:pPr>
    </w:p>
    <w:p>
      <w:pPr>
        <w:keepNext w:val="0"/>
        <w:keepLines w:val="0"/>
        <w:pageBreakBefore w:val="0"/>
        <w:kinsoku/>
        <w:wordWrap/>
        <w:overflowPunct/>
        <w:topLinePunct w:val="0"/>
        <w:autoSpaceDE/>
        <w:autoSpaceDN/>
        <w:bidi w:val="0"/>
        <w:adjustRightInd/>
        <w:snapToGrid/>
        <w:ind w:firstLine="560" w:firstLineChars="200"/>
        <w:jc w:val="center"/>
        <w:textAlignment w:val="auto"/>
        <w:rPr>
          <w:rFonts w:ascii="Times New Roman" w:hAnsi="Times New Roman" w:eastAsia="黑体" w:cs="Times New Roman"/>
          <w:sz w:val="28"/>
          <w:szCs w:val="28"/>
        </w:rPr>
      </w:pPr>
    </w:p>
    <w:p>
      <w:pPr>
        <w:keepNext w:val="0"/>
        <w:keepLines w:val="0"/>
        <w:pageBreakBefore w:val="0"/>
        <w:kinsoku/>
        <w:wordWrap/>
        <w:overflowPunct/>
        <w:topLinePunct w:val="0"/>
        <w:autoSpaceDE/>
        <w:autoSpaceDN/>
        <w:bidi w:val="0"/>
        <w:adjustRightInd/>
        <w:snapToGrid/>
        <w:ind w:firstLine="560" w:firstLineChars="200"/>
        <w:jc w:val="center"/>
        <w:textAlignment w:val="auto"/>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sectPr>
          <w:footerReference r:id="rId5" w:type="default"/>
          <w:pgSz w:w="11906" w:h="16838"/>
          <w:pgMar w:top="1417" w:right="1588" w:bottom="1417" w:left="1588" w:header="851" w:footer="992" w:gutter="0"/>
          <w:pgNumType w:start="1"/>
          <w:cols w:space="425" w:num="1"/>
          <w:docGrid w:type="lines" w:linePitch="312" w:charSpace="0"/>
        </w:sectPr>
      </w:pPr>
    </w:p>
    <w:p>
      <w:pPr>
        <w:pStyle w:val="8"/>
      </w:pPr>
    </w:p>
    <w:p>
      <w:pPr>
        <w:pStyle w:val="4"/>
      </w:pPr>
    </w:p>
    <w:p/>
    <w:p>
      <w:pPr>
        <w:pStyle w:val="8"/>
      </w:pPr>
    </w:p>
    <w:p>
      <w:pPr>
        <w:pStyle w:val="4"/>
      </w:pPr>
    </w:p>
    <w:p/>
    <w:p>
      <w:pPr>
        <w:pStyle w:val="8"/>
      </w:pPr>
    </w:p>
    <w:p>
      <w:pPr>
        <w:pStyle w:val="4"/>
      </w:pPr>
    </w:p>
    <w:p/>
    <w:p>
      <w:pPr>
        <w:pStyle w:val="8"/>
      </w:pPr>
    </w:p>
    <w:p>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pStyle w:val="4"/>
      </w:pPr>
    </w:p>
    <w:p/>
    <w:p>
      <w:pPr>
        <w:pStyle w:val="8"/>
      </w:pPr>
    </w:p>
    <w:p>
      <w:pPr>
        <w:pStyle w:val="4"/>
      </w:pPr>
    </w:p>
    <w:p/>
    <w:p>
      <w:pPr>
        <w:pStyle w:val="8"/>
      </w:pPr>
    </w:p>
    <w:p>
      <w:pPr>
        <w:pStyle w:val="4"/>
      </w:pPr>
    </w:p>
    <w:p>
      <w:pPr>
        <w:sectPr>
          <w:pgSz w:w="11906" w:h="16838"/>
          <w:pgMar w:top="1417" w:right="1588" w:bottom="1417" w:left="1588" w:header="851" w:footer="992" w:gutter="0"/>
          <w:pgNumType w:start="1"/>
          <w:cols w:space="425" w:num="1"/>
          <w:docGrid w:type="lines" w:linePitch="312" w:charSpace="0"/>
        </w:sectPr>
      </w:pPr>
    </w:p>
    <w:p>
      <w:pPr>
        <w:widowControl/>
        <w:spacing w:after="156" w:afterLines="50"/>
        <w:jc w:val="center"/>
        <w:textAlignment w:val="center"/>
        <w:rPr>
          <w:rFonts w:ascii="Times New Roman" w:hAnsi="Times New Roman" w:eastAsia="黑体" w:cs="Times New Roman"/>
          <w:color w:val="000000"/>
          <w:sz w:val="36"/>
          <w:szCs w:val="36"/>
        </w:rPr>
      </w:pPr>
      <w:bookmarkStart w:id="6" w:name="_GoBack"/>
      <w:bookmarkEnd w:id="6"/>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p>
      <w:pPr>
        <w:widowControl/>
        <w:jc w:val="left"/>
        <w:textAlignment w:val="center"/>
        <w:rPr>
          <w:rFonts w:ascii="Times New Roman" w:hAnsi="Times New Roman" w:eastAsia="宋体" w:cs="Times New Roman"/>
          <w:color w:val="000000"/>
          <w:kern w:val="0"/>
          <w:sz w:val="24"/>
          <w:szCs w:val="24"/>
        </w:rPr>
      </w:pPr>
    </w:p>
    <w:tbl>
      <w:tblPr>
        <w:tblStyle w:val="9"/>
        <w:tblW w:w="141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49"/>
        <w:gridCol w:w="939"/>
        <w:gridCol w:w="1254"/>
        <w:gridCol w:w="4404"/>
        <w:gridCol w:w="939"/>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gridSpan w:val="3"/>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收入</w:t>
            </w:r>
          </w:p>
        </w:tc>
        <w:tc>
          <w:tcPr>
            <w:tcW w:w="0" w:type="auto"/>
            <w:gridSpan w:val="3"/>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项目</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行次</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金额</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项目</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行次</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栏次</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1</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栏次</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一、一般公共预算财政拨款收入</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1</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393.91</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一、一般公共服务支出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31</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362.93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二、政府性基金预算财政拨款收入</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二、外交支出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32</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三、国有资本经营预算财政拨款收入</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三、国防支出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33</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四、上级补助收入</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4</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四、公共安全支出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34</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五、事业收入</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5</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五、教育支出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35</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六、经营收入</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6</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六、科学技术支出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36</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七、附属单位上缴收入</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7</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七、文化旅游体育与传媒支出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37</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八、其他收入</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8</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八、社会保障和就业支出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38</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9</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九、卫生健康支出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39</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19</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十九、住房保障支出</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49</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20</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default" w:ascii="仿宋" w:hAnsi="仿宋" w:eastAsia="仿宋" w:cs="仿宋"/>
                <w:color w:val="000000"/>
                <w:kern w:val="0"/>
                <w:sz w:val="22"/>
                <w:szCs w:val="22"/>
              </w:rPr>
              <w:t>........</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50</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本年收入合计</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27</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393.91</w:t>
            </w:r>
          </w:p>
        </w:tc>
        <w:tc>
          <w:tcPr>
            <w:tcW w:w="0" w:type="auto"/>
            <w:shd w:val="clear" w:color="auto" w:fill="F1F1F1"/>
            <w:noWrap/>
            <w:vAlign w:val="center"/>
          </w:tcPr>
          <w:p>
            <w:pPr>
              <w:widowControl/>
              <w:jc w:val="center"/>
              <w:textAlignment w:val="center"/>
              <w:rPr>
                <w:rFonts w:hint="default"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val="en-US" w:eastAsia="zh-CN"/>
              </w:rPr>
              <w:t>本年支出合计</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57</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393.91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使用非财政拨款结余（含专用结余）</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28</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结余分配</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58</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年初结转和结余</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29</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0.00</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年末结转和结余</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59</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总计</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30</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393.91</w:t>
            </w:r>
          </w:p>
        </w:tc>
        <w:tc>
          <w:tcPr>
            <w:tcW w:w="0" w:type="auto"/>
            <w:shd w:val="clear" w:color="auto" w:fill="F1F1F1"/>
            <w:noWrap/>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总计</w:t>
            </w:r>
          </w:p>
        </w:tc>
        <w:tc>
          <w:tcPr>
            <w:tcW w:w="0" w:type="auto"/>
            <w:shd w:val="clear" w:color="auto" w:fill="F1F1F1"/>
            <w:noWrap/>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60</w:t>
            </w:r>
          </w:p>
        </w:tc>
        <w:tc>
          <w:tcPr>
            <w:tcW w:w="0" w:type="auto"/>
            <w:shd w:val="clear" w:color="auto" w:fill="FFFFFF"/>
            <w:noWrap/>
            <w:vAlign w:val="center"/>
          </w:tcPr>
          <w:p>
            <w:pPr>
              <w:widowControl/>
              <w:jc w:val="righ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393.91</w:t>
            </w:r>
          </w:p>
        </w:tc>
      </w:tr>
    </w:tbl>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华文中宋" w:cs="Times New Roman"/>
          <w:color w:val="000000"/>
          <w:sz w:val="32"/>
          <w:szCs w:val="32"/>
        </w:rPr>
      </w:pPr>
    </w:p>
    <w:p>
      <w:pPr>
        <w:widowControl/>
        <w:spacing w:line="400" w:lineRule="exact"/>
        <w:jc w:val="center"/>
        <w:textAlignment w:val="center"/>
        <w:rPr>
          <w:rFonts w:ascii="Times New Roman" w:hAnsi="Times New Roman" w:eastAsia="黑体"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2265"/>
        <w:gridCol w:w="1640"/>
        <w:gridCol w:w="1640"/>
        <w:gridCol w:w="1640"/>
        <w:gridCol w:w="1640"/>
        <w:gridCol w:w="1640"/>
        <w:gridCol w:w="189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186" w:type="dxa"/>
            <w:gridSpan w:val="2"/>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2"/>
                <w:szCs w:val="22"/>
              </w:rPr>
            </w:pPr>
            <w:r>
              <w:rPr>
                <w:rFonts w:hint="eastAsia" w:ascii="仿宋" w:hAnsi="仿宋" w:eastAsia="仿宋" w:cs="仿宋"/>
                <w:i w:val="0"/>
                <w:color w:val="000000"/>
                <w:kern w:val="0"/>
                <w:sz w:val="22"/>
                <w:szCs w:val="22"/>
                <w:u w:val="none"/>
                <w:lang w:val="en-US" w:eastAsia="zh-CN" w:bidi="ar"/>
              </w:rPr>
              <w:t>项目</w:t>
            </w:r>
          </w:p>
        </w:tc>
        <w:tc>
          <w:tcPr>
            <w:tcW w:w="1640" w:type="dxa"/>
            <w:vMerge w:val="restart"/>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2"/>
                <w:szCs w:val="22"/>
              </w:rPr>
            </w:pPr>
            <w:r>
              <w:rPr>
                <w:rFonts w:hint="eastAsia" w:ascii="仿宋" w:hAnsi="仿宋" w:eastAsia="仿宋" w:cs="仿宋"/>
                <w:i w:val="0"/>
                <w:color w:val="000000"/>
                <w:kern w:val="0"/>
                <w:sz w:val="22"/>
                <w:szCs w:val="22"/>
                <w:u w:val="none"/>
                <w:lang w:val="en-US" w:eastAsia="zh-CN" w:bidi="ar"/>
              </w:rPr>
              <w:t>本年收入合计</w:t>
            </w:r>
          </w:p>
        </w:tc>
        <w:tc>
          <w:tcPr>
            <w:tcW w:w="1640" w:type="dxa"/>
            <w:vMerge w:val="restart"/>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2"/>
                <w:szCs w:val="22"/>
              </w:rPr>
            </w:pPr>
            <w:r>
              <w:rPr>
                <w:rFonts w:hint="eastAsia" w:ascii="仿宋" w:hAnsi="仿宋" w:eastAsia="仿宋" w:cs="仿宋"/>
                <w:i w:val="0"/>
                <w:color w:val="000000"/>
                <w:kern w:val="0"/>
                <w:sz w:val="22"/>
                <w:szCs w:val="22"/>
                <w:u w:val="none"/>
                <w:lang w:val="en-US" w:eastAsia="zh-CN" w:bidi="ar"/>
              </w:rPr>
              <w:t>财政拨款收入</w:t>
            </w:r>
          </w:p>
        </w:tc>
        <w:tc>
          <w:tcPr>
            <w:tcW w:w="1640" w:type="dxa"/>
            <w:vMerge w:val="restart"/>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2"/>
                <w:szCs w:val="22"/>
              </w:rPr>
            </w:pPr>
            <w:r>
              <w:rPr>
                <w:rFonts w:hint="eastAsia" w:ascii="仿宋" w:hAnsi="仿宋" w:eastAsia="仿宋" w:cs="仿宋"/>
                <w:i w:val="0"/>
                <w:color w:val="000000"/>
                <w:kern w:val="0"/>
                <w:sz w:val="22"/>
                <w:szCs w:val="22"/>
                <w:u w:val="none"/>
                <w:lang w:val="en-US" w:eastAsia="zh-CN" w:bidi="ar"/>
              </w:rPr>
              <w:t>上级补助收入</w:t>
            </w:r>
          </w:p>
        </w:tc>
        <w:tc>
          <w:tcPr>
            <w:tcW w:w="1640" w:type="dxa"/>
            <w:vMerge w:val="restart"/>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2"/>
                <w:szCs w:val="22"/>
              </w:rPr>
            </w:pPr>
            <w:r>
              <w:rPr>
                <w:rFonts w:hint="eastAsia" w:ascii="仿宋" w:hAnsi="仿宋" w:eastAsia="仿宋" w:cs="仿宋"/>
                <w:i w:val="0"/>
                <w:color w:val="000000"/>
                <w:kern w:val="0"/>
                <w:sz w:val="22"/>
                <w:szCs w:val="22"/>
                <w:u w:val="none"/>
                <w:lang w:val="en-US" w:eastAsia="zh-CN" w:bidi="ar"/>
              </w:rPr>
              <w:t>事业收入</w:t>
            </w:r>
          </w:p>
        </w:tc>
        <w:tc>
          <w:tcPr>
            <w:tcW w:w="1640" w:type="dxa"/>
            <w:vMerge w:val="restart"/>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2"/>
                <w:szCs w:val="22"/>
              </w:rPr>
            </w:pPr>
            <w:r>
              <w:rPr>
                <w:rFonts w:hint="eastAsia" w:ascii="仿宋" w:hAnsi="仿宋" w:eastAsia="仿宋" w:cs="仿宋"/>
                <w:i w:val="0"/>
                <w:color w:val="000000"/>
                <w:kern w:val="0"/>
                <w:sz w:val="22"/>
                <w:szCs w:val="22"/>
                <w:u w:val="none"/>
                <w:lang w:val="en-US" w:eastAsia="zh-CN" w:bidi="ar"/>
              </w:rPr>
              <w:t>经营收入</w:t>
            </w:r>
          </w:p>
        </w:tc>
        <w:tc>
          <w:tcPr>
            <w:tcW w:w="1897" w:type="dxa"/>
            <w:vMerge w:val="restart"/>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2"/>
                <w:szCs w:val="22"/>
              </w:rPr>
            </w:pPr>
            <w:r>
              <w:rPr>
                <w:rFonts w:hint="eastAsia" w:ascii="仿宋" w:hAnsi="仿宋" w:eastAsia="仿宋" w:cs="仿宋"/>
                <w:i w:val="0"/>
                <w:color w:val="000000"/>
                <w:kern w:val="0"/>
                <w:sz w:val="22"/>
                <w:szCs w:val="22"/>
                <w:u w:val="none"/>
                <w:lang w:val="en-US" w:eastAsia="zh-CN" w:bidi="ar"/>
              </w:rPr>
              <w:t>附属单位上缴收入</w:t>
            </w:r>
          </w:p>
        </w:tc>
        <w:tc>
          <w:tcPr>
            <w:tcW w:w="1383" w:type="dxa"/>
            <w:vMerge w:val="restart"/>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b/>
                <w:bCs/>
                <w:sz w:val="24"/>
                <w:szCs w:val="24"/>
              </w:rPr>
            </w:pPr>
            <w:r>
              <w:rPr>
                <w:rFonts w:hint="eastAsia" w:ascii="宋体" w:hAnsi="宋体" w:eastAsia="宋体" w:cs="宋体"/>
                <w:i w:val="0"/>
                <w:color w:val="000000"/>
                <w:kern w:val="0"/>
                <w:sz w:val="22"/>
                <w:szCs w:val="22"/>
                <w:u w:val="none"/>
                <w:lang w:val="en-US" w:eastAsia="zh-CN"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jc w:val="center"/>
        </w:trPr>
        <w:tc>
          <w:tcPr>
            <w:tcW w:w="921" w:type="dxa"/>
            <w:vMerge w:val="restart"/>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2"/>
                <w:szCs w:val="22"/>
              </w:rPr>
            </w:pPr>
            <w:r>
              <w:rPr>
                <w:rFonts w:hint="eastAsia" w:ascii="仿宋" w:hAnsi="仿宋" w:eastAsia="仿宋" w:cs="仿宋"/>
                <w:i w:val="0"/>
                <w:color w:val="000000"/>
                <w:kern w:val="0"/>
                <w:sz w:val="22"/>
                <w:szCs w:val="22"/>
                <w:u w:val="none"/>
                <w:lang w:val="en-US" w:eastAsia="zh-CN" w:bidi="ar"/>
              </w:rPr>
              <w:t>科目代码</w:t>
            </w:r>
          </w:p>
        </w:tc>
        <w:tc>
          <w:tcPr>
            <w:tcW w:w="2265" w:type="dxa"/>
            <w:vMerge w:val="restart"/>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2"/>
                <w:szCs w:val="22"/>
              </w:rPr>
            </w:pPr>
            <w:r>
              <w:rPr>
                <w:rFonts w:hint="eastAsia" w:ascii="仿宋" w:hAnsi="仿宋" w:eastAsia="仿宋" w:cs="仿宋"/>
                <w:i w:val="0"/>
                <w:color w:val="000000"/>
                <w:kern w:val="0"/>
                <w:sz w:val="22"/>
                <w:szCs w:val="22"/>
                <w:u w:val="none"/>
                <w:lang w:val="en-US" w:eastAsia="zh-CN" w:bidi="ar"/>
              </w:rPr>
              <w:t>科目名称</w:t>
            </w:r>
          </w:p>
        </w:tc>
        <w:tc>
          <w:tcPr>
            <w:tcW w:w="1640" w:type="dxa"/>
            <w:vMerge w:val="continue"/>
            <w:vAlign w:val="center"/>
          </w:tcPr>
          <w:p>
            <w:pPr>
              <w:jc w:val="center"/>
              <w:rPr>
                <w:rFonts w:hint="eastAsia" w:ascii="仿宋" w:hAnsi="仿宋" w:eastAsia="仿宋" w:cs="仿宋"/>
                <w:sz w:val="22"/>
                <w:szCs w:val="22"/>
              </w:rPr>
            </w:pPr>
          </w:p>
        </w:tc>
        <w:tc>
          <w:tcPr>
            <w:tcW w:w="1640" w:type="dxa"/>
            <w:vMerge w:val="continue"/>
            <w:vAlign w:val="center"/>
          </w:tcPr>
          <w:p>
            <w:pPr>
              <w:jc w:val="center"/>
              <w:rPr>
                <w:rFonts w:hint="eastAsia" w:ascii="仿宋" w:hAnsi="仿宋" w:eastAsia="仿宋" w:cs="仿宋"/>
                <w:sz w:val="22"/>
                <w:szCs w:val="22"/>
              </w:rPr>
            </w:pPr>
          </w:p>
        </w:tc>
        <w:tc>
          <w:tcPr>
            <w:tcW w:w="1640" w:type="dxa"/>
            <w:vMerge w:val="continue"/>
            <w:vAlign w:val="center"/>
          </w:tcPr>
          <w:p>
            <w:pPr>
              <w:jc w:val="center"/>
              <w:rPr>
                <w:rFonts w:hint="eastAsia" w:ascii="仿宋" w:hAnsi="仿宋" w:eastAsia="仿宋" w:cs="仿宋"/>
                <w:sz w:val="22"/>
                <w:szCs w:val="22"/>
              </w:rPr>
            </w:pPr>
          </w:p>
        </w:tc>
        <w:tc>
          <w:tcPr>
            <w:tcW w:w="1640" w:type="dxa"/>
            <w:vMerge w:val="continue"/>
            <w:vAlign w:val="center"/>
          </w:tcPr>
          <w:p>
            <w:pPr>
              <w:jc w:val="center"/>
              <w:rPr>
                <w:rFonts w:hint="eastAsia" w:ascii="仿宋" w:hAnsi="仿宋" w:eastAsia="仿宋" w:cs="仿宋"/>
                <w:sz w:val="22"/>
                <w:szCs w:val="22"/>
              </w:rPr>
            </w:pPr>
          </w:p>
        </w:tc>
        <w:tc>
          <w:tcPr>
            <w:tcW w:w="1640" w:type="dxa"/>
            <w:vMerge w:val="continue"/>
            <w:vAlign w:val="center"/>
          </w:tcPr>
          <w:p>
            <w:pPr>
              <w:jc w:val="center"/>
              <w:rPr>
                <w:rFonts w:hint="eastAsia" w:ascii="仿宋" w:hAnsi="仿宋" w:eastAsia="仿宋" w:cs="仿宋"/>
                <w:sz w:val="22"/>
                <w:szCs w:val="22"/>
              </w:rPr>
            </w:pPr>
          </w:p>
        </w:tc>
        <w:tc>
          <w:tcPr>
            <w:tcW w:w="1897" w:type="dxa"/>
            <w:vMerge w:val="continue"/>
            <w:vAlign w:val="center"/>
          </w:tcPr>
          <w:p>
            <w:pPr>
              <w:jc w:val="center"/>
              <w:rPr>
                <w:rFonts w:hint="eastAsia" w:ascii="仿宋" w:hAnsi="仿宋" w:eastAsia="仿宋" w:cs="仿宋"/>
                <w:sz w:val="22"/>
                <w:szCs w:val="22"/>
              </w:rPr>
            </w:pPr>
          </w:p>
        </w:tc>
        <w:tc>
          <w:tcPr>
            <w:tcW w:w="1383" w:type="dxa"/>
            <w:vMerge w:val="continue"/>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21" w:type="dxa"/>
            <w:vMerge w:val="continue"/>
            <w:vAlign w:val="center"/>
          </w:tcPr>
          <w:p>
            <w:pPr>
              <w:rPr>
                <w:rFonts w:hint="eastAsia" w:ascii="仿宋" w:hAnsi="仿宋" w:eastAsia="仿宋" w:cs="仿宋"/>
                <w:sz w:val="22"/>
                <w:szCs w:val="22"/>
              </w:rPr>
            </w:pPr>
          </w:p>
        </w:tc>
        <w:tc>
          <w:tcPr>
            <w:tcW w:w="2265" w:type="dxa"/>
            <w:vMerge w:val="continue"/>
            <w:vAlign w:val="center"/>
          </w:tcPr>
          <w:p>
            <w:pPr>
              <w:rPr>
                <w:rFonts w:hint="eastAsia" w:ascii="仿宋" w:hAnsi="仿宋" w:eastAsia="仿宋" w:cs="仿宋"/>
                <w:sz w:val="22"/>
                <w:szCs w:val="22"/>
              </w:rPr>
            </w:pPr>
          </w:p>
        </w:tc>
        <w:tc>
          <w:tcPr>
            <w:tcW w:w="1640" w:type="dxa"/>
            <w:vMerge w:val="continue"/>
            <w:vAlign w:val="center"/>
          </w:tcPr>
          <w:p>
            <w:pPr>
              <w:rPr>
                <w:rFonts w:hint="eastAsia" w:ascii="仿宋" w:hAnsi="仿宋" w:eastAsia="仿宋" w:cs="仿宋"/>
                <w:sz w:val="22"/>
                <w:szCs w:val="22"/>
              </w:rPr>
            </w:pPr>
          </w:p>
        </w:tc>
        <w:tc>
          <w:tcPr>
            <w:tcW w:w="1640" w:type="dxa"/>
            <w:vMerge w:val="continue"/>
            <w:vAlign w:val="center"/>
          </w:tcPr>
          <w:p>
            <w:pPr>
              <w:rPr>
                <w:rFonts w:hint="eastAsia" w:ascii="仿宋" w:hAnsi="仿宋" w:eastAsia="仿宋" w:cs="仿宋"/>
                <w:sz w:val="22"/>
                <w:szCs w:val="22"/>
              </w:rPr>
            </w:pPr>
          </w:p>
        </w:tc>
        <w:tc>
          <w:tcPr>
            <w:tcW w:w="1640" w:type="dxa"/>
            <w:vMerge w:val="continue"/>
            <w:vAlign w:val="center"/>
          </w:tcPr>
          <w:p>
            <w:pPr>
              <w:rPr>
                <w:rFonts w:hint="eastAsia" w:ascii="仿宋" w:hAnsi="仿宋" w:eastAsia="仿宋" w:cs="仿宋"/>
                <w:sz w:val="22"/>
                <w:szCs w:val="22"/>
              </w:rPr>
            </w:pPr>
          </w:p>
        </w:tc>
        <w:tc>
          <w:tcPr>
            <w:tcW w:w="1640" w:type="dxa"/>
            <w:vMerge w:val="continue"/>
            <w:vAlign w:val="center"/>
          </w:tcPr>
          <w:p>
            <w:pPr>
              <w:rPr>
                <w:rFonts w:hint="eastAsia" w:ascii="仿宋" w:hAnsi="仿宋" w:eastAsia="仿宋" w:cs="仿宋"/>
                <w:sz w:val="22"/>
                <w:szCs w:val="22"/>
              </w:rPr>
            </w:pPr>
          </w:p>
        </w:tc>
        <w:tc>
          <w:tcPr>
            <w:tcW w:w="1640" w:type="dxa"/>
            <w:vMerge w:val="continue"/>
            <w:vAlign w:val="center"/>
          </w:tcPr>
          <w:p>
            <w:pPr>
              <w:rPr>
                <w:rFonts w:hint="eastAsia" w:ascii="仿宋" w:hAnsi="仿宋" w:eastAsia="仿宋" w:cs="仿宋"/>
                <w:sz w:val="22"/>
                <w:szCs w:val="22"/>
              </w:rPr>
            </w:pPr>
          </w:p>
        </w:tc>
        <w:tc>
          <w:tcPr>
            <w:tcW w:w="1897" w:type="dxa"/>
            <w:vMerge w:val="continue"/>
            <w:vAlign w:val="center"/>
          </w:tcPr>
          <w:p>
            <w:pPr>
              <w:rPr>
                <w:rFonts w:hint="eastAsia" w:ascii="仿宋" w:hAnsi="仿宋" w:eastAsia="仿宋" w:cs="仿宋"/>
                <w:sz w:val="22"/>
                <w:szCs w:val="22"/>
              </w:rPr>
            </w:pPr>
          </w:p>
        </w:tc>
        <w:tc>
          <w:tcPr>
            <w:tcW w:w="1383" w:type="dxa"/>
            <w:vMerge w:val="continue"/>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186" w:type="dxa"/>
            <w:gridSpan w:val="2"/>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栏次</w:t>
            </w:r>
          </w:p>
        </w:tc>
        <w:tc>
          <w:tcPr>
            <w:tcW w:w="1640" w:type="dxa"/>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1</w:t>
            </w:r>
          </w:p>
        </w:tc>
        <w:tc>
          <w:tcPr>
            <w:tcW w:w="1640" w:type="dxa"/>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w:t>
            </w:r>
          </w:p>
        </w:tc>
        <w:tc>
          <w:tcPr>
            <w:tcW w:w="1640" w:type="dxa"/>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3</w:t>
            </w:r>
          </w:p>
        </w:tc>
        <w:tc>
          <w:tcPr>
            <w:tcW w:w="1640" w:type="dxa"/>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4</w:t>
            </w:r>
          </w:p>
        </w:tc>
        <w:tc>
          <w:tcPr>
            <w:tcW w:w="1640" w:type="dxa"/>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5</w:t>
            </w:r>
          </w:p>
        </w:tc>
        <w:tc>
          <w:tcPr>
            <w:tcW w:w="1897" w:type="dxa"/>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6</w:t>
            </w:r>
          </w:p>
        </w:tc>
        <w:tc>
          <w:tcPr>
            <w:tcW w:w="1383" w:type="dxa"/>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186" w:type="dxa"/>
            <w:gridSpan w:val="2"/>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合计</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b/>
                <w:i w:val="0"/>
                <w:color w:val="000000"/>
                <w:kern w:val="0"/>
                <w:sz w:val="22"/>
                <w:szCs w:val="22"/>
                <w:u w:val="none"/>
                <w:lang w:val="en-US" w:eastAsia="zh-CN" w:bidi="ar"/>
              </w:rPr>
              <w:t>393.91</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b/>
                <w:i w:val="0"/>
                <w:color w:val="000000"/>
                <w:kern w:val="0"/>
                <w:sz w:val="22"/>
                <w:szCs w:val="22"/>
                <w:u w:val="none"/>
                <w:lang w:val="en-US" w:eastAsia="zh-CN" w:bidi="ar"/>
              </w:rPr>
              <w:t>393.91</w:t>
            </w: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897"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383" w:type="dxa"/>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21"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2010309</w:t>
            </w:r>
          </w:p>
        </w:tc>
        <w:tc>
          <w:tcPr>
            <w:tcW w:w="2265"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参事事务</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90.52</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90.52</w:t>
            </w: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897"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383" w:type="dxa"/>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21"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2010350</w:t>
            </w:r>
          </w:p>
        </w:tc>
        <w:tc>
          <w:tcPr>
            <w:tcW w:w="2265"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事业运行</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0.46</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0.46</w:t>
            </w: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897"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383" w:type="dxa"/>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921"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2010399</w:t>
            </w:r>
          </w:p>
        </w:tc>
        <w:tc>
          <w:tcPr>
            <w:tcW w:w="2265"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其他政府办公厅（室）及相关机构事务支出</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79.69</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79.69</w:t>
            </w: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897"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383" w:type="dxa"/>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21"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2013501</w:t>
            </w:r>
          </w:p>
        </w:tc>
        <w:tc>
          <w:tcPr>
            <w:tcW w:w="2265"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行政运行</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146.60</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146.60</w:t>
            </w: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897"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383" w:type="dxa"/>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21"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2019999</w:t>
            </w:r>
          </w:p>
        </w:tc>
        <w:tc>
          <w:tcPr>
            <w:tcW w:w="2265"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其他一般公共服务支出</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45.67</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45.67</w:t>
            </w: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897"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383" w:type="dxa"/>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21"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2080505</w:t>
            </w:r>
          </w:p>
        </w:tc>
        <w:tc>
          <w:tcPr>
            <w:tcW w:w="2265"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机关事业单位基本养老保险缴费支出</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16.32</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16.32</w:t>
            </w: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897"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383" w:type="dxa"/>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21"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2080599</w:t>
            </w:r>
          </w:p>
        </w:tc>
        <w:tc>
          <w:tcPr>
            <w:tcW w:w="2265" w:type="dxa"/>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其他行政事业单位养老支出</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7.58</w:t>
            </w:r>
          </w:p>
        </w:tc>
        <w:tc>
          <w:tcPr>
            <w:tcW w:w="1640" w:type="dxa"/>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7.58</w:t>
            </w: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640"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897" w:type="dxa"/>
            <w:shd w:val="clear" w:color="auto" w:fill="auto"/>
            <w:noWrap/>
            <w:tcMar>
              <w:top w:w="15" w:type="dxa"/>
              <w:left w:w="15" w:type="dxa"/>
              <w:bottom w:w="0" w:type="dxa"/>
              <w:right w:w="15" w:type="dxa"/>
            </w:tcMar>
            <w:vAlign w:val="center"/>
          </w:tcPr>
          <w:p>
            <w:pPr>
              <w:jc w:val="right"/>
              <w:rPr>
                <w:rFonts w:hint="eastAsia" w:ascii="仿宋" w:hAnsi="仿宋" w:eastAsia="仿宋" w:cs="仿宋"/>
                <w:sz w:val="22"/>
                <w:szCs w:val="22"/>
              </w:rPr>
            </w:pPr>
          </w:p>
        </w:tc>
        <w:tc>
          <w:tcPr>
            <w:tcW w:w="1383" w:type="dxa"/>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pPr>
        <w:widowControl/>
        <w:jc w:val="center"/>
        <w:textAlignment w:val="center"/>
        <w:rPr>
          <w:rFonts w:ascii="Times New Roman" w:hAnsi="Times New Roman" w:eastAsia="黑体"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5000" w:type="pct"/>
        <w:jc w:val="center"/>
        <w:tblLayout w:type="fixed"/>
        <w:tblCellMar>
          <w:top w:w="0" w:type="dxa"/>
          <w:left w:w="108" w:type="dxa"/>
          <w:bottom w:w="0" w:type="dxa"/>
          <w:right w:w="108" w:type="dxa"/>
        </w:tblCellMar>
      </w:tblPr>
      <w:tblGrid>
        <w:gridCol w:w="1208"/>
        <w:gridCol w:w="2675"/>
        <w:gridCol w:w="1856"/>
        <w:gridCol w:w="1320"/>
        <w:gridCol w:w="1320"/>
        <w:gridCol w:w="1856"/>
        <w:gridCol w:w="1320"/>
        <w:gridCol w:w="2665"/>
      </w:tblGrid>
      <w:tr>
        <w:tblPrEx>
          <w:tblCellMar>
            <w:top w:w="0" w:type="dxa"/>
            <w:left w:w="108" w:type="dxa"/>
            <w:bottom w:w="0" w:type="dxa"/>
            <w:right w:w="108" w:type="dxa"/>
          </w:tblCellMar>
        </w:tblPrEx>
        <w:trPr>
          <w:trHeight w:val="595" w:hRule="atLeast"/>
          <w:jc w:val="center"/>
        </w:trPr>
        <w:tc>
          <w:tcPr>
            <w:tcW w:w="38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2"/>
                <w:szCs w:val="22"/>
                <w:u w:val="none"/>
                <w:lang w:val="en-US" w:eastAsia="zh-CN" w:bidi="ar"/>
              </w:rPr>
              <w:t>项目</w:t>
            </w:r>
          </w:p>
        </w:tc>
        <w:tc>
          <w:tcPr>
            <w:tcW w:w="18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2"/>
                <w:szCs w:val="22"/>
                <w:u w:val="none"/>
                <w:lang w:val="en-US" w:eastAsia="zh-CN" w:bidi="ar"/>
              </w:rPr>
              <w:t>本年支出合计</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2"/>
                <w:szCs w:val="22"/>
                <w:u w:val="none"/>
                <w:lang w:val="en-US" w:eastAsia="zh-CN" w:bidi="ar"/>
              </w:rPr>
              <w:t>基本支出</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2"/>
                <w:szCs w:val="22"/>
                <w:u w:val="none"/>
                <w:lang w:val="en-US" w:eastAsia="zh-CN" w:bidi="ar"/>
              </w:rPr>
              <w:t>项目支出</w:t>
            </w:r>
          </w:p>
        </w:tc>
        <w:tc>
          <w:tcPr>
            <w:tcW w:w="18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2"/>
                <w:szCs w:val="22"/>
                <w:u w:val="none"/>
                <w:lang w:val="en-US" w:eastAsia="zh-CN" w:bidi="ar"/>
              </w:rPr>
              <w:t>上缴上级支出</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2"/>
                <w:szCs w:val="22"/>
                <w:u w:val="none"/>
                <w:lang w:val="en-US" w:eastAsia="zh-CN" w:bidi="ar"/>
              </w:rPr>
              <w:t>经营支出</w:t>
            </w:r>
          </w:p>
        </w:tc>
        <w:tc>
          <w:tcPr>
            <w:tcW w:w="26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12" w:hRule="exact"/>
          <w:jc w:val="center"/>
        </w:trPr>
        <w:tc>
          <w:tcPr>
            <w:tcW w:w="12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2"/>
                <w:szCs w:val="22"/>
                <w:u w:val="none"/>
                <w:lang w:val="en-US" w:eastAsia="zh-CN" w:bidi="ar"/>
              </w:rPr>
              <w:t>科目代码</w:t>
            </w:r>
          </w:p>
        </w:tc>
        <w:tc>
          <w:tcPr>
            <w:tcW w:w="267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2"/>
                <w:szCs w:val="22"/>
                <w:u w:val="none"/>
                <w:lang w:val="en-US" w:eastAsia="zh-CN" w:bidi="ar"/>
              </w:rPr>
              <w:t>科目名称</w:t>
            </w: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4"/>
                <w:szCs w:val="24"/>
              </w:rPr>
            </w:pPr>
          </w:p>
        </w:tc>
        <w:tc>
          <w:tcPr>
            <w:tcW w:w="26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4"/>
                <w:szCs w:val="24"/>
              </w:rPr>
            </w:pPr>
          </w:p>
        </w:tc>
      </w:tr>
      <w:tr>
        <w:tblPrEx>
          <w:tblCellMar>
            <w:top w:w="0" w:type="dxa"/>
            <w:left w:w="108" w:type="dxa"/>
            <w:bottom w:w="0" w:type="dxa"/>
            <w:right w:w="108" w:type="dxa"/>
          </w:tblCellMar>
        </w:tblPrEx>
        <w:trPr>
          <w:trHeight w:val="595" w:hRule="atLeast"/>
          <w:jc w:val="center"/>
        </w:trPr>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2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95" w:hRule="atLeast"/>
          <w:jc w:val="center"/>
        </w:trPr>
        <w:tc>
          <w:tcPr>
            <w:tcW w:w="388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栏次</w:t>
            </w:r>
          </w:p>
        </w:tc>
        <w:tc>
          <w:tcPr>
            <w:tcW w:w="185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1</w:t>
            </w:r>
          </w:p>
        </w:tc>
        <w:tc>
          <w:tcPr>
            <w:tcW w:w="13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2</w:t>
            </w:r>
          </w:p>
        </w:tc>
        <w:tc>
          <w:tcPr>
            <w:tcW w:w="13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3</w:t>
            </w:r>
          </w:p>
        </w:tc>
        <w:tc>
          <w:tcPr>
            <w:tcW w:w="185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4</w:t>
            </w:r>
          </w:p>
        </w:tc>
        <w:tc>
          <w:tcPr>
            <w:tcW w:w="13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5</w:t>
            </w:r>
          </w:p>
        </w:tc>
        <w:tc>
          <w:tcPr>
            <w:tcW w:w="266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595" w:hRule="atLeast"/>
          <w:jc w:val="center"/>
        </w:trPr>
        <w:tc>
          <w:tcPr>
            <w:tcW w:w="388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合计</w:t>
            </w:r>
          </w:p>
        </w:tc>
        <w:tc>
          <w:tcPr>
            <w:tcW w:w="18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b/>
                <w:i w:val="0"/>
                <w:color w:val="000000"/>
                <w:kern w:val="0"/>
                <w:sz w:val="22"/>
                <w:szCs w:val="22"/>
                <w:u w:val="none"/>
                <w:lang w:val="en-US" w:eastAsia="zh-CN" w:bidi="ar"/>
              </w:rPr>
              <w:t>393.91</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b/>
                <w:i w:val="0"/>
                <w:color w:val="000000"/>
                <w:kern w:val="0"/>
                <w:sz w:val="22"/>
                <w:szCs w:val="22"/>
                <w:u w:val="none"/>
                <w:lang w:val="en-US" w:eastAsia="zh-CN" w:bidi="ar"/>
              </w:rPr>
              <w:t>213.98</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b/>
                <w:i w:val="0"/>
                <w:color w:val="000000"/>
                <w:kern w:val="0"/>
                <w:sz w:val="22"/>
                <w:szCs w:val="22"/>
                <w:u w:val="none"/>
                <w:lang w:val="en-US" w:eastAsia="zh-CN" w:bidi="ar"/>
              </w:rPr>
              <w:t>179.93</w:t>
            </w:r>
          </w:p>
        </w:tc>
        <w:tc>
          <w:tcPr>
            <w:tcW w:w="185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266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95" w:hRule="atLeast"/>
          <w:jc w:val="center"/>
        </w:trPr>
        <w:tc>
          <w:tcPr>
            <w:tcW w:w="1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2010309</w:t>
            </w:r>
          </w:p>
        </w:tc>
        <w:tc>
          <w:tcPr>
            <w:tcW w:w="2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参事事务</w:t>
            </w:r>
          </w:p>
        </w:tc>
        <w:tc>
          <w:tcPr>
            <w:tcW w:w="18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90.52</w:t>
            </w: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90.52</w:t>
            </w:r>
          </w:p>
        </w:tc>
        <w:tc>
          <w:tcPr>
            <w:tcW w:w="185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266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95" w:hRule="atLeast"/>
          <w:jc w:val="center"/>
        </w:trPr>
        <w:tc>
          <w:tcPr>
            <w:tcW w:w="1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2010350</w:t>
            </w:r>
          </w:p>
        </w:tc>
        <w:tc>
          <w:tcPr>
            <w:tcW w:w="2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事业运行</w:t>
            </w:r>
          </w:p>
        </w:tc>
        <w:tc>
          <w:tcPr>
            <w:tcW w:w="18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0.46</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0.46</w:t>
            </w: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85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266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95" w:hRule="atLeast"/>
          <w:jc w:val="center"/>
        </w:trPr>
        <w:tc>
          <w:tcPr>
            <w:tcW w:w="1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2010399</w:t>
            </w:r>
          </w:p>
        </w:tc>
        <w:tc>
          <w:tcPr>
            <w:tcW w:w="2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其他政府办公厅（室）及相关机构事务支出</w:t>
            </w:r>
          </w:p>
        </w:tc>
        <w:tc>
          <w:tcPr>
            <w:tcW w:w="18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79.69</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35.95</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43.74</w:t>
            </w:r>
          </w:p>
        </w:tc>
        <w:tc>
          <w:tcPr>
            <w:tcW w:w="185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266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95" w:hRule="atLeast"/>
          <w:jc w:val="center"/>
        </w:trPr>
        <w:tc>
          <w:tcPr>
            <w:tcW w:w="1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2013501</w:t>
            </w:r>
          </w:p>
        </w:tc>
        <w:tc>
          <w:tcPr>
            <w:tcW w:w="2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行政运行</w:t>
            </w:r>
          </w:p>
        </w:tc>
        <w:tc>
          <w:tcPr>
            <w:tcW w:w="18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146.60</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146.60</w:t>
            </w: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85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266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95" w:hRule="atLeast"/>
          <w:jc w:val="center"/>
        </w:trPr>
        <w:tc>
          <w:tcPr>
            <w:tcW w:w="1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2019999</w:t>
            </w:r>
          </w:p>
        </w:tc>
        <w:tc>
          <w:tcPr>
            <w:tcW w:w="2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其他一般公共服务支出</w:t>
            </w:r>
          </w:p>
        </w:tc>
        <w:tc>
          <w:tcPr>
            <w:tcW w:w="18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45.67</w:t>
            </w: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45.67</w:t>
            </w:r>
          </w:p>
        </w:tc>
        <w:tc>
          <w:tcPr>
            <w:tcW w:w="185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266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95" w:hRule="atLeast"/>
          <w:jc w:val="center"/>
        </w:trPr>
        <w:tc>
          <w:tcPr>
            <w:tcW w:w="1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2080505</w:t>
            </w:r>
          </w:p>
        </w:tc>
        <w:tc>
          <w:tcPr>
            <w:tcW w:w="2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机关事业单位基本养老保险缴费支出</w:t>
            </w:r>
          </w:p>
        </w:tc>
        <w:tc>
          <w:tcPr>
            <w:tcW w:w="18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16.32</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2"/>
                <w:szCs w:val="22"/>
                <w:u w:val="none"/>
                <w:lang w:val="en-US" w:eastAsia="zh-CN" w:bidi="ar"/>
              </w:rPr>
              <w:t>16.32</w:t>
            </w: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85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1320"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c>
          <w:tcPr>
            <w:tcW w:w="266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4"/>
                <w:szCs w:val="24"/>
              </w:rPr>
            </w:pP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1" w:name="RANGE!A1:I22"/>
      <w:bookmarkEnd w:id="1"/>
      <w:bookmarkStart w:id="2"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14220" w:type="dxa"/>
        <w:jc w:val="center"/>
        <w:tblLayout w:type="fixed"/>
        <w:tblCellMar>
          <w:top w:w="0" w:type="dxa"/>
          <w:left w:w="108" w:type="dxa"/>
          <w:bottom w:w="0" w:type="dxa"/>
          <w:right w:w="108" w:type="dxa"/>
        </w:tblCellMar>
      </w:tblPr>
      <w:tblGrid>
        <w:gridCol w:w="2684"/>
        <w:gridCol w:w="479"/>
        <w:gridCol w:w="1386"/>
        <w:gridCol w:w="2912"/>
        <w:gridCol w:w="465"/>
        <w:gridCol w:w="992"/>
        <w:gridCol w:w="1226"/>
        <w:gridCol w:w="1344"/>
        <w:gridCol w:w="2732"/>
      </w:tblGrid>
      <w:tr>
        <w:tblPrEx>
          <w:tblCellMar>
            <w:top w:w="0" w:type="dxa"/>
            <w:left w:w="108" w:type="dxa"/>
            <w:bottom w:w="0" w:type="dxa"/>
            <w:right w:w="108" w:type="dxa"/>
          </w:tblCellMar>
        </w:tblPrEx>
        <w:trPr>
          <w:trHeight w:val="402" w:hRule="atLeast"/>
          <w:jc w:val="center"/>
        </w:trPr>
        <w:tc>
          <w:tcPr>
            <w:tcW w:w="45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收     入</w:t>
            </w:r>
          </w:p>
        </w:tc>
        <w:tc>
          <w:tcPr>
            <w:tcW w:w="9671" w:type="dxa"/>
            <w:gridSpan w:val="6"/>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630"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项目</w:t>
            </w: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行次</w:t>
            </w:r>
          </w:p>
        </w:tc>
        <w:tc>
          <w:tcPr>
            <w:tcW w:w="13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金额</w:t>
            </w: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项目</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行次</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合计</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一般公共预算财政拨款</w:t>
            </w:r>
          </w:p>
        </w:tc>
        <w:tc>
          <w:tcPr>
            <w:tcW w:w="13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政府性基金预算财政拨款</w:t>
            </w:r>
          </w:p>
        </w:tc>
        <w:tc>
          <w:tcPr>
            <w:tcW w:w="27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国有资本经营预算财政拨款</w:t>
            </w: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栏次</w:t>
            </w:r>
          </w:p>
        </w:tc>
        <w:tc>
          <w:tcPr>
            <w:tcW w:w="47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2"/>
                <w:szCs w:val="22"/>
              </w:rPr>
            </w:pPr>
          </w:p>
        </w:tc>
        <w:tc>
          <w:tcPr>
            <w:tcW w:w="13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w:t>
            </w: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栏次</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kern w:val="0"/>
                <w:sz w:val="22"/>
                <w:szCs w:val="22"/>
              </w:rPr>
            </w:pP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w:t>
            </w:r>
          </w:p>
        </w:tc>
        <w:tc>
          <w:tcPr>
            <w:tcW w:w="12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w:t>
            </w:r>
          </w:p>
        </w:tc>
        <w:tc>
          <w:tcPr>
            <w:tcW w:w="13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4</w:t>
            </w:r>
          </w:p>
        </w:tc>
        <w:tc>
          <w:tcPr>
            <w:tcW w:w="27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一、一般公共预算财政拨款</w:t>
            </w: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1</w:t>
            </w:r>
          </w:p>
        </w:tc>
        <w:tc>
          <w:tcPr>
            <w:tcW w:w="13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393.91</w:t>
            </w: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一、一般公共服务支出</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33</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362.93</w:t>
            </w:r>
          </w:p>
        </w:tc>
        <w:tc>
          <w:tcPr>
            <w:tcW w:w="12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362.93</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73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二、政府性基金预算财政拨款</w:t>
            </w: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w:t>
            </w:r>
          </w:p>
        </w:tc>
        <w:tc>
          <w:tcPr>
            <w:tcW w:w="138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二、外交支出</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34</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sz w:val="22"/>
                <w:szCs w:val="22"/>
              </w:rPr>
            </w:pPr>
          </w:p>
        </w:tc>
        <w:tc>
          <w:tcPr>
            <w:tcW w:w="122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1344"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73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三、国有资本经营预算财政拨款</w:t>
            </w: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3</w:t>
            </w:r>
          </w:p>
        </w:tc>
        <w:tc>
          <w:tcPr>
            <w:tcW w:w="138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三、国防支出</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35</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sz w:val="22"/>
                <w:szCs w:val="22"/>
              </w:rPr>
            </w:pPr>
          </w:p>
        </w:tc>
        <w:tc>
          <w:tcPr>
            <w:tcW w:w="122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1344"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73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kern w:val="0"/>
                <w:sz w:val="22"/>
                <w:szCs w:val="22"/>
              </w:rPr>
            </w:pP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4</w:t>
            </w:r>
          </w:p>
        </w:tc>
        <w:tc>
          <w:tcPr>
            <w:tcW w:w="138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四、公共安全支出</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36</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sz w:val="22"/>
                <w:szCs w:val="22"/>
              </w:rPr>
            </w:pPr>
          </w:p>
        </w:tc>
        <w:tc>
          <w:tcPr>
            <w:tcW w:w="122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1344"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73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kern w:val="0"/>
                <w:sz w:val="22"/>
                <w:szCs w:val="22"/>
              </w:rPr>
            </w:pP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5</w:t>
            </w:r>
          </w:p>
        </w:tc>
        <w:tc>
          <w:tcPr>
            <w:tcW w:w="138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五、教育支出</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37</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sz w:val="22"/>
                <w:szCs w:val="22"/>
              </w:rPr>
            </w:pPr>
          </w:p>
        </w:tc>
        <w:tc>
          <w:tcPr>
            <w:tcW w:w="122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1344"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73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kern w:val="0"/>
                <w:sz w:val="22"/>
                <w:szCs w:val="22"/>
              </w:rPr>
            </w:pP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6</w:t>
            </w:r>
          </w:p>
        </w:tc>
        <w:tc>
          <w:tcPr>
            <w:tcW w:w="138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六、科学技术支出</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38</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sz w:val="22"/>
                <w:szCs w:val="22"/>
              </w:rPr>
            </w:pPr>
          </w:p>
        </w:tc>
        <w:tc>
          <w:tcPr>
            <w:tcW w:w="122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1344"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73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kern w:val="0"/>
                <w:sz w:val="22"/>
                <w:szCs w:val="22"/>
              </w:rPr>
            </w:pP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7</w:t>
            </w:r>
          </w:p>
        </w:tc>
        <w:tc>
          <w:tcPr>
            <w:tcW w:w="138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七、文化旅游体育与传媒支出</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39</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sz w:val="22"/>
                <w:szCs w:val="22"/>
              </w:rPr>
            </w:pPr>
          </w:p>
        </w:tc>
        <w:tc>
          <w:tcPr>
            <w:tcW w:w="122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1344"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73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kern w:val="0"/>
                <w:sz w:val="22"/>
                <w:szCs w:val="22"/>
              </w:rPr>
            </w:pP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8</w:t>
            </w:r>
          </w:p>
        </w:tc>
        <w:tc>
          <w:tcPr>
            <w:tcW w:w="138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八、社会保障和就业支出</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40</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23.90</w:t>
            </w:r>
          </w:p>
        </w:tc>
        <w:tc>
          <w:tcPr>
            <w:tcW w:w="12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23.90</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73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02" w:hRule="atLeast"/>
          <w:jc w:val="center"/>
        </w:trPr>
        <w:tc>
          <w:tcPr>
            <w:tcW w:w="268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b/>
                <w:bCs/>
                <w:kern w:val="0"/>
                <w:sz w:val="22"/>
                <w:szCs w:val="22"/>
              </w:rPr>
            </w:pPr>
          </w:p>
        </w:tc>
        <w:tc>
          <w:tcPr>
            <w:tcW w:w="47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9</w:t>
            </w:r>
          </w:p>
        </w:tc>
        <w:tc>
          <w:tcPr>
            <w:tcW w:w="138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九、卫生健康支出</w:t>
            </w:r>
          </w:p>
        </w:tc>
        <w:tc>
          <w:tcPr>
            <w:tcW w:w="4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41</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sz w:val="22"/>
                <w:szCs w:val="22"/>
              </w:rPr>
            </w:pPr>
            <w:r>
              <w:rPr>
                <w:rFonts w:hint="eastAsia" w:ascii="仿宋" w:hAnsi="仿宋" w:eastAsia="仿宋" w:cs="仿宋"/>
                <w:i w:val="0"/>
                <w:color w:val="000000"/>
                <w:kern w:val="0"/>
                <w:sz w:val="22"/>
                <w:szCs w:val="22"/>
                <w:u w:val="none"/>
                <w:lang w:val="en-US" w:eastAsia="zh-CN" w:bidi="ar"/>
              </w:rPr>
              <w:t>6.94</w:t>
            </w:r>
          </w:p>
        </w:tc>
        <w:tc>
          <w:tcPr>
            <w:tcW w:w="12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6.94</w:t>
            </w:r>
          </w:p>
        </w:tc>
        <w:tc>
          <w:tcPr>
            <w:tcW w:w="1344"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kern w:val="0"/>
                <w:sz w:val="22"/>
                <w:szCs w:val="22"/>
              </w:rPr>
            </w:pPr>
          </w:p>
        </w:tc>
        <w:tc>
          <w:tcPr>
            <w:tcW w:w="2732"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
                <w:bCs/>
                <w:kern w:val="0"/>
                <w:sz w:val="22"/>
                <w:szCs w:val="22"/>
              </w:rPr>
            </w:pP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2"/>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986"/>
        <w:gridCol w:w="3924"/>
        <w:gridCol w:w="3103"/>
        <w:gridCol w:w="3103"/>
        <w:gridCol w:w="3103"/>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kern w:val="0"/>
                <w:szCs w:val="21"/>
              </w:rPr>
            </w:pPr>
            <w:r>
              <w:rPr>
                <w:rFonts w:hint="eastAsia" w:ascii="仿宋" w:hAnsi="仿宋" w:eastAsia="仿宋" w:cs="仿宋"/>
                <w:i w:val="0"/>
                <w:color w:val="000000"/>
                <w:kern w:val="0"/>
                <w:sz w:val="22"/>
                <w:szCs w:val="22"/>
                <w:u w:val="none"/>
                <w:lang w:val="en-US" w:eastAsia="zh-CN" w:bidi="ar"/>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kern w:val="0"/>
                <w:szCs w:val="21"/>
              </w:rPr>
            </w:pPr>
            <w:r>
              <w:rPr>
                <w:rFonts w:hint="eastAsia" w:ascii="仿宋" w:hAnsi="仿宋" w:eastAsia="仿宋" w:cs="仿宋"/>
                <w:i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12" w:hRule="exact"/>
          <w:jc w:val="center"/>
        </w:trPr>
        <w:tc>
          <w:tcPr>
            <w:tcW w:w="72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kern w:val="0"/>
                <w:szCs w:val="21"/>
              </w:rPr>
            </w:pPr>
            <w:r>
              <w:rPr>
                <w:rFonts w:hint="eastAsia" w:ascii="仿宋" w:hAnsi="仿宋" w:eastAsia="仿宋" w:cs="仿宋"/>
                <w:i w:val="0"/>
                <w:color w:val="000000"/>
                <w:kern w:val="0"/>
                <w:sz w:val="22"/>
                <w:szCs w:val="22"/>
                <w:u w:val="none"/>
                <w:lang w:val="en-US" w:eastAsia="zh-CN" w:bidi="ar"/>
              </w:rPr>
              <w:t>科目代码</w:t>
            </w:r>
          </w:p>
        </w:tc>
        <w:tc>
          <w:tcPr>
            <w:tcW w:w="400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kern w:val="0"/>
                <w:szCs w:val="21"/>
              </w:rPr>
            </w:pPr>
            <w:r>
              <w:rPr>
                <w:rFonts w:hint="eastAsia" w:ascii="仿宋" w:hAnsi="仿宋" w:eastAsia="仿宋" w:cs="仿宋"/>
                <w:i w:val="0"/>
                <w:color w:val="000000"/>
                <w:kern w:val="0"/>
                <w:sz w:val="22"/>
                <w:szCs w:val="22"/>
                <w:u w:val="none"/>
                <w:lang w:val="en-US" w:eastAsia="zh-CN" w:bidi="ar"/>
              </w:rPr>
              <w:t>科目名称</w:t>
            </w:r>
          </w:p>
        </w:tc>
        <w:tc>
          <w:tcPr>
            <w:tcW w:w="316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kern w:val="0"/>
                <w:szCs w:val="21"/>
              </w:rPr>
            </w:pPr>
            <w:r>
              <w:rPr>
                <w:rFonts w:hint="eastAsia" w:ascii="仿宋" w:hAnsi="仿宋" w:eastAsia="仿宋" w:cs="仿宋"/>
                <w:i w:val="0"/>
                <w:color w:val="000000"/>
                <w:kern w:val="0"/>
                <w:sz w:val="22"/>
                <w:szCs w:val="22"/>
                <w:u w:val="none"/>
                <w:lang w:val="en-US" w:eastAsia="zh-CN" w:bidi="ar"/>
              </w:rPr>
              <w:t>小计</w:t>
            </w:r>
          </w:p>
        </w:tc>
        <w:tc>
          <w:tcPr>
            <w:tcW w:w="316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kern w:val="0"/>
                <w:szCs w:val="21"/>
              </w:rPr>
            </w:pPr>
            <w:r>
              <w:rPr>
                <w:rFonts w:hint="eastAsia" w:ascii="仿宋" w:hAnsi="仿宋" w:eastAsia="仿宋" w:cs="仿宋"/>
                <w:i w:val="0"/>
                <w:color w:val="000000"/>
                <w:kern w:val="0"/>
                <w:sz w:val="22"/>
                <w:szCs w:val="22"/>
                <w:u w:val="none"/>
                <w:lang w:val="en-US" w:eastAsia="zh-CN" w:bidi="ar"/>
              </w:rPr>
              <w:t>基本支出</w:t>
            </w:r>
          </w:p>
        </w:tc>
        <w:tc>
          <w:tcPr>
            <w:tcW w:w="3164"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kern w:val="0"/>
                <w:szCs w:val="21"/>
              </w:rPr>
            </w:pPr>
            <w:r>
              <w:rPr>
                <w:rFonts w:hint="eastAsia" w:ascii="仿宋" w:hAnsi="仿宋" w:eastAsia="仿宋" w:cs="仿宋"/>
                <w:i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0" w:type="auto"/>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Cs w:val="21"/>
              </w:rPr>
            </w:pPr>
          </w:p>
        </w:tc>
        <w:tc>
          <w:tcPr>
            <w:tcW w:w="0" w:type="auto"/>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栏次</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1</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2</w:t>
            </w:r>
          </w:p>
        </w:tc>
        <w:tc>
          <w:tcPr>
            <w:tcW w:w="316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合计</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b/>
                <w:i w:val="0"/>
                <w:color w:val="000000"/>
                <w:kern w:val="0"/>
                <w:sz w:val="22"/>
                <w:szCs w:val="22"/>
                <w:u w:val="none"/>
                <w:lang w:val="en-US" w:eastAsia="zh-CN" w:bidi="ar"/>
              </w:rPr>
              <w:t>393.91</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b/>
                <w:i w:val="0"/>
                <w:color w:val="000000"/>
                <w:kern w:val="0"/>
                <w:sz w:val="22"/>
                <w:szCs w:val="22"/>
                <w:u w:val="none"/>
                <w:lang w:val="en-US" w:eastAsia="zh-CN" w:bidi="ar"/>
              </w:rPr>
              <w:t>213.98</w:t>
            </w:r>
          </w:p>
        </w:tc>
        <w:tc>
          <w:tcPr>
            <w:tcW w:w="316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b/>
                <w:i w:val="0"/>
                <w:color w:val="000000"/>
                <w:kern w:val="0"/>
                <w:sz w:val="22"/>
                <w:szCs w:val="22"/>
                <w:u w:val="none"/>
                <w:lang w:val="en-US" w:eastAsia="zh-CN" w:bidi="ar"/>
              </w:rPr>
              <w:t>179.93</w:t>
            </w:r>
          </w:p>
        </w:tc>
      </w:tr>
      <w:tr>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2010309</w:t>
            </w:r>
          </w:p>
        </w:tc>
        <w:tc>
          <w:tcPr>
            <w:tcW w:w="40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参事事务</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90.52</w:t>
            </w:r>
          </w:p>
        </w:tc>
        <w:tc>
          <w:tcPr>
            <w:tcW w:w="3164" w:type="dxa"/>
            <w:tcBorders>
              <w:top w:val="nil"/>
              <w:left w:val="nil"/>
              <w:bottom w:val="single" w:color="auto" w:sz="4" w:space="0"/>
              <w:right w:val="single" w:color="auto" w:sz="4" w:space="0"/>
            </w:tcBorders>
            <w:shd w:val="clear" w:color="auto" w:fill="auto"/>
            <w:vAlign w:val="center"/>
          </w:tcPr>
          <w:p>
            <w:pPr>
              <w:jc w:val="right"/>
              <w:rPr>
                <w:rFonts w:hint="eastAsia" w:ascii="仿宋" w:hAnsi="仿宋" w:eastAsia="仿宋" w:cs="仿宋"/>
                <w:kern w:val="0"/>
                <w:szCs w:val="21"/>
              </w:rPr>
            </w:pPr>
          </w:p>
        </w:tc>
        <w:tc>
          <w:tcPr>
            <w:tcW w:w="316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90.52</w:t>
            </w:r>
          </w:p>
        </w:tc>
      </w:tr>
      <w:tr>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2010350</w:t>
            </w:r>
          </w:p>
        </w:tc>
        <w:tc>
          <w:tcPr>
            <w:tcW w:w="40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事业运行</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0.46</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0.46</w:t>
            </w:r>
          </w:p>
        </w:tc>
        <w:tc>
          <w:tcPr>
            <w:tcW w:w="3164" w:type="dxa"/>
            <w:tcBorders>
              <w:top w:val="nil"/>
              <w:left w:val="nil"/>
              <w:bottom w:val="single" w:color="auto" w:sz="4" w:space="0"/>
              <w:right w:val="single" w:color="auto" w:sz="8" w:space="0"/>
            </w:tcBorders>
            <w:shd w:val="clear" w:color="auto" w:fill="auto"/>
            <w:vAlign w:val="center"/>
          </w:tcPr>
          <w:p>
            <w:pPr>
              <w:jc w:val="right"/>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2010399</w:t>
            </w:r>
          </w:p>
        </w:tc>
        <w:tc>
          <w:tcPr>
            <w:tcW w:w="40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其他政府办公厅（室）及相关机构事务支出</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79.69</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35.95</w:t>
            </w:r>
          </w:p>
        </w:tc>
        <w:tc>
          <w:tcPr>
            <w:tcW w:w="316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43.74</w:t>
            </w:r>
          </w:p>
        </w:tc>
      </w:tr>
      <w:tr>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2013501</w:t>
            </w:r>
          </w:p>
        </w:tc>
        <w:tc>
          <w:tcPr>
            <w:tcW w:w="40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行政运行</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146.60</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146.60</w:t>
            </w:r>
          </w:p>
        </w:tc>
        <w:tc>
          <w:tcPr>
            <w:tcW w:w="3164" w:type="dxa"/>
            <w:tcBorders>
              <w:top w:val="nil"/>
              <w:left w:val="nil"/>
              <w:bottom w:val="single" w:color="auto" w:sz="4" w:space="0"/>
              <w:right w:val="single" w:color="auto" w:sz="8" w:space="0"/>
            </w:tcBorders>
            <w:shd w:val="clear" w:color="auto" w:fill="auto"/>
            <w:vAlign w:val="center"/>
          </w:tcPr>
          <w:p>
            <w:pPr>
              <w:jc w:val="right"/>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2019999</w:t>
            </w:r>
          </w:p>
        </w:tc>
        <w:tc>
          <w:tcPr>
            <w:tcW w:w="40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其他一般公共服务支出</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45.67</w:t>
            </w:r>
          </w:p>
        </w:tc>
        <w:tc>
          <w:tcPr>
            <w:tcW w:w="3164" w:type="dxa"/>
            <w:tcBorders>
              <w:top w:val="nil"/>
              <w:left w:val="nil"/>
              <w:bottom w:val="single" w:color="auto" w:sz="4" w:space="0"/>
              <w:right w:val="single" w:color="auto" w:sz="4" w:space="0"/>
            </w:tcBorders>
            <w:shd w:val="clear" w:color="auto" w:fill="auto"/>
            <w:vAlign w:val="center"/>
          </w:tcPr>
          <w:p>
            <w:pPr>
              <w:jc w:val="right"/>
              <w:rPr>
                <w:rFonts w:hint="eastAsia" w:ascii="仿宋" w:hAnsi="仿宋" w:eastAsia="仿宋" w:cs="仿宋"/>
                <w:kern w:val="0"/>
                <w:szCs w:val="21"/>
              </w:rPr>
            </w:pPr>
          </w:p>
        </w:tc>
        <w:tc>
          <w:tcPr>
            <w:tcW w:w="316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45.67</w:t>
            </w:r>
          </w:p>
        </w:tc>
      </w:tr>
      <w:tr>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2080505</w:t>
            </w:r>
          </w:p>
        </w:tc>
        <w:tc>
          <w:tcPr>
            <w:tcW w:w="400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机关事业单位基本养老保险缴费支出</w:t>
            </w:r>
          </w:p>
        </w:tc>
        <w:tc>
          <w:tcPr>
            <w:tcW w:w="31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16.32</w:t>
            </w:r>
          </w:p>
        </w:tc>
        <w:tc>
          <w:tcPr>
            <w:tcW w:w="31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kern w:val="0"/>
                <w:szCs w:val="21"/>
              </w:rPr>
            </w:pPr>
            <w:r>
              <w:rPr>
                <w:rFonts w:hint="eastAsia" w:ascii="仿宋" w:hAnsi="仿宋" w:eastAsia="仿宋" w:cs="仿宋"/>
                <w:i w:val="0"/>
                <w:color w:val="000000"/>
                <w:kern w:val="0"/>
                <w:sz w:val="22"/>
                <w:szCs w:val="22"/>
                <w:u w:val="none"/>
                <w:lang w:val="en-US" w:eastAsia="zh-CN" w:bidi="ar"/>
              </w:rPr>
              <w:t>16.32</w:t>
            </w:r>
          </w:p>
        </w:tc>
        <w:tc>
          <w:tcPr>
            <w:tcW w:w="3164" w:type="dxa"/>
            <w:tcBorders>
              <w:top w:val="nil"/>
              <w:left w:val="nil"/>
              <w:bottom w:val="single" w:color="auto" w:sz="8" w:space="0"/>
              <w:right w:val="single" w:color="auto" w:sz="8" w:space="0"/>
            </w:tcBorders>
            <w:shd w:val="clear" w:color="auto" w:fill="auto"/>
            <w:vAlign w:val="center"/>
          </w:tcPr>
          <w:p>
            <w:pPr>
              <w:jc w:val="right"/>
              <w:rPr>
                <w:rFonts w:hint="eastAsia" w:ascii="仿宋" w:hAnsi="仿宋" w:eastAsia="仿宋" w:cs="仿宋"/>
                <w:kern w:val="0"/>
                <w:szCs w:val="21"/>
              </w:rPr>
            </w:pP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br w:type="page"/>
      </w:r>
    </w:p>
    <w:p>
      <w:pPr>
        <w:widowControl/>
        <w:spacing w:after="120"/>
        <w:jc w:val="center"/>
        <w:textAlignment w:val="center"/>
        <w:rPr>
          <w:rFonts w:ascii="Times New Roman" w:hAnsi="Times New Roman" w:eastAsia="黑体" w:cs="Times New Roman"/>
          <w:color w:val="000000"/>
          <w:kern w:val="0"/>
          <w:sz w:val="36"/>
          <w:szCs w:val="36"/>
        </w:rPr>
      </w:pPr>
      <w:bookmarkStart w:id="3" w:name="RANGE!A1:I34"/>
      <w:r>
        <w:rPr>
          <w:rFonts w:ascii="Times New Roman" w:hAnsi="Times New Roman" w:eastAsia="黑体" w:cs="Times New Roman"/>
          <w:color w:val="000000"/>
          <w:kern w:val="0"/>
          <w:sz w:val="36"/>
          <w:szCs w:val="36"/>
        </w:rPr>
        <w:t>一般公共预算财政拨款基本支出决算明细表</w:t>
      </w:r>
      <w:bookmarkEnd w:id="3"/>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186.48</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19.45</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307</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30101</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53.04</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30201</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30701</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30102</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0.14</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30202</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30702</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30103</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56.80</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30203</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资本性支出</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30106</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30204</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31001</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30107</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30.25</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30205</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31002</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30108</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16.32</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30206</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31003</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30109</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1.42</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30207</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31005</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30110</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13.27</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30208</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31006</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30111</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30209</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31007</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30112</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1.66</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30211</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31008</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30113</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13.58</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30212</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31009</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30114</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30213</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31010</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30199</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30214</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31011</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8.06</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30215</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31012</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30301</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30216</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31013</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30302</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30217</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0.80</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31019</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30303</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30218</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31021</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30304</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30224</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31022</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30305</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7.68</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30225</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31099</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30306</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30226</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0.08</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399</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其他支出</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30307</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30227</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1.78</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39907</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30308</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30228</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7.82</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39908</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30309</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0.38</w:t>
            </w: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30229</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39909</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经常性赠与</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30310</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30231</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0.01</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39910</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30311</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30239</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8.96</w:t>
            </w:r>
          </w:p>
        </w:tc>
        <w:tc>
          <w:tcPr>
            <w:tcW w:w="12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39999</w:t>
            </w:r>
          </w:p>
        </w:tc>
        <w:tc>
          <w:tcPr>
            <w:tcW w:w="35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30399</w:t>
            </w:r>
          </w:p>
        </w:tc>
        <w:tc>
          <w:tcPr>
            <w:tcW w:w="2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30240</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color w:val="000000"/>
                <w:kern w:val="0"/>
                <w:szCs w:val="18"/>
              </w:rPr>
            </w:pPr>
          </w:p>
        </w:tc>
        <w:tc>
          <w:tcPr>
            <w:tcW w:w="3517"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color w:val="000000"/>
                <w:kern w:val="0"/>
                <w:szCs w:val="18"/>
              </w:rPr>
            </w:pP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color w:val="000000"/>
                <w:kern w:val="0"/>
                <w:szCs w:val="20"/>
              </w:rPr>
            </w:pPr>
          </w:p>
        </w:tc>
        <w:tc>
          <w:tcPr>
            <w:tcW w:w="2850"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color w:val="000000"/>
                <w:kern w:val="0"/>
                <w:szCs w:val="20"/>
              </w:rPr>
            </w:pP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30299</w:t>
            </w:r>
          </w:p>
        </w:tc>
        <w:tc>
          <w:tcPr>
            <w:tcW w:w="20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color w:val="000000"/>
                <w:kern w:val="0"/>
                <w:szCs w:val="18"/>
              </w:rPr>
            </w:pPr>
          </w:p>
        </w:tc>
        <w:tc>
          <w:tcPr>
            <w:tcW w:w="3517"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color w:val="000000"/>
                <w:kern w:val="0"/>
                <w:szCs w:val="18"/>
              </w:rPr>
            </w:pPr>
          </w:p>
        </w:tc>
        <w:tc>
          <w:tcPr>
            <w:tcW w:w="929"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194.54</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Cs w:val="20"/>
              </w:rPr>
            </w:pPr>
            <w:r>
              <w:rPr>
                <w:rFonts w:hint="eastAsia" w:ascii="仿宋" w:hAnsi="仿宋" w:eastAsia="仿宋" w:cs="仿宋"/>
                <w:i w:val="0"/>
                <w:color w:val="000000"/>
                <w:kern w:val="0"/>
                <w:sz w:val="22"/>
                <w:szCs w:val="22"/>
                <w:u w:val="none"/>
                <w:lang w:val="en-US" w:eastAsia="zh-CN" w:bidi="ar"/>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color w:val="000000"/>
                <w:kern w:val="0"/>
                <w:szCs w:val="18"/>
              </w:rPr>
            </w:pPr>
            <w:r>
              <w:rPr>
                <w:rFonts w:hint="eastAsia" w:ascii="仿宋" w:hAnsi="仿宋" w:eastAsia="仿宋" w:cs="仿宋"/>
                <w:i w:val="0"/>
                <w:color w:val="000000"/>
                <w:kern w:val="0"/>
                <w:sz w:val="22"/>
                <w:szCs w:val="22"/>
                <w:u w:val="none"/>
                <w:lang w:val="en-US" w:eastAsia="zh-CN" w:bidi="ar"/>
              </w:rPr>
              <w:t>19.45</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7"/>
                <w:rFonts w:hint="default" w:ascii="Times New Roman" w:hAnsi="Times New Roman" w:eastAsia="仿宋_GB2312" w:cs="Times New Roman"/>
                <w:b/>
                <w:bCs/>
              </w:rPr>
              <w:t xml:space="preserve">   </w:t>
            </w:r>
            <w:r>
              <w:rPr>
                <w:rStyle w:val="18"/>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说明：我单位没有政府性基金收入，也没有使用政府性基金安排的支出，故本表无数据。（当表格数据为空时，应有此说明）</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9"/>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说明：我单位没有使用国有资本经营预算安排的支出，故本表无数据。（当表格数据为空时，应有此说明）</w:t>
      </w:r>
    </w:p>
    <w:p>
      <w:pPr>
        <w:widowControl/>
        <w:jc w:val="center"/>
        <w:rPr>
          <w:rFonts w:ascii="Times New Roman" w:hAnsi="Times New Roman" w:eastAsia="方正小标宋_GBK" w:cs="Times New Roman"/>
          <w:color w:val="000000"/>
          <w:kern w:val="0"/>
          <w:sz w:val="36"/>
          <w:szCs w:val="36"/>
        </w:rPr>
      </w:pPr>
    </w:p>
    <w:p>
      <w:pPr>
        <w:pStyle w:val="8"/>
        <w:spacing w:line="400" w:lineRule="exact"/>
        <w:rPr>
          <w:rFonts w:ascii="Times New Roman" w:hAnsi="Times New Roman" w:eastAsia="华文中宋"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39.00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15.00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24.00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38.71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14.96</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14.96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23.75</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br w:type="page"/>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393.91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93.43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31.09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项目拨款增加。</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393.91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393.91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393.91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213.98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54.32</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179.93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45.68</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393.91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93.59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31.16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项目拨款增加</w:t>
      </w:r>
      <w:r>
        <w:rPr>
          <w:rFonts w:hint="eastAsia" w:ascii="Times New Roman" w:hAnsi="Times New Roman" w:eastAsia="仿宋_GB2312" w:cs="Times New Roman"/>
          <w:sz w:val="32"/>
          <w:szCs w:val="32"/>
          <w:lang w:val="en-US"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393.91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93.59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31.16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项目拨款增加</w:t>
      </w:r>
      <w:r>
        <w:rPr>
          <w:rFonts w:hint="eastAsia" w:ascii="Times New Roman" w:hAnsi="Times New Roman" w:eastAsia="仿宋_GB2312" w:cs="Times New Roman"/>
          <w:sz w:val="32"/>
          <w:szCs w:val="32"/>
          <w:lang w:val="en-US" w:eastAsia="zh-CN"/>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ind w:firstLine="640"/>
        <w:rPr>
          <w:rFonts w:hint="default" w:ascii="宋体" w:hAnsi="宋体" w:eastAsia="仿宋" w:cs="宋体"/>
          <w:kern w:val="0"/>
          <w:sz w:val="24"/>
          <w:szCs w:val="24"/>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393.91</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362.93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92.14</w:t>
      </w:r>
      <w:r>
        <w:rPr>
          <w:rFonts w:ascii="Times New Roman" w:hAnsi="Times New Roman" w:eastAsia="仿宋_GB2312" w:cs="Times New Roman"/>
          <w:sz w:val="32"/>
          <w:szCs w:val="32"/>
        </w:rPr>
        <w:t>%；</w:t>
      </w:r>
      <w:r>
        <w:rPr>
          <w:rFonts w:hint="eastAsia" w:ascii="仿宋" w:hAnsi="仿宋" w:eastAsia="仿宋" w:cs="宋体"/>
          <w:color w:val="000000"/>
          <w:kern w:val="0"/>
          <w:sz w:val="32"/>
          <w:szCs w:val="32"/>
        </w:rPr>
        <w:t>社会保障和就业（类）支出</w:t>
      </w:r>
      <w:r>
        <w:rPr>
          <w:rFonts w:hint="eastAsia" w:ascii="仿宋" w:hAnsi="仿宋" w:eastAsia="仿宋" w:cs="宋体"/>
          <w:color w:val="000000"/>
          <w:kern w:val="0"/>
          <w:sz w:val="32"/>
          <w:szCs w:val="32"/>
          <w:lang w:val="en-US" w:eastAsia="zh-CN"/>
        </w:rPr>
        <w:t>23.90</w:t>
      </w:r>
      <w:r>
        <w:rPr>
          <w:rFonts w:hint="eastAsia" w:ascii="仿宋" w:hAnsi="仿宋" w:eastAsia="仿宋" w:cs="宋体"/>
          <w:color w:val="000000"/>
          <w:kern w:val="0"/>
          <w:sz w:val="32"/>
          <w:szCs w:val="32"/>
        </w:rPr>
        <w:t>万元，占</w:t>
      </w:r>
      <w:r>
        <w:rPr>
          <w:rFonts w:hint="eastAsia" w:ascii="仿宋" w:hAnsi="仿宋" w:eastAsia="仿宋" w:cs="宋体"/>
          <w:color w:val="000000"/>
          <w:kern w:val="0"/>
          <w:sz w:val="32"/>
          <w:szCs w:val="32"/>
          <w:lang w:val="en-US" w:eastAsia="zh-CN"/>
        </w:rPr>
        <w:t>6.07</w:t>
      </w:r>
      <w:r>
        <w:rPr>
          <w:rFonts w:hint="eastAsia" w:ascii="仿宋" w:hAnsi="仿宋" w:eastAsia="仿宋" w:cs="宋体"/>
          <w:color w:val="000000"/>
          <w:kern w:val="0"/>
          <w:sz w:val="32"/>
          <w:szCs w:val="32"/>
        </w:rPr>
        <w:t>%;卫生健康（类）支出</w:t>
      </w:r>
      <w:r>
        <w:rPr>
          <w:rFonts w:hint="eastAsia" w:ascii="仿宋" w:hAnsi="仿宋" w:eastAsia="仿宋" w:cs="宋体"/>
          <w:color w:val="000000"/>
          <w:kern w:val="0"/>
          <w:sz w:val="32"/>
          <w:szCs w:val="32"/>
          <w:lang w:val="en-US" w:eastAsia="zh-CN"/>
        </w:rPr>
        <w:t>6.94</w:t>
      </w:r>
      <w:r>
        <w:rPr>
          <w:rFonts w:hint="eastAsia" w:ascii="仿宋" w:hAnsi="仿宋" w:eastAsia="仿宋" w:cs="宋体"/>
          <w:color w:val="000000"/>
          <w:kern w:val="0"/>
          <w:sz w:val="32"/>
          <w:szCs w:val="32"/>
        </w:rPr>
        <w:t>万元，占</w:t>
      </w:r>
      <w:r>
        <w:rPr>
          <w:rFonts w:hint="eastAsia" w:ascii="仿宋" w:hAnsi="仿宋" w:eastAsia="仿宋" w:cs="宋体"/>
          <w:color w:val="000000"/>
          <w:kern w:val="0"/>
          <w:sz w:val="32"/>
          <w:szCs w:val="32"/>
          <w:lang w:val="en-US" w:eastAsia="zh-CN"/>
        </w:rPr>
        <w:t>1.76</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;住房保障（类）支出0.13万元，占0.03%。</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258.20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393.91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152.56</w:t>
      </w:r>
      <w:r>
        <w:rPr>
          <w:rFonts w:ascii="Times New Roman" w:hAnsi="Times New Roman" w:eastAsia="仿宋_GB2312" w:cs="Times New Roman"/>
          <w:sz w:val="32"/>
          <w:szCs w:val="32"/>
        </w:rPr>
        <w:t>%，其中：</w:t>
      </w:r>
    </w:p>
    <w:p>
      <w:pPr>
        <w:pStyle w:val="14"/>
        <w:numPr>
          <w:ilvl w:val="0"/>
          <w:numId w:val="1"/>
        </w:numPr>
        <w:overflowPunct w:val="0"/>
        <w:autoSpaceDE/>
        <w:autoSpaceDN/>
        <w:spacing w:line="600" w:lineRule="exact"/>
        <w:ind w:firstLine="640" w:firstLineChars="200"/>
        <w:jc w:val="both"/>
        <w:rPr>
          <w:rFonts w:hint="eastAsia" w:ascii="仿宋" w:hAnsi="仿宋" w:eastAsia="仿宋" w:cs="宋体"/>
          <w:color w:val="000000"/>
          <w:kern w:val="0"/>
          <w:sz w:val="32"/>
          <w:szCs w:val="32"/>
          <w:lang w:val="en-US" w:eastAsia="zh-CN"/>
        </w:rPr>
      </w:pPr>
      <w:r>
        <w:rPr>
          <w:rFonts w:ascii="Times New Roman" w:hAnsi="Times New Roman" w:eastAsia="仿宋_GB2312" w:cs="Times New Roman"/>
          <w:sz w:val="32"/>
          <w:szCs w:val="32"/>
        </w:rPr>
        <w:t>一般公共服务（类）</w:t>
      </w:r>
      <w:r>
        <w:rPr>
          <w:rFonts w:hint="eastAsia" w:ascii="仿宋" w:hAnsi="仿宋" w:eastAsia="仿宋" w:cs="宋体"/>
          <w:color w:val="000000"/>
          <w:kern w:val="0"/>
          <w:sz w:val="32"/>
          <w:szCs w:val="32"/>
        </w:rPr>
        <w:t>政府办公厅（室）及相关机构事务（款）参事事务</w:t>
      </w:r>
      <w:r>
        <w:rPr>
          <w:rFonts w:hint="eastAsia" w:ascii="仿宋" w:hAnsi="仿宋" w:eastAsia="仿宋" w:cs="宋体"/>
          <w:color w:val="000000"/>
          <w:kern w:val="0"/>
          <w:sz w:val="32"/>
          <w:szCs w:val="32"/>
          <w:lang w:val="en-US" w:eastAsia="zh-CN"/>
        </w:rPr>
        <w:t>(项）。</w:t>
      </w:r>
    </w:p>
    <w:p>
      <w:pPr>
        <w:pStyle w:val="14"/>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72.34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90.52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125.13</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财政结转了上年项目结余资金。</w:t>
      </w:r>
    </w:p>
    <w:p>
      <w:pPr>
        <w:pStyle w:val="14"/>
        <w:numPr>
          <w:ilvl w:val="0"/>
          <w:numId w:val="2"/>
        </w:numPr>
        <w:overflowPunct w:val="0"/>
        <w:autoSpaceDE/>
        <w:autoSpaceDN/>
        <w:spacing w:line="600" w:lineRule="exact"/>
        <w:ind w:firstLine="640" w:firstLineChars="200"/>
        <w:jc w:val="both"/>
        <w:rPr>
          <w:rFonts w:hint="eastAsia" w:ascii="仿宋" w:hAnsi="仿宋" w:eastAsia="仿宋" w:cs="宋体"/>
          <w:color w:val="000000"/>
          <w:kern w:val="0"/>
          <w:sz w:val="32"/>
          <w:szCs w:val="32"/>
        </w:rPr>
      </w:pPr>
      <w:r>
        <w:rPr>
          <w:rFonts w:ascii="Times New Roman" w:hAnsi="Times New Roman" w:eastAsia="仿宋_GB2312" w:cs="Times New Roman"/>
          <w:sz w:val="32"/>
          <w:szCs w:val="32"/>
        </w:rPr>
        <w:t>一般公共服务（类）</w:t>
      </w:r>
      <w:r>
        <w:rPr>
          <w:rFonts w:hint="eastAsia" w:ascii="仿宋" w:hAnsi="仿宋" w:eastAsia="仿宋" w:cs="宋体"/>
          <w:color w:val="000000"/>
          <w:kern w:val="0"/>
          <w:sz w:val="32"/>
          <w:szCs w:val="32"/>
        </w:rPr>
        <w:t>政府办公厅（室）及相关机构事务（款）事业运行（项）。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0.46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预算精准。</w:t>
      </w:r>
    </w:p>
    <w:p>
      <w:pPr>
        <w:ind w:firstLine="640"/>
        <w:rPr>
          <w:rFonts w:ascii="宋体" w:hAnsi="宋体" w:eastAsia="宋体" w:cs="宋体"/>
          <w:kern w:val="0"/>
          <w:sz w:val="24"/>
          <w:szCs w:val="24"/>
        </w:rPr>
      </w:pPr>
      <w:r>
        <w:rPr>
          <w:rFonts w:hint="eastAsia" w:ascii="Times New Roman" w:hAnsi="Times New Roman" w:eastAsia="仿宋_GB2312" w:cs="Times New Roman"/>
          <w:sz w:val="32"/>
          <w:szCs w:val="32"/>
          <w:lang w:val="en-US" w:eastAsia="zh-CN"/>
        </w:rPr>
        <w:t>3、</w:t>
      </w:r>
      <w:r>
        <w:rPr>
          <w:rFonts w:hint="eastAsia" w:ascii="仿宋" w:hAnsi="仿宋" w:eastAsia="仿宋" w:cs="宋体"/>
          <w:color w:val="000000"/>
          <w:kern w:val="0"/>
          <w:sz w:val="32"/>
          <w:szCs w:val="32"/>
        </w:rPr>
        <w:t>一般公共服务支出（类）政府办公厅（室）及相关机构事务（款）其他政府办公厅（室）及相关机构事务支出（项）。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79.69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796.90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财政追加拨款，年中调整预算。</w:t>
      </w:r>
    </w:p>
    <w:p>
      <w:pPr>
        <w:ind w:firstLine="640"/>
        <w:rPr>
          <w:rFonts w:ascii="宋体" w:hAnsi="宋体" w:eastAsia="宋体" w:cs="宋体"/>
          <w:kern w:val="0"/>
          <w:sz w:val="24"/>
          <w:szCs w:val="24"/>
        </w:rPr>
      </w:pPr>
      <w:r>
        <w:rPr>
          <w:rFonts w:hint="eastAsia" w:ascii="Times New Roman" w:hAnsi="Times New Roman" w:eastAsia="仿宋_GB2312" w:cs="Times New Roman"/>
          <w:sz w:val="32"/>
          <w:szCs w:val="32"/>
          <w:lang w:val="en-US" w:eastAsia="zh-CN"/>
        </w:rPr>
        <w:t>4、</w:t>
      </w:r>
      <w:r>
        <w:rPr>
          <w:rFonts w:hint="eastAsia" w:ascii="仿宋" w:hAnsi="仿宋" w:eastAsia="仿宋" w:cs="宋体"/>
          <w:color w:val="000000"/>
          <w:kern w:val="0"/>
          <w:sz w:val="32"/>
          <w:szCs w:val="32"/>
        </w:rPr>
        <w:t>一般公共服务支出（类）对外联络事务（款）行政运行（项）。</w:t>
      </w:r>
    </w:p>
    <w:p>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仿宋" w:hAnsi="仿宋" w:eastAsia="仿宋" w:cs="宋体"/>
          <w:color w:val="000000"/>
          <w:kern w:val="0"/>
          <w:sz w:val="32"/>
          <w:szCs w:val="32"/>
        </w:rPr>
        <w:t>年初预算为</w:t>
      </w:r>
      <w:r>
        <w:rPr>
          <w:rFonts w:hint="eastAsia" w:ascii="仿宋" w:hAnsi="仿宋" w:eastAsia="仿宋" w:cs="宋体"/>
          <w:color w:val="000000"/>
          <w:kern w:val="0"/>
          <w:sz w:val="32"/>
          <w:szCs w:val="32"/>
          <w:lang w:val="en-US" w:eastAsia="zh-CN"/>
        </w:rPr>
        <w:t>144.62</w:t>
      </w:r>
      <w:r>
        <w:rPr>
          <w:rFonts w:hint="eastAsia" w:ascii="仿宋" w:hAnsi="仿宋" w:eastAsia="仿宋" w:cs="宋体"/>
          <w:color w:val="000000"/>
          <w:kern w:val="0"/>
          <w:sz w:val="32"/>
          <w:szCs w:val="32"/>
        </w:rPr>
        <w:t>万元，支出决算为</w:t>
      </w:r>
      <w:r>
        <w:rPr>
          <w:rFonts w:hint="eastAsia" w:ascii="仿宋" w:hAnsi="仿宋" w:eastAsia="仿宋" w:cs="宋体"/>
          <w:color w:val="000000"/>
          <w:kern w:val="0"/>
          <w:sz w:val="32"/>
          <w:szCs w:val="32"/>
          <w:lang w:val="en-US" w:eastAsia="zh-CN"/>
        </w:rPr>
        <w:t>146.60</w:t>
      </w:r>
      <w:r>
        <w:rPr>
          <w:rFonts w:hint="eastAsia" w:ascii="仿宋" w:hAnsi="仿宋" w:eastAsia="仿宋" w:cs="宋体"/>
          <w:color w:val="000000"/>
          <w:kern w:val="0"/>
          <w:sz w:val="32"/>
          <w:szCs w:val="32"/>
        </w:rPr>
        <w:t>万元，</w:t>
      </w:r>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101.37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w:t>
      </w:r>
      <w:r>
        <w:rPr>
          <w:rFonts w:hint="eastAsia" w:ascii="Times New Roman" w:hAnsi="Times New Roman" w:eastAsia="仿宋_GB2312" w:cs="Times New Roman"/>
          <w:sz w:val="32"/>
          <w:szCs w:val="32"/>
          <w:lang w:eastAsia="zh-CN"/>
        </w:rPr>
        <w:t>是</w:t>
      </w:r>
      <w:r>
        <w:rPr>
          <w:rFonts w:hint="eastAsia" w:ascii="Times New Roman" w:hAnsi="Times New Roman" w:eastAsia="仿宋_GB2312" w:cs="Times New Roman"/>
          <w:sz w:val="32"/>
          <w:szCs w:val="32"/>
          <w:lang w:val="en-US" w:eastAsia="zh-CN"/>
        </w:rPr>
        <w:t>2人晋级，调整了工资。</w:t>
      </w:r>
    </w:p>
    <w:p>
      <w:pPr>
        <w:pStyle w:val="14"/>
        <w:overflowPunct w:val="0"/>
        <w:autoSpaceDE/>
        <w:autoSpaceDN/>
        <w:spacing w:line="600" w:lineRule="exact"/>
        <w:ind w:firstLine="640" w:firstLineChars="200"/>
        <w:jc w:val="both"/>
        <w:rPr>
          <w:rFonts w:hint="eastAsia" w:ascii="Times New Roman" w:hAnsi="Times New Roman" w:eastAsia="仿宋"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仿宋" w:hAnsi="仿宋" w:eastAsia="仿宋" w:cs="宋体"/>
          <w:color w:val="000000"/>
          <w:kern w:val="0"/>
          <w:sz w:val="32"/>
          <w:szCs w:val="32"/>
        </w:rPr>
        <w:t>一般公共服务支出（类）</w:t>
      </w:r>
      <w:r>
        <w:rPr>
          <w:rFonts w:hint="eastAsia" w:ascii="仿宋" w:hAnsi="仿宋" w:eastAsia="仿宋" w:cs="宋体"/>
          <w:color w:val="000000"/>
          <w:kern w:val="0"/>
          <w:sz w:val="32"/>
          <w:szCs w:val="32"/>
          <w:lang w:eastAsia="zh-CN"/>
        </w:rPr>
        <w:t>其他一般公共服务支出（款）其他一般公共服务支出（项）</w:t>
      </w:r>
    </w:p>
    <w:p>
      <w:pPr>
        <w:pStyle w:val="14"/>
        <w:overflowPunct w:val="0"/>
        <w:autoSpaceDE/>
        <w:autoSpaceDN/>
        <w:spacing w:line="600" w:lineRule="exact"/>
        <w:ind w:firstLine="640" w:firstLineChars="200"/>
        <w:jc w:val="both"/>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年初预算为</w:t>
      </w:r>
      <w:r>
        <w:rPr>
          <w:rFonts w:hint="eastAsia" w:ascii="仿宋" w:hAnsi="仿宋" w:eastAsia="仿宋" w:cs="宋体"/>
          <w:color w:val="auto"/>
          <w:kern w:val="0"/>
          <w:sz w:val="32"/>
          <w:szCs w:val="32"/>
          <w:lang w:val="en-US" w:eastAsia="zh-CN"/>
        </w:rPr>
        <w:t>0</w:t>
      </w:r>
      <w:r>
        <w:rPr>
          <w:rFonts w:hint="eastAsia" w:ascii="仿宋" w:hAnsi="仿宋" w:eastAsia="仿宋" w:cs="宋体"/>
          <w:color w:val="auto"/>
          <w:kern w:val="0"/>
          <w:sz w:val="32"/>
          <w:szCs w:val="32"/>
        </w:rPr>
        <w:t>万元，支出决算为</w:t>
      </w:r>
      <w:r>
        <w:rPr>
          <w:rFonts w:hint="eastAsia" w:ascii="仿宋" w:hAnsi="仿宋" w:eastAsia="仿宋" w:cs="宋体"/>
          <w:color w:val="auto"/>
          <w:kern w:val="0"/>
          <w:sz w:val="32"/>
          <w:szCs w:val="32"/>
          <w:lang w:val="en-US" w:eastAsia="zh-CN"/>
        </w:rPr>
        <w:t>45.67</w:t>
      </w:r>
      <w:r>
        <w:rPr>
          <w:rFonts w:hint="eastAsia" w:ascii="仿宋" w:hAnsi="仿宋" w:eastAsia="仿宋" w:cs="宋体"/>
          <w:color w:val="auto"/>
          <w:kern w:val="0"/>
          <w:sz w:val="32"/>
          <w:szCs w:val="32"/>
        </w:rPr>
        <w:t>万元，</w:t>
      </w:r>
      <w:r>
        <w:rPr>
          <w:rFonts w:hint="eastAsia" w:ascii="仿宋" w:hAnsi="仿宋" w:eastAsia="仿宋" w:cs="宋体"/>
          <w:color w:val="000000"/>
          <w:kern w:val="0"/>
          <w:sz w:val="32"/>
          <w:szCs w:val="32"/>
        </w:rPr>
        <w:t>年初预算为0万元，无法计算年初预算完成比率</w:t>
      </w:r>
      <w:r>
        <w:rPr>
          <w:rFonts w:hint="eastAsia" w:ascii="仿宋" w:hAnsi="仿宋" w:eastAsia="仿宋" w:cs="宋体"/>
          <w:color w:val="000000"/>
          <w:kern w:val="0"/>
          <w:sz w:val="32"/>
          <w:szCs w:val="32"/>
          <w:lang w:eastAsia="zh-CN"/>
        </w:rPr>
        <w:t>，</w:t>
      </w:r>
      <w:r>
        <w:rPr>
          <w:rFonts w:hint="eastAsia" w:ascii="仿宋" w:hAnsi="仿宋" w:eastAsia="仿宋" w:cs="宋体"/>
          <w:color w:val="auto"/>
          <w:kern w:val="0"/>
          <w:sz w:val="32"/>
          <w:szCs w:val="32"/>
        </w:rPr>
        <w:t>决算数</w:t>
      </w:r>
      <w:r>
        <w:rPr>
          <w:rFonts w:hint="eastAsia" w:ascii="仿宋" w:hAnsi="仿宋" w:eastAsia="仿宋" w:cs="宋体"/>
          <w:color w:val="auto"/>
          <w:kern w:val="0"/>
          <w:sz w:val="32"/>
          <w:szCs w:val="32"/>
          <w:lang w:eastAsia="zh-CN"/>
        </w:rPr>
        <w:t>大于</w:t>
      </w:r>
      <w:r>
        <w:rPr>
          <w:rFonts w:hint="eastAsia" w:ascii="仿宋" w:hAnsi="仿宋" w:eastAsia="仿宋" w:cs="宋体"/>
          <w:color w:val="auto"/>
          <w:kern w:val="0"/>
          <w:sz w:val="32"/>
          <w:szCs w:val="32"/>
        </w:rPr>
        <w:t>年初预算数的主要原因</w:t>
      </w:r>
      <w:r>
        <w:rPr>
          <w:rFonts w:hint="eastAsia" w:ascii="仿宋" w:hAnsi="仿宋" w:eastAsia="仿宋" w:cs="宋体"/>
          <w:color w:val="auto"/>
          <w:kern w:val="0"/>
          <w:sz w:val="32"/>
          <w:szCs w:val="32"/>
          <w:lang w:eastAsia="zh-CN"/>
        </w:rPr>
        <w:t>是</w:t>
      </w:r>
      <w:r>
        <w:rPr>
          <w:rFonts w:hint="eastAsia" w:ascii="仿宋" w:hAnsi="仿宋" w:eastAsia="仿宋" w:cs="宋体"/>
          <w:color w:val="auto"/>
          <w:kern w:val="0"/>
          <w:sz w:val="32"/>
          <w:szCs w:val="32"/>
          <w:lang w:val="en-US" w:eastAsia="zh-CN"/>
        </w:rPr>
        <w:t>年中财政追加拨款，年中调整预算。</w:t>
      </w:r>
    </w:p>
    <w:p>
      <w:pPr>
        <w:pStyle w:val="14"/>
        <w:numPr>
          <w:ilvl w:val="0"/>
          <w:numId w:val="3"/>
        </w:numPr>
        <w:overflowPunct w:val="0"/>
        <w:autoSpaceDE/>
        <w:autoSpaceDN/>
        <w:spacing w:line="600" w:lineRule="exact"/>
        <w:ind w:firstLine="640" w:firstLineChars="200"/>
        <w:jc w:val="both"/>
        <w:rPr>
          <w:rFonts w:hint="eastAsia" w:ascii="仿宋" w:hAnsi="仿宋" w:eastAsia="仿宋" w:cs="宋体"/>
          <w:color w:val="000000"/>
          <w:kern w:val="0"/>
          <w:sz w:val="32"/>
          <w:szCs w:val="32"/>
        </w:rPr>
      </w:pPr>
      <w:bookmarkStart w:id="4" w:name="_Hlk177300683"/>
      <w:r>
        <w:rPr>
          <w:rFonts w:hint="eastAsia" w:ascii="仿宋" w:hAnsi="仿宋" w:eastAsia="仿宋" w:cs="宋体"/>
          <w:color w:val="000000"/>
          <w:kern w:val="0"/>
          <w:sz w:val="32"/>
          <w:szCs w:val="32"/>
        </w:rPr>
        <w:t>社会保障和就业支出（类）行政事业单位养老支出（款</w:t>
      </w:r>
      <w:bookmarkEnd w:id="4"/>
      <w:bookmarkStart w:id="5" w:name="_Hlk177300621"/>
      <w:r>
        <w:rPr>
          <w:rFonts w:hint="eastAsia" w:ascii="仿宋" w:hAnsi="仿宋" w:eastAsia="仿宋" w:cs="宋体"/>
          <w:color w:val="000000"/>
          <w:kern w:val="0"/>
          <w:sz w:val="32"/>
          <w:szCs w:val="32"/>
        </w:rPr>
        <w:t>）</w:t>
      </w:r>
      <w:bookmarkEnd w:id="5"/>
      <w:r>
        <w:rPr>
          <w:rFonts w:hint="eastAsia" w:ascii="仿宋" w:hAnsi="仿宋" w:eastAsia="仿宋" w:cs="宋体"/>
          <w:color w:val="000000"/>
          <w:kern w:val="0"/>
          <w:sz w:val="32"/>
          <w:szCs w:val="32"/>
        </w:rPr>
        <w:t>机关事业单位基本养老保险缴费支出（项）。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年初预算为</w:t>
      </w:r>
      <w:r>
        <w:rPr>
          <w:rFonts w:hint="eastAsia" w:ascii="仿宋" w:hAnsi="仿宋" w:eastAsia="仿宋" w:cs="宋体"/>
          <w:color w:val="000000"/>
          <w:kern w:val="0"/>
          <w:sz w:val="32"/>
          <w:szCs w:val="32"/>
          <w:lang w:val="en-US" w:eastAsia="zh-CN"/>
        </w:rPr>
        <w:t>16.32</w:t>
      </w:r>
      <w:r>
        <w:rPr>
          <w:rFonts w:hint="eastAsia" w:ascii="仿宋" w:hAnsi="仿宋" w:eastAsia="仿宋" w:cs="宋体"/>
          <w:color w:val="000000"/>
          <w:kern w:val="0"/>
          <w:sz w:val="32"/>
          <w:szCs w:val="32"/>
        </w:rPr>
        <w:t>万元，支出决算为</w:t>
      </w:r>
      <w:r>
        <w:rPr>
          <w:rFonts w:hint="eastAsia" w:ascii="仿宋" w:hAnsi="仿宋" w:eastAsia="仿宋" w:cs="宋体"/>
          <w:color w:val="000000"/>
          <w:kern w:val="0"/>
          <w:sz w:val="32"/>
          <w:szCs w:val="32"/>
          <w:lang w:val="en-US" w:eastAsia="zh-CN"/>
        </w:rPr>
        <w:t>16.32</w:t>
      </w:r>
      <w:r>
        <w:rPr>
          <w:rFonts w:hint="eastAsia" w:ascii="仿宋" w:hAnsi="仿宋" w:eastAsia="仿宋" w:cs="宋体"/>
          <w:color w:val="000000"/>
          <w:kern w:val="0"/>
          <w:sz w:val="32"/>
          <w:szCs w:val="32"/>
        </w:rPr>
        <w:t>万元，</w:t>
      </w:r>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年初预算数的原因</w:t>
      </w:r>
      <w:r>
        <w:rPr>
          <w:rFonts w:hint="eastAsia" w:ascii="Times New Roman" w:hAnsi="Times New Roman" w:eastAsia="仿宋_GB2312" w:cs="Times New Roman"/>
          <w:sz w:val="32"/>
          <w:szCs w:val="32"/>
          <w:lang w:eastAsia="zh-CN"/>
        </w:rPr>
        <w:t>是</w:t>
      </w:r>
      <w:r>
        <w:rPr>
          <w:rFonts w:hint="eastAsia" w:ascii="Times New Roman" w:hAnsi="Times New Roman" w:eastAsia="仿宋_GB2312" w:cs="Times New Roman"/>
          <w:sz w:val="32"/>
          <w:szCs w:val="32"/>
          <w:lang w:val="en-US" w:eastAsia="zh-CN"/>
        </w:rPr>
        <w:t>预算精准。</w:t>
      </w:r>
    </w:p>
    <w:p>
      <w:pPr>
        <w:pStyle w:val="14"/>
        <w:numPr>
          <w:ilvl w:val="0"/>
          <w:numId w:val="3"/>
        </w:numPr>
        <w:overflowPunct w:val="0"/>
        <w:autoSpaceDE/>
        <w:autoSpaceDN/>
        <w:spacing w:line="600" w:lineRule="exact"/>
        <w:ind w:left="0" w:leftChars="0" w:firstLine="640" w:firstLineChars="200"/>
        <w:jc w:val="both"/>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社会保障和就业支出（类）行政事业单位养老支出（款）其他行政事业单位养老支出（项）。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年初预算为</w:t>
      </w:r>
      <w:r>
        <w:rPr>
          <w:rFonts w:hint="eastAsia" w:ascii="仿宋" w:hAnsi="仿宋" w:eastAsia="仿宋" w:cs="宋体"/>
          <w:color w:val="000000"/>
          <w:kern w:val="0"/>
          <w:sz w:val="32"/>
          <w:szCs w:val="32"/>
          <w:lang w:val="en-US" w:eastAsia="zh-CN"/>
        </w:rPr>
        <w:t>7.50</w:t>
      </w:r>
      <w:r>
        <w:rPr>
          <w:rFonts w:hint="eastAsia" w:ascii="仿宋" w:hAnsi="仿宋" w:eastAsia="仿宋" w:cs="宋体"/>
          <w:color w:val="000000"/>
          <w:kern w:val="0"/>
          <w:sz w:val="32"/>
          <w:szCs w:val="32"/>
        </w:rPr>
        <w:t>万元，支出决算为</w:t>
      </w:r>
      <w:r>
        <w:rPr>
          <w:rFonts w:hint="eastAsia" w:ascii="仿宋" w:hAnsi="仿宋" w:eastAsia="仿宋" w:cs="宋体"/>
          <w:color w:val="000000"/>
          <w:kern w:val="0"/>
          <w:sz w:val="32"/>
          <w:szCs w:val="32"/>
          <w:lang w:val="en-US" w:eastAsia="zh-CN"/>
        </w:rPr>
        <w:t>7.58</w:t>
      </w:r>
      <w:r>
        <w:rPr>
          <w:rFonts w:hint="eastAsia" w:ascii="仿宋" w:hAnsi="仿宋" w:eastAsia="仿宋" w:cs="宋体"/>
          <w:color w:val="000000"/>
          <w:kern w:val="0"/>
          <w:sz w:val="32"/>
          <w:szCs w:val="32"/>
        </w:rPr>
        <w:t>万元，</w:t>
      </w:r>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101.07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年初预算数的原因</w:t>
      </w:r>
      <w:r>
        <w:rPr>
          <w:rFonts w:hint="eastAsia" w:ascii="Times New Roman" w:hAnsi="Times New Roman" w:eastAsia="仿宋_GB2312" w:cs="Times New Roman"/>
          <w:sz w:val="32"/>
          <w:szCs w:val="32"/>
          <w:lang w:eastAsia="zh-CN"/>
        </w:rPr>
        <w:t>是年中有人员退休</w:t>
      </w:r>
      <w:r>
        <w:rPr>
          <w:rFonts w:hint="eastAsia" w:ascii="Times New Roman" w:hAnsi="Times New Roman" w:eastAsia="仿宋_GB2312" w:cs="Times New Roman"/>
          <w:sz w:val="32"/>
          <w:szCs w:val="32"/>
          <w:lang w:val="en-US" w:eastAsia="zh-CN"/>
        </w:rPr>
        <w:t>。</w:t>
      </w:r>
    </w:p>
    <w:p>
      <w:pPr>
        <w:widowControl/>
        <w:ind w:firstLine="640"/>
        <w:rPr>
          <w:rFonts w:ascii="宋体" w:hAnsi="宋体" w:eastAsia="宋体" w:cs="宋体"/>
          <w:kern w:val="0"/>
          <w:sz w:val="24"/>
          <w:szCs w:val="24"/>
        </w:rPr>
      </w:pPr>
      <w:r>
        <w:rPr>
          <w:rFonts w:hint="eastAsia" w:ascii="Times New Roman" w:hAnsi="Times New Roman" w:eastAsia="仿宋_GB2312" w:cs="Times New Roman"/>
          <w:sz w:val="32"/>
          <w:szCs w:val="32"/>
          <w:lang w:val="en-US" w:eastAsia="zh-CN"/>
        </w:rPr>
        <w:t>8、</w:t>
      </w:r>
      <w:r>
        <w:rPr>
          <w:rFonts w:hint="eastAsia" w:ascii="仿宋" w:hAnsi="仿宋" w:eastAsia="仿宋" w:cs="宋体"/>
          <w:color w:val="000000"/>
          <w:kern w:val="0"/>
          <w:sz w:val="32"/>
          <w:szCs w:val="32"/>
        </w:rPr>
        <w:t>卫生健康支出（类）行政事业单位医疗（款）行政单位医疗（项）</w:t>
      </w:r>
    </w:p>
    <w:p>
      <w:pPr>
        <w:ind w:firstLine="64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年初预算为</w:t>
      </w:r>
      <w:r>
        <w:rPr>
          <w:rFonts w:hint="eastAsia" w:ascii="Times New Roman" w:hAnsi="Times New Roman" w:eastAsia="宋体" w:cs="Times New Roman"/>
          <w:color w:val="000000"/>
          <w:kern w:val="0"/>
          <w:sz w:val="32"/>
          <w:szCs w:val="32"/>
          <w:lang w:val="en-US" w:eastAsia="zh-CN"/>
        </w:rPr>
        <w:t>6.94</w:t>
      </w:r>
      <w:r>
        <w:rPr>
          <w:rFonts w:hint="eastAsia" w:ascii="仿宋" w:hAnsi="仿宋" w:eastAsia="仿宋" w:cs="宋体"/>
          <w:color w:val="000000"/>
          <w:kern w:val="0"/>
          <w:sz w:val="32"/>
          <w:szCs w:val="32"/>
        </w:rPr>
        <w:t>万元，支出决算为</w:t>
      </w:r>
      <w:r>
        <w:rPr>
          <w:rFonts w:hint="eastAsia" w:ascii="Times New Roman" w:hAnsi="Times New Roman" w:eastAsia="宋体" w:cs="Times New Roman"/>
          <w:color w:val="000000"/>
          <w:kern w:val="0"/>
          <w:sz w:val="32"/>
          <w:szCs w:val="32"/>
          <w:lang w:val="en-US" w:eastAsia="zh-CN"/>
        </w:rPr>
        <w:t>6.94</w:t>
      </w:r>
      <w:r>
        <w:rPr>
          <w:rFonts w:hint="eastAsia" w:ascii="仿宋" w:hAnsi="仿宋" w:eastAsia="仿宋" w:cs="宋体"/>
          <w:color w:val="000000"/>
          <w:kern w:val="0"/>
          <w:sz w:val="32"/>
          <w:szCs w:val="32"/>
        </w:rPr>
        <w:t>万元，完成年初预算10</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%，决算数</w:t>
      </w:r>
      <w:r>
        <w:rPr>
          <w:rFonts w:hint="eastAsia" w:ascii="仿宋" w:hAnsi="仿宋" w:eastAsia="仿宋" w:cs="宋体"/>
          <w:color w:val="000000"/>
          <w:kern w:val="0"/>
          <w:sz w:val="32"/>
          <w:szCs w:val="32"/>
          <w:lang w:eastAsia="zh-CN"/>
        </w:rPr>
        <w:t>等</w:t>
      </w:r>
      <w:r>
        <w:rPr>
          <w:rFonts w:hint="eastAsia" w:ascii="仿宋" w:hAnsi="仿宋" w:eastAsia="仿宋" w:cs="宋体"/>
          <w:color w:val="000000"/>
          <w:kern w:val="0"/>
          <w:sz w:val="32"/>
          <w:szCs w:val="32"/>
        </w:rPr>
        <w:t>于年初预算数的主要原因</w:t>
      </w:r>
      <w:r>
        <w:rPr>
          <w:rFonts w:hint="eastAsia" w:ascii="仿宋" w:hAnsi="仿宋" w:eastAsia="仿宋" w:cs="宋体"/>
          <w:color w:val="000000"/>
          <w:kern w:val="0"/>
          <w:sz w:val="32"/>
          <w:szCs w:val="32"/>
          <w:lang w:eastAsia="zh-CN"/>
        </w:rPr>
        <w:t>预算精准。</w:t>
      </w:r>
    </w:p>
    <w:p>
      <w:pPr>
        <w:pStyle w:val="8"/>
        <w:ind w:firstLine="640"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9、住房保障支出（类）住房改革支出（款）住房公积金（项）</w:t>
      </w:r>
    </w:p>
    <w:p>
      <w:pPr>
        <w:ind w:firstLine="640"/>
        <w:rPr>
          <w:rFonts w:hint="default" w:ascii="宋体" w:hAnsi="宋体" w:eastAsia="仿宋" w:cs="宋体"/>
          <w:kern w:val="0"/>
          <w:sz w:val="24"/>
          <w:szCs w:val="24"/>
          <w:lang w:val="en-US" w:eastAsia="zh-CN"/>
        </w:rPr>
      </w:pPr>
      <w:r>
        <w:rPr>
          <w:rFonts w:hint="eastAsia" w:ascii="仿宋" w:hAnsi="仿宋" w:eastAsia="仿宋" w:cs="宋体"/>
          <w:color w:val="000000"/>
          <w:kern w:val="0"/>
          <w:sz w:val="32"/>
          <w:szCs w:val="32"/>
        </w:rPr>
        <w:t>年初预算为</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万元，支出决算为</w:t>
      </w:r>
      <w:r>
        <w:rPr>
          <w:rFonts w:hint="eastAsia" w:ascii="Times New Roman" w:hAnsi="Times New Roman" w:eastAsia="宋体" w:cs="Times New Roman"/>
          <w:color w:val="000000"/>
          <w:kern w:val="0"/>
          <w:sz w:val="32"/>
          <w:szCs w:val="32"/>
          <w:lang w:val="en-US" w:eastAsia="zh-CN"/>
        </w:rPr>
        <w:t>13.57</w:t>
      </w:r>
      <w:r>
        <w:rPr>
          <w:rFonts w:hint="eastAsia" w:ascii="仿宋" w:hAnsi="仿宋" w:eastAsia="仿宋" w:cs="宋体"/>
          <w:color w:val="000000"/>
          <w:kern w:val="0"/>
          <w:sz w:val="32"/>
          <w:szCs w:val="32"/>
        </w:rPr>
        <w:t>万元，</w:t>
      </w:r>
      <w:r>
        <w:rPr>
          <w:rFonts w:hint="eastAsia" w:ascii="仿宋" w:hAnsi="仿宋" w:eastAsia="仿宋" w:cs="宋体"/>
          <w:color w:val="000000"/>
          <w:kern w:val="0"/>
          <w:sz w:val="32"/>
          <w:szCs w:val="32"/>
          <w:lang w:eastAsia="zh-CN"/>
        </w:rPr>
        <w:t>在</w:t>
      </w:r>
      <w:r>
        <w:rPr>
          <w:rFonts w:hint="eastAsia" w:ascii="仿宋" w:hAnsi="仿宋" w:eastAsia="仿宋" w:cs="宋体"/>
          <w:color w:val="000000"/>
          <w:kern w:val="0"/>
          <w:sz w:val="32"/>
          <w:szCs w:val="32"/>
        </w:rPr>
        <w:t>一般公共服务支出（类）对外联络事务（款）行政运行（项）</w:t>
      </w:r>
      <w:r>
        <w:rPr>
          <w:rFonts w:hint="eastAsia" w:ascii="仿宋" w:hAnsi="仿宋" w:eastAsia="仿宋" w:cs="宋体"/>
          <w:color w:val="000000"/>
          <w:kern w:val="0"/>
          <w:sz w:val="32"/>
          <w:szCs w:val="32"/>
          <w:lang w:eastAsia="zh-CN"/>
        </w:rPr>
        <w:t>中住房公积金预算为</w:t>
      </w:r>
      <w:r>
        <w:rPr>
          <w:rFonts w:hint="eastAsia" w:ascii="仿宋" w:hAnsi="仿宋" w:eastAsia="仿宋" w:cs="宋体"/>
          <w:color w:val="000000"/>
          <w:kern w:val="0"/>
          <w:sz w:val="32"/>
          <w:szCs w:val="32"/>
          <w:lang w:val="en-US" w:eastAsia="zh-CN"/>
        </w:rPr>
        <w:t>13.44万元，而实际支出13.57万元，</w:t>
      </w:r>
      <w:r>
        <w:rPr>
          <w:rFonts w:hint="eastAsia" w:ascii="仿宋" w:hAnsi="仿宋" w:eastAsia="仿宋" w:cs="宋体"/>
          <w:color w:val="000000"/>
          <w:kern w:val="0"/>
          <w:sz w:val="32"/>
          <w:szCs w:val="32"/>
        </w:rPr>
        <w:t>完成年初预算10</w:t>
      </w:r>
      <w:r>
        <w:rPr>
          <w:rFonts w:hint="eastAsia" w:ascii="仿宋" w:hAnsi="仿宋" w:eastAsia="仿宋" w:cs="宋体"/>
          <w:color w:val="000000"/>
          <w:kern w:val="0"/>
          <w:sz w:val="32"/>
          <w:szCs w:val="32"/>
          <w:lang w:val="en-US" w:eastAsia="zh-CN"/>
        </w:rPr>
        <w:t>0.97</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财政年中追加公积金预算0.14万元。</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213.98</w:t>
      </w:r>
      <w:r>
        <w:rPr>
          <w:rFonts w:ascii="Times New Roman" w:hAnsi="Times New Roman" w:eastAsia="仿宋_GB2312" w:cs="Times New Roman"/>
          <w:sz w:val="32"/>
          <w:szCs w:val="32"/>
        </w:rPr>
        <w:t>万元，其中：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194.54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90.92</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lang w:eastAsia="zh-CN"/>
        </w:rPr>
        <w:t>绩效工资、机关事业单位基本养老保险缴费、职工基本医疗保险缴费、其他社会保险缴费、生活补助等</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19.45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9.08</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lang w:eastAsia="zh-CN"/>
        </w:rPr>
        <w:t>公务接待费、劳务费、委托业务费、工会经费、公务用车运行维护费、其他交通费等。</w:t>
      </w:r>
    </w:p>
    <w:p>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ind w:firstLine="8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38.71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99.26</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ascii="Times New Roman" w:hAnsi="Times New Roman" w:eastAsia="仿宋_GB2312" w:cs="Times New Roman"/>
          <w:sz w:val="32"/>
          <w:szCs w:val="32"/>
        </w:rPr>
        <w:t>预算数的主要原因是</w:t>
      </w:r>
      <w:r>
        <w:rPr>
          <w:rFonts w:hint="eastAsia" w:ascii="仿宋" w:hAnsi="仿宋" w:eastAsia="仿宋" w:cs="宋体"/>
          <w:color w:val="000000"/>
          <w:kern w:val="0"/>
          <w:sz w:val="32"/>
          <w:szCs w:val="32"/>
        </w:rPr>
        <w:t>严格控制“三公”经费支出不超预算</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4.21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12.20</w:t>
      </w:r>
      <w:r>
        <w:rPr>
          <w:rFonts w:ascii="Times New Roman" w:hAnsi="Times New Roman" w:eastAsia="仿宋_GB2312" w:cs="Times New Roman"/>
          <w:sz w:val="32"/>
          <w:szCs w:val="32"/>
        </w:rPr>
        <w:t>%。决算数大于上年数的主要原因是</w:t>
      </w:r>
      <w:r>
        <w:rPr>
          <w:rFonts w:hint="eastAsia" w:ascii="仿宋" w:hAnsi="仿宋" w:eastAsia="仿宋" w:cs="宋体"/>
          <w:color w:val="000000"/>
          <w:kern w:val="0"/>
          <w:sz w:val="32"/>
          <w:szCs w:val="32"/>
        </w:rPr>
        <w:t>加大招商引资力度，</w:t>
      </w:r>
      <w:r>
        <w:rPr>
          <w:rFonts w:hint="eastAsia" w:ascii="Times New Roman" w:hAnsi="Times New Roman" w:eastAsia="仿宋_GB2312" w:cs="Times New Roman"/>
          <w:sz w:val="32"/>
          <w:szCs w:val="32"/>
        </w:rPr>
        <w:t>招商引资接待费增加</w:t>
      </w:r>
      <w:r>
        <w:rPr>
          <w:rFonts w:hint="eastAsia" w:ascii="Times New Roman" w:hAnsi="Times New Roman" w:eastAsia="仿宋_GB2312" w:cs="Times New Roman"/>
          <w:sz w:val="32"/>
          <w:szCs w:val="32"/>
          <w:lang w:eastAsia="zh-CN"/>
        </w:rPr>
        <w:t>，车辆运行维护费增加。</w:t>
      </w:r>
    </w:p>
    <w:p>
      <w:pPr>
        <w:pStyle w:val="8"/>
        <w:rPr>
          <w:rFonts w:ascii="Times New Roman" w:hAnsi="Times New Roman" w:eastAsia="仿宋_GB2312" w:cs="Times New Roman"/>
          <w:sz w:val="32"/>
          <w:szCs w:val="32"/>
          <w:highlight w:val="yellow"/>
        </w:rPr>
      </w:pPr>
      <w:r>
        <w:rPr>
          <w:rFonts w:hint="eastAsia" w:ascii="仿宋" w:hAnsi="仿宋" w:eastAsia="仿宋" w:cs="宋体"/>
          <w:color w:val="000000"/>
          <w:kern w:val="0"/>
          <w:sz w:val="32"/>
          <w:szCs w:val="32"/>
          <w:lang w:val="en-US" w:eastAsia="zh-CN"/>
        </w:rPr>
        <w:t xml:space="preserve">    </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14.96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99.73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2.26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17.80</w:t>
      </w:r>
      <w:r>
        <w:rPr>
          <w:rFonts w:ascii="Times New Roman" w:hAnsi="Times New Roman" w:eastAsia="仿宋_GB2312" w:cs="Times New Roman"/>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p>
    <w:p>
      <w:pPr>
        <w:ind w:firstLine="800"/>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14.96</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车辆维修费、过路费、停车费、车辆保险费、车辆油料费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99.73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2.26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17.80</w:t>
      </w:r>
      <w:r>
        <w:rPr>
          <w:rFonts w:ascii="Times New Roman" w:hAnsi="Times New Roman" w:eastAsia="仿宋_GB2312" w:cs="Times New Roman"/>
          <w:sz w:val="32"/>
          <w:szCs w:val="32"/>
        </w:rPr>
        <w:t>%。决算数小于预算数的主要原因是</w:t>
      </w:r>
      <w:r>
        <w:rPr>
          <w:rFonts w:hint="eastAsia" w:ascii="仿宋" w:hAnsi="仿宋" w:eastAsia="仿宋" w:cs="宋体"/>
          <w:color w:val="000000"/>
          <w:kern w:val="0"/>
          <w:sz w:val="32"/>
          <w:szCs w:val="32"/>
        </w:rPr>
        <w:t>严格控制“三公”经费支出不超预算</w:t>
      </w:r>
      <w:r>
        <w:rPr>
          <w:rFonts w:hint="eastAsia" w:ascii="仿宋" w:hAnsi="仿宋" w:eastAsia="仿宋" w:cs="宋体"/>
          <w:color w:val="000000"/>
          <w:kern w:val="0"/>
          <w:sz w:val="32"/>
          <w:szCs w:val="32"/>
          <w:lang w:eastAsia="zh-CN"/>
        </w:rPr>
        <w:t>。</w:t>
      </w:r>
      <w:r>
        <w:rPr>
          <w:rFonts w:ascii="Times New Roman" w:hAnsi="Times New Roman" w:eastAsia="仿宋_GB2312" w:cs="Times New Roman"/>
          <w:sz w:val="32"/>
          <w:szCs w:val="32"/>
        </w:rPr>
        <w:t>决算数大于上年数的主要原因是</w:t>
      </w:r>
      <w:r>
        <w:rPr>
          <w:rFonts w:hint="eastAsia" w:ascii="仿宋" w:hAnsi="仿宋" w:eastAsia="仿宋" w:cs="宋体"/>
          <w:color w:val="000000"/>
          <w:kern w:val="0"/>
          <w:sz w:val="32"/>
          <w:szCs w:val="32"/>
        </w:rPr>
        <w:t>加大招商引资力度，</w:t>
      </w:r>
      <w:r>
        <w:rPr>
          <w:rFonts w:hint="eastAsia" w:ascii="仿宋" w:hAnsi="仿宋" w:eastAsia="仿宋" w:cs="宋体"/>
          <w:color w:val="000000"/>
          <w:kern w:val="0"/>
          <w:sz w:val="32"/>
          <w:szCs w:val="32"/>
          <w:lang w:eastAsia="zh-CN"/>
        </w:rPr>
        <w:t>车辆运行维护费相应增加。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辆。</w:t>
      </w:r>
    </w:p>
    <w:p>
      <w:pPr>
        <w:ind w:firstLine="800"/>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23.75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98.96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2.32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10.83</w:t>
      </w:r>
      <w:r>
        <w:rPr>
          <w:rFonts w:ascii="Times New Roman" w:hAnsi="Times New Roman" w:eastAsia="仿宋_GB2312" w:cs="Times New Roman"/>
          <w:sz w:val="32"/>
          <w:szCs w:val="32"/>
        </w:rPr>
        <w:t>%。决算数小于预算数的主要原因是</w:t>
      </w:r>
      <w:r>
        <w:rPr>
          <w:rFonts w:hint="eastAsia" w:ascii="仿宋" w:hAnsi="仿宋" w:eastAsia="仿宋" w:cs="宋体"/>
          <w:color w:val="000000"/>
          <w:kern w:val="0"/>
          <w:sz w:val="32"/>
          <w:szCs w:val="32"/>
        </w:rPr>
        <w:t>严格控制“三公”经费支出不超预算</w:t>
      </w:r>
      <w:r>
        <w:rPr>
          <w:rFonts w:hint="eastAsia" w:ascii="仿宋" w:hAnsi="仿宋" w:eastAsia="仿宋" w:cs="宋体"/>
          <w:color w:val="000000"/>
          <w:kern w:val="0"/>
          <w:sz w:val="32"/>
          <w:szCs w:val="32"/>
          <w:lang w:eastAsia="zh-CN"/>
        </w:rPr>
        <w:t>。</w:t>
      </w:r>
      <w:r>
        <w:rPr>
          <w:rFonts w:ascii="Times New Roman" w:hAnsi="Times New Roman" w:eastAsia="仿宋_GB2312" w:cs="Times New Roman"/>
          <w:sz w:val="32"/>
          <w:szCs w:val="32"/>
        </w:rPr>
        <w:t>决算数大于上年数的主要原因是</w:t>
      </w:r>
      <w:r>
        <w:rPr>
          <w:rFonts w:hint="eastAsia" w:ascii="仿宋" w:hAnsi="仿宋" w:eastAsia="仿宋" w:cs="宋体"/>
          <w:color w:val="000000"/>
          <w:kern w:val="0"/>
          <w:sz w:val="32"/>
          <w:szCs w:val="32"/>
        </w:rPr>
        <w:t>加大招商引资力度，</w:t>
      </w:r>
      <w:r>
        <w:rPr>
          <w:rFonts w:hint="eastAsia" w:ascii="仿宋" w:hAnsi="仿宋" w:eastAsia="仿宋" w:cs="宋体"/>
          <w:color w:val="000000"/>
          <w:kern w:val="0"/>
          <w:sz w:val="32"/>
          <w:szCs w:val="32"/>
          <w:lang w:eastAsia="zh-CN"/>
        </w:rPr>
        <w:t>招商引资接待费增加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61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414</w:t>
      </w:r>
      <w:r>
        <w:rPr>
          <w:rFonts w:ascii="Times New Roman" w:hAnsi="Times New Roman" w:eastAsia="仿宋_GB2312" w:cs="Times New Roman"/>
          <w:sz w:val="32"/>
          <w:szCs w:val="32"/>
        </w:rPr>
        <w:t>人次，</w:t>
      </w:r>
      <w:r>
        <w:rPr>
          <w:rFonts w:hint="eastAsia" w:ascii="仿宋" w:hAnsi="仿宋" w:eastAsia="仿宋" w:cs="宋体"/>
          <w:color w:val="000000"/>
          <w:kern w:val="0"/>
          <w:sz w:val="32"/>
          <w:szCs w:val="32"/>
        </w:rPr>
        <w:t>主要是招商引资接待</w:t>
      </w:r>
      <w:r>
        <w:rPr>
          <w:rFonts w:ascii="Times New Roman" w:hAnsi="Times New Roman" w:eastAsia="仿宋_GB2312" w:cs="Times New Roman"/>
          <w:sz w:val="32"/>
          <w:szCs w:val="32"/>
        </w:rPr>
        <w:t>发生的接待支出。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4"/>
        <w:overflowPunct w:val="0"/>
        <w:autoSpaceDE/>
        <w:autoSpaceDN/>
        <w:spacing w:line="600" w:lineRule="exact"/>
        <w:ind w:firstLine="1280" w:firstLineChars="4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本单位无</w:t>
      </w:r>
      <w:r>
        <w:rPr>
          <w:rFonts w:ascii="Times New Roman" w:hAnsi="Times New Roman" w:eastAsia="仿宋_GB2312" w:cs="Times New Roman"/>
          <w:sz w:val="32"/>
          <w:szCs w:val="32"/>
        </w:rPr>
        <w:t>政府性基金</w:t>
      </w:r>
      <w:r>
        <w:rPr>
          <w:rFonts w:hint="eastAsia" w:ascii="Times New Roman" w:hAnsi="Times New Roman" w:eastAsia="仿宋_GB2312" w:cs="Times New Roman"/>
          <w:sz w:val="32"/>
          <w:szCs w:val="32"/>
          <w:lang w:eastAsia="zh-CN"/>
        </w:rPr>
        <w:t>预算收支</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pPr>
        <w:pStyle w:val="14"/>
        <w:numPr>
          <w:ilvl w:val="0"/>
          <w:numId w:val="0"/>
        </w:numPr>
        <w:overflowPunct w:val="0"/>
        <w:autoSpaceDE/>
        <w:autoSpaceDN/>
        <w:spacing w:line="600" w:lineRule="exact"/>
        <w:ind w:firstLine="1280" w:firstLineChars="4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2024年度本单位无国有资本经营预算收支。 </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19.45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比上年决算数减少</w:t>
      </w:r>
      <w:r>
        <w:rPr>
          <w:rFonts w:hint="eastAsia" w:ascii="Times New Roman" w:hAnsi="Times New Roman" w:eastAsia="仿宋_GB2312" w:cs="Times New Roman"/>
          <w:sz w:val="32"/>
          <w:szCs w:val="32"/>
          <w:lang w:val="en-US" w:eastAsia="zh-CN"/>
        </w:rPr>
        <w:t>4.01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17.09</w:t>
      </w:r>
      <w:r>
        <w:rPr>
          <w:rFonts w:ascii="Times New Roman" w:hAnsi="Times New Roman" w:eastAsia="仿宋_GB2312" w:cs="Times New Roman"/>
          <w:sz w:val="32"/>
          <w:szCs w:val="32"/>
        </w:rPr>
        <w:t>%。主要原因</w:t>
      </w:r>
      <w:r>
        <w:rPr>
          <w:rFonts w:hint="eastAsia" w:ascii="Times New Roman" w:hAnsi="Times New Roman" w:eastAsia="仿宋_GB2312" w:cs="Times New Roman"/>
          <w:sz w:val="32"/>
          <w:szCs w:val="32"/>
          <w:lang w:eastAsia="zh-CN"/>
        </w:rPr>
        <w:t>年中人员变动</w:t>
      </w:r>
      <w:r>
        <w:rPr>
          <w:rFonts w:hint="eastAsia" w:ascii="Times New Roman" w:hAnsi="Times New Roman" w:eastAsia="仿宋_GB2312" w:cs="Times New Roman"/>
          <w:sz w:val="32"/>
          <w:szCs w:val="32"/>
          <w:lang w:val="en-US"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pPr>
        <w:ind w:firstLine="640"/>
        <w:rPr>
          <w:rFonts w:ascii="宋体" w:hAnsi="宋体" w:eastAsia="宋体" w:cs="宋体"/>
          <w:kern w:val="0"/>
          <w:sz w:val="24"/>
          <w:szCs w:val="24"/>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1.38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3次会议预算1.40万元。赴京汇报对接系</w:t>
      </w:r>
      <w:r>
        <w:rPr>
          <w:rFonts w:ascii="Times New Roman" w:hAnsi="Times New Roman" w:eastAsia="仿宋_GB2312" w:cs="Times New Roman"/>
          <w:sz w:val="32"/>
          <w:szCs w:val="32"/>
        </w:rPr>
        <w:t>列工作调度会议</w:t>
      </w:r>
      <w:r>
        <w:rPr>
          <w:rFonts w:hint="eastAsia" w:ascii="Times New Roman" w:hAnsi="Times New Roman" w:eastAsia="仿宋_GB2312" w:cs="Times New Roman"/>
          <w:sz w:val="32"/>
          <w:szCs w:val="32"/>
          <w:lang w:val="en-US" w:eastAsia="zh-CN"/>
        </w:rPr>
        <w:t>3次</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3次赴京汇报对接工作调度会议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lang w:val="en-US" w:eastAsia="zh-CN"/>
        </w:rPr>
        <w:t>2024年</w:t>
      </w:r>
      <w:r>
        <w:rPr>
          <w:rFonts w:hint="eastAsia" w:ascii="仿宋" w:hAnsi="仿宋" w:eastAsia="仿宋" w:cs="宋体"/>
          <w:color w:val="000000"/>
          <w:kern w:val="0"/>
          <w:sz w:val="32"/>
          <w:szCs w:val="32"/>
        </w:rPr>
        <w:t>未举</w:t>
      </w:r>
      <w:r>
        <w:rPr>
          <w:rFonts w:hint="eastAsia" w:ascii="仿宋" w:hAnsi="仿宋" w:eastAsia="仿宋" w:cs="宋体"/>
          <w:color w:val="000000"/>
          <w:kern w:val="0"/>
          <w:sz w:val="32"/>
          <w:szCs w:val="32"/>
          <w:lang w:eastAsia="zh-CN"/>
        </w:rPr>
        <w:t>办培训活动，</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培训费</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lang w:eastAsia="zh-CN"/>
        </w:rPr>
        <w:t>；</w:t>
      </w:r>
      <w:r>
        <w:rPr>
          <w:rFonts w:hint="eastAsia" w:ascii="仿宋" w:hAnsi="仿宋" w:eastAsia="仿宋" w:cs="宋体"/>
          <w:color w:val="000000"/>
          <w:kern w:val="0"/>
          <w:sz w:val="32"/>
          <w:szCs w:val="32"/>
        </w:rPr>
        <w:t>单位202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年未举办节庆、晚会、论坛、赛事活动，因此无相关支出.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27.84</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27.84</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27.84</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eastAsia="zh-CN"/>
        </w:rPr>
        <w:t>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kern w:val="0"/>
          <w:sz w:val="32"/>
          <w:szCs w:val="32"/>
        </w:rPr>
        <w:t>一是绩效自评开展情况。</w:t>
      </w:r>
      <w:r>
        <w:rPr>
          <w:rFonts w:hint="eastAsia" w:ascii="Times New Roman" w:hAnsi="Times New Roman" w:eastAsia="仿宋_GB2312" w:cs="Times New Roman"/>
          <w:sz w:val="32"/>
          <w:szCs w:val="32"/>
          <w:lang w:val="en-US" w:eastAsia="zh-CN"/>
        </w:rPr>
        <w:t>组织对2024年度本部门（单位）整体支出开展绩效自评，涉及项目5个，共涉及资金179.93万元。其中，一般公共预算项目5 个179.93 万元，占一般公共预算支出总额的100%；政府性基金预算项目0 个0 万元，占政府性基金预算支出总额的0%；国有资本经营预算项目0个0 万元，占国有资本经营预算支出总额的0%；社会保险基金预算项目0 个0万元，占社会保险基金预算支出总额的0%。</w:t>
      </w: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b/>
          <w:bCs/>
          <w:kern w:val="0"/>
          <w:sz w:val="32"/>
          <w:szCs w:val="32"/>
          <w:lang w:val="en-US" w:eastAsia="zh-CN"/>
        </w:rPr>
        <w:t>二是部门评价开展情况</w:t>
      </w:r>
      <w:r>
        <w:rPr>
          <w:rFonts w:hint="eastAsia" w:ascii="Times New Roman" w:hAnsi="Times New Roman" w:eastAsia="仿宋_GB2312" w:cs="Times New Roman"/>
          <w:b/>
          <w:bCs/>
          <w:kern w:val="0"/>
          <w:sz w:val="32"/>
          <w:szCs w:val="32"/>
          <w:lang w:val="en-US" w:eastAsia="zh-CN"/>
        </w:rPr>
        <w:t>。</w:t>
      </w:r>
      <w:r>
        <w:rPr>
          <w:rFonts w:ascii="Times New Roman" w:hAnsi="Times New Roman" w:eastAsia="仿宋_GB2312" w:cs="Times New Roman"/>
          <w:color w:val="auto"/>
          <w:kern w:val="0"/>
          <w:sz w:val="32"/>
          <w:szCs w:val="32"/>
          <w:lang w:val="en-US" w:eastAsia="zh-CN" w:bidi="ar-SA"/>
        </w:rPr>
        <w:t>组织对所属单位2024年度“</w:t>
      </w:r>
      <w:r>
        <w:rPr>
          <w:rFonts w:hint="eastAsia" w:ascii="Times New Roman" w:hAnsi="Times New Roman" w:eastAsia="仿宋_GB2312" w:cs="Times New Roman"/>
          <w:color w:val="auto"/>
          <w:kern w:val="0"/>
          <w:sz w:val="32"/>
          <w:szCs w:val="32"/>
          <w:lang w:val="en-US" w:eastAsia="zh-CN" w:bidi="ar-SA"/>
        </w:rPr>
        <w:t>专项业务工作经费</w:t>
      </w:r>
      <w:r>
        <w:rPr>
          <w:rFonts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w:t>
      </w:r>
      <w:r>
        <w:rPr>
          <w:rFonts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维权维稳工作经费</w:t>
      </w:r>
      <w:r>
        <w:rPr>
          <w:rFonts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、“工作经费”、“新办公楼运行经费”、“业务用车处置的更换经费”5</w:t>
      </w:r>
      <w:r>
        <w:rPr>
          <w:rFonts w:ascii="Times New Roman" w:hAnsi="Times New Roman" w:eastAsia="仿宋_GB2312" w:cs="Times New Roman"/>
          <w:color w:val="auto"/>
          <w:kern w:val="0"/>
          <w:sz w:val="32"/>
          <w:szCs w:val="32"/>
          <w:lang w:val="en-US" w:eastAsia="zh-CN" w:bidi="ar-SA"/>
        </w:rPr>
        <w:t>个项目开展了部门评价，涉及一般公共预算支出</w:t>
      </w:r>
      <w:r>
        <w:rPr>
          <w:rFonts w:hint="eastAsia" w:ascii="Times New Roman" w:hAnsi="Times New Roman" w:eastAsia="仿宋_GB2312" w:cs="Times New Roman"/>
          <w:color w:val="auto"/>
          <w:kern w:val="0"/>
          <w:sz w:val="32"/>
          <w:szCs w:val="32"/>
          <w:lang w:val="en-US" w:eastAsia="zh-CN" w:bidi="ar-SA"/>
        </w:rPr>
        <w:t>179.93</w:t>
      </w:r>
      <w:r>
        <w:rPr>
          <w:rFonts w:ascii="Times New Roman" w:hAnsi="Times New Roman" w:eastAsia="仿宋_GB2312" w:cs="Times New Roman"/>
          <w:color w:val="auto"/>
          <w:kern w:val="0"/>
          <w:sz w:val="32"/>
          <w:szCs w:val="32"/>
          <w:lang w:val="en-US" w:eastAsia="zh-CN" w:bidi="ar-SA"/>
        </w:rPr>
        <w:t>万元，政府性基金预算支出</w:t>
      </w:r>
      <w:r>
        <w:rPr>
          <w:rFonts w:hint="eastAsia" w:ascii="Times New Roman" w:hAnsi="Times New Roman" w:eastAsia="仿宋_GB2312" w:cs="Times New Roman"/>
          <w:color w:val="auto"/>
          <w:kern w:val="0"/>
          <w:sz w:val="32"/>
          <w:szCs w:val="32"/>
          <w:lang w:val="en-US" w:eastAsia="zh-CN" w:bidi="ar-SA"/>
        </w:rPr>
        <w:t>0</w:t>
      </w:r>
      <w:r>
        <w:rPr>
          <w:rFonts w:ascii="Times New Roman" w:hAnsi="Times New Roman" w:eastAsia="仿宋_GB2312" w:cs="Times New Roman"/>
          <w:color w:val="auto"/>
          <w:kern w:val="0"/>
          <w:sz w:val="32"/>
          <w:szCs w:val="32"/>
          <w:lang w:val="en-US" w:eastAsia="zh-CN" w:bidi="ar-SA"/>
        </w:rPr>
        <w:t>万元，国有资本经营预算支出</w:t>
      </w:r>
      <w:r>
        <w:rPr>
          <w:rFonts w:hint="eastAsia" w:ascii="Times New Roman" w:hAnsi="Times New Roman" w:eastAsia="仿宋_GB2312" w:cs="Times New Roman"/>
          <w:color w:val="auto"/>
          <w:kern w:val="0"/>
          <w:sz w:val="32"/>
          <w:szCs w:val="32"/>
          <w:lang w:val="en-US" w:eastAsia="zh-CN" w:bidi="ar-SA"/>
        </w:rPr>
        <w:t>0</w:t>
      </w:r>
      <w:r>
        <w:rPr>
          <w:rFonts w:ascii="Times New Roman" w:hAnsi="Times New Roman" w:eastAsia="仿宋_GB2312" w:cs="Times New Roman"/>
          <w:color w:val="auto"/>
          <w:kern w:val="0"/>
          <w:sz w:val="32"/>
          <w:szCs w:val="32"/>
          <w:lang w:val="en-US" w:eastAsia="zh-CN" w:bidi="ar-SA"/>
        </w:rPr>
        <w:t>万元，社会保险基金预算支出</w:t>
      </w:r>
      <w:r>
        <w:rPr>
          <w:rFonts w:hint="eastAsia" w:ascii="Times New Roman" w:hAnsi="Times New Roman" w:eastAsia="仿宋_GB2312" w:cs="Times New Roman"/>
          <w:color w:val="auto"/>
          <w:kern w:val="0"/>
          <w:sz w:val="32"/>
          <w:szCs w:val="32"/>
          <w:lang w:val="en-US" w:eastAsia="zh-CN" w:bidi="ar-SA"/>
        </w:rPr>
        <w:t>0</w:t>
      </w:r>
      <w:r>
        <w:rPr>
          <w:rFonts w:ascii="Times New Roman" w:hAnsi="Times New Roman" w:eastAsia="仿宋_GB2312" w:cs="Times New Roman"/>
          <w:color w:val="auto"/>
          <w:kern w:val="0"/>
          <w:sz w:val="32"/>
          <w:szCs w:val="32"/>
          <w:lang w:val="en-US" w:eastAsia="zh-CN" w:bidi="ar-SA"/>
        </w:rPr>
        <w:t>万元。</w:t>
      </w: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b/>
          <w:bCs/>
          <w:kern w:val="0"/>
          <w:sz w:val="32"/>
          <w:szCs w:val="32"/>
          <w:lang w:val="en-US" w:eastAsia="zh-CN"/>
        </w:rPr>
        <w:t>三是事前绩效评估开展情况</w:t>
      </w:r>
      <w:r>
        <w:rPr>
          <w:rFonts w:hint="eastAsia" w:ascii="Times New Roman" w:hAnsi="Times New Roman" w:eastAsia="仿宋_GB2312" w:cs="Times New Roman"/>
          <w:b/>
          <w:bCs/>
          <w:kern w:val="0"/>
          <w:sz w:val="32"/>
          <w:szCs w:val="32"/>
          <w:lang w:val="en-US" w:eastAsia="zh-CN"/>
        </w:rPr>
        <w:t>。</w:t>
      </w:r>
      <w:r>
        <w:rPr>
          <w:rFonts w:hint="eastAsia" w:ascii="Times New Roman" w:hAnsi="Times New Roman" w:eastAsia="仿宋_GB2312" w:cs="Times New Roman"/>
          <w:color w:val="auto"/>
          <w:kern w:val="0"/>
          <w:sz w:val="32"/>
          <w:szCs w:val="32"/>
          <w:lang w:val="en-US" w:eastAsia="zh-CN" w:bidi="ar-SA"/>
        </w:rPr>
        <w:t>单位没有开展事前绩效评估。</w:t>
      </w:r>
      <w:r>
        <w:rPr>
          <w:rFonts w:ascii="Times New Roman" w:hAnsi="Times New Roman" w:eastAsia="仿宋_GB2312" w:cs="Times New Roman"/>
          <w:color w:val="auto"/>
          <w:kern w:val="0"/>
          <w:sz w:val="32"/>
          <w:szCs w:val="32"/>
          <w:lang w:val="en-US" w:eastAsia="zh-CN" w:bidi="ar-SA"/>
        </w:rPr>
        <w:t>组织对2024年度</w:t>
      </w:r>
      <w:r>
        <w:rPr>
          <w:rFonts w:hint="eastAsia" w:ascii="Times New Roman" w:hAnsi="Times New Roman" w:eastAsia="仿宋_GB2312" w:cs="Times New Roman"/>
          <w:color w:val="auto"/>
          <w:kern w:val="0"/>
          <w:sz w:val="32"/>
          <w:szCs w:val="32"/>
          <w:lang w:val="en-US" w:eastAsia="zh-CN" w:bidi="ar-SA"/>
        </w:rPr>
        <w:t>0</w:t>
      </w:r>
      <w:r>
        <w:rPr>
          <w:rFonts w:ascii="Times New Roman" w:hAnsi="Times New Roman" w:eastAsia="仿宋_GB2312" w:cs="Times New Roman"/>
          <w:color w:val="auto"/>
          <w:kern w:val="0"/>
          <w:sz w:val="32"/>
          <w:szCs w:val="32"/>
          <w:lang w:val="en-US" w:eastAsia="zh-CN" w:bidi="ar-SA"/>
        </w:rPr>
        <w:t>个新增重大政策和</w:t>
      </w:r>
      <w:r>
        <w:rPr>
          <w:rFonts w:hint="eastAsia" w:ascii="Times New Roman" w:hAnsi="Times New Roman" w:eastAsia="仿宋_GB2312" w:cs="Times New Roman"/>
          <w:color w:val="auto"/>
          <w:kern w:val="0"/>
          <w:sz w:val="32"/>
          <w:szCs w:val="32"/>
          <w:lang w:val="en-US" w:eastAsia="zh-CN" w:bidi="ar-SA"/>
        </w:rPr>
        <w:t>0</w:t>
      </w:r>
      <w:r>
        <w:rPr>
          <w:rFonts w:ascii="Times New Roman" w:hAnsi="Times New Roman" w:eastAsia="仿宋_GB2312" w:cs="Times New Roman"/>
          <w:color w:val="auto"/>
          <w:kern w:val="0"/>
          <w:sz w:val="32"/>
          <w:szCs w:val="32"/>
          <w:lang w:val="en-US" w:eastAsia="zh-CN" w:bidi="ar-SA"/>
        </w:rPr>
        <w:t>个重大项目开展事前绩效评估，共涉及资金</w:t>
      </w:r>
      <w:r>
        <w:rPr>
          <w:rFonts w:hint="eastAsia" w:ascii="Times New Roman" w:hAnsi="Times New Roman" w:eastAsia="仿宋_GB2312" w:cs="Times New Roman"/>
          <w:color w:val="auto"/>
          <w:kern w:val="0"/>
          <w:sz w:val="32"/>
          <w:szCs w:val="32"/>
          <w:lang w:val="en-US" w:eastAsia="zh-CN" w:bidi="ar-SA"/>
        </w:rPr>
        <w:t>0</w:t>
      </w:r>
      <w:r>
        <w:rPr>
          <w:rFonts w:ascii="Times New Roman" w:hAnsi="Times New Roman" w:eastAsia="仿宋_GB2312" w:cs="Times New Roman"/>
          <w:color w:val="auto"/>
          <w:kern w:val="0"/>
          <w:sz w:val="32"/>
          <w:szCs w:val="32"/>
          <w:lang w:val="en-US" w:eastAsia="zh-CN" w:bidi="ar-SA"/>
        </w:rPr>
        <w:t>万元。</w:t>
      </w:r>
    </w:p>
    <w:p>
      <w:pPr>
        <w:keepNext w:val="0"/>
        <w:keepLines w:val="0"/>
        <w:pageBreakBefore w:val="0"/>
        <w:widowControl w:val="0"/>
        <w:numPr>
          <w:ilvl w:val="0"/>
          <w:numId w:val="4"/>
        </w:numPr>
        <w:kinsoku/>
        <w:wordWrap/>
        <w:topLinePunct w:val="0"/>
        <w:autoSpaceDE/>
        <w:autoSpaceDN/>
        <w:bidi w:val="0"/>
        <w:adjustRightInd/>
        <w:snapToGrid w:val="0"/>
        <w:spacing w:line="360" w:lineRule="auto"/>
        <w:ind w:firstLine="640"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绩效评价结果。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b/>
          <w:bCs/>
          <w:kern w:val="0"/>
          <w:sz w:val="32"/>
          <w:szCs w:val="32"/>
        </w:rPr>
        <w:t>一是绩效自评结果。</w:t>
      </w:r>
      <w:r>
        <w:rPr>
          <w:rFonts w:hint="eastAsia" w:ascii="Times New Roman" w:hAnsi="Times New Roman" w:eastAsia="仿宋_GB2312" w:cs="Times New Roman"/>
          <w:color w:val="auto"/>
          <w:kern w:val="0"/>
          <w:sz w:val="32"/>
          <w:szCs w:val="32"/>
          <w:lang w:val="en-US" w:eastAsia="zh-CN" w:bidi="ar-SA"/>
        </w:rPr>
        <w:t>2024年度本部门（单位）整体支出全年预算数258.20万元，执行数393.91万元，完成预算的152.56%，绩效自评得分97分，评价等级为“优”。绩效目标完成情况：一是强化政治引领，筑牢政治忠诚,党支部坚持把高起点高标准高质量做好党纪学习教育作为一项重大政治任务，驻京联络处党支部学习累计10次，集中研讨4次；二是确保政务联络协调畅通,认真贯彻市委、市政府对驻外联络处的各项规定和工作要求，把服务职能摆在首位，协调陪同市级领导在京对接国家财政部、国家卫健委、全国工商联，协办湖南·怀化“怀乡怀品”农产品区域公用品牌北京发布会、第十一届全球湘商大会京津冀地区邀商、怀化市对接京津冀（北京）招商推介暨北京怀化企业商会成立大会、湘品湘菜进新华社等活动，助推怀化“五新四城”建设。对接财政部、发改委、人社部、应急管理部、工信部等国家部委，充分发挥北京部委资源优势，跟进国家天文台FAST项目，将我市选的三个点位发送给专家组。同时，高质量完成了全国“两会”代表赴京等重要接待工作，做好了市级领导和市有关部门来京汇报工作的全程服务工作，年计100余人次；三是招商引资有新成效。市委、市政府将2024年确定为怀化“招商引资年”，京津冀专班招商增添新活力，紧盯央企国企，拜访对接了央企国企27家；紧盯湘商民企，拜访对接了白沟20余家箱包皮具企业、中国女企业家协会等民营企业、商协会；紧盯研发创新成果，对接了中科院物理所、海创产业技术研究院、中国农业科学院等科研院所8家，拜访了唐智勇、丁洪、方忠等院士；紧盯国家部委，对接国家发改委、工信部等国家部委8家，发挥北京部委资源优势，联系对接企业。同时，已开展怀化箱包皮具产业链、文旅产业、中医药产业链对接洽谈会3场；四是积极发挥地处北京优势，及时、准确地收集和整理政策信息，提供市领导和有关部门参考。同时，构建校友资源交流对接平台，促进校友回怀，发挥好北京怀化企业商会和北京湖南商会作用，促进湘商怀商回故乡建家乡。整合市县两级302家企事业单位人才引进、事业单位公开招聘、企业招聘1527个岗位，到北京大学、中央民族大学等高校开展“智汇潇湘·才聚五溪”高校行活动；联络国家关心一下代校外实践教育基金，大中小学劳动教育综合实践基地建设执委会，对怀化博世康中医药研学基地、世纪明德的溆浦北斗溪和洪江工商城研学基地、辰溪非遗龙窑陶瓷基地、洪江市安江农校基地进行了调研，把鹤城区、洪江市、芷江县打造成“文化农教”中国的样板项目；与中德科技园控股有限公司联系，在产业、信息、科技以及职业培训、劳务输出等方面与怀化开展合作，海创产业技术研究院已确定设立长沙海创院，怀化可开展种业、超级植物等合作。五是多渠道、多形式地做好对外宣传怀化、介绍市情的工作，拓展怀化产品市场，提高怀化知名度。通过线上和线下多种渠道宣传推介怀化农产品，北京怀化企业商会的“怀乡怀品”展示中心已建好，计划今年开直播做营销；“怀乡怀品•湘得益彰”怀化冰糖橙品鉴暨产销对接会及屈子行吟•诗歌之源—2024年湖南• 怀化屈原怀乡诗歌节新闻会，宣传《怀化•一个怀景怀乡怀味的地方》；全国农产品区域公用品牌建设研讨会暨湖南•怀化“怀乡怀品”农产品区域公用品牌北京发布会在国家农展馆举行；北京北角文化股份有限公司签售“怀乡怀品”，邀请巩汉林等名人直播销售怀乡怀品。五是充分利用联络处有利条件，主动为我市与企业商会牵线搭桥，推动横向经济联合与协作。第十一届全球湘商大会京津冀地区邀商、怀化市对接京津冀（北京）招商推介暨北京怀化企业商会成立大会在京举行，我处积极邀请国家部委、省部级领导和知名怀商代表参加，签约仪式上，有关县（市、区）及园区与相关企业签署招商项目10个，总投资33.98亿元；北京怀化企业商会56家发起人单位已对接18家，意向企业5家。共拜访对接世纪明德、春播万象（北京）健康管理科技有限公司、北京资源集团等重点民营企业50家，拜访中国轻工艺品进出口商会、中国女企业家协会等商协会11家。省驻京专班推介光子技术行业隐形冠军深圳帧观德芯科技有限公司，推动光子技术探测器碲化镉、钙钛矿项目落地；六是坚持把维护首都稳定作为驻京工作的重要政治任务，全国“两会”、北戴河暑期值班等特护期，同时抓好“五一”、“端午”和“国庆”节日确保驻京信访维稳零滞留、零倒流、零滋事、零违纪、零炒作目标，实现了“三个确保”，的预期目标：即没有发生进京规模聚访事件，没有发生影响怀化形象的恶性个案，进京非正常上访的批次和人次均有下降，为维护首都稳定，维护怀化形象做出了怀化贡献。 发现的主要问题及原因：一是全面预算绩效管理工作经验不太丰富，绩效管理专业人员匮乏，规范管理有盲点；二是部门预算编制的科学化、精细化有待提高。目前，预算编制要求经济科目细化到款级，但在实际编制过程中，由于有的预算支出项目具有预测性和不确定性等特点，造成实际支出与预算编制不符。下一步改进措施：一是我单位将更加全面、细致地制定绩效目标，进一步严肃财经纪律，在实施过程中遵循“实事求是、尊重客观、力求精准”的原则，努力使项目资金落到实处；二是我单位将落实内控制度，严肃执行“三重一大”的原则，深入开展政府购买社会化服务，切实引进社会化竞争机制，引进相关专业人才，保障项目在公开、公平、公正的监督环境中实施，有效节约项目资金，把有限的资金用在刀刃上；三是我单位将加强对财政资金的拨付和使用管理，加强对财务干部职工的业务培训，强化预算管理意识，严格执行预算。</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二是部门评价结果。</w:t>
      </w:r>
      <w:r>
        <w:rPr>
          <w:rFonts w:hint="eastAsia" w:ascii="Times New Roman" w:hAnsi="Times New Roman" w:eastAsia="仿宋_GB2312" w:cs="Times New Roman"/>
          <w:color w:val="auto"/>
          <w:kern w:val="0"/>
          <w:sz w:val="32"/>
          <w:szCs w:val="32"/>
          <w:lang w:val="en-US" w:eastAsia="zh-CN" w:bidi="ar-SA"/>
        </w:rPr>
        <w:t>本单位2024年度专项业务工作经费年初预算62.34万元，上年结转15.66万元，全年预算数78万元，执行数78万元，完成全年预算的100%；维权维稳（工作）经费年初预算10万元，上年结转2.51万元，全年预算数12.51万元，执行数12.51万元，完成全年预算的100%；工作经费年初预算80万元，执行数43.74万元，完成预算的54.68%；新办公楼运行经费年初预算数98万元，执行数17.34万元，完成年初预算的17.69%。本单位2024年度项目全年预算数325.51万元，执行数179.93万元，完成预算的55.28%，部门评价得分95.45分，其中评价等级为“优”。发现的主要问题及原因：一是项目经费年初预算数与全年预算数有差异，加强预算编制工作，严格按照预算编制的相关制度和要求进行预算编制，优先保障固定性的、相对刚性的费用支出项目，尽量压缩变动性的，有控制空间的费用项目，进一步提高预算编制的科学性、严谨性和可控性。二是绩效目标设置不够规范，绩效指标的目标值有待进一步量化。加强对绩效目标的审核，保证各科室严格按照部门职责和工作计划，提炼出对应的数量、质量、时效以及效益指标，确保指标设定合理、合规。本单位2024年度未进行事前绩效评估。</w:t>
      </w:r>
    </w:p>
    <w:p>
      <w:pPr>
        <w:pStyle w:val="20"/>
        <w:keepNext w:val="0"/>
        <w:keepLines w:val="0"/>
        <w:pageBreakBefore w:val="0"/>
        <w:widowControl w:val="0"/>
        <w:kinsoku/>
        <w:wordWrap/>
        <w:topLinePunct w:val="0"/>
        <w:autoSpaceDE/>
        <w:autoSpaceDN/>
        <w:bidi w:val="0"/>
        <w:adjustRightInd/>
        <w:spacing w:line="360" w:lineRule="auto"/>
        <w:ind w:firstLine="640" w:firstLineChars="200"/>
        <w:textAlignment w:val="auto"/>
        <w:rPr>
          <w:rFonts w:hint="eastAsia" w:eastAsia="仿宋_GB2312" w:cs="Times New Roman" w:asciiTheme="minorHAnsi" w:hAnsiTheme="minorHAnsi"/>
          <w:b w:val="0"/>
          <w:bCs w:val="0"/>
          <w:color w:val="auto"/>
          <w:kern w:val="2"/>
          <w:sz w:val="32"/>
          <w:szCs w:val="32"/>
          <w:lang w:val="en-US" w:eastAsia="zh-CN" w:bidi="ar-SA"/>
        </w:rPr>
      </w:pPr>
      <w:r>
        <w:rPr>
          <w:rFonts w:ascii="Times New Roman" w:hAnsi="Times New Roman" w:eastAsia="楷体_GB2312" w:cs="Times New Roman"/>
          <w:b w:val="0"/>
          <w:bCs w:val="0"/>
          <w:color w:val="auto"/>
          <w:kern w:val="2"/>
          <w:sz w:val="32"/>
          <w:szCs w:val="32"/>
        </w:rPr>
        <w:t>（三）评价结果应用情况</w:t>
      </w:r>
      <w:r>
        <w:rPr>
          <w:rFonts w:hint="eastAsia" w:eastAsia="仿宋_GB2312" w:cs="Times New Roman" w:asciiTheme="minorHAnsi" w:hAnsiTheme="minorHAnsi"/>
          <w:b w:val="0"/>
          <w:bCs w:val="0"/>
          <w:color w:val="auto"/>
          <w:kern w:val="2"/>
          <w:sz w:val="32"/>
          <w:szCs w:val="32"/>
          <w:lang w:val="en-US" w:eastAsia="zh-CN" w:bidi="ar-SA"/>
        </w:rPr>
        <w:t>。</w:t>
      </w:r>
    </w:p>
    <w:p>
      <w:pPr>
        <w:pStyle w:val="20"/>
        <w:keepNext w:val="0"/>
        <w:keepLines w:val="0"/>
        <w:pageBreakBefore w:val="0"/>
        <w:widowControl w:val="0"/>
        <w:kinsoku/>
        <w:wordWrap/>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我单位针对绩效自评中发现的问题，加强与相关业务部门的沟通协调，采取切实可行的整改举措并落实到位，进一步重视绩效考核激励作用，扎实做好绩效评价工作，提高财政资金的使用效益。2025年我单位加强预算编制工作，严格按照预算编制的相关制度和要求进行预算编制，优先保障固定性的、相对刚性的费用支出项目，尽量压缩变动性的有控制空间的费用项目，进一步提高预算编制的科学性、严谨性和可控性，全面、细致地制定绩效目标，进一步严肃财经纪律，在实施过程中遵循“实事求是、尊重客观、力求精准”的原则，努力使项目资金落到实处，加强对财政资金的拨付和使用管理，加强对财务干部职工的业务培训，强化预算管理意识，严格执行预算，做到按项目核算，确保专款专用。</w:t>
      </w:r>
    </w:p>
    <w:p>
      <w:pPr>
        <w:keepNext w:val="0"/>
        <w:keepLines w:val="0"/>
        <w:pageBreakBefore w:val="0"/>
        <w:widowControl w:val="0"/>
        <w:kinsoku/>
        <w:wordWrap/>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kern w:val="0"/>
          <w:sz w:val="32"/>
          <w:szCs w:val="32"/>
          <w:lang w:val="en-US" w:eastAsia="zh-CN" w:bidi="ar-SA"/>
        </w:rPr>
      </w:pPr>
    </w:p>
    <w:p>
      <w:pPr>
        <w:pStyle w:val="20"/>
        <w:keepNext w:val="0"/>
        <w:keepLines w:val="0"/>
        <w:pageBreakBefore w:val="0"/>
        <w:widowControl w:val="0"/>
        <w:kinsoku/>
        <w:wordWrap/>
        <w:topLinePunct w:val="0"/>
        <w:autoSpaceDE/>
        <w:autoSpaceDN/>
        <w:bidi w:val="0"/>
        <w:adjustRightInd/>
        <w:spacing w:line="360" w:lineRule="auto"/>
        <w:ind w:firstLine="640" w:firstLineChars="200"/>
        <w:textAlignment w:val="auto"/>
        <w:rPr>
          <w:rFonts w:hint="eastAsia" w:eastAsia="仿宋_GB2312" w:cs="Times New Roman" w:asciiTheme="minorHAnsi" w:hAnsiTheme="minorHAnsi"/>
          <w:kern w:val="2"/>
          <w:sz w:val="32"/>
          <w:szCs w:val="32"/>
          <w:lang w:val="en-US" w:eastAsia="zh-CN" w:bidi="ar-SA"/>
        </w:rPr>
      </w:pP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rPr>
          <w:rFonts w:ascii="Times New Roman" w:hAnsi="Times New Roman" w:eastAsia="方正小标宋_GBK" w:cs="Times New Roman"/>
          <w:sz w:val="52"/>
          <w:szCs w:val="52"/>
        </w:rPr>
      </w:pPr>
      <w:r>
        <w:rPr>
          <w:rFonts w:ascii="Times New Roman" w:hAnsi="Times New Roman" w:eastAsia="方正小标宋_GBK" w:cs="Times New Roman"/>
          <w:sz w:val="52"/>
          <w:szCs w:val="52"/>
        </w:rPr>
        <w:br w:type="page"/>
      </w:r>
    </w:p>
    <w:p>
      <w:pPr>
        <w:pStyle w:val="14"/>
        <w:spacing w:line="360" w:lineRule="auto"/>
        <w:jc w:val="center"/>
        <w:rPr>
          <w:rFonts w:ascii="宋体" w:hAnsi="宋体" w:eastAsia="宋体" w:cs="宋体"/>
          <w:kern w:val="0"/>
          <w:sz w:val="24"/>
          <w:szCs w:val="24"/>
        </w:rPr>
      </w:pPr>
      <w:r>
        <w:rPr>
          <w:rFonts w:ascii="Times New Roman" w:hAnsi="Times New Roman" w:eastAsia="方正小标宋_GBK" w:cs="Times New Roman"/>
          <w:sz w:val="52"/>
          <w:szCs w:val="52"/>
        </w:rPr>
        <w:t>第四部分    名词解释</w:t>
      </w:r>
      <w:r>
        <w:rPr>
          <w:rFonts w:ascii="宋体" w:hAnsi="宋体" w:eastAsia="宋体" w:cs="宋体"/>
          <w:kern w:val="0"/>
          <w:sz w:val="24"/>
          <w:szCs w:val="24"/>
        </w:rPr>
        <w:t> </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一、财政拨款收入：指财政当年拨付的资金。包括一般公共预算财政拨款和政府性基金财政拨款。</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二、上级补助收入：指事业单位从主管部门和上级单位取得的非财政补助收入。</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三、事业收入：指事业单位开展专业业务活动及辅助活动所取得的收入。</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四、经营收入：指事业单位在专业业务活动及其辅助活动之外开展非独立核算经营活动取得的收入。</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五、附属单位上缴收入：指事业单位附属独立核算单位按照有关规定上缴的收入。</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六、其他收入：指除上述“财政拨款收入”、“事业收入”、“经营收入”等以外的收入。</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七、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八、年初结转和结余：指以前年度尚未完成、结转到本年按有关规定继续使用的资金。</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九、结余分配：指事业单位按规定从非财政补助结余中分配的事业基金和职工福利基金等。</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十、年末结转和结余：指本年度或以前年度预算安排、因客观条件发生变化无法按原计划实施，需要延迟到以后年度按有关规定继续使用的资金。</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十一、基本支出：指为保障机构正常运转、完成日常工作任务而发生的人员支出和公用支出。</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十二、项目支出：指在基本支出之外为完成特定行政任务和事业发展目标所发生的支出。</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十三、经营支出：指事业单位在专业业务活动及其辅助活动之外开展非独立核算经营活动所发生的支出。</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十四、“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ind w:firstLine="640"/>
        <w:rPr>
          <w:rFonts w:ascii="宋体" w:hAnsi="宋体" w:eastAsia="宋体" w:cs="宋体"/>
          <w:kern w:val="0"/>
          <w:sz w:val="24"/>
          <w:szCs w:val="24"/>
        </w:rPr>
      </w:pPr>
      <w:r>
        <w:rPr>
          <w:rFonts w:hint="eastAsia" w:ascii="仿宋" w:hAnsi="仿宋" w:eastAsia="仿宋" w:cs="宋体"/>
          <w:color w:val="000000"/>
          <w:kern w:val="0"/>
          <w:sz w:val="32"/>
          <w:szCs w:val="32"/>
        </w:rPr>
        <w:t>十五、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rPr>
          <w:rFonts w:ascii="宋体" w:hAnsi="宋体" w:eastAsia="宋体" w:cs="宋体"/>
          <w:kern w:val="0"/>
          <w:sz w:val="24"/>
          <w:szCs w:val="24"/>
        </w:rPr>
      </w:pPr>
      <w:r>
        <w:rPr>
          <w:rFonts w:ascii="宋体" w:hAnsi="宋体" w:eastAsia="宋体" w:cs="宋体"/>
          <w:kern w:val="0"/>
          <w:sz w:val="24"/>
          <w:szCs w:val="24"/>
        </w:rPr>
        <w:t> </w:t>
      </w:r>
    </w:p>
    <w:p>
      <w:pPr>
        <w:ind w:firstLine="320"/>
        <w:rPr>
          <w:rFonts w:ascii="宋体" w:hAnsi="宋体" w:eastAsia="宋体" w:cs="宋体"/>
          <w:kern w:val="0"/>
          <w:sz w:val="24"/>
          <w:szCs w:val="24"/>
        </w:rPr>
      </w:pPr>
      <w:r>
        <w:rPr>
          <w:rFonts w:ascii="宋体" w:hAnsi="宋体" w:eastAsia="宋体" w:cs="宋体"/>
          <w:kern w:val="0"/>
          <w:sz w:val="24"/>
          <w:szCs w:val="24"/>
        </w:rPr>
        <w:t> </w:t>
      </w:r>
    </w:p>
    <w:p>
      <w:pPr>
        <w:jc w:val="center"/>
        <w:rPr>
          <w:rFonts w:ascii="宋体" w:hAnsi="宋体" w:eastAsia="宋体" w:cs="宋体"/>
          <w:kern w:val="0"/>
          <w:sz w:val="24"/>
          <w:szCs w:val="24"/>
        </w:rPr>
      </w:pPr>
      <w:r>
        <w:rPr>
          <w:rFonts w:ascii="宋体" w:hAnsi="宋体" w:eastAsia="宋体" w:cs="宋体"/>
          <w:kern w:val="0"/>
          <w:sz w:val="24"/>
          <w:szCs w:val="24"/>
        </w:rPr>
        <w:t> </w:t>
      </w:r>
    </w:p>
    <w:p>
      <w:pPr>
        <w:jc w:val="center"/>
        <w:rPr>
          <w:rFonts w:ascii="宋体" w:hAnsi="宋体" w:eastAsia="宋体" w:cs="宋体"/>
          <w:kern w:val="0"/>
          <w:sz w:val="24"/>
          <w:szCs w:val="24"/>
        </w:rPr>
      </w:pPr>
      <w:r>
        <w:rPr>
          <w:rFonts w:ascii="宋体" w:hAnsi="宋体" w:eastAsia="宋体" w:cs="宋体"/>
          <w:kern w:val="0"/>
          <w:sz w:val="24"/>
          <w:szCs w:val="24"/>
        </w:rPr>
        <w:t> </w:t>
      </w:r>
    </w:p>
    <w:p>
      <w:pPr>
        <w:jc w:val="center"/>
        <w:rPr>
          <w:rFonts w:ascii="宋体" w:hAnsi="宋体" w:eastAsia="宋体" w:cs="宋体"/>
          <w:kern w:val="0"/>
          <w:sz w:val="24"/>
          <w:szCs w:val="24"/>
        </w:rPr>
      </w:pPr>
      <w:r>
        <w:rPr>
          <w:rFonts w:ascii="宋体" w:hAnsi="宋体" w:eastAsia="宋体" w:cs="宋体"/>
          <w:kern w:val="0"/>
          <w:sz w:val="24"/>
          <w:szCs w:val="24"/>
        </w:rPr>
        <w:t> </w:t>
      </w: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pPr>
        <w:pStyle w:val="14"/>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二、2024年度单位项目支出绩效自评报告</w:t>
      </w: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l1uVLQAAAABQEAAA8AAAAAAAAA&#10;AQAgAAAAOAAAAGRycy9kb3ducmV2LnhtbFBLAQIUABQAAAAIAIdO4kA0MzvCAwIAAO8DAAAOAAAA&#10;AAAAAAEAIAAAADUBAABkcnMvZTJvRG9jLnhtbFBLBQYAAAAABgAGAFkBAACqBQAAAAA=&#10;">
              <v:fill on="f" focussize="0,0"/>
              <v:stroke on="f"/>
              <v:imagedata o:title=""/>
              <o:lock v:ext="edit" aspectratio="t"/>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40CEF"/>
    <w:multiLevelType w:val="singleLevel"/>
    <w:tmpl w:val="97F40CEF"/>
    <w:lvl w:ilvl="0" w:tentative="0">
      <w:start w:val="6"/>
      <w:numFmt w:val="decimal"/>
      <w:suff w:val="nothing"/>
      <w:lvlText w:val="%1、"/>
      <w:lvlJc w:val="left"/>
    </w:lvl>
  </w:abstractNum>
  <w:abstractNum w:abstractNumId="1">
    <w:nsid w:val="FEFA010E"/>
    <w:multiLevelType w:val="singleLevel"/>
    <w:tmpl w:val="FEFA010E"/>
    <w:lvl w:ilvl="0" w:tentative="0">
      <w:start w:val="2"/>
      <w:numFmt w:val="chineseCounting"/>
      <w:suff w:val="nothing"/>
      <w:lvlText w:val="（%1）"/>
      <w:lvlJc w:val="left"/>
      <w:rPr>
        <w:rFonts w:hint="eastAsia"/>
      </w:rPr>
    </w:lvl>
  </w:abstractNum>
  <w:abstractNum w:abstractNumId="2">
    <w:nsid w:val="32A069B4"/>
    <w:multiLevelType w:val="singleLevel"/>
    <w:tmpl w:val="32A069B4"/>
    <w:lvl w:ilvl="0" w:tentative="0">
      <w:start w:val="2"/>
      <w:numFmt w:val="decimal"/>
      <w:suff w:val="nothing"/>
      <w:lvlText w:val="%1、"/>
      <w:lvlJc w:val="left"/>
    </w:lvl>
  </w:abstractNum>
  <w:abstractNum w:abstractNumId="3">
    <w:nsid w:val="555047E4"/>
    <w:multiLevelType w:val="singleLevel"/>
    <w:tmpl w:val="555047E4"/>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91FD6"/>
    <w:rsid w:val="01EC632F"/>
    <w:rsid w:val="04404F6B"/>
    <w:rsid w:val="0589290A"/>
    <w:rsid w:val="05A32BA6"/>
    <w:rsid w:val="05DC6EDE"/>
    <w:rsid w:val="05FD2C40"/>
    <w:rsid w:val="063F021C"/>
    <w:rsid w:val="06C37A05"/>
    <w:rsid w:val="06E72431"/>
    <w:rsid w:val="06F66922"/>
    <w:rsid w:val="07265D3C"/>
    <w:rsid w:val="08435EED"/>
    <w:rsid w:val="086E0FD7"/>
    <w:rsid w:val="08C101E1"/>
    <w:rsid w:val="08F43425"/>
    <w:rsid w:val="097441F5"/>
    <w:rsid w:val="09CD2C45"/>
    <w:rsid w:val="0A017568"/>
    <w:rsid w:val="0B341B10"/>
    <w:rsid w:val="0C3D69A8"/>
    <w:rsid w:val="0D5013F3"/>
    <w:rsid w:val="0D5E5BC0"/>
    <w:rsid w:val="0D7830EB"/>
    <w:rsid w:val="0DF97701"/>
    <w:rsid w:val="0E89519E"/>
    <w:rsid w:val="0F07055B"/>
    <w:rsid w:val="0FDE77FD"/>
    <w:rsid w:val="102223E7"/>
    <w:rsid w:val="10523A22"/>
    <w:rsid w:val="106A0EDC"/>
    <w:rsid w:val="10B62772"/>
    <w:rsid w:val="1278459A"/>
    <w:rsid w:val="128B266E"/>
    <w:rsid w:val="12D42BC1"/>
    <w:rsid w:val="13783931"/>
    <w:rsid w:val="15166AC8"/>
    <w:rsid w:val="15581CD0"/>
    <w:rsid w:val="15D11740"/>
    <w:rsid w:val="17636398"/>
    <w:rsid w:val="17CF6D67"/>
    <w:rsid w:val="181C6D16"/>
    <w:rsid w:val="18910B3B"/>
    <w:rsid w:val="18D22099"/>
    <w:rsid w:val="18DD272B"/>
    <w:rsid w:val="18EB4302"/>
    <w:rsid w:val="19100D5B"/>
    <w:rsid w:val="1A592B5B"/>
    <w:rsid w:val="1A6E7C5C"/>
    <w:rsid w:val="1B2357B0"/>
    <w:rsid w:val="1C4A27A9"/>
    <w:rsid w:val="1C6F4CAD"/>
    <w:rsid w:val="1CBE401D"/>
    <w:rsid w:val="1CE64624"/>
    <w:rsid w:val="1D1560FB"/>
    <w:rsid w:val="1EE071DF"/>
    <w:rsid w:val="1F3121B9"/>
    <w:rsid w:val="1F474B62"/>
    <w:rsid w:val="1FA42F33"/>
    <w:rsid w:val="210C549A"/>
    <w:rsid w:val="21A46030"/>
    <w:rsid w:val="22635C6C"/>
    <w:rsid w:val="22B17C29"/>
    <w:rsid w:val="243310C1"/>
    <w:rsid w:val="244249DC"/>
    <w:rsid w:val="24D36013"/>
    <w:rsid w:val="25495B77"/>
    <w:rsid w:val="259514D9"/>
    <w:rsid w:val="25B726BC"/>
    <w:rsid w:val="26145AF7"/>
    <w:rsid w:val="26197EE2"/>
    <w:rsid w:val="264A5117"/>
    <w:rsid w:val="26A50FD0"/>
    <w:rsid w:val="26BE6B18"/>
    <w:rsid w:val="26CD4B5D"/>
    <w:rsid w:val="270C6F37"/>
    <w:rsid w:val="271863ED"/>
    <w:rsid w:val="279434A5"/>
    <w:rsid w:val="286D666F"/>
    <w:rsid w:val="298B33B2"/>
    <w:rsid w:val="29D76041"/>
    <w:rsid w:val="2A2378BC"/>
    <w:rsid w:val="2BAF4DEB"/>
    <w:rsid w:val="2BD6493A"/>
    <w:rsid w:val="2C0818D9"/>
    <w:rsid w:val="2CAE2418"/>
    <w:rsid w:val="2DEF6F21"/>
    <w:rsid w:val="2EFB087A"/>
    <w:rsid w:val="305158D8"/>
    <w:rsid w:val="30651845"/>
    <w:rsid w:val="308E1C6D"/>
    <w:rsid w:val="31D01656"/>
    <w:rsid w:val="31E132F1"/>
    <w:rsid w:val="323049A1"/>
    <w:rsid w:val="329F057D"/>
    <w:rsid w:val="337961E5"/>
    <w:rsid w:val="33EE26A6"/>
    <w:rsid w:val="34432A1E"/>
    <w:rsid w:val="348B02EF"/>
    <w:rsid w:val="34B70DC4"/>
    <w:rsid w:val="34BF4EC1"/>
    <w:rsid w:val="353405A8"/>
    <w:rsid w:val="3568016E"/>
    <w:rsid w:val="35822145"/>
    <w:rsid w:val="360E58DB"/>
    <w:rsid w:val="364848B1"/>
    <w:rsid w:val="37297A54"/>
    <w:rsid w:val="3792730F"/>
    <w:rsid w:val="37E5429C"/>
    <w:rsid w:val="38ED2FC8"/>
    <w:rsid w:val="38F93538"/>
    <w:rsid w:val="393E292D"/>
    <w:rsid w:val="39C31D55"/>
    <w:rsid w:val="39DF79E1"/>
    <w:rsid w:val="3A612944"/>
    <w:rsid w:val="3ACD6E33"/>
    <w:rsid w:val="3B4F2D0C"/>
    <w:rsid w:val="3BD009C9"/>
    <w:rsid w:val="3C146700"/>
    <w:rsid w:val="3C4476EF"/>
    <w:rsid w:val="3C636C64"/>
    <w:rsid w:val="3D0D4F80"/>
    <w:rsid w:val="3D6F6D48"/>
    <w:rsid w:val="3D7E6DEE"/>
    <w:rsid w:val="3F3140A8"/>
    <w:rsid w:val="3FAE1273"/>
    <w:rsid w:val="3FE13210"/>
    <w:rsid w:val="404311EA"/>
    <w:rsid w:val="40F36080"/>
    <w:rsid w:val="41415269"/>
    <w:rsid w:val="41982A30"/>
    <w:rsid w:val="41B86F33"/>
    <w:rsid w:val="42B2286C"/>
    <w:rsid w:val="42BB51F0"/>
    <w:rsid w:val="4307639B"/>
    <w:rsid w:val="431B1BDB"/>
    <w:rsid w:val="433F65A9"/>
    <w:rsid w:val="438B4FCB"/>
    <w:rsid w:val="44CE07AF"/>
    <w:rsid w:val="45CD11CA"/>
    <w:rsid w:val="45FF29F5"/>
    <w:rsid w:val="462C4594"/>
    <w:rsid w:val="473C2254"/>
    <w:rsid w:val="47E308D6"/>
    <w:rsid w:val="47F3657F"/>
    <w:rsid w:val="489A65D2"/>
    <w:rsid w:val="49D50A11"/>
    <w:rsid w:val="49F73EEB"/>
    <w:rsid w:val="4A9F2C84"/>
    <w:rsid w:val="4B7C4A8E"/>
    <w:rsid w:val="4D5F3BD9"/>
    <w:rsid w:val="4DAA10CD"/>
    <w:rsid w:val="4DC360DC"/>
    <w:rsid w:val="4EC6683D"/>
    <w:rsid w:val="4EE94FF0"/>
    <w:rsid w:val="501B747D"/>
    <w:rsid w:val="50933694"/>
    <w:rsid w:val="532337FA"/>
    <w:rsid w:val="53721A8E"/>
    <w:rsid w:val="539A373A"/>
    <w:rsid w:val="53BB6A0A"/>
    <w:rsid w:val="5416109C"/>
    <w:rsid w:val="5445269E"/>
    <w:rsid w:val="557846DA"/>
    <w:rsid w:val="55FE7F4A"/>
    <w:rsid w:val="56374926"/>
    <w:rsid w:val="5663065A"/>
    <w:rsid w:val="57347B72"/>
    <w:rsid w:val="5798050C"/>
    <w:rsid w:val="58DA0B00"/>
    <w:rsid w:val="59257D00"/>
    <w:rsid w:val="59815D82"/>
    <w:rsid w:val="59C02C42"/>
    <w:rsid w:val="5A3B401C"/>
    <w:rsid w:val="5AC86F9E"/>
    <w:rsid w:val="5B335836"/>
    <w:rsid w:val="5B736C2E"/>
    <w:rsid w:val="5C34663E"/>
    <w:rsid w:val="5C4946E4"/>
    <w:rsid w:val="5C550A53"/>
    <w:rsid w:val="5C7F0BDE"/>
    <w:rsid w:val="5DC0412B"/>
    <w:rsid w:val="5DE43D3E"/>
    <w:rsid w:val="5E4C708D"/>
    <w:rsid w:val="5EE72600"/>
    <w:rsid w:val="61925F5D"/>
    <w:rsid w:val="625C4069"/>
    <w:rsid w:val="626D66B8"/>
    <w:rsid w:val="627454CE"/>
    <w:rsid w:val="63136897"/>
    <w:rsid w:val="63FB7967"/>
    <w:rsid w:val="642C6C20"/>
    <w:rsid w:val="6582645D"/>
    <w:rsid w:val="65E44297"/>
    <w:rsid w:val="65EC47AE"/>
    <w:rsid w:val="65EE5EEF"/>
    <w:rsid w:val="66640FC7"/>
    <w:rsid w:val="671B2370"/>
    <w:rsid w:val="67A61686"/>
    <w:rsid w:val="67C72F8F"/>
    <w:rsid w:val="683F51BC"/>
    <w:rsid w:val="68423275"/>
    <w:rsid w:val="694C431D"/>
    <w:rsid w:val="6983116C"/>
    <w:rsid w:val="69CC1A1A"/>
    <w:rsid w:val="6A1C3F01"/>
    <w:rsid w:val="6B740414"/>
    <w:rsid w:val="6B763420"/>
    <w:rsid w:val="6B827589"/>
    <w:rsid w:val="6B870469"/>
    <w:rsid w:val="6C7F04BE"/>
    <w:rsid w:val="6CCA6E98"/>
    <w:rsid w:val="6E076B62"/>
    <w:rsid w:val="6F2947BB"/>
    <w:rsid w:val="703507C2"/>
    <w:rsid w:val="70A3388D"/>
    <w:rsid w:val="712F06BA"/>
    <w:rsid w:val="71F37C60"/>
    <w:rsid w:val="7222692E"/>
    <w:rsid w:val="72C94791"/>
    <w:rsid w:val="730560CC"/>
    <w:rsid w:val="74356FF5"/>
    <w:rsid w:val="746566F9"/>
    <w:rsid w:val="74A7338D"/>
    <w:rsid w:val="7634069A"/>
    <w:rsid w:val="76832EF5"/>
    <w:rsid w:val="768D5069"/>
    <w:rsid w:val="77036357"/>
    <w:rsid w:val="774728A4"/>
    <w:rsid w:val="77BE8A17"/>
    <w:rsid w:val="77DA7732"/>
    <w:rsid w:val="7AD42321"/>
    <w:rsid w:val="7B520F3E"/>
    <w:rsid w:val="7BC202B5"/>
    <w:rsid w:val="7C037EA8"/>
    <w:rsid w:val="7D464082"/>
    <w:rsid w:val="7DE22250"/>
    <w:rsid w:val="7EA64D4A"/>
    <w:rsid w:val="7EAC2B23"/>
    <w:rsid w:val="7EC65220"/>
    <w:rsid w:val="7EE10D2C"/>
    <w:rsid w:val="7FB15E73"/>
    <w:rsid w:val="7FC63213"/>
    <w:rsid w:val="7FE81D9A"/>
    <w:rsid w:val="DDDFAAC9"/>
    <w:rsid w:val="EFB7DA75"/>
    <w:rsid w:val="FF8B6B4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4正文"/>
    <w:basedOn w:val="1"/>
    <w:qFormat/>
    <w:uiPriority w:val="0"/>
    <w:pPr>
      <w:snapToGrid w:val="0"/>
      <w:spacing w:line="440" w:lineRule="exact"/>
      <w:ind w:firstLine="20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TotalTime>2</TotalTime>
  <ScaleCrop>false</ScaleCrop>
  <LinksUpToDate>false</LinksUpToDate>
  <CharactersWithSpaces>9786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2025-08-19T02:17:00Z</dcterms:created>
  <dc:creator>李航 null</dc:creator>
  <cp:lastModifiedBy>greatwall</cp:lastModifiedBy>
  <cp:lastPrinted>2024-08-09T10:20:00Z</cp:lastPrinted>
  <dcterms:modified xsi:type="dcterms:W3CDTF">2025-09-23T15:33:56Z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BB7B6AA21D207914D6FDA268992A22D6</vt:lpwstr>
  </property>
</Properties>
</file>