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2E4D1">
      <w:pPr>
        <w:pStyle w:val="13"/>
        <w:jc w:val="both"/>
        <w:rPr>
          <w:rFonts w:hAnsi="黑体"/>
          <w:sz w:val="36"/>
          <w:szCs w:val="36"/>
        </w:rPr>
      </w:pPr>
      <w:r>
        <w:rPr>
          <w:rFonts w:hint="eastAsia" w:hAnsi="黑体"/>
          <w:sz w:val="36"/>
          <w:szCs w:val="36"/>
        </w:rPr>
        <w:t>附件1</w:t>
      </w:r>
    </w:p>
    <w:p w14:paraId="7CFB92E4">
      <w:pPr>
        <w:pStyle w:val="13"/>
        <w:jc w:val="center"/>
        <w:rPr>
          <w:rFonts w:ascii="Times New Roman" w:hAnsi="Times New Roman" w:cs="Times New Roman"/>
          <w:sz w:val="56"/>
          <w:szCs w:val="56"/>
        </w:rPr>
      </w:pPr>
    </w:p>
    <w:p w14:paraId="4F8E52FE">
      <w:pPr>
        <w:pStyle w:val="13"/>
        <w:jc w:val="center"/>
        <w:rPr>
          <w:rFonts w:ascii="Times New Roman" w:hAnsi="Times New Roman" w:cs="Times New Roman"/>
          <w:sz w:val="84"/>
          <w:szCs w:val="84"/>
        </w:rPr>
      </w:pPr>
    </w:p>
    <w:p w14:paraId="53C8F59B">
      <w:pPr>
        <w:pStyle w:val="13"/>
        <w:jc w:val="center"/>
        <w:rPr>
          <w:rFonts w:ascii="Times New Roman" w:hAnsi="Times New Roman" w:cs="Times New Roman"/>
          <w:sz w:val="84"/>
          <w:szCs w:val="84"/>
        </w:rPr>
      </w:pPr>
    </w:p>
    <w:p w14:paraId="25629085">
      <w:pPr>
        <w:pStyle w:val="13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sz w:val="72"/>
          <w:szCs w:val="72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 w14:paraId="7FF3B025">
      <w:pPr>
        <w:pStyle w:val="13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sz w:val="72"/>
          <w:szCs w:val="72"/>
        </w:rPr>
        <w:t>怀化市强制隔离戒毒所</w:t>
      </w:r>
    </w:p>
    <w:p w14:paraId="309CF6BF">
      <w:pPr>
        <w:pStyle w:val="13"/>
        <w:jc w:val="center"/>
        <w:rPr>
          <w:rFonts w:ascii="Times New Roman" w:hAnsi="Times New Roman" w:eastAsia="方正小标宋简体" w:cs="Times New Roman"/>
          <w:sz w:val="72"/>
          <w:szCs w:val="72"/>
        </w:rPr>
        <w:sectPr>
          <w:pgSz w:w="11906" w:h="16838"/>
          <w:pgMar w:top="1417" w:right="1588" w:bottom="1417" w:left="1588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方正小标宋简体" w:cs="Times New Roman"/>
          <w:sz w:val="72"/>
          <w:szCs w:val="72"/>
        </w:rPr>
        <w:t>部门决算</w:t>
      </w:r>
    </w:p>
    <w:p w14:paraId="390D0B9A">
      <w:pPr>
        <w:pStyle w:val="13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29714AF8">
      <w:pPr>
        <w:pStyle w:val="13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26A6B156">
      <w:pPr>
        <w:pStyle w:val="13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024E6970">
      <w:pPr>
        <w:pStyle w:val="13"/>
        <w:spacing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第一部分</w:t>
      </w:r>
      <w:r>
        <w:rPr>
          <w:rFonts w:hint="eastAsia"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</w:rPr>
        <w:t>怀化市强制隔离戒毒所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6415A913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55A00C17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0FEE5964">
      <w:pPr>
        <w:pStyle w:val="13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15437920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7599A867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5ED76955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5467B75C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0095A9CC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35D2E59F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416D87EE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7B9BD5EB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5843038B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72E9ADF8">
      <w:pPr>
        <w:pStyle w:val="13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243FDE20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3CF1CA25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37FC2459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78B60269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52B848E7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0CE9A57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2BE730B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5FBDBAB9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01113A9F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1BC98BD5">
      <w:pPr>
        <w:pStyle w:val="13"/>
        <w:overflowPunct w:val="0"/>
        <w:autoSpaceDE/>
        <w:autoSpaceDN/>
        <w:spacing w:line="600" w:lineRule="exact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</w:t>
      </w:r>
      <w:r>
        <w:rPr>
          <w:rFonts w:hint="eastAsia" w:ascii="Times New Roman" w:hAnsi="Times New Roman" w:cs="Times New Roman"/>
          <w:bCs/>
          <w:sz w:val="32"/>
          <w:szCs w:val="32"/>
        </w:rPr>
        <w:t>国有资本经营预算财政拨款支出</w:t>
      </w:r>
      <w:r>
        <w:rPr>
          <w:rFonts w:ascii="Times New Roman" w:hAnsi="Times New Roman" w:cs="Times New Roman"/>
          <w:bCs/>
          <w:sz w:val="32"/>
          <w:szCs w:val="32"/>
        </w:rPr>
        <w:t>情况</w:t>
      </w:r>
    </w:p>
    <w:p w14:paraId="64BD8D52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十、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关于机关运行经费支出说明</w:t>
      </w:r>
    </w:p>
    <w:p w14:paraId="224F27D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、一般性支出情况说明</w:t>
      </w:r>
    </w:p>
    <w:p w14:paraId="5BDDB052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6031ACFB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、关于国有资产占用情况说明</w:t>
      </w:r>
    </w:p>
    <w:p w14:paraId="0804ACFD">
      <w:pPr>
        <w:pStyle w:val="13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、关于2024年度预算绩效管理情况的说明</w:t>
      </w:r>
    </w:p>
    <w:p w14:paraId="6167C424">
      <w:pPr>
        <w:pStyle w:val="13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1CD0CD02">
      <w:pPr>
        <w:pStyle w:val="13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688E6EA8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 w14:paraId="20C870C2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b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怀化市强制隔离戒毒所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 w14:paraId="07073C22">
      <w:pPr>
        <w:pStyle w:val="3"/>
        <w:ind w:left="0" w:leftChars="0" w:firstLine="0" w:firstLineChars="0"/>
        <w:rPr>
          <w:rFonts w:ascii="Times New Roman" w:hAnsi="Times New Roman" w:cs="Times New Roman"/>
        </w:rPr>
      </w:pPr>
    </w:p>
    <w:p w14:paraId="7CB1E420">
      <w:pPr>
        <w:pStyle w:val="14"/>
        <w:spacing w:line="600" w:lineRule="exact"/>
        <w:ind w:firstLine="64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53777D50">
      <w:pPr>
        <w:widowControl/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①依法收治强制隔离戒毒人员，准确执行强制戒毒决定；依规办理强制隔离戒毒的考核、奖惩、探视、变更戒毒措施、所外就医、综合诊断评估、解除强制隔离戒毒审批手续。②依法、严格、科学、文明管理强制隔离戒毒人员，防止强制隔离戒毒人员擅自离所、犯罪、非正常死亡等重大事故的发生，维护场所稳定。③利用各种教育矫治手段，对强制隔离戒毒人员进行针对性教育，提高强制隔离戒毒人员戒断率。④依法开展戒毒康复各种工作。⑤依法对社区戒毒和社区康复工作提供指导和支持。⑥承办市人民政府和市司法局交办的其他工作。</w:t>
      </w:r>
      <w:r>
        <w:rPr>
          <w:rFonts w:hint="eastAsia" w:ascii="微软雅黑" w:hAnsi="微软雅黑" w:eastAsia="微软雅黑" w:cs="仿宋_GB2312"/>
          <w:bCs/>
          <w:kern w:val="0"/>
          <w:sz w:val="32"/>
          <w:szCs w:val="32"/>
        </w:rPr>
        <w:t>⑦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负责市德润中学学生的日常管理，开展矫治教育工作。</w:t>
      </w:r>
    </w:p>
    <w:p w14:paraId="4FD4A3A7">
      <w:pPr>
        <w:widowControl/>
        <w:spacing w:line="600" w:lineRule="exact"/>
        <w:ind w:firstLine="640" w:firstLineChars="200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5CA94947">
      <w:pPr>
        <w:widowControl/>
        <w:spacing w:line="600" w:lineRule="exact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怀化市强制隔离戒毒所内设机构包括：强戒一、二、三大队，政治处，办公室、管理科、教育矫治科、生活卫生科，生产财务科，警戒护卫科等13个科室大队。</w:t>
      </w:r>
    </w:p>
    <w:p w14:paraId="57A83B29">
      <w:pPr>
        <w:widowControl/>
        <w:spacing w:line="600" w:lineRule="exact"/>
        <w:rPr>
          <w:rFonts w:ascii="Times New Roman" w:hAnsi="Times New Roman" w:eastAsia="仿宋_GB2312" w:cs="Times New Roman"/>
          <w:sz w:val="28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怀化市强制隔离戒毒所2025年部门决算汇总公开单位构成包括：怀化市强制隔离戒毒所本级。</w:t>
      </w:r>
    </w:p>
    <w:p w14:paraId="076F67B5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3E06B134">
      <w:pPr>
        <w:pStyle w:val="13"/>
        <w:jc w:val="center"/>
        <w:rPr>
          <w:rFonts w:ascii="方正小标宋_GBK" w:hAnsi="方正小标宋_GBK" w:eastAsia="方正小标宋_GBK" w:cs="方正小标宋_GBK"/>
          <w:sz w:val="84"/>
          <w:szCs w:val="84"/>
        </w:rPr>
      </w:pPr>
    </w:p>
    <w:p w14:paraId="6D23995F">
      <w:pPr>
        <w:pStyle w:val="13"/>
        <w:jc w:val="center"/>
        <w:rPr>
          <w:rFonts w:ascii="方正小标宋_GBK" w:hAnsi="方正小标宋_GBK" w:eastAsia="方正小标宋_GBK" w:cs="方正小标宋_GBK"/>
          <w:sz w:val="84"/>
          <w:szCs w:val="84"/>
        </w:rPr>
      </w:pPr>
    </w:p>
    <w:p w14:paraId="3744DCB9">
      <w:pPr>
        <w:pStyle w:val="13"/>
        <w:jc w:val="center"/>
        <w:rPr>
          <w:rFonts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51B8F4B6">
      <w:pPr>
        <w:pStyle w:val="13"/>
        <w:jc w:val="center"/>
        <w:rPr>
          <w:rFonts w:ascii="方正小标宋_GBK" w:hAnsi="方正小标宋_GBK" w:eastAsia="方正小标宋_GBK" w:cs="方正小标宋_GBK"/>
          <w:sz w:val="84"/>
          <w:szCs w:val="84"/>
        </w:rPr>
      </w:pPr>
    </w:p>
    <w:p w14:paraId="75B56030">
      <w:pPr>
        <w:pStyle w:val="13"/>
        <w:jc w:val="center"/>
        <w:rPr>
          <w:rFonts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18F454D0">
      <w:pPr>
        <w:jc w:val="center"/>
        <w:rPr>
          <w:sz w:val="72"/>
          <w:szCs w:val="72"/>
        </w:rPr>
      </w:pPr>
    </w:p>
    <w:p w14:paraId="777C452B">
      <w:pPr>
        <w:pStyle w:val="2"/>
        <w:ind w:firstLine="3240" w:firstLineChars="450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见附件</w:t>
      </w:r>
    </w:p>
    <w:p w14:paraId="5F7939BC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660C7A5E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498C5EF8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0685808D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6A829045">
      <w:pPr>
        <w:pStyle w:val="13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0C4A2BC9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 w14:paraId="183A5160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</w:rPr>
        <w:t>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 w14:paraId="0C8D41ED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 w14:paraId="25A627B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 w14:paraId="2A0602A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2637.24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359.22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11.99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戒毒人员经费减少，基建开支较上年减少。</w:t>
      </w:r>
    </w:p>
    <w:p w14:paraId="1E2FE56A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 w14:paraId="6123D645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2637.24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2634.45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99.89</w:t>
      </w:r>
      <w:r>
        <w:rPr>
          <w:rFonts w:ascii="Times New Roman" w:hAnsi="Times New Roman" w:eastAsia="仿宋_GB2312" w:cs="Times New Roman"/>
          <w:sz w:val="32"/>
          <w:szCs w:val="32"/>
        </w:rPr>
        <w:t>%；上级补助收入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%；事业收入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%；附属单位上缴收入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%；其他收入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2.78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0.11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1E87E65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 w14:paraId="4E6E217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2637.24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2367.77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89.78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269.47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10.22</w:t>
      </w:r>
      <w:r>
        <w:rPr>
          <w:rFonts w:ascii="Times New Roman" w:hAnsi="Times New Roman" w:eastAsia="仿宋_GB2312" w:cs="Times New Roman"/>
          <w:sz w:val="32"/>
          <w:szCs w:val="32"/>
        </w:rPr>
        <w:t>%；上缴上级支出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%；对附属单位补助支出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45C4224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 w14:paraId="28F222A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2634.45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286.85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9.82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/>
          <w:sz w:val="32"/>
          <w:szCs w:val="32"/>
        </w:rPr>
        <w:t>主要是因为戒毒人员经费减少，基建开支较上年减少。</w:t>
      </w:r>
    </w:p>
    <w:p w14:paraId="45D1D70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五、一般公共预算财政拨款支出决算情况说明</w:t>
      </w:r>
    </w:p>
    <w:p w14:paraId="0B68E824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5DA04C60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2634.45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99.89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286.85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9.82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/>
          <w:sz w:val="32"/>
          <w:szCs w:val="32"/>
        </w:rPr>
        <w:t>主要是因为戒毒人员经费减少，基建开支较上年减少。</w:t>
      </w:r>
    </w:p>
    <w:p w14:paraId="0EEA1294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0BE25E0F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2634.45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一般公共服务支出70.47万元，</w:t>
      </w:r>
      <w:r>
        <w:rPr>
          <w:rFonts w:hint="eastAsia" w:ascii="Times New Roman" w:hAnsi="Times New Roman" w:eastAsia="仿宋_GB2312"/>
          <w:sz w:val="32"/>
          <w:szCs w:val="32"/>
        </w:rPr>
        <w:t>占2.67%；公共安全支出2040.6万元，占77.46%；教育支出50万元，占1.9%；社会保障及就业支出284.81万元，占10.81%；卫生健康支出65.37万元，占2.48%；住房保障支出123.21万元，占4.68%。</w:t>
      </w:r>
    </w:p>
    <w:p w14:paraId="58BAA67A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542C86F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2158.78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2634.45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122.03</w:t>
      </w:r>
      <w:r>
        <w:rPr>
          <w:rFonts w:ascii="Times New Roman" w:hAnsi="Times New Roman" w:eastAsia="仿宋_GB2312" w:cs="Times New Roman"/>
          <w:sz w:val="32"/>
          <w:szCs w:val="32"/>
        </w:rPr>
        <w:t>%，其中：</w:t>
      </w:r>
    </w:p>
    <w:p w14:paraId="0520DF7B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</w:t>
      </w:r>
      <w:r>
        <w:rPr>
          <w:rFonts w:hint="eastAsia" w:ascii="Times New Roman" w:hAnsi="Times New Roman" w:eastAsia="仿宋_GB2312"/>
          <w:sz w:val="32"/>
          <w:szCs w:val="32"/>
        </w:rPr>
        <w:t>一般公共服务支出（类）其他一般公共服务支出（款）其他一般公共服务支出（项）</w:t>
      </w:r>
    </w:p>
    <w:p w14:paraId="001052B1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年初预算为0万元，支出决算为70.47万元，决算数大于年初预算数的主要原因是：全部为追加的2025年度考核奖。</w:t>
      </w:r>
    </w:p>
    <w:p w14:paraId="29746B71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2、公共安全支出（类）公安（款）其他公安支出（项）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78ED5E5C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73.57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其中46.06万元为</w:t>
      </w:r>
      <w:r>
        <w:rPr>
          <w:rFonts w:hint="eastAsia" w:ascii="Times New Roman" w:hAnsi="Times New Roman" w:eastAsia="仿宋_GB2312"/>
          <w:sz w:val="32"/>
          <w:szCs w:val="32"/>
        </w:rPr>
        <w:t>追加的人民警察值勤岗位津贴，其中27.51万元为追加的戒毒人员经费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0FB958D5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3、公共安全支出（类）强制隔离戒毒（款）行政运行（项）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E3328F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1652.15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1775.07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107.44</w:t>
      </w:r>
      <w:r>
        <w:rPr>
          <w:rFonts w:ascii="Times New Roman" w:hAnsi="Times New Roman" w:eastAsia="仿宋_GB2312" w:cs="Times New Roman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大</w:t>
      </w:r>
      <w:r>
        <w:rPr>
          <w:rFonts w:ascii="Times New Roman" w:hAnsi="Times New Roman" w:eastAsia="仿宋_GB2312" w:cs="Times New Roman"/>
          <w:sz w:val="32"/>
          <w:szCs w:val="32"/>
        </w:rPr>
        <w:t>于年初预算数的主要原因是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人员经费的增加。</w:t>
      </w:r>
    </w:p>
    <w:p w14:paraId="3BA4EF1D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4、公共安全支出（类）强制隔离戒毒（款）所政设施建设（项）</w:t>
      </w:r>
    </w:p>
    <w:p w14:paraId="5C900B20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年初预算为10万元，支出决算为46.65万元，决算数大于年初预算数的主要原因是：其中16.65万元为以前年度的基建项目经费的结转结余，未纳入年初预算； 20万元为中央转移支付追加预算。</w:t>
      </w:r>
    </w:p>
    <w:p w14:paraId="04E9FF6F">
      <w:pPr>
        <w:pStyle w:val="13"/>
        <w:spacing w:line="600" w:lineRule="exact"/>
        <w:ind w:firstLine="800" w:firstLineChars="25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5、公共安全支出（类）强制隔离戒毒（款）信息化建设（项）</w:t>
      </w:r>
    </w:p>
    <w:p w14:paraId="50557D52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年初预算为0万元，支出决算为28万元，决算数大于年初预算数的主要原因是：全部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为中央转移支付追加预算。</w:t>
      </w:r>
    </w:p>
    <w:p w14:paraId="3C458F2B">
      <w:pPr>
        <w:pStyle w:val="13"/>
        <w:spacing w:line="600" w:lineRule="exact"/>
        <w:ind w:firstLine="800" w:firstLineChars="25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6、公共安全支出（类）强制隔离戒毒（款）其他强制隔离戒毒支出（项）</w:t>
      </w:r>
    </w:p>
    <w:p w14:paraId="3160AE44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年初预算为0万元，支出决算为117.31万元，决算数大于年初预算数的主要原因是：全部为中央转移支付追加预算。</w:t>
      </w:r>
    </w:p>
    <w:p w14:paraId="6FDF2E03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 xml:space="preserve"> 7、教育支出（类）特殊教育</w:t>
      </w:r>
      <w:r>
        <w:rPr>
          <w:rFonts w:hint="eastAsia" w:ascii="Times New Roman" w:hAnsi="Times New Roman" w:eastAsia="仿宋_GB2312"/>
          <w:sz w:val="32"/>
          <w:szCs w:val="32"/>
        </w:rPr>
        <w:t>（款）专门学校教育（项）</w:t>
      </w:r>
    </w:p>
    <w:p w14:paraId="2D411CA2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年初预算为0万元，支出决算为50万元，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决算数大于年初预算数的主要原因是：为年中追加代管专门学校（怀化市德润中学）开学经费的预算。</w:t>
      </w:r>
    </w:p>
    <w:p w14:paraId="70FFCD12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8、社会保障和就业支出（类）行政事业单位基本养老支出（款）行政事业单位离退休（项）</w:t>
      </w:r>
    </w:p>
    <w:p w14:paraId="0FBF29FC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年初预算为151.38万元，支出决算为121.83万元，决算数小于年初预算数的主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要原因是：有部分提前退休人员到龄，退休费减少。</w:t>
      </w:r>
    </w:p>
    <w:p w14:paraId="322A7741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9、社会保障和就业支出（类）行政事业单位离退休（款）机关事业单位基本养老保险缴费支出（项）</w:t>
      </w:r>
    </w:p>
    <w:p w14:paraId="4A91D490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年初预算为153.68万元，支出决算为157.26万元，完成年初预算的102.33%，决算数大于年初预算数的主要原因是养老保险缴费基数异动，缴费稍有增加。</w:t>
      </w:r>
    </w:p>
    <w:p w14:paraId="01F30F8F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10、社会保障和就业支出（类）抚恤（款）其他优抚支出（项）</w:t>
      </w:r>
    </w:p>
    <w:p w14:paraId="7D37CFAF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年初预算为7.16万元，支出决算为5.72万元，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决算数小于年初预算数的主要原因是：支出均为遗属补助，本年减少部分遗属。</w:t>
      </w:r>
    </w:p>
    <w:p w14:paraId="3EB0BF2C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11、卫生健康支出（类）行政事业单位医疗（款）行政单位医疗（项）</w:t>
      </w:r>
    </w:p>
    <w:p w14:paraId="0362977E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年初预算为62.85万元，支出决算为65.37万元，完成年初预算的104.01%，决算数大于年初预算数的主要原因是：医保缴费基数异动，缴费稍有增加。</w:t>
      </w:r>
    </w:p>
    <w:p w14:paraId="5643B3F7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12、住房保障支出（类）住房改革支出（款）住房公积金（项）</w:t>
      </w:r>
    </w:p>
    <w:p w14:paraId="5E5C7B40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年初预算为122.55万元，支出决算为123.21万元，完成年初预算的100.54%，决算数大于年初预算数的主要原因是：正常的基数异动费用稍有增加。</w:t>
      </w:r>
    </w:p>
    <w:p w14:paraId="12499F37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5E6156B0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 w14:paraId="6660B2B7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2364.99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</w:t>
      </w:r>
    </w:p>
    <w:p w14:paraId="45EB22E0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2153.92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91.08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主要包括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基本工资、津贴补贴、奖金、伙食补助费、社会保障缴费、其他工资福利支出等。</w:t>
      </w:r>
    </w:p>
    <w:p w14:paraId="642FF9BB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211.06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8.92</w:t>
      </w:r>
      <w:r>
        <w:rPr>
          <w:rFonts w:ascii="Times New Roman" w:hAnsi="Times New Roman" w:eastAsia="仿宋_GB2312" w:cs="Times New Roman"/>
          <w:sz w:val="32"/>
          <w:szCs w:val="32"/>
        </w:rPr>
        <w:t>%，主要包括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 xml:space="preserve">办公费、邮电费、差旅费、工会经费、其他商品和服务支出等。  </w:t>
      </w:r>
    </w:p>
    <w:p w14:paraId="15B83E0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七、财政拨款“三公”经费支出决算情况说明</w:t>
      </w:r>
    </w:p>
    <w:p w14:paraId="65AD28F5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59C9C5A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18.8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17.35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92.29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1.45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7.71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小于预算数的原因是：应政策要求，厉行节约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683D2988">
      <w:pPr>
        <w:pStyle w:val="13"/>
        <w:overflowPunct w:val="0"/>
        <w:autoSpaceDE/>
        <w:autoSpaceDN/>
        <w:spacing w:line="600" w:lineRule="exact"/>
        <w:ind w:firstLine="643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66B7DB64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决算数等于预算数。无发生额，因此与上年持平</w:t>
      </w:r>
      <w:r>
        <w:rPr>
          <w:rFonts w:ascii="Times New Roman" w:hAnsi="Times New Roman" w:eastAsia="仿宋_GB2312" w:cs="Times New Roman"/>
          <w:sz w:val="32"/>
          <w:szCs w:val="32"/>
        </w:rPr>
        <w:t>。202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仿宋_GB2312"/>
          <w:sz w:val="32"/>
          <w:szCs w:val="32"/>
        </w:rPr>
        <w:t>，无开支内容。</w:t>
      </w:r>
    </w:p>
    <w:p w14:paraId="4D9EFE8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16.8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16.8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与上年相比减少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4.55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4F6420C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其中：公务用车购置费支出预算为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决算数等于预算数，无发生额，因此与上年持平。</w:t>
      </w:r>
    </w:p>
    <w:p w14:paraId="07E2D03C">
      <w:pPr>
        <w:spacing w:line="600" w:lineRule="exact"/>
        <w:ind w:firstLine="800" w:firstLineChars="25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16.8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16.8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决算数等于预算数。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主要是公车油料费、维修费、保险费等支出</w:t>
      </w:r>
      <w:r>
        <w:rPr>
          <w:rFonts w:ascii="Times New Roman" w:hAnsi="Times New Roman" w:eastAsia="仿宋_GB2312" w:cs="Times New Roman"/>
          <w:sz w:val="32"/>
          <w:szCs w:val="32"/>
        </w:rPr>
        <w:t>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与上年相比减少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4.55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7F6EF0B7">
      <w:pPr>
        <w:spacing w:line="600" w:lineRule="exact"/>
        <w:ind w:firstLine="800" w:firstLineChars="250"/>
        <w:rPr>
          <w:rFonts w:ascii="楷体" w:hAnsi="楷体" w:eastAsia="楷体" w:cs="楷体"/>
          <w:b/>
          <w:bCs/>
          <w:i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至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59D46B9B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0.55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27.5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0.65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54.17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hint="eastAsia" w:ascii="Times New Roman" w:hAnsi="Times New Roman" w:eastAsia="仿宋_GB2312"/>
          <w:sz w:val="32"/>
          <w:szCs w:val="32"/>
        </w:rPr>
        <w:t>决算数小于预算数，原因是：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应政策要求，厉行节约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5C3C73D0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36</w:t>
      </w:r>
      <w:r>
        <w:rPr>
          <w:rFonts w:ascii="Times New Roman" w:hAnsi="Times New Roman" w:eastAsia="仿宋_GB2312" w:cs="Times New Roman"/>
          <w:sz w:val="32"/>
          <w:szCs w:val="32"/>
        </w:rPr>
        <w:t>人次，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主要是上级领导、省内兄弟所来所检查、调研工作发生的接待支出。</w:t>
      </w:r>
    </w:p>
    <w:p w14:paraId="3275BB3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 w14:paraId="3461E53D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2025年度本单位无政府性基金收支。</w:t>
      </w:r>
    </w:p>
    <w:p w14:paraId="4D100CA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九、</w:t>
      </w:r>
      <w:r>
        <w:rPr>
          <w:rFonts w:hint="eastAsia" w:ascii="Times New Roman" w:hAnsi="Times New Roman" w:cs="Times New Roman"/>
          <w:bCs/>
          <w:sz w:val="32"/>
          <w:szCs w:val="32"/>
        </w:rPr>
        <w:t>国有资本经营预算财政拨款支出</w:t>
      </w:r>
      <w:r>
        <w:rPr>
          <w:rFonts w:ascii="Times New Roman" w:hAnsi="Times New Roman" w:cs="Times New Roman"/>
          <w:bCs/>
          <w:sz w:val="32"/>
          <w:szCs w:val="32"/>
        </w:rPr>
        <w:t>情况</w:t>
      </w:r>
    </w:p>
    <w:p w14:paraId="6237C49E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2025年度本单位无国有资本经营预算财政拨款支出。</w:t>
      </w:r>
    </w:p>
    <w:p w14:paraId="098CE929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</w:t>
      </w:r>
      <w:r>
        <w:rPr>
          <w:rFonts w:ascii="Times New Roman" w:hAnsi="Times New Roman" w:cs="Times New Roman"/>
          <w:bCs/>
          <w:sz w:val="32"/>
          <w:szCs w:val="32"/>
        </w:rPr>
        <w:t>关于机关运行经费支出说明</w:t>
      </w:r>
    </w:p>
    <w:p w14:paraId="5BD88C99">
      <w:pPr>
        <w:pStyle w:val="13"/>
        <w:spacing w:line="60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年度机关运行经费支出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211.06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万元，比上年决算数减少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0.88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0.42</w:t>
      </w:r>
      <w:r>
        <w:rPr>
          <w:rFonts w:ascii="Times New Roman" w:hAnsi="Times New Roman" w:eastAsia="仿宋_GB2312" w:cs="Times New Roman"/>
          <w:sz w:val="32"/>
          <w:szCs w:val="32"/>
        </w:rPr>
        <w:t>%。主要原因是：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厉行节约控制支出。</w:t>
      </w:r>
    </w:p>
    <w:p w14:paraId="63A1F96A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</w:rPr>
        <w:t>一</w:t>
      </w:r>
      <w:r>
        <w:rPr>
          <w:rFonts w:ascii="Times New Roman" w:hAnsi="Times New Roman" w:cs="Times New Roman"/>
          <w:bCs/>
          <w:sz w:val="32"/>
          <w:szCs w:val="32"/>
        </w:rPr>
        <w:t>、一般性支出情况说明</w:t>
      </w:r>
    </w:p>
    <w:p w14:paraId="2016BCD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无开支内容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开支培训费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10.21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内容为参加司法厅组织的新警授衔、警察晋督晋司培训以及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省戒毒系统的业务轮训，其中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参加警衔晋升培训12人次，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参加省里举办的业务轮训的22人次。未举办</w:t>
      </w:r>
      <w:r>
        <w:rPr>
          <w:rFonts w:ascii="Times New Roman" w:hAnsi="Times New Roman" w:eastAsia="仿宋_GB2312" w:cs="Times New Roman"/>
          <w:sz w:val="32"/>
          <w:szCs w:val="32"/>
        </w:rPr>
        <w:t>节庆、晚会、论坛、赛事等活动，开支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无开支内容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382A202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sz w:val="32"/>
          <w:szCs w:val="32"/>
        </w:rPr>
        <w:t>二</w:t>
      </w:r>
      <w:r>
        <w:rPr>
          <w:rFonts w:ascii="Times New Roman" w:hAnsi="Times New Roman" w:cs="Times New Roman"/>
          <w:bCs/>
          <w:sz w:val="32"/>
          <w:szCs w:val="32"/>
        </w:rPr>
        <w:t>、关于政府采购支出说明</w:t>
      </w:r>
    </w:p>
    <w:p w14:paraId="0BA78A93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353.41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353.41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353.41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353.41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3D9E9C1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</w:rPr>
        <w:t>三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、关于国有资产占用情况说明</w:t>
      </w:r>
    </w:p>
    <w:p w14:paraId="01EC415B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截至202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年12月31日，</w:t>
      </w:r>
      <w:r>
        <w:rPr>
          <w:rFonts w:hint="eastAsia" w:ascii="Times New Roman" w:hAnsi="Times New Roman" w:eastAsia="仿宋_GB2312"/>
          <w:sz w:val="32"/>
          <w:szCs w:val="32"/>
        </w:rPr>
        <w:t>本单位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辆、主要负责人用车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辆、机要通信用车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辆、应急保障用车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辆、执法执勤用车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辆、特种专业技术用车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辆、离退休干部服务用车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辆、其他用车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</w:t>
      </w:r>
      <w:r>
        <w:rPr>
          <w:rFonts w:hint="eastAsia" w:ascii="Times New Roman" w:hAnsi="Times New Roman" w:eastAsia="仿宋_GB2312"/>
          <w:sz w:val="32"/>
          <w:szCs w:val="32"/>
        </w:rPr>
        <w:t>其他用车主要是一般公务用车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；单位价值100万元以上设备（不含车辆）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台（套）。</w:t>
      </w:r>
    </w:p>
    <w:p w14:paraId="64209AED">
      <w:pPr>
        <w:pStyle w:val="13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Cs/>
          <w:color w:val="auto"/>
          <w:sz w:val="32"/>
          <w:szCs w:val="32"/>
        </w:rPr>
        <w:t>四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、关于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 w14:paraId="07FB199E">
      <w:pPr>
        <w:overflowPunct w:val="0"/>
        <w:spacing w:line="600" w:lineRule="exact"/>
        <w:ind w:firstLine="643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269.47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269.47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 w14:paraId="2B3B33B2">
      <w:pPr>
        <w:widowControl/>
        <w:shd w:val="clear" w:color="auto" w:fill="FFFFFF"/>
        <w:spacing w:line="600" w:lineRule="atLeast"/>
        <w:ind w:firstLine="640"/>
        <w:rPr>
          <w:rFonts w:ascii="Times New Roman" w:hAnsi="Times New Roman" w:eastAsia="仿宋_GB2312" w:cs="黑体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一是绩效自评结果。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2159.78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2637.24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122.11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绩效自评得分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89.2</w:t>
      </w:r>
      <w:r>
        <w:rPr>
          <w:rFonts w:ascii="Times New Roman" w:hAnsi="Times New Roman" w:eastAsia="仿宋_GB2312" w:cs="Times New Roman"/>
          <w:sz w:val="32"/>
          <w:szCs w:val="32"/>
        </w:rPr>
        <w:t>分。绩效目标完成情况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:</w:t>
      </w: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 xml:space="preserve"> 2025年，我所狠抓各项重点工作，较好的完成了各项目标任务，取得了较好的社会效益。各项经费预算拨付到位，财政供养人员控制率小于100%，控制在预算编制以内，“三公”经费总量及分项均在控制数以内，较上年均有一定幅度的降低。在强化业务管理、财务管理方面开展了大量工作，行政效能显著。通过禁毒宣传等工作的开展，为法制环境优化做出了一定贡献，加强了社会公众的法制意识和对毒品危害的认知，对戒毒人员的管理和回归适应性训练对维护社会稳定有明显的效果，社会公众满意度得到了提高。下一步我们将进一步加强预算</w:t>
      </w:r>
      <w:r>
        <w:rPr>
          <w:rFonts w:hint="eastAsia" w:ascii="Times New Roman" w:hAnsi="Times New Roman" w:eastAsia="仿宋_GB2312" w:cs="黑体"/>
          <w:kern w:val="0"/>
          <w:sz w:val="32"/>
          <w:szCs w:val="32"/>
        </w:rPr>
        <w:t>收支的管理，不断建立健全内部控制制度，理顺内部管理流程，</w:t>
      </w:r>
      <w:r>
        <w:rPr>
          <w:rFonts w:hint="eastAsia" w:ascii="Times New Roman" w:hAnsi="Times New Roman" w:eastAsia="仿宋_GB2312"/>
          <w:sz w:val="32"/>
          <w:szCs w:val="32"/>
        </w:rPr>
        <w:t>切实提高预算管理的科学化、精细化水平。</w:t>
      </w:r>
    </w:p>
    <w:p w14:paraId="380F3447">
      <w:pPr>
        <w:pStyle w:val="13"/>
        <w:spacing w:line="640" w:lineRule="exact"/>
        <w:ind w:firstLine="643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  <w:r>
        <w:rPr>
          <w:rFonts w:hint="eastAsia" w:ascii="Times New Roman" w:hAnsi="Times New Roman" w:eastAsia="仿宋_GB2312"/>
          <w:sz w:val="32"/>
          <w:szCs w:val="32"/>
        </w:rPr>
        <w:t>存在的主要问题是绩效评价制度体系尚不完善。绩效评价仍处于积极探索阶段，绩效评价指标体系还不完善，绩效评价指标设计较为抽象，存在不全面、看不懂、不知道怎么应用的问题。需要认真研究，消除绩效管理应用上的技术障碍。</w:t>
      </w:r>
    </w:p>
    <w:p w14:paraId="52D0F387">
      <w:pPr>
        <w:pStyle w:val="13"/>
        <w:spacing w:line="58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下一步，我部门将按照市财政部门要求，巩固绩效评价工作取得的成果，进一步扩大绩效预算评价的范围，做好预算绩效管理的宣传工作，加大业务培训力度，建立健全贯穿预算管理全过程的绩效管理机制，加大预算绩效评价结果的应用，切实提高预算管理的科学化、精细化水平，提高财政资金使用效益。</w:t>
      </w:r>
    </w:p>
    <w:p w14:paraId="65CBA1C5">
      <w:pPr>
        <w:pStyle w:val="13"/>
        <w:overflowPunct w:val="0"/>
        <w:autoSpaceDE/>
        <w:autoSpaceDN/>
        <w:spacing w:line="600" w:lineRule="exact"/>
        <w:ind w:firstLine="1440" w:firstLineChars="200"/>
        <w:jc w:val="both"/>
        <w:rPr>
          <w:rFonts w:ascii="Times New Roman" w:hAnsi="Times New Roman" w:cs="Times New Roman"/>
          <w:sz w:val="72"/>
          <w:szCs w:val="72"/>
        </w:rPr>
      </w:pPr>
    </w:p>
    <w:p w14:paraId="3BDC3990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38CC47F5">
      <w:pPr>
        <w:pStyle w:val="13"/>
        <w:rPr>
          <w:rFonts w:ascii="Times New Roman" w:hAnsi="Times New Roman" w:cs="Times New Roman"/>
          <w:sz w:val="72"/>
          <w:szCs w:val="72"/>
        </w:rPr>
      </w:pPr>
    </w:p>
    <w:p w14:paraId="29C7EEF2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6E8505D4">
      <w:pPr>
        <w:pStyle w:val="13"/>
        <w:jc w:val="both"/>
        <w:rPr>
          <w:rFonts w:ascii="Times New Roman" w:hAnsi="Times New Roman" w:cs="Times New Roman"/>
          <w:sz w:val="72"/>
          <w:szCs w:val="72"/>
        </w:rPr>
      </w:pPr>
    </w:p>
    <w:p w14:paraId="3CEDE694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487401DA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25147E39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1EE06955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1C85DE70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102D7A6C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1688C15B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1DF1BE57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454EC3FB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4B47A554">
      <w:pPr>
        <w:pStyle w:val="13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42EA1F19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4F93CCE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F673C31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7AB6C2C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3420A0DE">
      <w:pPr>
        <w:pStyle w:val="13"/>
        <w:spacing w:line="360" w:lineRule="auto"/>
        <w:rPr>
          <w:rFonts w:ascii="Times New Roman" w:hAnsi="Times New Roman" w:eastAsia="方正小标宋_GBK" w:cs="Times New Roman"/>
          <w:sz w:val="52"/>
          <w:szCs w:val="52"/>
        </w:rPr>
      </w:pPr>
    </w:p>
    <w:p w14:paraId="6D0F0303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445DC44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B50D7EF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5098F4D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第四部分    名词解释</w:t>
      </w:r>
    </w:p>
    <w:p w14:paraId="28CB22DE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3C5E171E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A33010B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5EF4883B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3A4897D6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9CD60EF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C61F84F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25B846E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5D08CF27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780E21B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1A64E6B9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5B49E6DF">
      <w:pPr>
        <w:pStyle w:val="8"/>
        <w:shd w:val="clear" w:color="auto" w:fill="FFFFFF"/>
        <w:spacing w:before="0" w:beforeAutospacing="0" w:after="0" w:afterAutospacing="0" w:line="340" w:lineRule="atLeast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2F96AEC2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4ACB70C6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6B74C998">
      <w:pPr>
        <w:pStyle w:val="8"/>
        <w:shd w:val="clear" w:color="auto" w:fill="FFFFFF"/>
        <w:spacing w:before="0" w:beforeAutospacing="0" w:after="0" w:afterAutospacing="0" w:line="340" w:lineRule="atLeast"/>
        <w:ind w:firstLine="480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sz w:val="32"/>
          <w:szCs w:val="32"/>
        </w:rPr>
        <w:t>一、机关运行经费：为保障行政单位（包括参照公务员法管理的事业单位）运行，用一般公共预算拨款基本支出中公用经费之和。安排用于购买货物、服务以及设备等资本性支出的各项资金，包括办公及印刷费、邮电费、差旅费、会议费、福利费、日常维修费、办公用房水电费、办公用房取暖费、办公用房物业管理费、公务用车运行维护费以及办公设备、专用设备的购置等。</w:t>
      </w:r>
    </w:p>
    <w:p w14:paraId="3ED612AA">
      <w:pPr>
        <w:pStyle w:val="8"/>
        <w:shd w:val="clear" w:color="auto" w:fill="FFFFFF"/>
        <w:spacing w:before="0" w:beforeAutospacing="0" w:after="0" w:afterAutospacing="0" w:line="340" w:lineRule="atLeast"/>
        <w:jc w:val="both"/>
        <w:rPr>
          <w:rFonts w:ascii="Times New Roman" w:hAnsi="Times New Roman" w:eastAsia="仿宋_GB2312" w:cs="黑体"/>
          <w:color w:val="000000"/>
          <w:sz w:val="32"/>
          <w:szCs w:val="32"/>
        </w:rPr>
      </w:pPr>
    </w:p>
    <w:p w14:paraId="3D3FC6AC">
      <w:pPr>
        <w:ind w:firstLine="640" w:firstLineChars="200"/>
        <w:jc w:val="left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</w:rPr>
        <w:t>二、“三公”经费：纳入财政预算管理的“三公“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39D2208F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2B54E32A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4435C0A2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0371C901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7767BFC4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30C45F78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365D55EE"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 w14:paraId="7BDD2773">
      <w:pPr>
        <w:pStyle w:val="13"/>
        <w:jc w:val="both"/>
        <w:rPr>
          <w:rFonts w:ascii="Times New Roman" w:hAnsi="Times New Roman" w:cs="Times New Roman"/>
          <w:sz w:val="72"/>
          <w:szCs w:val="72"/>
        </w:rPr>
      </w:pPr>
    </w:p>
    <w:p w14:paraId="399AF974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C7C57AD">
      <w:pPr>
        <w:pStyle w:val="13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第五部分   附 件</w:t>
      </w:r>
    </w:p>
    <w:p w14:paraId="74C7FFD5">
      <w:pPr>
        <w:rPr>
          <w:rFonts w:ascii="Times New Roman" w:hAnsi="Times New Roman" w:cs="Times New Roman"/>
          <w:sz w:val="72"/>
          <w:szCs w:val="72"/>
        </w:rPr>
      </w:pPr>
    </w:p>
    <w:p w14:paraId="2E5F3446">
      <w:pPr>
        <w:pStyle w:val="13"/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  <w:sectPr>
          <w:footerReference r:id="rId6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一、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年度部门整体支出绩效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自评报告</w:t>
      </w:r>
    </w:p>
    <w:p w14:paraId="0BD80D30">
      <w:pPr>
        <w:widowControl/>
        <w:rPr>
          <w:rFonts w:ascii="Times New Roman" w:hAnsi="Times New Roman" w:cs="Times New Roman"/>
          <w:sz w:val="72"/>
          <w:szCs w:val="72"/>
        </w:rPr>
        <w:sectPr>
          <w:pgSz w:w="16838" w:h="11906" w:orient="landscape"/>
          <w:pgMar w:top="1134" w:right="1417" w:bottom="1134" w:left="1417" w:header="851" w:footer="992" w:gutter="0"/>
          <w:cols w:space="425" w:num="1"/>
          <w:docGrid w:type="lines" w:linePitch="312" w:charSpace="0"/>
        </w:sectPr>
      </w:pPr>
    </w:p>
    <w:p w14:paraId="6582C908">
      <w:pPr>
        <w:pStyle w:val="13"/>
        <w:rPr>
          <w:rFonts w:ascii="Times New Roman" w:hAnsi="Times New Roman" w:cs="Times New Roman"/>
          <w:sz w:val="72"/>
          <w:szCs w:val="72"/>
        </w:rPr>
      </w:pPr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DB37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94355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43585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E3FA">
    <w:pPr>
      <w:pStyle w:val="6"/>
    </w:pPr>
    <w:r>
      <w:pict>
        <v:shape id="文本框 5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9C128E5"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506F9"/>
    <w:rsid w:val="0000001A"/>
    <w:rsid w:val="00000234"/>
    <w:rsid w:val="0001689B"/>
    <w:rsid w:val="0002229B"/>
    <w:rsid w:val="00026F6A"/>
    <w:rsid w:val="000273BD"/>
    <w:rsid w:val="0003620C"/>
    <w:rsid w:val="00040CBC"/>
    <w:rsid w:val="000415B7"/>
    <w:rsid w:val="00041E3F"/>
    <w:rsid w:val="0004209C"/>
    <w:rsid w:val="00055DAA"/>
    <w:rsid w:val="000560BC"/>
    <w:rsid w:val="00061F7B"/>
    <w:rsid w:val="000658A3"/>
    <w:rsid w:val="00070748"/>
    <w:rsid w:val="000730B1"/>
    <w:rsid w:val="00074155"/>
    <w:rsid w:val="00080785"/>
    <w:rsid w:val="000A3F69"/>
    <w:rsid w:val="000B20F1"/>
    <w:rsid w:val="000C5742"/>
    <w:rsid w:val="000C5C48"/>
    <w:rsid w:val="000D7369"/>
    <w:rsid w:val="000F267B"/>
    <w:rsid w:val="00103957"/>
    <w:rsid w:val="0012326A"/>
    <w:rsid w:val="0014014F"/>
    <w:rsid w:val="00152C6D"/>
    <w:rsid w:val="00162D39"/>
    <w:rsid w:val="001678BD"/>
    <w:rsid w:val="00182373"/>
    <w:rsid w:val="001A67DB"/>
    <w:rsid w:val="001B67D1"/>
    <w:rsid w:val="001C3C29"/>
    <w:rsid w:val="001C4BA2"/>
    <w:rsid w:val="001D2B79"/>
    <w:rsid w:val="001D51E5"/>
    <w:rsid w:val="001E080D"/>
    <w:rsid w:val="001E53D0"/>
    <w:rsid w:val="001F0C3B"/>
    <w:rsid w:val="00202C82"/>
    <w:rsid w:val="00214427"/>
    <w:rsid w:val="00214566"/>
    <w:rsid w:val="00220689"/>
    <w:rsid w:val="00221AFD"/>
    <w:rsid w:val="002266F9"/>
    <w:rsid w:val="00226CB7"/>
    <w:rsid w:val="00235BDC"/>
    <w:rsid w:val="002376C7"/>
    <w:rsid w:val="00247D99"/>
    <w:rsid w:val="00252450"/>
    <w:rsid w:val="00264552"/>
    <w:rsid w:val="00264EF9"/>
    <w:rsid w:val="00265724"/>
    <w:rsid w:val="002700AA"/>
    <w:rsid w:val="002715DD"/>
    <w:rsid w:val="002731BD"/>
    <w:rsid w:val="0027426B"/>
    <w:rsid w:val="00286D97"/>
    <w:rsid w:val="00293278"/>
    <w:rsid w:val="00296D60"/>
    <w:rsid w:val="002A3549"/>
    <w:rsid w:val="002C046D"/>
    <w:rsid w:val="002C1768"/>
    <w:rsid w:val="002D5323"/>
    <w:rsid w:val="002E0A30"/>
    <w:rsid w:val="002E4456"/>
    <w:rsid w:val="0030077D"/>
    <w:rsid w:val="00301A4C"/>
    <w:rsid w:val="003130C4"/>
    <w:rsid w:val="00316C4B"/>
    <w:rsid w:val="0032192B"/>
    <w:rsid w:val="00325C89"/>
    <w:rsid w:val="0033283E"/>
    <w:rsid w:val="00343A3C"/>
    <w:rsid w:val="0034762A"/>
    <w:rsid w:val="003479BD"/>
    <w:rsid w:val="0036719E"/>
    <w:rsid w:val="0037197D"/>
    <w:rsid w:val="003768D5"/>
    <w:rsid w:val="0038472D"/>
    <w:rsid w:val="003926B9"/>
    <w:rsid w:val="003C1116"/>
    <w:rsid w:val="003C2E17"/>
    <w:rsid w:val="003C47E6"/>
    <w:rsid w:val="003C4FC2"/>
    <w:rsid w:val="003C7764"/>
    <w:rsid w:val="003D2548"/>
    <w:rsid w:val="003E5E20"/>
    <w:rsid w:val="00401F9A"/>
    <w:rsid w:val="00416E61"/>
    <w:rsid w:val="0042790C"/>
    <w:rsid w:val="0043327A"/>
    <w:rsid w:val="004506F9"/>
    <w:rsid w:val="004616F0"/>
    <w:rsid w:val="00462315"/>
    <w:rsid w:val="004717A2"/>
    <w:rsid w:val="00473DF3"/>
    <w:rsid w:val="00487911"/>
    <w:rsid w:val="004909D5"/>
    <w:rsid w:val="00490F48"/>
    <w:rsid w:val="00491741"/>
    <w:rsid w:val="004A0EED"/>
    <w:rsid w:val="004B0CEE"/>
    <w:rsid w:val="004B545E"/>
    <w:rsid w:val="004C2A0A"/>
    <w:rsid w:val="004D6F7A"/>
    <w:rsid w:val="004F5EFB"/>
    <w:rsid w:val="00500E5F"/>
    <w:rsid w:val="005021A3"/>
    <w:rsid w:val="00511CBE"/>
    <w:rsid w:val="005122EF"/>
    <w:rsid w:val="0051338C"/>
    <w:rsid w:val="0051441A"/>
    <w:rsid w:val="00517C33"/>
    <w:rsid w:val="00517D5F"/>
    <w:rsid w:val="00523644"/>
    <w:rsid w:val="005343C0"/>
    <w:rsid w:val="0054069E"/>
    <w:rsid w:val="00544866"/>
    <w:rsid w:val="00550C6F"/>
    <w:rsid w:val="005516E9"/>
    <w:rsid w:val="00552A3D"/>
    <w:rsid w:val="00574CC8"/>
    <w:rsid w:val="005767CC"/>
    <w:rsid w:val="00590D9F"/>
    <w:rsid w:val="00595D26"/>
    <w:rsid w:val="005A74E6"/>
    <w:rsid w:val="005B404E"/>
    <w:rsid w:val="005D0B73"/>
    <w:rsid w:val="005D3B1E"/>
    <w:rsid w:val="005D4D55"/>
    <w:rsid w:val="005E0E6C"/>
    <w:rsid w:val="005E2CFB"/>
    <w:rsid w:val="005F2103"/>
    <w:rsid w:val="005F3D1C"/>
    <w:rsid w:val="005F4189"/>
    <w:rsid w:val="005F5DCC"/>
    <w:rsid w:val="005F6EE6"/>
    <w:rsid w:val="006171EE"/>
    <w:rsid w:val="0062378F"/>
    <w:rsid w:val="00631773"/>
    <w:rsid w:val="00641842"/>
    <w:rsid w:val="00651EEC"/>
    <w:rsid w:val="00652A21"/>
    <w:rsid w:val="00654FDB"/>
    <w:rsid w:val="00673A57"/>
    <w:rsid w:val="00677414"/>
    <w:rsid w:val="00686673"/>
    <w:rsid w:val="0068789B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0A46"/>
    <w:rsid w:val="00702E34"/>
    <w:rsid w:val="00704395"/>
    <w:rsid w:val="00704C1A"/>
    <w:rsid w:val="00710FE7"/>
    <w:rsid w:val="00717621"/>
    <w:rsid w:val="00720B2C"/>
    <w:rsid w:val="00720E0B"/>
    <w:rsid w:val="00720FF1"/>
    <w:rsid w:val="00727A53"/>
    <w:rsid w:val="007335DE"/>
    <w:rsid w:val="00747799"/>
    <w:rsid w:val="007502DE"/>
    <w:rsid w:val="00764B12"/>
    <w:rsid w:val="00777969"/>
    <w:rsid w:val="00787B42"/>
    <w:rsid w:val="007918E1"/>
    <w:rsid w:val="007A532B"/>
    <w:rsid w:val="007C4539"/>
    <w:rsid w:val="007F3657"/>
    <w:rsid w:val="00806FCF"/>
    <w:rsid w:val="00810F0C"/>
    <w:rsid w:val="00811AA2"/>
    <w:rsid w:val="00812ED5"/>
    <w:rsid w:val="008277D9"/>
    <w:rsid w:val="0084478C"/>
    <w:rsid w:val="00856A4F"/>
    <w:rsid w:val="008639CC"/>
    <w:rsid w:val="0086638C"/>
    <w:rsid w:val="00872952"/>
    <w:rsid w:val="008764FA"/>
    <w:rsid w:val="00891488"/>
    <w:rsid w:val="008A1079"/>
    <w:rsid w:val="008A3E8D"/>
    <w:rsid w:val="008A5055"/>
    <w:rsid w:val="008D17F4"/>
    <w:rsid w:val="008D2589"/>
    <w:rsid w:val="0090664D"/>
    <w:rsid w:val="009237C4"/>
    <w:rsid w:val="0092497D"/>
    <w:rsid w:val="00927C39"/>
    <w:rsid w:val="00936082"/>
    <w:rsid w:val="00944C48"/>
    <w:rsid w:val="009477B2"/>
    <w:rsid w:val="00950252"/>
    <w:rsid w:val="00961E44"/>
    <w:rsid w:val="0096739E"/>
    <w:rsid w:val="00967F5D"/>
    <w:rsid w:val="00982788"/>
    <w:rsid w:val="009A0F95"/>
    <w:rsid w:val="009B08CD"/>
    <w:rsid w:val="009B3ADF"/>
    <w:rsid w:val="009C31C5"/>
    <w:rsid w:val="009C3B52"/>
    <w:rsid w:val="009D159A"/>
    <w:rsid w:val="009D44E1"/>
    <w:rsid w:val="009E6817"/>
    <w:rsid w:val="009E6E9A"/>
    <w:rsid w:val="009F2365"/>
    <w:rsid w:val="00A01D2B"/>
    <w:rsid w:val="00A028F6"/>
    <w:rsid w:val="00A1392A"/>
    <w:rsid w:val="00A142FC"/>
    <w:rsid w:val="00A35B7C"/>
    <w:rsid w:val="00A37DAE"/>
    <w:rsid w:val="00A42218"/>
    <w:rsid w:val="00A42578"/>
    <w:rsid w:val="00A635EA"/>
    <w:rsid w:val="00A70249"/>
    <w:rsid w:val="00A70B02"/>
    <w:rsid w:val="00A71D9F"/>
    <w:rsid w:val="00A92E9F"/>
    <w:rsid w:val="00AA6CBE"/>
    <w:rsid w:val="00AB095F"/>
    <w:rsid w:val="00AB18FF"/>
    <w:rsid w:val="00AC7A87"/>
    <w:rsid w:val="00AD160B"/>
    <w:rsid w:val="00AD589F"/>
    <w:rsid w:val="00AE2FD6"/>
    <w:rsid w:val="00AF4ABE"/>
    <w:rsid w:val="00B00065"/>
    <w:rsid w:val="00B132DE"/>
    <w:rsid w:val="00B26269"/>
    <w:rsid w:val="00B26DCE"/>
    <w:rsid w:val="00B33BEA"/>
    <w:rsid w:val="00B441A2"/>
    <w:rsid w:val="00B473F4"/>
    <w:rsid w:val="00B57C9F"/>
    <w:rsid w:val="00B63572"/>
    <w:rsid w:val="00B71645"/>
    <w:rsid w:val="00B812D2"/>
    <w:rsid w:val="00B82920"/>
    <w:rsid w:val="00B845B3"/>
    <w:rsid w:val="00B85D8B"/>
    <w:rsid w:val="00B96069"/>
    <w:rsid w:val="00BA0603"/>
    <w:rsid w:val="00BB4A40"/>
    <w:rsid w:val="00BB7914"/>
    <w:rsid w:val="00BD6022"/>
    <w:rsid w:val="00BD6C3E"/>
    <w:rsid w:val="00BE3674"/>
    <w:rsid w:val="00C01A60"/>
    <w:rsid w:val="00C06E37"/>
    <w:rsid w:val="00C10681"/>
    <w:rsid w:val="00C10822"/>
    <w:rsid w:val="00C15C89"/>
    <w:rsid w:val="00C27C0D"/>
    <w:rsid w:val="00C3049A"/>
    <w:rsid w:val="00C31B1E"/>
    <w:rsid w:val="00C32F2E"/>
    <w:rsid w:val="00C64251"/>
    <w:rsid w:val="00C73888"/>
    <w:rsid w:val="00C77645"/>
    <w:rsid w:val="00CC4CC9"/>
    <w:rsid w:val="00CC67CA"/>
    <w:rsid w:val="00CE04C3"/>
    <w:rsid w:val="00CE34BE"/>
    <w:rsid w:val="00CE5BAB"/>
    <w:rsid w:val="00CE76A0"/>
    <w:rsid w:val="00CF4A7D"/>
    <w:rsid w:val="00CF602B"/>
    <w:rsid w:val="00D11C3F"/>
    <w:rsid w:val="00D148C6"/>
    <w:rsid w:val="00D17A8A"/>
    <w:rsid w:val="00D415BA"/>
    <w:rsid w:val="00D5380B"/>
    <w:rsid w:val="00D63780"/>
    <w:rsid w:val="00D644EE"/>
    <w:rsid w:val="00D72422"/>
    <w:rsid w:val="00D8676C"/>
    <w:rsid w:val="00DA2347"/>
    <w:rsid w:val="00DB40B0"/>
    <w:rsid w:val="00DC0FB1"/>
    <w:rsid w:val="00DC76A5"/>
    <w:rsid w:val="00DD06FF"/>
    <w:rsid w:val="00DD5104"/>
    <w:rsid w:val="00DD5FE9"/>
    <w:rsid w:val="00DF401E"/>
    <w:rsid w:val="00E00C7A"/>
    <w:rsid w:val="00E37D6C"/>
    <w:rsid w:val="00E41372"/>
    <w:rsid w:val="00E477C4"/>
    <w:rsid w:val="00E534EB"/>
    <w:rsid w:val="00E5584A"/>
    <w:rsid w:val="00E55B68"/>
    <w:rsid w:val="00E561AE"/>
    <w:rsid w:val="00E60644"/>
    <w:rsid w:val="00E67BE6"/>
    <w:rsid w:val="00E67E83"/>
    <w:rsid w:val="00E708EE"/>
    <w:rsid w:val="00E8683C"/>
    <w:rsid w:val="00EA2B72"/>
    <w:rsid w:val="00ED2E86"/>
    <w:rsid w:val="00ED6B08"/>
    <w:rsid w:val="00EE2D71"/>
    <w:rsid w:val="00F00086"/>
    <w:rsid w:val="00F019D4"/>
    <w:rsid w:val="00F22DA3"/>
    <w:rsid w:val="00F315B8"/>
    <w:rsid w:val="00F31CDD"/>
    <w:rsid w:val="00F74360"/>
    <w:rsid w:val="00F77396"/>
    <w:rsid w:val="00F819C7"/>
    <w:rsid w:val="00FA4855"/>
    <w:rsid w:val="00FB462F"/>
    <w:rsid w:val="00FC2F60"/>
    <w:rsid w:val="00FD28E8"/>
    <w:rsid w:val="00FD3AE4"/>
    <w:rsid w:val="00FE16FA"/>
    <w:rsid w:val="00FE328A"/>
    <w:rsid w:val="00FE6269"/>
    <w:rsid w:val="00FF5CD6"/>
    <w:rsid w:val="1D97DEFF"/>
    <w:rsid w:val="1DFF72E5"/>
    <w:rsid w:val="1EFC6F07"/>
    <w:rsid w:val="2FDF85B8"/>
    <w:rsid w:val="2FFFEE04"/>
    <w:rsid w:val="34DF85B0"/>
    <w:rsid w:val="3B8F36BC"/>
    <w:rsid w:val="491FF225"/>
    <w:rsid w:val="4FFD214C"/>
    <w:rsid w:val="5777D4F5"/>
    <w:rsid w:val="59DD8326"/>
    <w:rsid w:val="5DEF592A"/>
    <w:rsid w:val="5FC6BB1E"/>
    <w:rsid w:val="5FF720F1"/>
    <w:rsid w:val="67FF5C0B"/>
    <w:rsid w:val="6EFC0924"/>
    <w:rsid w:val="6FB74722"/>
    <w:rsid w:val="6FEF8B7E"/>
    <w:rsid w:val="71A6591B"/>
    <w:rsid w:val="737D59BA"/>
    <w:rsid w:val="77C37683"/>
    <w:rsid w:val="79D19834"/>
    <w:rsid w:val="79FF515B"/>
    <w:rsid w:val="7E9E1962"/>
    <w:rsid w:val="7E9F11B4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FF7D786"/>
    <w:rsid w:val="ABBFB23D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CFFC1D9"/>
    <w:rsid w:val="FD7FEEEA"/>
    <w:rsid w:val="FDFFB577"/>
    <w:rsid w:val="FEEA50FE"/>
    <w:rsid w:val="FF7D47A9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886</Words>
  <Characters>5052</Characters>
  <Lines>42</Lines>
  <Paragraphs>11</Paragraphs>
  <TotalTime>1477</TotalTime>
  <ScaleCrop>false</ScaleCrop>
  <LinksUpToDate>false</LinksUpToDate>
  <CharactersWithSpaces>5927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2025-08-18T18:17:00Z</dcterms:created>
  <dc:creator>李航 null</dc:creator>
  <cp:lastModifiedBy>A梦</cp:lastModifiedBy>
  <cp:lastPrinted>2024-08-09T02:20:00Z</cp:lastPrinted>
  <dcterms:modified xsi:type="dcterms:W3CDTF">2026-10-15T15:54:07Z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BB7B6AA21D207914D6FDA268992A22D6</vt:lpwstr>
  </property>
</Properties>
</file>