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7400">
      <w:pPr>
        <w:pStyle w:val="13"/>
        <w:jc w:val="center"/>
        <w:rPr>
          <w:rFonts w:ascii="Times New Roman" w:hAnsi="Times New Roman" w:cs="Times New Roman"/>
          <w:sz w:val="56"/>
          <w:szCs w:val="56"/>
        </w:rPr>
      </w:pPr>
    </w:p>
    <w:p w14:paraId="6CDC73BD">
      <w:pPr>
        <w:pStyle w:val="13"/>
        <w:jc w:val="center"/>
        <w:rPr>
          <w:rFonts w:ascii="Times New Roman" w:hAnsi="Times New Roman" w:cs="Times New Roman"/>
          <w:sz w:val="84"/>
          <w:szCs w:val="84"/>
        </w:rPr>
      </w:pPr>
    </w:p>
    <w:p w14:paraId="35ED553A">
      <w:pPr>
        <w:pStyle w:val="13"/>
        <w:jc w:val="center"/>
        <w:rPr>
          <w:rFonts w:ascii="Times New Roman" w:hAnsi="Times New Roman" w:cs="Times New Roman"/>
          <w:sz w:val="84"/>
          <w:szCs w:val="84"/>
        </w:rPr>
      </w:pPr>
    </w:p>
    <w:p w14:paraId="7187B438">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6EB2332">
      <w:pPr>
        <w:pStyle w:val="13"/>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怀化仲裁委员会秘书处</w:t>
      </w:r>
    </w:p>
    <w:p w14:paraId="5501EC19">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4C7A5E3">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F092309">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D1D9FFB">
      <w:pPr>
        <w:pStyle w:val="13"/>
        <w:spacing w:line="600" w:lineRule="exact"/>
        <w:jc w:val="center"/>
        <w:rPr>
          <w:rFonts w:ascii="Times New Roman" w:hAnsi="Times New Roman" w:cs="Times New Roman"/>
          <w:b/>
          <w:sz w:val="36"/>
          <w:szCs w:val="28"/>
        </w:rPr>
      </w:pPr>
    </w:p>
    <w:p w14:paraId="12298934">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怀化仲裁委员会秘书处</w:t>
      </w:r>
      <w:r>
        <w:rPr>
          <w:rFonts w:ascii="Times New Roman" w:hAnsi="Times New Roman" w:cs="Times New Roman"/>
          <w:bCs/>
          <w:sz w:val="32"/>
          <w:szCs w:val="32"/>
        </w:rPr>
        <w:t>概况</w:t>
      </w:r>
    </w:p>
    <w:p w14:paraId="13B6978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E57872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617643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47BBCC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598464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B75ED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EADE5B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47B189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31BA30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E5D868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5E1705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CCB05D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1C50E5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F3FB04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16E75B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CE137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4F62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379DE6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A10D66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7B794D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54BC8D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B3CEF9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19C2F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九、国有资本经营预算财政拨款支出决算情况说明</w:t>
      </w:r>
    </w:p>
    <w:p w14:paraId="6BA0FB5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02BDDB9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470BCC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3896BF6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02B13F6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bookmarkStart w:id="0" w:name="_GoBack"/>
      <w:bookmarkEnd w:id="0"/>
      <w:r>
        <w:rPr>
          <w:rFonts w:ascii="Times New Roman" w:hAnsi="Times New Roman" w:eastAsia="仿宋_GB2312" w:cs="Times New Roman"/>
          <w:sz w:val="32"/>
          <w:szCs w:val="32"/>
        </w:rPr>
        <w:t>、关于2024年度预算绩效管理情况的说明</w:t>
      </w:r>
    </w:p>
    <w:p w14:paraId="3AD9631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6700A34">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EA736E2">
      <w:pPr>
        <w:pStyle w:val="13"/>
        <w:spacing w:line="600" w:lineRule="exact"/>
        <w:rPr>
          <w:rFonts w:ascii="Times New Roman" w:hAnsi="Times New Roman" w:cs="Times New Roman"/>
          <w:bCs/>
          <w:sz w:val="28"/>
          <w:szCs w:val="28"/>
        </w:rPr>
      </w:pPr>
    </w:p>
    <w:p w14:paraId="34E85A66">
      <w:pPr>
        <w:jc w:val="center"/>
        <w:rPr>
          <w:rFonts w:ascii="Times New Roman" w:hAnsi="Times New Roman" w:cs="Times New Roman"/>
          <w:sz w:val="72"/>
          <w:szCs w:val="72"/>
        </w:rPr>
      </w:pPr>
    </w:p>
    <w:p w14:paraId="0F4F47C9">
      <w:pPr>
        <w:jc w:val="center"/>
        <w:rPr>
          <w:rFonts w:ascii="Times New Roman" w:hAnsi="Times New Roman" w:cs="Times New Roman"/>
          <w:sz w:val="72"/>
          <w:szCs w:val="72"/>
        </w:rPr>
      </w:pPr>
    </w:p>
    <w:p w14:paraId="13E603E0">
      <w:pPr>
        <w:jc w:val="center"/>
        <w:rPr>
          <w:rFonts w:ascii="Times New Roman" w:hAnsi="Times New Roman" w:cs="Times New Roman"/>
          <w:sz w:val="72"/>
          <w:szCs w:val="72"/>
        </w:rPr>
      </w:pPr>
    </w:p>
    <w:p w14:paraId="5B976B84">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2E49D5F">
      <w:pPr>
        <w:rPr>
          <w:rFonts w:ascii="Times New Roman" w:hAnsi="Times New Roman" w:eastAsia="方正小标宋_GBK" w:cs="Times New Roman"/>
          <w:sz w:val="72"/>
          <w:szCs w:val="72"/>
        </w:rPr>
      </w:pPr>
    </w:p>
    <w:p w14:paraId="3B191C20">
      <w:pPr>
        <w:pStyle w:val="13"/>
        <w:spacing w:line="360" w:lineRule="auto"/>
        <w:jc w:val="center"/>
        <w:rPr>
          <w:rFonts w:ascii="Times New Roman" w:hAnsi="Times New Roman" w:eastAsia="方正小标宋_GBK" w:cs="Times New Roman"/>
          <w:sz w:val="52"/>
          <w:szCs w:val="52"/>
        </w:rPr>
      </w:pPr>
    </w:p>
    <w:p w14:paraId="77B6C904">
      <w:pPr>
        <w:pStyle w:val="13"/>
        <w:spacing w:line="360" w:lineRule="auto"/>
        <w:jc w:val="center"/>
        <w:rPr>
          <w:rFonts w:ascii="Times New Roman" w:hAnsi="Times New Roman" w:eastAsia="方正小标宋_GBK" w:cs="Times New Roman"/>
          <w:sz w:val="52"/>
          <w:szCs w:val="52"/>
        </w:rPr>
      </w:pPr>
    </w:p>
    <w:p w14:paraId="4B50C548">
      <w:pPr>
        <w:pStyle w:val="13"/>
        <w:spacing w:line="360" w:lineRule="auto"/>
        <w:jc w:val="center"/>
        <w:rPr>
          <w:rFonts w:ascii="Times New Roman" w:hAnsi="Times New Roman" w:eastAsia="方正小标宋_GBK" w:cs="Times New Roman"/>
          <w:sz w:val="52"/>
          <w:szCs w:val="52"/>
        </w:rPr>
      </w:pPr>
    </w:p>
    <w:p w14:paraId="469D71ED">
      <w:pPr>
        <w:pStyle w:val="13"/>
        <w:spacing w:line="360" w:lineRule="auto"/>
        <w:jc w:val="center"/>
        <w:rPr>
          <w:rFonts w:ascii="Times New Roman" w:hAnsi="Times New Roman" w:eastAsia="方正小标宋_GBK" w:cs="Times New Roman"/>
          <w:sz w:val="52"/>
          <w:szCs w:val="52"/>
        </w:rPr>
      </w:pPr>
    </w:p>
    <w:p w14:paraId="53180D30">
      <w:pPr>
        <w:pStyle w:val="13"/>
        <w:spacing w:line="360" w:lineRule="auto"/>
        <w:jc w:val="center"/>
        <w:rPr>
          <w:rFonts w:ascii="Times New Roman" w:hAnsi="Times New Roman" w:eastAsia="方正小标宋_GBK" w:cs="Times New Roman"/>
          <w:sz w:val="52"/>
          <w:szCs w:val="52"/>
        </w:rPr>
      </w:pPr>
    </w:p>
    <w:p w14:paraId="7C157CC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75F894C">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怀化仲裁委员会秘书处</w:t>
      </w:r>
      <w:r>
        <w:rPr>
          <w:rFonts w:ascii="Times New Roman" w:hAnsi="Times New Roman" w:eastAsia="方正小标宋_GBK" w:cs="Times New Roman"/>
          <w:sz w:val="52"/>
          <w:szCs w:val="52"/>
        </w:rPr>
        <w:t>概况</w:t>
      </w:r>
    </w:p>
    <w:p w14:paraId="190A6BFB">
      <w:pPr>
        <w:pStyle w:val="3"/>
        <w:ind w:left="0" w:leftChars="0" w:firstLine="0" w:firstLineChars="0"/>
        <w:rPr>
          <w:rFonts w:ascii="Times New Roman" w:hAnsi="Times New Roman" w:cs="Times New Roman"/>
        </w:rPr>
      </w:pPr>
    </w:p>
    <w:p w14:paraId="54DA7242">
      <w:pPr>
        <w:pStyle w:val="14"/>
        <w:spacing w:line="600" w:lineRule="exact"/>
        <w:ind w:firstLine="0" w:firstLineChars="0"/>
        <w:jc w:val="left"/>
        <w:rPr>
          <w:rFonts w:hint="eastAsia" w:ascii="Times New Roman" w:hAnsi="Times New Roman" w:eastAsia="黑体" w:cs="Times New Roman"/>
          <w:sz w:val="32"/>
          <w:szCs w:val="32"/>
        </w:rPr>
      </w:pPr>
    </w:p>
    <w:p w14:paraId="59B73D34">
      <w:pPr>
        <w:pStyle w:val="14"/>
        <w:spacing w:line="600" w:lineRule="exact"/>
        <w:ind w:firstLine="0" w:firstLineChars="0"/>
        <w:jc w:val="left"/>
        <w:rPr>
          <w:rFonts w:hint="eastAsia" w:ascii="Times New Roman" w:hAnsi="Times New Roman" w:eastAsia="黑体" w:cs="Times New Roman"/>
          <w:sz w:val="32"/>
          <w:szCs w:val="32"/>
        </w:rPr>
      </w:pPr>
    </w:p>
    <w:p w14:paraId="7F8EE14D">
      <w:pPr>
        <w:pStyle w:val="14"/>
        <w:spacing w:line="600" w:lineRule="exact"/>
        <w:ind w:firstLine="0" w:firstLineChars="0"/>
        <w:jc w:val="left"/>
        <w:rPr>
          <w:rFonts w:hint="eastAsia" w:ascii="Times New Roman" w:hAnsi="Times New Roman" w:eastAsia="黑体" w:cs="Times New Roman"/>
          <w:sz w:val="32"/>
          <w:szCs w:val="32"/>
        </w:rPr>
      </w:pPr>
    </w:p>
    <w:p w14:paraId="077E5808">
      <w:pPr>
        <w:pStyle w:val="14"/>
        <w:spacing w:line="600" w:lineRule="exact"/>
        <w:ind w:firstLine="0" w:firstLineChars="0"/>
        <w:jc w:val="left"/>
        <w:rPr>
          <w:rFonts w:hint="eastAsia" w:ascii="Times New Roman" w:hAnsi="Times New Roman" w:eastAsia="黑体" w:cs="Times New Roman"/>
          <w:sz w:val="32"/>
          <w:szCs w:val="32"/>
        </w:rPr>
      </w:pPr>
    </w:p>
    <w:p w14:paraId="108584CB">
      <w:pPr>
        <w:pStyle w:val="14"/>
        <w:spacing w:line="600" w:lineRule="exact"/>
        <w:ind w:firstLine="0" w:firstLineChars="0"/>
        <w:jc w:val="left"/>
        <w:rPr>
          <w:rFonts w:hint="eastAsia" w:ascii="Times New Roman" w:hAnsi="Times New Roman" w:eastAsia="黑体" w:cs="Times New Roman"/>
          <w:sz w:val="32"/>
          <w:szCs w:val="32"/>
        </w:rPr>
      </w:pPr>
    </w:p>
    <w:p w14:paraId="7285BD81">
      <w:pPr>
        <w:pStyle w:val="14"/>
        <w:spacing w:line="600" w:lineRule="exact"/>
        <w:ind w:firstLine="0" w:firstLineChars="0"/>
        <w:jc w:val="left"/>
        <w:rPr>
          <w:rFonts w:hint="eastAsia" w:ascii="Times New Roman" w:hAnsi="Times New Roman" w:eastAsia="黑体" w:cs="Times New Roman"/>
          <w:sz w:val="32"/>
          <w:szCs w:val="32"/>
        </w:rPr>
      </w:pPr>
    </w:p>
    <w:p w14:paraId="3AEF4015">
      <w:pPr>
        <w:pStyle w:val="14"/>
        <w:spacing w:line="600" w:lineRule="exact"/>
        <w:ind w:firstLine="0" w:firstLineChars="0"/>
        <w:jc w:val="left"/>
        <w:rPr>
          <w:rFonts w:hint="eastAsia" w:ascii="Times New Roman" w:hAnsi="Times New Roman" w:eastAsia="黑体" w:cs="Times New Roman"/>
          <w:sz w:val="32"/>
          <w:szCs w:val="32"/>
        </w:rPr>
      </w:pPr>
    </w:p>
    <w:p w14:paraId="7F8A9D70">
      <w:pPr>
        <w:pStyle w:val="14"/>
        <w:spacing w:line="600" w:lineRule="exact"/>
        <w:ind w:firstLine="0" w:firstLineChars="0"/>
        <w:jc w:val="left"/>
        <w:rPr>
          <w:rFonts w:hint="eastAsia" w:ascii="Times New Roman" w:hAnsi="Times New Roman" w:eastAsia="黑体" w:cs="Times New Roman"/>
          <w:sz w:val="32"/>
          <w:szCs w:val="32"/>
        </w:rPr>
      </w:pPr>
    </w:p>
    <w:p w14:paraId="37067D85">
      <w:pPr>
        <w:pStyle w:val="14"/>
        <w:spacing w:line="600" w:lineRule="exact"/>
        <w:ind w:firstLine="0" w:firstLineChars="0"/>
        <w:jc w:val="left"/>
        <w:rPr>
          <w:rFonts w:hint="eastAsia" w:ascii="Times New Roman" w:hAnsi="Times New Roman" w:eastAsia="黑体" w:cs="Times New Roman"/>
          <w:sz w:val="32"/>
          <w:szCs w:val="32"/>
        </w:rPr>
      </w:pPr>
    </w:p>
    <w:p w14:paraId="486D5FF7">
      <w:pPr>
        <w:pStyle w:val="14"/>
        <w:spacing w:line="600" w:lineRule="exact"/>
        <w:ind w:firstLine="0" w:firstLineChars="0"/>
        <w:jc w:val="left"/>
        <w:rPr>
          <w:rFonts w:hint="eastAsia" w:ascii="Times New Roman" w:hAnsi="Times New Roman" w:eastAsia="黑体" w:cs="Times New Roman"/>
          <w:sz w:val="32"/>
          <w:szCs w:val="32"/>
        </w:rPr>
      </w:pPr>
    </w:p>
    <w:p w14:paraId="3CD77E59">
      <w:pPr>
        <w:pStyle w:val="14"/>
        <w:spacing w:line="600" w:lineRule="exact"/>
        <w:ind w:firstLine="0" w:firstLineChars="0"/>
        <w:jc w:val="left"/>
        <w:rPr>
          <w:rFonts w:hint="eastAsia" w:ascii="Times New Roman" w:hAnsi="Times New Roman" w:eastAsia="黑体" w:cs="Times New Roman"/>
          <w:sz w:val="32"/>
          <w:szCs w:val="32"/>
        </w:rPr>
      </w:pPr>
    </w:p>
    <w:p w14:paraId="5571D21B">
      <w:pPr>
        <w:pStyle w:val="14"/>
        <w:spacing w:line="600" w:lineRule="exact"/>
        <w:ind w:firstLine="0" w:firstLineChars="0"/>
        <w:jc w:val="left"/>
        <w:rPr>
          <w:rFonts w:hint="eastAsia" w:ascii="Times New Roman" w:hAnsi="Times New Roman" w:eastAsia="黑体" w:cs="Times New Roman"/>
          <w:sz w:val="32"/>
          <w:szCs w:val="32"/>
        </w:rPr>
      </w:pPr>
    </w:p>
    <w:p w14:paraId="3829046F">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EA626DC">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（一）接待咨询，做好受理案件的有关工作；</w:t>
      </w:r>
    </w:p>
    <w:p w14:paraId="6799F49B">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（二）仲裁费用的收取和管理；</w:t>
      </w:r>
    </w:p>
    <w:p w14:paraId="249CE502">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（三）非仲裁庭调解案件的调解；</w:t>
      </w:r>
    </w:p>
    <w:p w14:paraId="7ACBFFB9">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（四）仲裁庭开庭时指派记录人员；</w:t>
      </w:r>
    </w:p>
    <w:p w14:paraId="2524A51D">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（五）收受、送达、保管仲裁文件；</w:t>
      </w:r>
    </w:p>
    <w:p w14:paraId="3E94214C">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（六）负责仲裁员培训、监督，提出仲裁员的增聘和解聘建议；</w:t>
      </w:r>
    </w:p>
    <w:p w14:paraId="46D70187">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（七）负责仲裁秘书等事务性工作人员的聘用和解聘；</w:t>
      </w:r>
    </w:p>
    <w:p w14:paraId="5D492253">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（八）其他由本会交办的事项。</w:t>
      </w:r>
    </w:p>
    <w:p w14:paraId="73168A3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8BE3A15">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怀化仲裁委员会秘书处</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仿宋_GB2312"/>
          <w:bCs/>
          <w:kern w:val="0"/>
          <w:sz w:val="32"/>
          <w:szCs w:val="32"/>
        </w:rPr>
        <w:t>办公室、立案室、调解室</w:t>
      </w:r>
      <w:r>
        <w:rPr>
          <w:rFonts w:hint="eastAsia" w:ascii="Times New Roman" w:hAnsi="Times New Roman" w:eastAsia="仿宋_GB2312" w:cs="仿宋_GB2312"/>
          <w:bCs/>
          <w:kern w:val="0"/>
          <w:sz w:val="32"/>
          <w:szCs w:val="32"/>
          <w:lang w:eastAsia="zh-CN"/>
        </w:rPr>
        <w:t>。</w:t>
      </w:r>
    </w:p>
    <w:p w14:paraId="61ED96CB">
      <w:pPr>
        <w:widowControl/>
        <w:spacing w:line="600" w:lineRule="exact"/>
        <w:rPr>
          <w:rFonts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怀化仲裁委员会秘书处</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rPr>
        <w:t>怀化仲裁委员会秘书处本级。</w:t>
      </w:r>
    </w:p>
    <w:p w14:paraId="05F0DE5B">
      <w:pPr>
        <w:widowControl/>
        <w:spacing w:line="600" w:lineRule="exact"/>
        <w:rPr>
          <w:rFonts w:ascii="Times New Roman" w:hAnsi="Times New Roman" w:eastAsia="仿宋_GB2312" w:cs="Times New Roman"/>
          <w:bCs/>
          <w:kern w:val="0"/>
          <w:sz w:val="32"/>
          <w:szCs w:val="32"/>
        </w:rPr>
      </w:pPr>
    </w:p>
    <w:p w14:paraId="56F0AF80">
      <w:pPr>
        <w:jc w:val="left"/>
        <w:rPr>
          <w:rFonts w:ascii="Times New Roman" w:hAnsi="Times New Roman" w:eastAsia="仿宋_GB2312" w:cs="Times New Roman"/>
          <w:sz w:val="28"/>
          <w:szCs w:val="32"/>
        </w:rPr>
      </w:pPr>
    </w:p>
    <w:p w14:paraId="76751032">
      <w:pPr>
        <w:jc w:val="center"/>
        <w:rPr>
          <w:rFonts w:ascii="Times New Roman" w:hAnsi="Times New Roman" w:eastAsia="黑体" w:cs="Times New Roman"/>
          <w:sz w:val="28"/>
          <w:szCs w:val="28"/>
        </w:rPr>
      </w:pPr>
    </w:p>
    <w:p w14:paraId="02753A22">
      <w:pPr>
        <w:jc w:val="center"/>
        <w:rPr>
          <w:rFonts w:ascii="Times New Roman" w:hAnsi="Times New Roman" w:eastAsia="黑体" w:cs="Times New Roman"/>
          <w:sz w:val="28"/>
          <w:szCs w:val="28"/>
        </w:rPr>
      </w:pPr>
    </w:p>
    <w:p w14:paraId="4F049C9F">
      <w:pPr>
        <w:jc w:val="center"/>
        <w:rPr>
          <w:rFonts w:ascii="Times New Roman" w:hAnsi="Times New Roman" w:eastAsia="黑体" w:cs="Times New Roman"/>
          <w:sz w:val="28"/>
          <w:szCs w:val="28"/>
        </w:rPr>
      </w:pPr>
    </w:p>
    <w:p w14:paraId="2A52F622">
      <w:pPr>
        <w:jc w:val="center"/>
        <w:rPr>
          <w:rFonts w:ascii="Times New Roman" w:hAnsi="Times New Roman" w:eastAsia="黑体" w:cs="Times New Roman"/>
          <w:sz w:val="28"/>
          <w:szCs w:val="28"/>
        </w:rPr>
      </w:pPr>
    </w:p>
    <w:p w14:paraId="6AD61FC9">
      <w:pPr>
        <w:jc w:val="center"/>
        <w:rPr>
          <w:rFonts w:ascii="Times New Roman" w:hAnsi="Times New Roman" w:eastAsia="黑体" w:cs="Times New Roman"/>
          <w:sz w:val="28"/>
          <w:szCs w:val="28"/>
        </w:rPr>
      </w:pPr>
    </w:p>
    <w:p w14:paraId="3DFD46BB">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9AA5269">
      <w:pPr>
        <w:pStyle w:val="13"/>
        <w:rPr>
          <w:rFonts w:ascii="Times New Roman" w:hAnsi="Times New Roman" w:cs="Times New Roman"/>
          <w:sz w:val="72"/>
          <w:szCs w:val="72"/>
        </w:rPr>
      </w:pPr>
    </w:p>
    <w:p w14:paraId="7453AD4F">
      <w:pPr>
        <w:pStyle w:val="13"/>
        <w:rPr>
          <w:rFonts w:ascii="Times New Roman" w:hAnsi="Times New Roman" w:cs="Times New Roman"/>
          <w:sz w:val="72"/>
          <w:szCs w:val="72"/>
        </w:rPr>
      </w:pPr>
    </w:p>
    <w:p w14:paraId="0D395B29">
      <w:pPr>
        <w:pStyle w:val="13"/>
        <w:rPr>
          <w:rFonts w:ascii="Times New Roman" w:hAnsi="Times New Roman" w:cs="Times New Roman"/>
          <w:sz w:val="72"/>
          <w:szCs w:val="72"/>
        </w:rPr>
      </w:pPr>
    </w:p>
    <w:p w14:paraId="4F776A50">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第二部分</w:t>
      </w:r>
    </w:p>
    <w:p w14:paraId="4FA6D738">
      <w:pPr>
        <w:pStyle w:val="13"/>
        <w:spacing w:line="360" w:lineRule="auto"/>
        <w:jc w:val="center"/>
        <w:rPr>
          <w:rFonts w:ascii="方正小标宋_GBK" w:hAnsi="方正小标宋_GBK" w:eastAsia="方正小标宋_GBK" w:cs="方正小标宋_GBK"/>
          <w:sz w:val="84"/>
          <w:szCs w:val="84"/>
        </w:rPr>
      </w:pPr>
      <w:r>
        <w:rPr>
          <w:rFonts w:hint="eastAsia" w:ascii="Times New Roman" w:hAnsi="Times New Roman" w:eastAsia="方正小标宋_GBK" w:cs="Times New Roman"/>
          <w:sz w:val="52"/>
          <w:szCs w:val="52"/>
        </w:rPr>
        <w:t>部门决算表</w:t>
      </w:r>
    </w:p>
    <w:p w14:paraId="3F995D63">
      <w:pPr>
        <w:jc w:val="center"/>
        <w:rPr>
          <w:sz w:val="72"/>
          <w:szCs w:val="72"/>
        </w:rPr>
      </w:pPr>
    </w:p>
    <w:p w14:paraId="5D6340DB">
      <w:pPr>
        <w:pStyle w:val="13"/>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见附件</w:t>
      </w:r>
    </w:p>
    <w:p w14:paraId="72D10976">
      <w:pPr>
        <w:pStyle w:val="13"/>
        <w:jc w:val="center"/>
        <w:rPr>
          <w:rFonts w:ascii="Times New Roman" w:hAnsi="Times New Roman" w:cs="Times New Roman"/>
          <w:sz w:val="72"/>
          <w:szCs w:val="72"/>
        </w:rPr>
      </w:pPr>
    </w:p>
    <w:p w14:paraId="5E5EB72B">
      <w:pPr>
        <w:pStyle w:val="13"/>
        <w:jc w:val="center"/>
        <w:rPr>
          <w:rFonts w:ascii="Times New Roman" w:hAnsi="Times New Roman" w:eastAsia="方正小标宋_GBK" w:cs="Times New Roman"/>
          <w:sz w:val="72"/>
          <w:szCs w:val="72"/>
        </w:rPr>
      </w:pPr>
    </w:p>
    <w:p w14:paraId="418311FA">
      <w:pPr>
        <w:pStyle w:val="13"/>
        <w:spacing w:line="360" w:lineRule="auto"/>
        <w:jc w:val="center"/>
        <w:rPr>
          <w:rFonts w:ascii="Times New Roman" w:hAnsi="Times New Roman" w:eastAsia="方正小标宋_GBK" w:cs="Times New Roman"/>
          <w:sz w:val="52"/>
          <w:szCs w:val="52"/>
        </w:rPr>
      </w:pPr>
    </w:p>
    <w:p w14:paraId="43A6BE92">
      <w:pPr>
        <w:pStyle w:val="13"/>
        <w:spacing w:line="360" w:lineRule="auto"/>
        <w:jc w:val="center"/>
        <w:rPr>
          <w:rFonts w:ascii="Times New Roman" w:hAnsi="Times New Roman" w:eastAsia="方正小标宋_GBK" w:cs="Times New Roman"/>
          <w:sz w:val="52"/>
          <w:szCs w:val="52"/>
        </w:rPr>
      </w:pPr>
    </w:p>
    <w:p w14:paraId="1ED3A90C">
      <w:pPr>
        <w:pStyle w:val="13"/>
        <w:spacing w:line="360" w:lineRule="auto"/>
        <w:jc w:val="center"/>
        <w:rPr>
          <w:rFonts w:ascii="Times New Roman" w:hAnsi="Times New Roman" w:eastAsia="方正小标宋_GBK" w:cs="Times New Roman"/>
          <w:sz w:val="52"/>
          <w:szCs w:val="52"/>
        </w:rPr>
      </w:pPr>
    </w:p>
    <w:p w14:paraId="68B25077">
      <w:pPr>
        <w:pStyle w:val="13"/>
        <w:spacing w:line="360" w:lineRule="auto"/>
        <w:jc w:val="center"/>
        <w:rPr>
          <w:rFonts w:ascii="Times New Roman" w:hAnsi="Times New Roman" w:eastAsia="方正小标宋_GBK" w:cs="Times New Roman"/>
          <w:sz w:val="52"/>
          <w:szCs w:val="52"/>
        </w:rPr>
      </w:pPr>
    </w:p>
    <w:p w14:paraId="79475F1F">
      <w:pPr>
        <w:pStyle w:val="13"/>
        <w:spacing w:line="360" w:lineRule="auto"/>
        <w:jc w:val="center"/>
        <w:rPr>
          <w:rFonts w:ascii="Times New Roman" w:hAnsi="Times New Roman" w:eastAsia="方正小标宋_GBK" w:cs="Times New Roman"/>
          <w:sz w:val="52"/>
          <w:szCs w:val="52"/>
        </w:rPr>
      </w:pPr>
    </w:p>
    <w:p w14:paraId="3E6B021C">
      <w:pPr>
        <w:pStyle w:val="13"/>
        <w:spacing w:line="360" w:lineRule="auto"/>
        <w:jc w:val="center"/>
        <w:rPr>
          <w:rFonts w:ascii="Times New Roman" w:hAnsi="Times New Roman" w:eastAsia="方正小标宋_GBK" w:cs="Times New Roman"/>
          <w:sz w:val="52"/>
          <w:szCs w:val="52"/>
        </w:rPr>
      </w:pPr>
    </w:p>
    <w:p w14:paraId="003F153B">
      <w:pPr>
        <w:pStyle w:val="13"/>
        <w:spacing w:line="360" w:lineRule="auto"/>
        <w:jc w:val="center"/>
        <w:rPr>
          <w:rFonts w:ascii="Times New Roman" w:hAnsi="Times New Roman" w:eastAsia="方正小标宋_GBK" w:cs="Times New Roman"/>
          <w:sz w:val="52"/>
          <w:szCs w:val="52"/>
        </w:rPr>
      </w:pPr>
    </w:p>
    <w:p w14:paraId="1261C33D">
      <w:pPr>
        <w:pStyle w:val="13"/>
        <w:spacing w:line="360" w:lineRule="auto"/>
        <w:jc w:val="center"/>
        <w:rPr>
          <w:rFonts w:ascii="Times New Roman" w:hAnsi="Times New Roman" w:eastAsia="方正小标宋_GBK" w:cs="Times New Roman"/>
          <w:sz w:val="52"/>
          <w:szCs w:val="52"/>
        </w:rPr>
      </w:pPr>
    </w:p>
    <w:p w14:paraId="33123B57">
      <w:pPr>
        <w:pStyle w:val="13"/>
        <w:spacing w:line="360" w:lineRule="auto"/>
        <w:jc w:val="center"/>
        <w:rPr>
          <w:rFonts w:ascii="Times New Roman" w:hAnsi="Times New Roman" w:eastAsia="方正小标宋_GBK" w:cs="Times New Roman"/>
          <w:sz w:val="52"/>
          <w:szCs w:val="52"/>
        </w:rPr>
      </w:pPr>
    </w:p>
    <w:p w14:paraId="4987DCB2">
      <w:pPr>
        <w:pStyle w:val="13"/>
        <w:spacing w:line="360" w:lineRule="auto"/>
        <w:jc w:val="center"/>
        <w:rPr>
          <w:rFonts w:ascii="Times New Roman" w:hAnsi="Times New Roman" w:eastAsia="方正小标宋_GBK" w:cs="Times New Roman"/>
          <w:sz w:val="52"/>
          <w:szCs w:val="52"/>
        </w:rPr>
      </w:pPr>
    </w:p>
    <w:p w14:paraId="14CA2C03">
      <w:pPr>
        <w:pStyle w:val="13"/>
        <w:spacing w:line="360" w:lineRule="auto"/>
        <w:jc w:val="center"/>
        <w:rPr>
          <w:rFonts w:ascii="Times New Roman" w:hAnsi="Times New Roman" w:eastAsia="方正小标宋_GBK" w:cs="Times New Roman"/>
          <w:sz w:val="52"/>
          <w:szCs w:val="52"/>
        </w:rPr>
      </w:pPr>
    </w:p>
    <w:p w14:paraId="09DA6E52">
      <w:pPr>
        <w:pStyle w:val="13"/>
        <w:spacing w:line="360" w:lineRule="auto"/>
        <w:jc w:val="center"/>
        <w:rPr>
          <w:rFonts w:ascii="Times New Roman" w:hAnsi="Times New Roman" w:eastAsia="方正小标宋_GBK" w:cs="Times New Roman"/>
          <w:sz w:val="52"/>
          <w:szCs w:val="52"/>
        </w:rPr>
      </w:pPr>
    </w:p>
    <w:p w14:paraId="0064E528">
      <w:pPr>
        <w:pStyle w:val="13"/>
        <w:spacing w:line="360" w:lineRule="auto"/>
        <w:jc w:val="center"/>
        <w:rPr>
          <w:rFonts w:ascii="Times New Roman" w:hAnsi="Times New Roman" w:eastAsia="方正小标宋_GBK" w:cs="Times New Roman"/>
          <w:sz w:val="52"/>
          <w:szCs w:val="52"/>
        </w:rPr>
      </w:pPr>
    </w:p>
    <w:p w14:paraId="177B2D5E">
      <w:pPr>
        <w:pStyle w:val="13"/>
        <w:spacing w:line="360" w:lineRule="auto"/>
        <w:jc w:val="center"/>
        <w:rPr>
          <w:rFonts w:ascii="Times New Roman" w:hAnsi="Times New Roman" w:eastAsia="方正小标宋_GBK" w:cs="Times New Roman"/>
          <w:sz w:val="52"/>
          <w:szCs w:val="52"/>
        </w:rPr>
      </w:pPr>
    </w:p>
    <w:p w14:paraId="0D2F870C">
      <w:pPr>
        <w:pStyle w:val="13"/>
        <w:spacing w:line="360" w:lineRule="auto"/>
        <w:jc w:val="center"/>
        <w:rPr>
          <w:rFonts w:ascii="Times New Roman" w:hAnsi="Times New Roman" w:eastAsia="方正小标宋_GBK" w:cs="Times New Roman"/>
          <w:sz w:val="52"/>
          <w:szCs w:val="52"/>
        </w:rPr>
      </w:pPr>
    </w:p>
    <w:p w14:paraId="050A854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1CC403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B79F2B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463E6D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C92D6C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236.33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87.01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58.27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w:t>
      </w:r>
      <w:r>
        <w:rPr>
          <w:rFonts w:hint="eastAsia"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rPr>
        <w:t>人员较上年增加9人，人员经费</w:t>
      </w:r>
      <w:r>
        <w:rPr>
          <w:rFonts w:hint="eastAsia" w:ascii="Times New Roman" w:hAnsi="Times New Roman" w:eastAsia="仿宋_GB2312" w:cs="Times New Roman"/>
          <w:sz w:val="32"/>
          <w:szCs w:val="32"/>
          <w:lang w:val="en-US" w:eastAsia="zh-CN"/>
        </w:rPr>
        <w:t>及公用经费</w:t>
      </w:r>
      <w:r>
        <w:rPr>
          <w:rFonts w:hint="eastAsia" w:ascii="Times New Roman" w:hAnsi="Times New Roman" w:eastAsia="仿宋_GB2312" w:cs="Times New Roman"/>
          <w:sz w:val="32"/>
          <w:szCs w:val="32"/>
        </w:rPr>
        <w:t>拨款增加。</w:t>
      </w:r>
    </w:p>
    <w:p w14:paraId="4B5B754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54D4F7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236.33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169.83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71.86</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66.5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28.14</w:t>
      </w:r>
      <w:r>
        <w:rPr>
          <w:rFonts w:ascii="Times New Roman" w:hAnsi="Times New Roman" w:eastAsia="仿宋_GB2312" w:cs="Times New Roman"/>
          <w:sz w:val="32"/>
          <w:szCs w:val="32"/>
        </w:rPr>
        <w:t>%。</w:t>
      </w:r>
    </w:p>
    <w:p w14:paraId="3E8FBC3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D6C8C6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236.33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169.83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71.86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B10A77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4093A7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169.83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121.72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25</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%，主要是因为</w:t>
      </w:r>
      <w:r>
        <w:rPr>
          <w:rFonts w:hint="eastAsia" w:ascii="仿宋_GB2312" w:hAnsi="仿宋" w:eastAsia="仿宋_GB2312" w:cs="仿宋"/>
          <w:color w:val="000000"/>
          <w:sz w:val="32"/>
          <w:szCs w:val="32"/>
        </w:rPr>
        <w:t>主要原因是本单位新增人员工作人员9人，人员经费拨款</w:t>
      </w:r>
      <w:r>
        <w:rPr>
          <w:rFonts w:hint="eastAsia" w:ascii="仿宋_GB2312" w:hAnsi="仿宋" w:eastAsia="仿宋_GB2312" w:cs="仿宋"/>
          <w:color w:val="000000"/>
          <w:sz w:val="32"/>
          <w:szCs w:val="32"/>
          <w:lang w:val="en-US" w:eastAsia="zh-CN"/>
        </w:rPr>
        <w:t>及公用经费拨款</w:t>
      </w:r>
      <w:r>
        <w:rPr>
          <w:rFonts w:hint="eastAsia" w:ascii="仿宋_GB2312" w:hAnsi="仿宋" w:eastAsia="仿宋_GB2312" w:cs="仿宋"/>
          <w:color w:val="000000"/>
          <w:sz w:val="32"/>
          <w:szCs w:val="32"/>
        </w:rPr>
        <w:t>较上年增加。</w:t>
      </w:r>
    </w:p>
    <w:p w14:paraId="43F227B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073511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C4A3BB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169.83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71.86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121.72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基本支出增加。</w:t>
      </w:r>
    </w:p>
    <w:p w14:paraId="3F5EDAD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FA0E0ED">
      <w:pPr>
        <w:pStyle w:val="13"/>
        <w:overflowPunct w:val="0"/>
        <w:autoSpaceDE/>
        <w:autoSpaceDN/>
        <w:spacing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169.83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142.6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6.71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7.72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4.54</w:t>
      </w:r>
      <w:r>
        <w:rPr>
          <w:rFonts w:ascii="Times New Roman" w:hAnsi="Times New Roman" w:eastAsia="仿宋_GB2312" w:cs="Times New Roman"/>
          <w:sz w:val="32"/>
          <w:szCs w:val="32"/>
        </w:rPr>
        <w:t>%;</w:t>
      </w:r>
    </w:p>
    <w:p w14:paraId="0D9F5EB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0EB83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56.34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169.83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33.17</w:t>
      </w:r>
      <w:r>
        <w:rPr>
          <w:rFonts w:ascii="Times New Roman" w:hAnsi="Times New Roman" w:eastAsia="仿宋_GB2312" w:cs="Times New Roman"/>
          <w:sz w:val="32"/>
          <w:szCs w:val="32"/>
        </w:rPr>
        <w:t>%，其中：</w:t>
      </w:r>
    </w:p>
    <w:p w14:paraId="77F36D3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 xml:space="preserve"> 其他一般公共服务支出</w:t>
      </w:r>
      <w:r>
        <w:rPr>
          <w:rFonts w:ascii="Times New Roman" w:hAnsi="Times New Roman" w:eastAsia="仿宋_GB2312" w:cs="Times New Roman"/>
          <w:sz w:val="32"/>
          <w:szCs w:val="32"/>
        </w:rPr>
        <w:t>（项）。</w:t>
      </w:r>
    </w:p>
    <w:p w14:paraId="5017AE8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年中追加新增人员的人员经费及公用经费，用于新增人员的工资福利及其他商品服务支出。</w:t>
      </w:r>
    </w:p>
    <w:p w14:paraId="6D8C976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司法</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6CEC78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48.78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142.6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292.33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本单位年初预算未包含新增人员9人的人员经费及公用经费，年中追加经费。</w:t>
      </w:r>
    </w:p>
    <w:p w14:paraId="03C46C7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3654900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287.98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追加新增人员基本医疗保险缴费单位部分。</w:t>
      </w:r>
    </w:p>
    <w:p w14:paraId="672B2BB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0E4F757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7.73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追加</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val="en-US" w:eastAsia="zh-CN"/>
        </w:rPr>
        <w:t>单位配套部分。</w:t>
      </w:r>
    </w:p>
    <w:p w14:paraId="27B8A35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p>
    <w:p w14:paraId="6EF1C39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560D2D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169.83</w:t>
      </w:r>
      <w:r>
        <w:rPr>
          <w:rFonts w:ascii="Times New Roman" w:hAnsi="Times New Roman" w:eastAsia="仿宋_GB2312" w:cs="Times New Roman"/>
          <w:sz w:val="32"/>
          <w:szCs w:val="32"/>
        </w:rPr>
        <w:t>万元，其中：</w:t>
      </w:r>
    </w:p>
    <w:p w14:paraId="6C63CA9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161.96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95.37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、机关事业单位基本养老保险缴费、职工基本医疗保险缴费、住房公积金</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6936DBF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4.63</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维修（护）费</w:t>
      </w:r>
      <w:r>
        <w:rPr>
          <w:rFonts w:hint="eastAsia" w:ascii="Times New Roman" w:hAnsi="Times New Roman" w:eastAsia="仿宋_GB2312" w:cs="Times New Roman"/>
          <w:sz w:val="32"/>
          <w:szCs w:val="32"/>
          <w:lang w:eastAsia="zh-CN"/>
        </w:rPr>
        <w:t>、工会经费、其他商品和服务支出</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14:paraId="63B06B6A">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344AF5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8720EB8">
      <w:pPr>
        <w:pStyle w:val="13"/>
        <w:ind w:firstLine="640" w:firstLineChars="200"/>
        <w:rPr>
          <w:rFonts w:asciiTheme="minorEastAsia" w:hAnsiTheme="minorEastAsia" w:eastAsiaTheme="minorEastAsia"/>
          <w:sz w:val="32"/>
          <w:szCs w:val="32"/>
        </w:rPr>
      </w:pPr>
      <w:r>
        <w:rPr>
          <w:rFonts w:ascii="Times New Roman" w:hAnsi="Times New Roman" w:eastAsia="仿宋_GB2312" w:cs="Times New Roman"/>
          <w:sz w:val="32"/>
          <w:szCs w:val="32"/>
        </w:rPr>
        <w:t>2024年度</w:t>
      </w:r>
      <w:r>
        <w:rPr>
          <w:rFonts w:hint="eastAsia" w:asciiTheme="minorEastAsia" w:hAnsiTheme="minorEastAsia" w:eastAsiaTheme="minorEastAsia"/>
          <w:sz w:val="32"/>
          <w:szCs w:val="32"/>
        </w:rPr>
        <w:t>本单位无“三公”经费支出。</w:t>
      </w:r>
    </w:p>
    <w:p w14:paraId="4F7551F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90E7352">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sz w:val="32"/>
          <w:szCs w:val="32"/>
        </w:rPr>
        <w:t>本单位无“三公”经费支出。</w:t>
      </w:r>
    </w:p>
    <w:p w14:paraId="62F20F38">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1D2A8EA9">
      <w:pPr>
        <w:pStyle w:val="13"/>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无公务接待费支出。</w:t>
      </w:r>
    </w:p>
    <w:p w14:paraId="74725DB1">
      <w:pPr>
        <w:pStyle w:val="13"/>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0D481D4">
      <w:pPr>
        <w:pStyle w:val="13"/>
        <w:spacing w:line="600" w:lineRule="exact"/>
        <w:ind w:firstLine="800" w:firstLineChars="250"/>
        <w:rPr>
          <w:rFonts w:hint="eastAsia" w:ascii="Times New Roman" w:hAnsi="Times New Roman" w:eastAsia="仿宋_GB2312"/>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sz w:val="32"/>
          <w:szCs w:val="32"/>
        </w:rPr>
        <w:t>本单位无政府性基金收支。</w:t>
      </w:r>
    </w:p>
    <w:p w14:paraId="7F17860F">
      <w:pPr>
        <w:pStyle w:val="13"/>
        <w:ind w:firstLine="640" w:firstLineChars="200"/>
        <w:rPr>
          <w:rFonts w:hAnsi="黑体"/>
          <w:sz w:val="32"/>
          <w:szCs w:val="32"/>
        </w:rPr>
      </w:pPr>
      <w:r>
        <w:rPr>
          <w:rFonts w:hint="eastAsia" w:hAnsi="黑体"/>
          <w:sz w:val="32"/>
          <w:szCs w:val="32"/>
        </w:rPr>
        <w:t>九、国有资本经营预算财政拨款支出决算情况说明</w:t>
      </w:r>
    </w:p>
    <w:p w14:paraId="45252BFE">
      <w:pPr>
        <w:pStyle w:val="13"/>
        <w:ind w:firstLine="640" w:firstLineChars="200"/>
        <w:rPr>
          <w:rFonts w:hint="eastAsia" w:eastAsia="仿宋" w:asciiTheme="minorEastAsia" w:hAnsiTheme="minorEastAsia"/>
          <w:sz w:val="32"/>
          <w:szCs w:val="32"/>
          <w:lang w:eastAsia="zh-CN"/>
        </w:rPr>
      </w:pPr>
      <w:r>
        <w:rPr>
          <w:rFonts w:ascii="Times New Roman" w:hAnsi="Times New Roman" w:eastAsia="仿宋_GB2312" w:cs="Times New Roman"/>
          <w:sz w:val="32"/>
          <w:szCs w:val="32"/>
        </w:rPr>
        <w:t>2024年度</w:t>
      </w:r>
      <w:r>
        <w:rPr>
          <w:rFonts w:hint="eastAsia" w:ascii="仿宋" w:hAnsi="仿宋" w:eastAsia="仿宋" w:cs="仿宋"/>
          <w:color w:val="auto"/>
          <w:sz w:val="32"/>
          <w:szCs w:val="32"/>
        </w:rPr>
        <w:t>本单位无</w:t>
      </w:r>
      <w:r>
        <w:rPr>
          <w:rFonts w:hint="eastAsia" w:ascii="仿宋" w:hAnsi="仿宋" w:eastAsia="仿宋" w:cs="仿宋"/>
          <w:sz w:val="32"/>
          <w:szCs w:val="32"/>
        </w:rPr>
        <w:t>国有资本经营预算财政拨款支出</w:t>
      </w:r>
      <w:r>
        <w:rPr>
          <w:rFonts w:hint="eastAsia" w:ascii="仿宋" w:hAnsi="仿宋" w:eastAsia="仿宋" w:cs="仿宋"/>
          <w:sz w:val="32"/>
          <w:szCs w:val="32"/>
          <w:lang w:eastAsia="zh-CN"/>
        </w:rPr>
        <w:t>。</w:t>
      </w:r>
    </w:p>
    <w:p w14:paraId="79A27405">
      <w:pPr>
        <w:pStyle w:val="13"/>
        <w:spacing w:line="600" w:lineRule="exact"/>
        <w:ind w:firstLine="800" w:firstLineChars="250"/>
        <w:rPr>
          <w:rFonts w:hint="eastAsia" w:ascii="Times New Roman" w:hAnsi="Times New Roman" w:eastAsia="仿宋_GB2312"/>
          <w:sz w:val="32"/>
          <w:szCs w:val="32"/>
        </w:rPr>
      </w:pPr>
    </w:p>
    <w:p w14:paraId="1DC41E7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1904D61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5.72</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266.05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人员增加，公用经费支出增加。</w:t>
      </w:r>
    </w:p>
    <w:p w14:paraId="29F81AF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4DB0BFFB">
      <w:pPr>
        <w:pStyle w:val="13"/>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sz w:val="32"/>
          <w:szCs w:val="32"/>
        </w:rPr>
        <w:t>2024年本部门</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无举办节庆、晚会、论坛、赛事活动等开支。</w:t>
      </w:r>
    </w:p>
    <w:p w14:paraId="7AF9985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18684E7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6.55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0.62</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5.93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6.55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6.55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0.62</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5.93</w:t>
      </w:r>
      <w:r>
        <w:rPr>
          <w:rFonts w:ascii="Times New Roman" w:hAnsi="Times New Roman" w:eastAsia="仿宋_GB2312" w:cs="Times New Roman"/>
          <w:color w:val="auto"/>
          <w:sz w:val="32"/>
          <w:szCs w:val="32"/>
        </w:rPr>
        <w:t>%。</w:t>
      </w:r>
    </w:p>
    <w:p w14:paraId="565808C7">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27962CF9">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sz w:val="32"/>
          <w:szCs w:val="32"/>
        </w:rPr>
        <w:t>本单位无公务用车；无单位价值100万元以上专用设备。</w:t>
      </w:r>
    </w:p>
    <w:p w14:paraId="55AEE5BC">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3C36F26">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75754DB1">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66.5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66.5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p>
    <w:p w14:paraId="74C5601F">
      <w:pPr>
        <w:numPr>
          <w:ilvl w:val="0"/>
          <w:numId w:val="2"/>
        </w:num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绩效评价结果。</w:t>
      </w:r>
    </w:p>
    <w:p w14:paraId="0C9C06BF">
      <w:pPr>
        <w:widowControl/>
        <w:shd w:val="clear" w:color="auto" w:fill="FFFFFF"/>
        <w:spacing w:line="640" w:lineRule="exact"/>
        <w:ind w:left="0" w:right="0" w:firstLine="632"/>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122.84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236.33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192.39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kern w:val="0"/>
          <w:sz w:val="32"/>
          <w:szCs w:val="32"/>
        </w:rPr>
        <w:t>截止到12月底，秘书处共收到仲裁申请128件，其中</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受理立案123件，不予受理5件，标的额1.43亿元。已结案71件，其中裁决结案34件，调解结案37件，调解率52%。此外，共提供法律咨询100余人次，立案前调解成功15起</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lang w:val="en-US" w:eastAsia="zh-CN"/>
        </w:rPr>
        <w:t>按照省厅“千名仲裁员联千企”活动要求，共安排16名仲裁员联系企业55家，开展法律咨询191次，法治宣传7场，调处矛盾纠纷26件，开展法治体检43次，解决法律问题或防范风险132个；三是为了提升仲裁服务水平，加强仲裁人才队伍建设，2024年我委有一名办案秘书和一名仲裁员加入了全省仲裁领军人才库，并且经省司法厅统一安排到上海复旦大学参加了为期一周的湖南仲裁领军人才培训。</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kern w:val="0"/>
          <w:sz w:val="32"/>
          <w:szCs w:val="32"/>
          <w:lang w:val="en-US" w:eastAsia="zh-CN"/>
        </w:rPr>
        <w:t>对绩效目标概念认识不足，绩效评价结果未很好的运用在预算安排上，部分绩效指标及目标有待进一步细化和量化；二是本年人员经费控制未达到预期目标，主要是因为本年年中人员调整，由年初在职在岗人员3人调增至12人，较做年初预算时增加9人，人员经费支出超年初预算预期。</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kern w:val="0"/>
          <w:sz w:val="32"/>
          <w:szCs w:val="32"/>
          <w:lang w:val="en-US" w:eastAsia="zh-CN"/>
        </w:rPr>
        <w:t>一是强化资金使用和绩效目标管理意识，根据单位职能科学合理地设置绩效指标，提高预算绩效指标的针对性和可测性，充分发挥预算绩效目标管理的导向作用。</w:t>
      </w:r>
    </w:p>
    <w:p w14:paraId="06C7593C">
      <w:pPr>
        <w:pStyle w:val="13"/>
        <w:numPr>
          <w:ilvl w:val="0"/>
          <w:numId w:val="2"/>
        </w:numPr>
        <w:overflowPunct w:val="0"/>
        <w:autoSpaceDE/>
        <w:autoSpaceDN/>
        <w:spacing w:line="600" w:lineRule="exact"/>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6E5AE8A1">
      <w:pPr>
        <w:widowControl/>
        <w:shd w:val="clear" w:color="auto" w:fill="FFFFFF"/>
        <w:spacing w:line="640" w:lineRule="exact"/>
        <w:ind w:left="0" w:right="0" w:firstLine="632"/>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将绩效自评结果作为本单位完善制度和改进管理的重要依据，</w:t>
      </w:r>
      <w:r>
        <w:rPr>
          <w:rFonts w:hint="default" w:ascii="Times New Roman" w:hAnsi="Times New Roman" w:eastAsia="仿宋_GB2312" w:cs="Times New Roman"/>
          <w:kern w:val="0"/>
          <w:sz w:val="32"/>
          <w:szCs w:val="32"/>
          <w:lang w:val="en-US" w:eastAsia="zh-CN"/>
        </w:rPr>
        <w:t>根据绩效自评结果，对比设定目标和实际完成情况，及时调整工作重点</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提高工作效率</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根据绩效自评结果，制定发展计划，提高财政资金支出决策水平和管理水平。</w:t>
      </w:r>
    </w:p>
    <w:p w14:paraId="3172E61E">
      <w:pPr>
        <w:pStyle w:val="13"/>
        <w:jc w:val="center"/>
        <w:rPr>
          <w:rFonts w:hint="eastAsia" w:ascii="Times New Roman" w:hAnsi="Times New Roman" w:eastAsia="黑体" w:cs="Times New Roman"/>
          <w:sz w:val="72"/>
          <w:szCs w:val="72"/>
          <w:lang w:eastAsia="zh-CN"/>
        </w:rPr>
      </w:pPr>
      <w:r>
        <w:rPr>
          <w:rFonts w:hint="eastAsia" w:ascii="Times New Roman" w:hAnsi="Times New Roman" w:eastAsia="仿宋_GB2312" w:cs="Times New Roman"/>
          <w:color w:val="auto"/>
          <w:kern w:val="0"/>
          <w:sz w:val="32"/>
          <w:szCs w:val="32"/>
          <w:lang w:val="en-US" w:eastAsia="zh-CN" w:bidi="ar-SA"/>
        </w:rPr>
        <w:t>（见附件《2024年度部门整体支出绩效自评报告》）</w:t>
      </w:r>
    </w:p>
    <w:p w14:paraId="6D0DA1DF">
      <w:pPr>
        <w:pStyle w:val="13"/>
        <w:jc w:val="center"/>
        <w:rPr>
          <w:rFonts w:ascii="Times New Roman" w:hAnsi="Times New Roman" w:cs="Times New Roman"/>
          <w:sz w:val="72"/>
          <w:szCs w:val="72"/>
        </w:rPr>
      </w:pPr>
    </w:p>
    <w:p w14:paraId="01EB1D25">
      <w:pPr>
        <w:pStyle w:val="13"/>
        <w:jc w:val="center"/>
        <w:rPr>
          <w:rFonts w:ascii="Times New Roman" w:hAnsi="Times New Roman" w:cs="Times New Roman"/>
          <w:sz w:val="72"/>
          <w:szCs w:val="72"/>
        </w:rPr>
      </w:pPr>
    </w:p>
    <w:p w14:paraId="01231777">
      <w:pPr>
        <w:pStyle w:val="13"/>
        <w:jc w:val="center"/>
        <w:rPr>
          <w:rFonts w:ascii="Times New Roman" w:hAnsi="Times New Roman" w:cs="Times New Roman"/>
          <w:sz w:val="72"/>
          <w:szCs w:val="72"/>
        </w:rPr>
      </w:pPr>
    </w:p>
    <w:p w14:paraId="0582CA60">
      <w:pPr>
        <w:pStyle w:val="13"/>
        <w:jc w:val="center"/>
        <w:rPr>
          <w:rFonts w:ascii="Times New Roman" w:hAnsi="Times New Roman" w:cs="Times New Roman"/>
          <w:sz w:val="72"/>
          <w:szCs w:val="72"/>
        </w:rPr>
      </w:pPr>
    </w:p>
    <w:p w14:paraId="23CF1153">
      <w:pPr>
        <w:pStyle w:val="13"/>
        <w:jc w:val="center"/>
        <w:rPr>
          <w:rFonts w:ascii="Times New Roman" w:hAnsi="Times New Roman" w:cs="Times New Roman"/>
          <w:sz w:val="72"/>
          <w:szCs w:val="72"/>
        </w:rPr>
      </w:pPr>
    </w:p>
    <w:p w14:paraId="007EE069">
      <w:pPr>
        <w:pStyle w:val="13"/>
        <w:jc w:val="center"/>
        <w:rPr>
          <w:rFonts w:ascii="Times New Roman" w:hAnsi="Times New Roman" w:cs="Times New Roman"/>
          <w:sz w:val="72"/>
          <w:szCs w:val="72"/>
        </w:rPr>
      </w:pPr>
    </w:p>
    <w:p w14:paraId="2E499FE7">
      <w:pPr>
        <w:pStyle w:val="13"/>
        <w:jc w:val="center"/>
        <w:rPr>
          <w:rFonts w:ascii="Times New Roman" w:hAnsi="Times New Roman" w:cs="Times New Roman"/>
          <w:sz w:val="72"/>
          <w:szCs w:val="72"/>
        </w:rPr>
      </w:pPr>
    </w:p>
    <w:p w14:paraId="29F35186">
      <w:pPr>
        <w:pStyle w:val="13"/>
        <w:jc w:val="center"/>
        <w:rPr>
          <w:rFonts w:ascii="Times New Roman" w:hAnsi="Times New Roman" w:cs="Times New Roman"/>
          <w:sz w:val="72"/>
          <w:szCs w:val="72"/>
        </w:rPr>
      </w:pPr>
    </w:p>
    <w:p w14:paraId="027D0F2A">
      <w:pPr>
        <w:pStyle w:val="13"/>
        <w:jc w:val="both"/>
        <w:rPr>
          <w:rFonts w:ascii="Times New Roman" w:hAnsi="Times New Roman" w:cs="Times New Roman"/>
          <w:sz w:val="72"/>
          <w:szCs w:val="72"/>
        </w:rPr>
      </w:pPr>
    </w:p>
    <w:p w14:paraId="4A53C34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第四部分 </w:t>
      </w:r>
    </w:p>
    <w:p w14:paraId="7F669BB1">
      <w:pPr>
        <w:pStyle w:val="13"/>
        <w:spacing w:line="360" w:lineRule="auto"/>
        <w:ind w:firstLine="2600" w:firstLineChars="5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名词解释</w:t>
      </w:r>
    </w:p>
    <w:p w14:paraId="7C1B819E">
      <w:pPr>
        <w:widowControl/>
        <w:jc w:val="left"/>
        <w:rPr>
          <w:rFonts w:ascii="Times New Roman" w:hAnsi="Times New Roman" w:cs="Times New Roman"/>
          <w:color w:val="000000"/>
          <w:kern w:val="0"/>
          <w:sz w:val="32"/>
          <w:szCs w:val="32"/>
        </w:rPr>
      </w:pPr>
    </w:p>
    <w:p w14:paraId="6F6FA261">
      <w:pPr>
        <w:widowControl/>
        <w:ind w:firstLine="640" w:firstLineChars="200"/>
        <w:jc w:val="left"/>
        <w:rPr>
          <w:rFonts w:ascii="Times New Roman" w:hAnsi="Times New Roman" w:eastAsia="仿宋_GB2312" w:cs="Times New Roman"/>
          <w:color w:val="000000"/>
          <w:kern w:val="0"/>
          <w:sz w:val="32"/>
          <w:szCs w:val="32"/>
        </w:rPr>
      </w:pPr>
    </w:p>
    <w:p w14:paraId="722E0F99">
      <w:pPr>
        <w:widowControl/>
        <w:ind w:firstLine="640" w:firstLineChars="200"/>
        <w:jc w:val="left"/>
        <w:rPr>
          <w:rFonts w:ascii="Times New Roman" w:hAnsi="Times New Roman" w:eastAsia="仿宋_GB2312" w:cs="Times New Roman"/>
          <w:color w:val="000000"/>
          <w:kern w:val="0"/>
          <w:sz w:val="32"/>
          <w:szCs w:val="32"/>
        </w:rPr>
      </w:pPr>
    </w:p>
    <w:p w14:paraId="0279CDF6">
      <w:pPr>
        <w:widowControl/>
        <w:ind w:firstLine="640" w:firstLineChars="200"/>
        <w:jc w:val="left"/>
        <w:rPr>
          <w:rFonts w:ascii="Times New Roman" w:hAnsi="Times New Roman" w:eastAsia="仿宋_GB2312" w:cs="Times New Roman"/>
          <w:color w:val="000000"/>
          <w:kern w:val="0"/>
          <w:sz w:val="32"/>
          <w:szCs w:val="32"/>
        </w:rPr>
      </w:pPr>
    </w:p>
    <w:p w14:paraId="4C998294">
      <w:pPr>
        <w:widowControl/>
        <w:ind w:firstLine="640" w:firstLineChars="200"/>
        <w:jc w:val="left"/>
        <w:rPr>
          <w:rFonts w:ascii="Times New Roman" w:hAnsi="Times New Roman" w:eastAsia="仿宋_GB2312" w:cs="Times New Roman"/>
          <w:color w:val="000000"/>
          <w:kern w:val="0"/>
          <w:sz w:val="32"/>
          <w:szCs w:val="32"/>
        </w:rPr>
      </w:pPr>
    </w:p>
    <w:p w14:paraId="499973F4">
      <w:pPr>
        <w:widowControl/>
        <w:ind w:firstLine="640" w:firstLineChars="200"/>
        <w:jc w:val="left"/>
        <w:rPr>
          <w:rFonts w:ascii="Times New Roman" w:hAnsi="Times New Roman" w:eastAsia="仿宋_GB2312" w:cs="Times New Roman"/>
          <w:color w:val="000000"/>
          <w:kern w:val="0"/>
          <w:sz w:val="32"/>
          <w:szCs w:val="32"/>
        </w:rPr>
      </w:pPr>
    </w:p>
    <w:p w14:paraId="2620ED26">
      <w:pPr>
        <w:widowControl/>
        <w:ind w:firstLine="640" w:firstLineChars="200"/>
        <w:jc w:val="left"/>
        <w:rPr>
          <w:rFonts w:ascii="Times New Roman" w:hAnsi="Times New Roman" w:eastAsia="仿宋_GB2312" w:cs="Times New Roman"/>
          <w:color w:val="000000"/>
          <w:kern w:val="0"/>
          <w:sz w:val="32"/>
          <w:szCs w:val="32"/>
        </w:rPr>
      </w:pPr>
    </w:p>
    <w:p w14:paraId="3BDBC546">
      <w:pPr>
        <w:widowControl/>
        <w:ind w:firstLine="640" w:firstLineChars="200"/>
        <w:jc w:val="left"/>
        <w:rPr>
          <w:rFonts w:ascii="Times New Roman" w:hAnsi="Times New Roman" w:eastAsia="仿宋_GB2312" w:cs="Times New Roman"/>
          <w:color w:val="000000"/>
          <w:kern w:val="0"/>
          <w:sz w:val="32"/>
          <w:szCs w:val="32"/>
        </w:rPr>
      </w:pPr>
    </w:p>
    <w:p w14:paraId="1842C0A6">
      <w:pPr>
        <w:widowControl/>
        <w:ind w:firstLine="640" w:firstLineChars="200"/>
        <w:jc w:val="left"/>
        <w:rPr>
          <w:rFonts w:ascii="Times New Roman" w:hAnsi="Times New Roman" w:eastAsia="仿宋_GB2312" w:cs="Times New Roman"/>
          <w:color w:val="000000"/>
          <w:kern w:val="0"/>
          <w:sz w:val="32"/>
          <w:szCs w:val="32"/>
        </w:rPr>
      </w:pPr>
    </w:p>
    <w:p w14:paraId="6020423C">
      <w:pPr>
        <w:widowControl/>
        <w:ind w:firstLine="640" w:firstLineChars="200"/>
        <w:jc w:val="left"/>
        <w:rPr>
          <w:rFonts w:ascii="Times New Roman" w:hAnsi="Times New Roman" w:eastAsia="仿宋_GB2312" w:cs="Times New Roman"/>
          <w:color w:val="000000"/>
          <w:kern w:val="0"/>
          <w:sz w:val="32"/>
          <w:szCs w:val="32"/>
        </w:rPr>
      </w:pPr>
    </w:p>
    <w:p w14:paraId="5BCDD947">
      <w:pPr>
        <w:widowControl/>
        <w:ind w:firstLine="640" w:firstLineChars="200"/>
        <w:jc w:val="left"/>
        <w:rPr>
          <w:rFonts w:ascii="Times New Roman" w:hAnsi="Times New Roman" w:eastAsia="仿宋_GB2312" w:cs="Times New Roman"/>
          <w:color w:val="000000"/>
          <w:kern w:val="0"/>
          <w:sz w:val="32"/>
          <w:szCs w:val="32"/>
        </w:rPr>
      </w:pPr>
    </w:p>
    <w:p w14:paraId="0EB9D951">
      <w:pPr>
        <w:widowControl/>
        <w:ind w:firstLine="640" w:firstLineChars="200"/>
        <w:jc w:val="left"/>
        <w:rPr>
          <w:rFonts w:ascii="Times New Roman" w:hAnsi="Times New Roman" w:eastAsia="仿宋_GB2312" w:cs="Times New Roman"/>
          <w:color w:val="000000"/>
          <w:kern w:val="0"/>
          <w:sz w:val="32"/>
          <w:szCs w:val="32"/>
        </w:rPr>
      </w:pPr>
    </w:p>
    <w:p w14:paraId="22CC97DA">
      <w:pPr>
        <w:widowControl/>
        <w:ind w:firstLine="640" w:firstLineChars="200"/>
        <w:jc w:val="left"/>
        <w:rPr>
          <w:rFonts w:ascii="Times New Roman" w:hAnsi="Times New Roman" w:eastAsia="仿宋_GB2312" w:cs="Times New Roman"/>
          <w:color w:val="000000"/>
          <w:kern w:val="0"/>
          <w:sz w:val="32"/>
          <w:szCs w:val="32"/>
        </w:rPr>
      </w:pPr>
    </w:p>
    <w:p w14:paraId="2B6743DB">
      <w:pPr>
        <w:widowControl/>
        <w:ind w:firstLine="640" w:firstLineChars="200"/>
        <w:jc w:val="left"/>
        <w:rPr>
          <w:rFonts w:ascii="Times New Roman" w:hAnsi="Times New Roman" w:eastAsia="仿宋_GB2312" w:cs="Times New Roman"/>
          <w:color w:val="000000"/>
          <w:kern w:val="0"/>
          <w:sz w:val="32"/>
          <w:szCs w:val="32"/>
        </w:rPr>
      </w:pPr>
    </w:p>
    <w:p w14:paraId="05F75AD1">
      <w:pPr>
        <w:widowControl/>
        <w:ind w:firstLine="640" w:firstLineChars="200"/>
        <w:jc w:val="left"/>
        <w:rPr>
          <w:rFonts w:ascii="Times New Roman" w:hAnsi="Times New Roman" w:eastAsia="仿宋_GB2312" w:cs="Times New Roman"/>
          <w:color w:val="000000"/>
          <w:kern w:val="0"/>
          <w:sz w:val="32"/>
          <w:szCs w:val="32"/>
        </w:rPr>
      </w:pPr>
    </w:p>
    <w:p w14:paraId="1EF54793">
      <w:pPr>
        <w:widowControl/>
        <w:ind w:firstLine="640" w:firstLineChars="200"/>
        <w:jc w:val="left"/>
        <w:rPr>
          <w:rFonts w:ascii="Times New Roman" w:hAnsi="Times New Roman" w:eastAsia="仿宋_GB2312" w:cs="Times New Roman"/>
          <w:color w:val="000000"/>
          <w:kern w:val="0"/>
          <w:sz w:val="32"/>
          <w:szCs w:val="32"/>
        </w:rPr>
      </w:pPr>
    </w:p>
    <w:p w14:paraId="325C2321">
      <w:pPr>
        <w:widowControl/>
        <w:ind w:firstLine="640" w:firstLineChars="200"/>
        <w:jc w:val="left"/>
        <w:rPr>
          <w:rFonts w:ascii="Times New Roman" w:hAnsi="Times New Roman" w:eastAsia="仿宋_GB2312" w:cs="Times New Roman"/>
          <w:color w:val="000000"/>
          <w:kern w:val="0"/>
          <w:sz w:val="32"/>
          <w:szCs w:val="32"/>
        </w:rPr>
      </w:pPr>
    </w:p>
    <w:p w14:paraId="75DB3326">
      <w:pPr>
        <w:widowControl/>
        <w:ind w:firstLine="640" w:firstLineChars="200"/>
        <w:jc w:val="left"/>
        <w:rPr>
          <w:rFonts w:ascii="Times New Roman" w:hAnsi="Times New Roman" w:eastAsia="仿宋_GB2312" w:cs="Times New Roman"/>
          <w:color w:val="000000"/>
          <w:kern w:val="0"/>
          <w:sz w:val="32"/>
          <w:szCs w:val="32"/>
        </w:rPr>
      </w:pPr>
    </w:p>
    <w:p w14:paraId="157D69E2">
      <w:pPr>
        <w:pStyle w:val="8"/>
        <w:widowControl/>
        <w:shd w:val="clear" w:color="auto" w:fill="FFFFFF"/>
        <w:spacing w:beforeAutospacing="0" w:afterAutospacing="0" w:line="255" w:lineRule="atLeast"/>
        <w:ind w:firstLine="640" w:firstLineChars="200"/>
        <w:jc w:val="both"/>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5B9ABDAD">
      <w:pPr>
        <w:pStyle w:val="8"/>
        <w:widowControl/>
        <w:shd w:val="clear" w:color="auto" w:fill="FFFFFF"/>
        <w:spacing w:beforeAutospacing="0" w:after="38" w:afterAutospacing="0" w:line="255" w:lineRule="atLeast"/>
        <w:ind w:firstLine="640" w:firstLineChars="200"/>
        <w:jc w:val="both"/>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48B7860E">
      <w:pPr>
        <w:pStyle w:val="13"/>
        <w:jc w:val="center"/>
        <w:rPr>
          <w:sz w:val="72"/>
          <w:szCs w:val="72"/>
        </w:rPr>
      </w:pPr>
    </w:p>
    <w:p w14:paraId="6E6BE3AF">
      <w:pPr>
        <w:pStyle w:val="13"/>
        <w:spacing w:line="600" w:lineRule="exact"/>
        <w:ind w:firstLine="640" w:firstLineChars="200"/>
        <w:rPr>
          <w:rFonts w:ascii="Times New Roman" w:hAnsi="Times New Roman" w:eastAsia="楷体_GB2312" w:cs="Times New Roman"/>
          <w:b/>
          <w:bCs/>
          <w:i/>
          <w:color w:val="auto"/>
          <w:sz w:val="32"/>
          <w:szCs w:val="32"/>
        </w:rPr>
      </w:pPr>
    </w:p>
    <w:p w14:paraId="40DB4A4D">
      <w:pPr>
        <w:pStyle w:val="13"/>
        <w:jc w:val="center"/>
        <w:rPr>
          <w:rFonts w:ascii="Times New Roman" w:hAnsi="Times New Roman" w:cs="Times New Roman"/>
          <w:sz w:val="72"/>
          <w:szCs w:val="72"/>
        </w:rPr>
      </w:pPr>
    </w:p>
    <w:p w14:paraId="21E5F497">
      <w:pPr>
        <w:pStyle w:val="13"/>
        <w:jc w:val="center"/>
        <w:rPr>
          <w:rFonts w:ascii="Times New Roman" w:hAnsi="Times New Roman" w:cs="Times New Roman"/>
          <w:sz w:val="72"/>
          <w:szCs w:val="72"/>
        </w:rPr>
      </w:pPr>
    </w:p>
    <w:p w14:paraId="2FFEBB2E">
      <w:pPr>
        <w:pStyle w:val="13"/>
        <w:jc w:val="center"/>
        <w:rPr>
          <w:rFonts w:ascii="Times New Roman" w:hAnsi="Times New Roman" w:cs="Times New Roman"/>
          <w:sz w:val="72"/>
          <w:szCs w:val="72"/>
        </w:rPr>
      </w:pPr>
    </w:p>
    <w:p w14:paraId="55E4DF35">
      <w:pPr>
        <w:pStyle w:val="13"/>
        <w:jc w:val="center"/>
        <w:rPr>
          <w:rFonts w:ascii="Times New Roman" w:hAnsi="Times New Roman" w:cs="Times New Roman"/>
          <w:sz w:val="72"/>
          <w:szCs w:val="72"/>
        </w:rPr>
      </w:pPr>
    </w:p>
    <w:p w14:paraId="4B4BBD6F">
      <w:pPr>
        <w:pStyle w:val="13"/>
        <w:jc w:val="center"/>
        <w:rPr>
          <w:rFonts w:ascii="Times New Roman" w:hAnsi="Times New Roman" w:cs="Times New Roman"/>
          <w:sz w:val="72"/>
          <w:szCs w:val="72"/>
        </w:rPr>
      </w:pPr>
    </w:p>
    <w:p w14:paraId="40D15C9E">
      <w:pPr>
        <w:pStyle w:val="13"/>
        <w:jc w:val="center"/>
        <w:rPr>
          <w:rFonts w:ascii="Times New Roman" w:hAnsi="Times New Roman" w:cs="Times New Roman"/>
          <w:sz w:val="72"/>
          <w:szCs w:val="72"/>
        </w:rPr>
      </w:pPr>
    </w:p>
    <w:p w14:paraId="44EBA1ED">
      <w:pPr>
        <w:pStyle w:val="13"/>
        <w:jc w:val="center"/>
        <w:rPr>
          <w:rFonts w:ascii="Times New Roman" w:hAnsi="Times New Roman" w:cs="Times New Roman"/>
          <w:sz w:val="72"/>
          <w:szCs w:val="72"/>
        </w:rPr>
      </w:pPr>
    </w:p>
    <w:p w14:paraId="26D9E331">
      <w:pPr>
        <w:pStyle w:val="13"/>
        <w:jc w:val="both"/>
        <w:rPr>
          <w:rFonts w:ascii="Times New Roman" w:hAnsi="Times New Roman" w:cs="Times New Roman"/>
          <w:sz w:val="72"/>
          <w:szCs w:val="72"/>
        </w:rPr>
      </w:pPr>
    </w:p>
    <w:p w14:paraId="69B6FAE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第五部分 </w:t>
      </w:r>
    </w:p>
    <w:p w14:paraId="47E3A67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附 件</w:t>
      </w:r>
    </w:p>
    <w:p w14:paraId="24BA215E">
      <w:pPr>
        <w:rPr>
          <w:rFonts w:ascii="Times New Roman" w:hAnsi="Times New Roman" w:cs="Times New Roman"/>
          <w:sz w:val="72"/>
          <w:szCs w:val="72"/>
        </w:rPr>
      </w:pPr>
    </w:p>
    <w:p w14:paraId="74FD2F18">
      <w:pPr>
        <w:pStyle w:val="13"/>
        <w:spacing w:line="600" w:lineRule="exact"/>
        <w:ind w:firstLine="640" w:firstLineChars="200"/>
        <w:rPr>
          <w:rFonts w:hint="eastAsia" w:ascii="楷体" w:hAnsi="楷体" w:eastAsia="楷体" w:cs="楷体"/>
          <w:b/>
          <w:bCs/>
          <w:sz w:val="32"/>
          <w:szCs w:val="32"/>
        </w:rPr>
      </w:pPr>
    </w:p>
    <w:p w14:paraId="34243DFF">
      <w:pPr>
        <w:pStyle w:val="13"/>
        <w:spacing w:line="600" w:lineRule="exact"/>
        <w:ind w:firstLine="640" w:firstLineChars="200"/>
        <w:rPr>
          <w:rFonts w:hint="eastAsia" w:ascii="楷体" w:hAnsi="楷体" w:eastAsia="楷体" w:cs="楷体"/>
          <w:b/>
          <w:bCs/>
          <w:sz w:val="32"/>
          <w:szCs w:val="32"/>
        </w:rPr>
      </w:pPr>
    </w:p>
    <w:p w14:paraId="03BB14DE">
      <w:pPr>
        <w:pStyle w:val="13"/>
        <w:spacing w:line="600" w:lineRule="exact"/>
        <w:ind w:firstLine="640" w:firstLineChars="200"/>
        <w:rPr>
          <w:rFonts w:hint="eastAsia" w:ascii="楷体" w:hAnsi="楷体" w:eastAsia="楷体" w:cs="楷体"/>
          <w:b/>
          <w:bCs/>
          <w:sz w:val="32"/>
          <w:szCs w:val="32"/>
        </w:rPr>
      </w:pPr>
    </w:p>
    <w:p w14:paraId="679663AB">
      <w:pPr>
        <w:pStyle w:val="13"/>
        <w:spacing w:line="600" w:lineRule="exact"/>
        <w:ind w:firstLine="640" w:firstLineChars="200"/>
        <w:rPr>
          <w:rFonts w:hint="eastAsia" w:ascii="楷体" w:hAnsi="楷体" w:eastAsia="楷体" w:cs="楷体"/>
          <w:b/>
          <w:bCs/>
          <w:sz w:val="32"/>
          <w:szCs w:val="32"/>
        </w:rPr>
      </w:pPr>
    </w:p>
    <w:p w14:paraId="32148294">
      <w:pPr>
        <w:pStyle w:val="13"/>
        <w:spacing w:line="600" w:lineRule="exact"/>
        <w:ind w:firstLine="640" w:firstLineChars="200"/>
        <w:rPr>
          <w:rFonts w:hint="eastAsia" w:ascii="楷体" w:hAnsi="楷体" w:eastAsia="楷体" w:cs="楷体"/>
          <w:b/>
          <w:bCs/>
          <w:sz w:val="32"/>
          <w:szCs w:val="32"/>
        </w:rPr>
      </w:pPr>
    </w:p>
    <w:p w14:paraId="36836393">
      <w:pPr>
        <w:pStyle w:val="13"/>
        <w:spacing w:line="600" w:lineRule="exact"/>
        <w:ind w:firstLine="640" w:firstLineChars="200"/>
        <w:rPr>
          <w:rFonts w:hint="eastAsia" w:ascii="楷体" w:hAnsi="楷体" w:eastAsia="楷体" w:cs="楷体"/>
          <w:b/>
          <w:bCs/>
          <w:sz w:val="32"/>
          <w:szCs w:val="32"/>
        </w:rPr>
      </w:pPr>
    </w:p>
    <w:p w14:paraId="46845F37">
      <w:pPr>
        <w:pStyle w:val="13"/>
        <w:spacing w:line="600" w:lineRule="exact"/>
        <w:ind w:firstLine="640" w:firstLineChars="200"/>
        <w:rPr>
          <w:rFonts w:hint="eastAsia" w:ascii="楷体" w:hAnsi="楷体" w:eastAsia="楷体" w:cs="楷体"/>
          <w:b/>
          <w:bCs/>
          <w:sz w:val="32"/>
          <w:szCs w:val="32"/>
        </w:rPr>
      </w:pPr>
    </w:p>
    <w:p w14:paraId="4276DAD4">
      <w:pPr>
        <w:pStyle w:val="13"/>
        <w:spacing w:line="600" w:lineRule="exact"/>
        <w:ind w:firstLine="640" w:firstLineChars="200"/>
        <w:rPr>
          <w:rFonts w:hint="eastAsia" w:ascii="楷体" w:hAnsi="楷体" w:eastAsia="楷体" w:cs="楷体"/>
          <w:b/>
          <w:bCs/>
          <w:sz w:val="32"/>
          <w:szCs w:val="32"/>
        </w:rPr>
      </w:pPr>
    </w:p>
    <w:p w14:paraId="4DB5C06F">
      <w:pPr>
        <w:pStyle w:val="13"/>
        <w:spacing w:line="600" w:lineRule="exact"/>
        <w:ind w:firstLine="640" w:firstLineChars="200"/>
        <w:rPr>
          <w:rFonts w:hint="eastAsia" w:ascii="楷体" w:hAnsi="楷体" w:eastAsia="楷体" w:cs="楷体"/>
          <w:b/>
          <w:bCs/>
          <w:sz w:val="32"/>
          <w:szCs w:val="32"/>
        </w:rPr>
      </w:pPr>
    </w:p>
    <w:p w14:paraId="18020C59">
      <w:pPr>
        <w:pStyle w:val="13"/>
        <w:spacing w:line="600" w:lineRule="exact"/>
        <w:ind w:firstLine="640" w:firstLineChars="200"/>
        <w:rPr>
          <w:rFonts w:hint="eastAsia" w:ascii="楷体" w:hAnsi="楷体" w:eastAsia="楷体" w:cs="楷体"/>
          <w:b/>
          <w:bCs/>
          <w:sz w:val="32"/>
          <w:szCs w:val="32"/>
        </w:rPr>
      </w:pPr>
    </w:p>
    <w:p w14:paraId="4015F93F">
      <w:pPr>
        <w:pStyle w:val="13"/>
        <w:spacing w:line="600" w:lineRule="exact"/>
        <w:ind w:firstLine="640" w:firstLineChars="200"/>
        <w:rPr>
          <w:rFonts w:hint="eastAsia" w:ascii="楷体" w:hAnsi="楷体" w:eastAsia="楷体" w:cs="楷体"/>
          <w:b/>
          <w:bCs/>
          <w:sz w:val="32"/>
          <w:szCs w:val="32"/>
        </w:rPr>
      </w:pPr>
    </w:p>
    <w:p w14:paraId="448BDFB5">
      <w:pPr>
        <w:pStyle w:val="13"/>
        <w:spacing w:line="600" w:lineRule="exact"/>
        <w:ind w:firstLine="640" w:firstLineChars="200"/>
        <w:rPr>
          <w:rFonts w:hint="eastAsia" w:ascii="楷体" w:hAnsi="楷体" w:eastAsia="楷体" w:cs="楷体"/>
          <w:b/>
          <w:bCs/>
          <w:sz w:val="32"/>
          <w:szCs w:val="32"/>
        </w:rPr>
      </w:pPr>
    </w:p>
    <w:p w14:paraId="441EFC87">
      <w:pPr>
        <w:pStyle w:val="13"/>
        <w:spacing w:line="600" w:lineRule="exact"/>
        <w:ind w:firstLine="640" w:firstLineChars="200"/>
        <w:rPr>
          <w:rFonts w:hint="eastAsia" w:ascii="楷体" w:hAnsi="楷体" w:eastAsia="楷体" w:cs="楷体"/>
          <w:b/>
          <w:bCs/>
          <w:sz w:val="32"/>
          <w:szCs w:val="32"/>
        </w:rPr>
      </w:pPr>
    </w:p>
    <w:p w14:paraId="16D6D124">
      <w:pPr>
        <w:pStyle w:val="13"/>
        <w:spacing w:line="600" w:lineRule="exact"/>
        <w:ind w:firstLine="640" w:firstLineChars="200"/>
        <w:rPr>
          <w:rFonts w:hint="eastAsia" w:ascii="楷体" w:hAnsi="楷体" w:eastAsia="楷体" w:cs="楷体"/>
          <w:b/>
          <w:bCs/>
          <w:sz w:val="32"/>
          <w:szCs w:val="32"/>
        </w:rPr>
      </w:pPr>
    </w:p>
    <w:p w14:paraId="6B8EB134">
      <w:pPr>
        <w:pStyle w:val="13"/>
        <w:spacing w:line="600" w:lineRule="exact"/>
        <w:ind w:firstLine="640" w:firstLineChars="200"/>
        <w:rPr>
          <w:rFonts w:hint="eastAsia" w:ascii="楷体" w:hAnsi="楷体" w:eastAsia="楷体" w:cs="楷体"/>
          <w:b/>
          <w:bCs/>
          <w:sz w:val="32"/>
          <w:szCs w:val="32"/>
        </w:rPr>
      </w:pPr>
    </w:p>
    <w:p w14:paraId="563F3FA8">
      <w:pPr>
        <w:pStyle w:val="13"/>
        <w:spacing w:line="600" w:lineRule="exact"/>
        <w:ind w:firstLine="640" w:firstLineChars="200"/>
        <w:rPr>
          <w:rFonts w:hint="eastAsia" w:ascii="楷体" w:hAnsi="楷体" w:eastAsia="楷体" w:cs="楷体"/>
          <w:b/>
          <w:bCs/>
          <w:sz w:val="32"/>
          <w:szCs w:val="32"/>
        </w:rPr>
      </w:pPr>
    </w:p>
    <w:p w14:paraId="255783CF">
      <w:pPr>
        <w:pStyle w:val="13"/>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年度部门整体支出绩效自评报告。</w:t>
      </w:r>
    </w:p>
    <w:p w14:paraId="359B3A1F">
      <w:pPr>
        <w:pStyle w:val="13"/>
        <w:spacing w:line="600" w:lineRule="exact"/>
        <w:ind w:firstLine="640" w:firstLineChars="200"/>
        <w:rPr>
          <w:rFonts w:hint="eastAsia" w:ascii="Times New Roman" w:hAnsi="Times New Roman" w:eastAsia="仿宋_GB2312"/>
          <w:sz w:val="32"/>
          <w:szCs w:val="32"/>
        </w:rPr>
      </w:pPr>
      <w:r>
        <w:rPr>
          <w:rFonts w:hint="eastAsia" w:ascii="楷体" w:hAnsi="楷体" w:eastAsia="楷体" w:cs="楷体"/>
          <w:bCs/>
          <w:sz w:val="32"/>
          <w:szCs w:val="32"/>
        </w:rPr>
        <w:t>二、</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年怀化仲裁委员会秘书处决算公开表</w:t>
      </w:r>
    </w:p>
    <w:p w14:paraId="6689D12B">
      <w:pPr>
        <w:pStyle w:val="13"/>
        <w:spacing w:line="600" w:lineRule="exact"/>
        <w:ind w:firstLine="640" w:firstLineChars="200"/>
        <w:rPr>
          <w:rFonts w:ascii="Times New Roman" w:hAnsi="Times New Roman" w:eastAsia="仿宋_GB2312" w:cs="Times New Roman"/>
          <w:sz w:val="32"/>
          <w:szCs w:val="32"/>
        </w:rPr>
      </w:pPr>
    </w:p>
    <w:p w14:paraId="30AAF023">
      <w:pPr>
        <w:pStyle w:val="13"/>
        <w:jc w:val="center"/>
        <w:rPr>
          <w:rFonts w:ascii="Times New Roman" w:hAnsi="Times New Roman" w:cs="Times New Roman"/>
          <w:sz w:val="72"/>
          <w:szCs w:val="72"/>
        </w:rPr>
      </w:pPr>
    </w:p>
    <w:p w14:paraId="78F8AC2D">
      <w:pPr>
        <w:pStyle w:val="13"/>
        <w:jc w:val="center"/>
        <w:rPr>
          <w:rFonts w:ascii="Times New Roman" w:hAnsi="Times New Roman" w:cs="Times New Roman"/>
          <w:sz w:val="72"/>
          <w:szCs w:val="72"/>
        </w:rPr>
      </w:pPr>
    </w:p>
    <w:p w14:paraId="4392EF0E">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AB7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815F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8AF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C687C">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1051CB6D">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3CEB8"/>
    <w:multiLevelType w:val="singleLevel"/>
    <w:tmpl w:val="9813CEB8"/>
    <w:lvl w:ilvl="0" w:tentative="0">
      <w:start w:val="3"/>
      <w:numFmt w:val="decimal"/>
      <w:lvlText w:val="%1."/>
      <w:lvlJc w:val="left"/>
      <w:pPr>
        <w:tabs>
          <w:tab w:val="left" w:pos="312"/>
        </w:tabs>
      </w:pPr>
    </w:lvl>
  </w:abstractNum>
  <w:abstractNum w:abstractNumId="1">
    <w:nsid w:val="5494E9B1"/>
    <w:multiLevelType w:val="singleLevel"/>
    <w:tmpl w:val="5494E9B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1765741C"/>
    <w:rsid w:val="1D97DEFF"/>
    <w:rsid w:val="1DFF72E5"/>
    <w:rsid w:val="1EFC6F07"/>
    <w:rsid w:val="2FDF85B8"/>
    <w:rsid w:val="2FFFEE04"/>
    <w:rsid w:val="34DF85B0"/>
    <w:rsid w:val="3B8F36BC"/>
    <w:rsid w:val="412A5650"/>
    <w:rsid w:val="491FF225"/>
    <w:rsid w:val="4FFD214C"/>
    <w:rsid w:val="5777D4F5"/>
    <w:rsid w:val="59DD8326"/>
    <w:rsid w:val="5DEF592A"/>
    <w:rsid w:val="5FC6BB1E"/>
    <w:rsid w:val="5FF720F1"/>
    <w:rsid w:val="67FF5C0B"/>
    <w:rsid w:val="6EFC0924"/>
    <w:rsid w:val="6FB74722"/>
    <w:rsid w:val="6FEF8B7E"/>
    <w:rsid w:val="71A6591B"/>
    <w:rsid w:val="72C17EF8"/>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3585</Words>
  <Characters>3965</Characters>
  <Lines>69</Lines>
  <Paragraphs>19</Paragraphs>
  <TotalTime>3</TotalTime>
  <ScaleCrop>false</ScaleCrop>
  <LinksUpToDate>false</LinksUpToDate>
  <CharactersWithSpaces>3985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linlin</cp:lastModifiedBy>
  <cp:lastPrinted>2024-08-08T18:20:00Z</cp:lastPrinted>
  <dcterms:modified xsi:type="dcterms:W3CDTF">2025-09-19T03:22:42Z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eyJoZGlkIjoiZDY1MTJlNWZmODEzMjA1NWExMzQzMjQ5ZjUyZDJmODQiLCJ1c2VySWQiOiI5OTk0NjQwODEifQ==</vt:lpwstr>
  </property>
</Properties>
</file>