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BC6159">
      <w:pPr>
        <w:pStyle w:val="12"/>
        <w:jc w:val="center"/>
        <w:rPr>
          <w:rFonts w:hint="eastAsia" w:hAnsi="黑体"/>
          <w:sz w:val="36"/>
          <w:szCs w:val="36"/>
        </w:rPr>
      </w:pPr>
    </w:p>
    <w:p w14:paraId="311C8E93">
      <w:pPr>
        <w:pStyle w:val="12"/>
        <w:jc w:val="center"/>
        <w:rPr>
          <w:rFonts w:ascii="Times New Roman" w:hAnsi="Times New Roman" w:cs="Times New Roman"/>
          <w:sz w:val="56"/>
          <w:szCs w:val="56"/>
        </w:rPr>
      </w:pPr>
    </w:p>
    <w:p w14:paraId="54687332">
      <w:pPr>
        <w:pStyle w:val="12"/>
        <w:jc w:val="center"/>
        <w:rPr>
          <w:rFonts w:ascii="Times New Roman" w:hAnsi="Times New Roman" w:cs="Times New Roman"/>
          <w:sz w:val="84"/>
          <w:szCs w:val="84"/>
        </w:rPr>
      </w:pPr>
    </w:p>
    <w:p w14:paraId="45AC009E">
      <w:pPr>
        <w:pStyle w:val="12"/>
        <w:jc w:val="center"/>
        <w:rPr>
          <w:rFonts w:ascii="Times New Roman" w:hAnsi="Times New Roman" w:cs="Times New Roman"/>
          <w:sz w:val="84"/>
          <w:szCs w:val="84"/>
        </w:rPr>
      </w:pPr>
    </w:p>
    <w:p w14:paraId="1F0D130E">
      <w:pPr>
        <w:pStyle w:val="12"/>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rPr>
        <w:t>5</w:t>
      </w:r>
      <w:r>
        <w:rPr>
          <w:rFonts w:ascii="Times New Roman" w:hAnsi="Times New Roman" w:eastAsia="方正小标宋简体" w:cs="Times New Roman"/>
          <w:sz w:val="72"/>
          <w:szCs w:val="72"/>
        </w:rPr>
        <w:t>年度</w:t>
      </w:r>
    </w:p>
    <w:p w14:paraId="718AD1DE">
      <w:pPr>
        <w:pStyle w:val="12"/>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rPr>
        <w:t>怀化市公安局警官培训部</w:t>
      </w:r>
    </w:p>
    <w:p w14:paraId="484EBD06">
      <w:pPr>
        <w:pStyle w:val="12"/>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部门决算</w:t>
      </w:r>
    </w:p>
    <w:p w14:paraId="457993FF">
      <w:pPr>
        <w:pStyle w:val="12"/>
        <w:jc w:val="center"/>
        <w:rPr>
          <w:rFonts w:ascii="Times New Roman" w:hAnsi="Times New Roman" w:eastAsia="方正小标宋_GBK" w:cs="Times New Roman"/>
          <w:sz w:val="56"/>
          <w:szCs w:val="56"/>
        </w:rPr>
      </w:pPr>
    </w:p>
    <w:p w14:paraId="3002C4F2">
      <w:pPr>
        <w:pStyle w:val="12"/>
        <w:jc w:val="center"/>
        <w:rPr>
          <w:rFonts w:ascii="Times New Roman" w:hAnsi="Times New Roman" w:cs="Times New Roman"/>
          <w:sz w:val="56"/>
          <w:szCs w:val="56"/>
        </w:rPr>
      </w:pPr>
    </w:p>
    <w:p w14:paraId="7D443F19">
      <w:pPr>
        <w:pStyle w:val="12"/>
        <w:rPr>
          <w:rFonts w:ascii="Times New Roman" w:hAnsi="Times New Roman" w:cs="Times New Roman"/>
          <w:sz w:val="56"/>
          <w:szCs w:val="56"/>
        </w:rPr>
      </w:pPr>
    </w:p>
    <w:p w14:paraId="371A2137">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14:paraId="409562B4">
      <w:pPr>
        <w:pStyle w:val="12"/>
        <w:spacing w:line="600" w:lineRule="exact"/>
        <w:jc w:val="both"/>
        <w:rPr>
          <w:rFonts w:ascii="Times New Roman" w:hAnsi="Times New Roman" w:cs="Times New Roman"/>
          <w:b/>
          <w:sz w:val="36"/>
          <w:szCs w:val="28"/>
        </w:rPr>
      </w:pPr>
    </w:p>
    <w:p w14:paraId="2DA07DAB">
      <w:pPr>
        <w:pStyle w:val="12"/>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26C3C4CF">
      <w:pPr>
        <w:pStyle w:val="12"/>
        <w:spacing w:line="600" w:lineRule="exact"/>
        <w:jc w:val="center"/>
        <w:rPr>
          <w:rFonts w:ascii="Times New Roman" w:hAnsi="Times New Roman" w:cs="Times New Roman"/>
          <w:b/>
          <w:sz w:val="36"/>
          <w:szCs w:val="28"/>
        </w:rPr>
      </w:pPr>
    </w:p>
    <w:p w14:paraId="5DCF150B">
      <w:pPr>
        <w:pStyle w:val="12"/>
        <w:spacing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rPr>
        <w:t>怀化市公安局警官培训部</w:t>
      </w:r>
      <w:r>
        <w:rPr>
          <w:rFonts w:ascii="Times New Roman" w:hAnsi="Times New Roman" w:cs="Times New Roman"/>
          <w:bCs/>
          <w:sz w:val="32"/>
          <w:szCs w:val="32"/>
        </w:rPr>
        <w:t>概况</w:t>
      </w:r>
    </w:p>
    <w:p w14:paraId="038ECE99">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4B635D3C">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41D0DF8D">
      <w:pPr>
        <w:pStyle w:val="12"/>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30076A11">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57177F61">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1BAAC597">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7A361F3E">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3D06EE6F">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701D2023">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73BA035E">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0BD34614">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12FADCBF">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5D4ADA4A">
      <w:pPr>
        <w:pStyle w:val="12"/>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4D0C38A7">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2C50217D">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7EDB751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0990E39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21C71EF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714C0EC8">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14:paraId="30D4D7F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58AC7F3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6ECEF1F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1B8747E4">
      <w:pPr>
        <w:pStyle w:val="12"/>
        <w:spacing w:line="600" w:lineRule="exact"/>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九、国有资本经营预算收入支出决算情况</w:t>
      </w:r>
    </w:p>
    <w:p w14:paraId="5BD8ADB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十</w:t>
      </w:r>
      <w:r>
        <w:rPr>
          <w:rFonts w:ascii="Times New Roman" w:hAnsi="Times New Roman" w:eastAsia="仿宋_GB2312" w:cs="Times New Roman"/>
          <w:color w:val="000000"/>
          <w:kern w:val="0"/>
          <w:sz w:val="32"/>
          <w:szCs w:val="32"/>
        </w:rPr>
        <w:t>、关于机关运行经费支出说明</w:t>
      </w:r>
    </w:p>
    <w:p w14:paraId="6FA4CFD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rPr>
        <w:t>一</w:t>
      </w:r>
      <w:r>
        <w:rPr>
          <w:rFonts w:ascii="Times New Roman" w:hAnsi="Times New Roman" w:eastAsia="仿宋_GB2312" w:cs="Times New Roman"/>
          <w:color w:val="000000"/>
          <w:kern w:val="0"/>
          <w:sz w:val="32"/>
          <w:szCs w:val="32"/>
        </w:rPr>
        <w:t>、一般性支出情况说明</w:t>
      </w:r>
    </w:p>
    <w:p w14:paraId="3C11B64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rPr>
        <w:t>二</w:t>
      </w:r>
      <w:r>
        <w:rPr>
          <w:rFonts w:ascii="Times New Roman" w:hAnsi="Times New Roman" w:eastAsia="仿宋_GB2312" w:cs="Times New Roman"/>
          <w:color w:val="000000"/>
          <w:kern w:val="0"/>
          <w:sz w:val="32"/>
          <w:szCs w:val="32"/>
        </w:rPr>
        <w:t>、关于政府采购支出说明</w:t>
      </w:r>
    </w:p>
    <w:p w14:paraId="0BC168AE">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rPr>
        <w:t>三</w:t>
      </w:r>
      <w:r>
        <w:rPr>
          <w:rFonts w:ascii="Times New Roman" w:hAnsi="Times New Roman" w:eastAsia="仿宋_GB2312" w:cs="Times New Roman"/>
          <w:sz w:val="32"/>
          <w:szCs w:val="32"/>
        </w:rPr>
        <w:t>、关于国有资产占用情况说明</w:t>
      </w:r>
    </w:p>
    <w:p w14:paraId="0BCA6407">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rPr>
        <w:t>四</w:t>
      </w:r>
      <w:r>
        <w:rPr>
          <w:rFonts w:ascii="Times New Roman" w:hAnsi="Times New Roman" w:eastAsia="仿宋_GB2312" w:cs="Times New Roman"/>
          <w:sz w:val="32"/>
          <w:szCs w:val="32"/>
        </w:rPr>
        <w:t>、关于202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年度预算绩效管理情况的说明</w:t>
      </w:r>
    </w:p>
    <w:p w14:paraId="74DC499B">
      <w:pPr>
        <w:pStyle w:val="12"/>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646BAEB5">
      <w:pPr>
        <w:pStyle w:val="12"/>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2550C1E0">
      <w:pPr>
        <w:pStyle w:val="12"/>
        <w:spacing w:line="600" w:lineRule="exact"/>
        <w:rPr>
          <w:rFonts w:ascii="Times New Roman" w:hAnsi="Times New Roman" w:cs="Times New Roman"/>
          <w:bCs/>
          <w:sz w:val="28"/>
          <w:szCs w:val="28"/>
        </w:rPr>
      </w:pPr>
    </w:p>
    <w:p w14:paraId="630BE2FD">
      <w:pPr>
        <w:jc w:val="center"/>
        <w:rPr>
          <w:rFonts w:ascii="Times New Roman" w:hAnsi="Times New Roman" w:cs="Times New Roman"/>
          <w:sz w:val="72"/>
          <w:szCs w:val="72"/>
        </w:rPr>
      </w:pPr>
    </w:p>
    <w:p w14:paraId="018F7ABA">
      <w:pPr>
        <w:jc w:val="center"/>
        <w:rPr>
          <w:rFonts w:ascii="Times New Roman" w:hAnsi="Times New Roman" w:cs="Times New Roman"/>
          <w:sz w:val="72"/>
          <w:szCs w:val="72"/>
        </w:rPr>
      </w:pPr>
    </w:p>
    <w:p w14:paraId="5C05C861">
      <w:pPr>
        <w:jc w:val="center"/>
        <w:rPr>
          <w:rFonts w:ascii="Times New Roman" w:hAnsi="Times New Roman" w:cs="Times New Roman"/>
          <w:sz w:val="72"/>
          <w:szCs w:val="72"/>
        </w:rPr>
      </w:pPr>
    </w:p>
    <w:p w14:paraId="3EA671D6">
      <w:pPr>
        <w:pStyle w:val="2"/>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14:paraId="7FE65A5F">
      <w:pPr>
        <w:rPr>
          <w:rFonts w:ascii="Times New Roman" w:hAnsi="Times New Roman" w:eastAsia="方正小标宋_GBK" w:cs="Times New Roman"/>
          <w:sz w:val="72"/>
          <w:szCs w:val="72"/>
        </w:rPr>
      </w:pPr>
    </w:p>
    <w:p w14:paraId="373BDDB1">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4DE2F050">
      <w:pPr>
        <w:pStyle w:val="12"/>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怀化市公安局警官培训部</w:t>
      </w:r>
      <w:r>
        <w:rPr>
          <w:rFonts w:ascii="Times New Roman" w:hAnsi="Times New Roman" w:eastAsia="方正小标宋_GBK" w:cs="Times New Roman"/>
          <w:sz w:val="52"/>
          <w:szCs w:val="52"/>
        </w:rPr>
        <w:t>概况</w:t>
      </w:r>
    </w:p>
    <w:p w14:paraId="4F806937">
      <w:pPr>
        <w:pStyle w:val="3"/>
        <w:ind w:left="0" w:leftChars="0" w:firstLine="0" w:firstLineChars="0"/>
        <w:rPr>
          <w:rFonts w:ascii="Times New Roman" w:hAnsi="Times New Roman" w:cs="Times New Roman"/>
        </w:rPr>
      </w:pPr>
    </w:p>
    <w:p w14:paraId="5EC03747">
      <w:pPr>
        <w:pStyle w:val="13"/>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23340D62">
      <w:pPr>
        <w:widowControl/>
        <w:spacing w:line="600" w:lineRule="exact"/>
        <w:ind w:firstLine="640" w:firstLineChars="200"/>
        <w:rPr>
          <w:rFonts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怀化市公安局警官培训部的主要职责是</w:t>
      </w:r>
      <w:r>
        <w:rPr>
          <w:rFonts w:ascii="Times New Roman" w:hAnsi="Times New Roman" w:eastAsia="仿宋_GB2312" w:cs="仿宋_GB2312"/>
          <w:bCs/>
          <w:kern w:val="0"/>
          <w:sz w:val="32"/>
          <w:szCs w:val="32"/>
        </w:rPr>
        <w:t>:</w:t>
      </w:r>
    </w:p>
    <w:p w14:paraId="54E96667">
      <w:pPr>
        <w:widowControl/>
        <w:spacing w:line="600" w:lineRule="exact"/>
        <w:ind w:firstLine="640" w:firstLineChars="200"/>
        <w:rPr>
          <w:rFonts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（一）认真贯彻执行党和国家的有关法律法规，落实公安部、省公安厅关于民警训练的有关规章制度、教学大纲，制定并实施民警教育训练工作制度。</w:t>
      </w:r>
    </w:p>
    <w:p w14:paraId="2388BCC4">
      <w:pPr>
        <w:spacing w:line="600" w:lineRule="exact"/>
        <w:ind w:firstLine="640" w:firstLineChars="200"/>
        <w:jc w:val="left"/>
        <w:rPr>
          <w:rFonts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（二）负责全市公安机关民警入警培训、晋升培训、专业培训和发展培训等轮值轮训工作，以及组织、实施、保障全市大练兵、大比武工作。</w:t>
      </w:r>
    </w:p>
    <w:p w14:paraId="331B21A7">
      <w:pPr>
        <w:spacing w:line="600" w:lineRule="exact"/>
        <w:ind w:firstLine="640" w:firstLineChars="200"/>
        <w:jc w:val="left"/>
        <w:rPr>
          <w:rFonts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（三）对全市新招公安民警进行初任培训。提升综合素养和体能，进行考核颁发合格证书。</w:t>
      </w:r>
    </w:p>
    <w:p w14:paraId="14897540">
      <w:pPr>
        <w:widowControl/>
        <w:spacing w:line="600" w:lineRule="exact"/>
        <w:ind w:firstLine="640" w:firstLineChars="200"/>
        <w:rPr>
          <w:rFonts w:ascii="Times New Roman" w:hAnsi="Times New Roman" w:eastAsia="仿宋_GB2312" w:cs="仿宋_GB2312"/>
          <w:sz w:val="32"/>
          <w:szCs w:val="32"/>
        </w:rPr>
      </w:pPr>
      <w:r>
        <w:rPr>
          <w:rFonts w:hint="eastAsia" w:ascii="Times New Roman" w:hAnsi="Times New Roman" w:eastAsia="仿宋_GB2312" w:cs="仿宋_GB2312"/>
          <w:bCs/>
          <w:kern w:val="0"/>
          <w:sz w:val="32"/>
          <w:szCs w:val="32"/>
        </w:rPr>
        <w:t>（四）研究教育训练工作的教学内容、教学方法，收集基层和广大民警对教训工作的建议，因需施教。</w:t>
      </w:r>
    </w:p>
    <w:p w14:paraId="1BC2A709">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2FCA03FF">
      <w:pPr>
        <w:widowControl/>
        <w:spacing w:line="600" w:lineRule="exact"/>
        <w:ind w:firstLine="640" w:firstLineChars="200"/>
        <w:rPr>
          <w:rFonts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（一）内设机构设置。怀化市公安局警官培训部内设机构包括：办公室、教务科、后勤管理科、学员管理科。</w:t>
      </w:r>
    </w:p>
    <w:p w14:paraId="79639EFF">
      <w:pPr>
        <w:widowControl/>
        <w:spacing w:line="600" w:lineRule="exact"/>
        <w:ind w:firstLine="640" w:firstLineChars="200"/>
        <w:rPr>
          <w:rFonts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（二）决算单位构成。怀化市公安局警官培训部2025年部门决算汇总公开单位构成包括：怀化市公安局警官培训部本级。</w:t>
      </w:r>
    </w:p>
    <w:p w14:paraId="4D5BBB0E">
      <w:pPr>
        <w:jc w:val="left"/>
        <w:rPr>
          <w:rFonts w:ascii="Times New Roman" w:hAnsi="Times New Roman" w:eastAsia="仿宋_GB2312" w:cs="Times New Roman"/>
          <w:sz w:val="28"/>
          <w:szCs w:val="32"/>
        </w:rPr>
      </w:pPr>
    </w:p>
    <w:p w14:paraId="725101D7">
      <w:pPr>
        <w:pStyle w:val="2"/>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2E0ED55A">
      <w:pPr>
        <w:pStyle w:val="12"/>
        <w:jc w:val="center"/>
        <w:rPr>
          <w:rFonts w:ascii="Times New Roman" w:hAnsi="Times New Roman" w:eastAsia="方正小标宋_GBK" w:cs="Times New Roman"/>
          <w:sz w:val="52"/>
          <w:szCs w:val="52"/>
        </w:rPr>
      </w:pPr>
    </w:p>
    <w:p w14:paraId="17107DFE">
      <w:pPr>
        <w:pStyle w:val="12"/>
        <w:jc w:val="center"/>
        <w:rPr>
          <w:rFonts w:ascii="Times New Roman" w:hAnsi="Times New Roman" w:eastAsia="方正小标宋_GBK" w:cs="Times New Roman"/>
          <w:sz w:val="52"/>
          <w:szCs w:val="52"/>
        </w:rPr>
      </w:pPr>
    </w:p>
    <w:p w14:paraId="2567BC86">
      <w:pPr>
        <w:pStyle w:val="12"/>
        <w:jc w:val="center"/>
        <w:rPr>
          <w:rFonts w:ascii="Times New Roman" w:hAnsi="Times New Roman" w:eastAsia="方正小标宋_GBK" w:cs="Times New Roman"/>
          <w:sz w:val="52"/>
          <w:szCs w:val="52"/>
        </w:rPr>
      </w:pPr>
    </w:p>
    <w:p w14:paraId="74674914">
      <w:pPr>
        <w:pStyle w:val="12"/>
        <w:jc w:val="center"/>
        <w:rPr>
          <w:rFonts w:ascii="Times New Roman" w:hAnsi="Times New Roman" w:eastAsia="方正小标宋_GBK" w:cs="Times New Roman"/>
          <w:sz w:val="52"/>
          <w:szCs w:val="52"/>
        </w:rPr>
      </w:pPr>
    </w:p>
    <w:p w14:paraId="02D7B05E">
      <w:pPr>
        <w:pStyle w:val="12"/>
        <w:jc w:val="center"/>
        <w:rPr>
          <w:rFonts w:ascii="Times New Roman" w:hAnsi="Times New Roman" w:eastAsia="方正小标宋_GBK" w:cs="Times New Roman"/>
          <w:sz w:val="52"/>
          <w:szCs w:val="52"/>
        </w:rPr>
      </w:pPr>
    </w:p>
    <w:p w14:paraId="17F41103">
      <w:pPr>
        <w:pStyle w:val="12"/>
        <w:jc w:val="center"/>
        <w:rPr>
          <w:rFonts w:ascii="Times New Roman" w:hAnsi="Times New Roman" w:eastAsia="方正小标宋_GBK" w:cs="Times New Roman"/>
          <w:sz w:val="52"/>
          <w:szCs w:val="52"/>
        </w:rPr>
      </w:pPr>
    </w:p>
    <w:p w14:paraId="7749ACE1">
      <w:pPr>
        <w:pStyle w:val="12"/>
        <w:jc w:val="center"/>
        <w:rPr>
          <w:rFonts w:ascii="Times New Roman" w:hAnsi="Times New Roman" w:eastAsia="方正小标宋_GBK" w:cs="Times New Roman"/>
          <w:sz w:val="52"/>
          <w:szCs w:val="52"/>
        </w:rPr>
      </w:pPr>
    </w:p>
    <w:p w14:paraId="6BFB4A75">
      <w:pPr>
        <w:pStyle w:val="12"/>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132C654E">
      <w:pPr>
        <w:pStyle w:val="12"/>
        <w:jc w:val="center"/>
        <w:rPr>
          <w:rFonts w:ascii="Times New Roman" w:hAnsi="Times New Roman" w:eastAsia="仿宋_GB2312" w:cs="仿宋_GB2312"/>
          <w:bCs/>
          <w:color w:val="auto"/>
          <w:sz w:val="32"/>
          <w:szCs w:val="32"/>
        </w:rPr>
      </w:pPr>
      <w:r>
        <w:rPr>
          <w:rFonts w:hint="eastAsia" w:ascii="Times New Roman" w:hAnsi="Times New Roman" w:eastAsia="仿宋_GB2312" w:cs="仿宋_GB2312"/>
          <w:bCs/>
          <w:color w:val="auto"/>
          <w:sz w:val="32"/>
          <w:szCs w:val="32"/>
        </w:rPr>
        <w:t xml:space="preserve">         </w:t>
      </w:r>
    </w:p>
    <w:p w14:paraId="695401BF">
      <w:pPr>
        <w:pStyle w:val="12"/>
        <w:jc w:val="center"/>
        <w:rPr>
          <w:rFonts w:ascii="Times New Roman" w:hAnsi="Times New Roman" w:eastAsia="方正小标宋_GBK" w:cs="Times New Roman"/>
          <w:sz w:val="52"/>
          <w:szCs w:val="52"/>
        </w:rPr>
        <w:sectPr>
          <w:pgSz w:w="11906" w:h="16838"/>
          <w:pgMar w:top="1417" w:right="1134" w:bottom="1417" w:left="1134" w:header="851" w:footer="992" w:gutter="0"/>
          <w:cols w:space="425" w:num="1"/>
          <w:docGrid w:type="lines" w:linePitch="312" w:charSpace="0"/>
        </w:sectPr>
      </w:pPr>
      <w:r>
        <w:rPr>
          <w:rFonts w:hint="eastAsia" w:ascii="Times New Roman" w:hAnsi="Times New Roman" w:eastAsia="仿宋_GB2312" w:cs="仿宋_GB2312"/>
          <w:bCs/>
          <w:color w:val="auto"/>
          <w:sz w:val="32"/>
          <w:szCs w:val="32"/>
        </w:rPr>
        <w:t xml:space="preserve">        见附件1</w:t>
      </w:r>
      <w:r>
        <w:rPr>
          <w:rFonts w:ascii="Times New Roman" w:hAnsi="Times New Roman" w:eastAsia="仿宋_GB2312" w:cs="仿宋_GB2312"/>
          <w:bCs/>
          <w:color w:val="auto"/>
          <w:sz w:val="32"/>
          <w:szCs w:val="32"/>
        </w:rPr>
        <w:tab/>
      </w:r>
      <w:r>
        <w:rPr>
          <w:rFonts w:ascii="Times New Roman" w:hAnsi="Times New Roman" w:eastAsia="仿宋_GB2312" w:cs="Times New Roman"/>
        </w:rPr>
        <w:tab/>
      </w:r>
      <w:r>
        <w:rPr>
          <w:rFonts w:ascii="Times New Roman" w:hAnsi="Times New Roman" w:eastAsia="仿宋_GB2312" w:cs="Times New Roman"/>
        </w:rPr>
        <w:tab/>
      </w:r>
      <w:r>
        <w:rPr>
          <w:rFonts w:ascii="Times New Roman" w:hAnsi="Times New Roman" w:eastAsia="仿宋_GB2312" w:cs="Times New Roman"/>
        </w:rPr>
        <w:tab/>
      </w:r>
    </w:p>
    <w:p w14:paraId="265BB2E0">
      <w:pPr>
        <w:pStyle w:val="12"/>
        <w:rPr>
          <w:rFonts w:ascii="Times New Roman" w:hAnsi="Times New Roman" w:cs="Times New Roman"/>
          <w:sz w:val="72"/>
          <w:szCs w:val="72"/>
        </w:rPr>
      </w:pPr>
    </w:p>
    <w:p w14:paraId="03CB06E8">
      <w:pPr>
        <w:pStyle w:val="12"/>
        <w:rPr>
          <w:rFonts w:ascii="Times New Roman" w:hAnsi="Times New Roman" w:cs="Times New Roman"/>
          <w:sz w:val="72"/>
          <w:szCs w:val="72"/>
        </w:rPr>
      </w:pPr>
    </w:p>
    <w:p w14:paraId="47B38E9A">
      <w:pPr>
        <w:pStyle w:val="12"/>
        <w:rPr>
          <w:rFonts w:ascii="Times New Roman" w:hAnsi="Times New Roman" w:cs="Times New Roman"/>
          <w:sz w:val="72"/>
          <w:szCs w:val="72"/>
        </w:rPr>
      </w:pPr>
    </w:p>
    <w:p w14:paraId="3A4D1836">
      <w:pPr>
        <w:pStyle w:val="12"/>
        <w:jc w:val="center"/>
        <w:rPr>
          <w:rFonts w:ascii="Times New Roman" w:hAnsi="Times New Roman" w:eastAsia="方正小标宋_GBK" w:cs="Times New Roman"/>
          <w:sz w:val="72"/>
          <w:szCs w:val="72"/>
        </w:rPr>
      </w:pPr>
    </w:p>
    <w:p w14:paraId="6D0B90D1">
      <w:pPr>
        <w:pStyle w:val="12"/>
        <w:jc w:val="center"/>
        <w:rPr>
          <w:rFonts w:ascii="Times New Roman" w:hAnsi="Times New Roman" w:eastAsia="方正小标宋_GBK" w:cs="Times New Roman"/>
          <w:sz w:val="72"/>
          <w:szCs w:val="72"/>
        </w:rPr>
      </w:pPr>
    </w:p>
    <w:p w14:paraId="12F0E9C3">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18DC2FB2">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rPr>
        <w:t>5</w:t>
      </w:r>
      <w:r>
        <w:rPr>
          <w:rFonts w:ascii="Times New Roman" w:hAnsi="Times New Roman" w:eastAsia="方正小标宋_GBK" w:cs="Times New Roman"/>
          <w:sz w:val="52"/>
          <w:szCs w:val="52"/>
        </w:rPr>
        <w:t>年度部门决算情况说明</w:t>
      </w:r>
    </w:p>
    <w:p w14:paraId="45BA74C3">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7971B40C">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0100FFC4">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rPr>
        <w:t>391.68</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rPr>
        <w:t>62.67</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rPr>
        <w:t>13.79</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rPr>
        <w:t>2024年</w:t>
      </w:r>
      <w:r>
        <w:rPr>
          <w:rFonts w:hint="eastAsia" w:ascii="Times New Roman" w:hAnsi="Times New Roman" w:eastAsia="仿宋_GB2312"/>
          <w:sz w:val="32"/>
          <w:szCs w:val="32"/>
        </w:rPr>
        <w:t>向市局申请拨付实战训练专项经费47万元，2025年轮值轮训专项经费还余29.15万元指标未解冻</w:t>
      </w:r>
      <w:r>
        <w:rPr>
          <w:rFonts w:hint="eastAsia" w:ascii="Times New Roman" w:hAnsi="Times New Roman" w:eastAsia="仿宋_GB2312" w:cs="Times New Roman"/>
          <w:sz w:val="32"/>
          <w:szCs w:val="32"/>
        </w:rPr>
        <w:t>。</w:t>
      </w:r>
    </w:p>
    <w:p w14:paraId="65A440C5">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3EF8C150">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rPr>
        <w:t>391.68</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rPr>
        <w:t>391.68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w:t>
      </w:r>
    </w:p>
    <w:p w14:paraId="4DDF3548">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026D1225">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rPr>
        <w:t>391.68</w:t>
      </w:r>
      <w:r>
        <w:rPr>
          <w:rFonts w:ascii="Times New Roman" w:hAnsi="Times New Roman" w:eastAsia="仿宋_GB2312" w:cs="Times New Roman"/>
          <w:sz w:val="32"/>
          <w:szCs w:val="32"/>
        </w:rPr>
        <w:t>万元，其中：基本支出366.08万元，占</w:t>
      </w:r>
      <w:r>
        <w:rPr>
          <w:rFonts w:hint="eastAsia" w:ascii="Times New Roman" w:hAnsi="Times New Roman" w:eastAsia="仿宋_GB2312" w:cs="Times New Roman"/>
          <w:sz w:val="32"/>
          <w:szCs w:val="32"/>
        </w:rPr>
        <w:t>93.46</w:t>
      </w:r>
      <w:r>
        <w:rPr>
          <w:rFonts w:ascii="Times New Roman" w:hAnsi="Times New Roman" w:eastAsia="仿宋_GB2312" w:cs="Times New Roman"/>
          <w:sz w:val="32"/>
          <w:szCs w:val="32"/>
        </w:rPr>
        <w:t>%；项目支出25.6万元，占</w:t>
      </w:r>
      <w:r>
        <w:rPr>
          <w:rFonts w:hint="eastAsia" w:ascii="Times New Roman" w:hAnsi="Times New Roman" w:eastAsia="仿宋_GB2312" w:cs="Times New Roman"/>
          <w:sz w:val="32"/>
          <w:szCs w:val="32"/>
        </w:rPr>
        <w:t>6.54</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w:t>
      </w:r>
    </w:p>
    <w:p w14:paraId="26A4187B">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672BF5D7">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rPr>
        <w:t>391.68</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rPr>
        <w:t>62.67</w:t>
      </w:r>
      <w:r>
        <w:rPr>
          <w:rFonts w:ascii="Times New Roman" w:hAnsi="Times New Roman" w:eastAsia="仿宋_GB2312" w:cs="Times New Roman"/>
          <w:sz w:val="32"/>
          <w:szCs w:val="32"/>
        </w:rPr>
        <w:t>万元, 降低</w:t>
      </w:r>
      <w:r>
        <w:rPr>
          <w:rFonts w:hint="eastAsia" w:ascii="Times New Roman" w:hAnsi="Times New Roman" w:eastAsia="仿宋_GB2312" w:cs="Times New Roman"/>
          <w:sz w:val="32"/>
          <w:szCs w:val="32"/>
        </w:rPr>
        <w:t>13.79</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rPr>
        <w:t>2024年</w:t>
      </w:r>
      <w:r>
        <w:rPr>
          <w:rFonts w:hint="eastAsia" w:ascii="Times New Roman" w:hAnsi="Times New Roman" w:eastAsia="仿宋_GB2312"/>
          <w:sz w:val="32"/>
          <w:szCs w:val="32"/>
        </w:rPr>
        <w:t>向市局申请拨付实战训练专项经费47万元，2025年轮值轮训专项经费还余29.15万元指标未解冻</w:t>
      </w:r>
      <w:r>
        <w:rPr>
          <w:rFonts w:hint="eastAsia" w:ascii="Times New Roman" w:hAnsi="Times New Roman" w:eastAsia="仿宋_GB2312" w:cs="Times New Roman"/>
          <w:sz w:val="32"/>
          <w:szCs w:val="32"/>
        </w:rPr>
        <w:t>。</w:t>
      </w:r>
    </w:p>
    <w:p w14:paraId="2B393646">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7EDF8A6A">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20513FB1">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rPr>
        <w:t>391.68</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rPr>
        <w:t>100</w:t>
      </w:r>
      <w:r>
        <w:rPr>
          <w:rFonts w:ascii="Times New Roman" w:hAnsi="Times New Roman" w:eastAsia="仿宋_GB2312" w:cs="Times New Roman"/>
          <w:sz w:val="32"/>
          <w:szCs w:val="32"/>
        </w:rPr>
        <w:t>%，与上年相比，财政拨款支出减少</w:t>
      </w:r>
      <w:r>
        <w:rPr>
          <w:rFonts w:hint="eastAsia" w:ascii="Times New Roman" w:hAnsi="Times New Roman" w:eastAsia="仿宋_GB2312" w:cs="Times New Roman"/>
          <w:sz w:val="32"/>
          <w:szCs w:val="32"/>
        </w:rPr>
        <w:t>62.67</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降低</w:t>
      </w:r>
      <w:r>
        <w:rPr>
          <w:rFonts w:hint="eastAsia" w:ascii="Times New Roman" w:hAnsi="Times New Roman" w:eastAsia="仿宋_GB2312" w:cs="Times New Roman"/>
          <w:sz w:val="32"/>
          <w:szCs w:val="32"/>
        </w:rPr>
        <w:t>13.79</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rPr>
        <w:t>2024年</w:t>
      </w:r>
      <w:r>
        <w:rPr>
          <w:rFonts w:hint="eastAsia" w:ascii="Times New Roman" w:hAnsi="Times New Roman" w:eastAsia="仿宋_GB2312"/>
          <w:sz w:val="32"/>
          <w:szCs w:val="32"/>
        </w:rPr>
        <w:t>向市局申请拨付实战训练专项经费47万元，2025年轮值轮训专项经费还余29.15万元指标未解冻，无法支出</w:t>
      </w:r>
      <w:r>
        <w:rPr>
          <w:rFonts w:hint="eastAsia" w:ascii="Times New Roman" w:hAnsi="Times New Roman" w:eastAsia="仿宋_GB2312" w:cs="Times New Roman"/>
          <w:sz w:val="32"/>
          <w:szCs w:val="32"/>
        </w:rPr>
        <w:t>。</w:t>
      </w:r>
    </w:p>
    <w:p w14:paraId="61C3A009">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12943A23">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rPr>
        <w:t>391.68</w:t>
      </w:r>
      <w:r>
        <w:rPr>
          <w:rFonts w:ascii="Times New Roman" w:hAnsi="Times New Roman" w:eastAsia="仿宋_GB2312" w:cs="Times New Roman"/>
          <w:sz w:val="32"/>
          <w:szCs w:val="32"/>
        </w:rPr>
        <w:t>万元，主要用于以下方面：</w:t>
      </w:r>
      <w:r>
        <w:rPr>
          <w:rFonts w:hint="eastAsia" w:ascii="Times New Roman" w:hAnsi="Times New Roman" w:eastAsia="仿宋_GB2312"/>
          <w:sz w:val="32"/>
          <w:szCs w:val="32"/>
        </w:rPr>
        <w:t>一般公共服务支出（类）25.08万元，占6.4%；公共安全支出（类）280.26万元，占71.56%；社会保障和就业支出（类）52.3万元，占13.35%；卫生健康支出（类）12.6万元，占3.22%；住房保障支出（类）21.44万元，占5.47%。</w:t>
      </w:r>
    </w:p>
    <w:p w14:paraId="63B62AC0">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664CA5C3">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rPr>
        <w:t>400.76</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rPr>
        <w:t>391.68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rPr>
        <w:t>97.73</w:t>
      </w:r>
      <w:r>
        <w:rPr>
          <w:rFonts w:ascii="Times New Roman" w:hAnsi="Times New Roman" w:eastAsia="仿宋_GB2312" w:cs="Times New Roman"/>
          <w:sz w:val="32"/>
          <w:szCs w:val="32"/>
        </w:rPr>
        <w:t>%，其中：</w:t>
      </w:r>
    </w:p>
    <w:p w14:paraId="7D798FA0">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sz w:val="32"/>
          <w:szCs w:val="32"/>
        </w:rPr>
        <w:t>一般公共服务支出（类）其他一般公共服务支出（款）其他一般公共服务支出（项）。</w:t>
      </w:r>
    </w:p>
    <w:p w14:paraId="3A13648F">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25.08</w:t>
      </w:r>
      <w:r>
        <w:rPr>
          <w:rFonts w:ascii="Times New Roman" w:hAnsi="Times New Roman" w:eastAsia="仿宋_GB2312" w:cs="Times New Roman"/>
          <w:sz w:val="32"/>
          <w:szCs w:val="32"/>
        </w:rPr>
        <w:t>万元，决算数大于年初预算数的主要原因是：</w:t>
      </w:r>
      <w:r>
        <w:rPr>
          <w:rFonts w:hint="eastAsia" w:ascii="仿宋_GB2312" w:hAnsi="仿宋" w:eastAsia="仿宋_GB2312" w:cs="Times New Roman"/>
          <w:sz w:val="32"/>
          <w:szCs w:val="32"/>
        </w:rPr>
        <w:t>本年度追加10月份工资及2025年度考核奖，未纳入预算；</w:t>
      </w:r>
    </w:p>
    <w:p w14:paraId="71F14834">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sz w:val="32"/>
          <w:szCs w:val="32"/>
        </w:rPr>
        <w:t>公共安全支出（类）公安（款）行政运行（项）。</w:t>
      </w:r>
    </w:p>
    <w:p w14:paraId="300C133E">
      <w:pPr>
        <w:pStyle w:val="12"/>
        <w:overflowPunct w:val="0"/>
        <w:autoSpaceDE/>
        <w:autoSpaceDN/>
        <w:spacing w:line="600" w:lineRule="exact"/>
        <w:ind w:firstLine="640" w:firstLineChars="200"/>
        <w:jc w:val="both"/>
        <w:rPr>
          <w:rFonts w:ascii="Times New Roman" w:hAnsi="Times New Roman" w:eastAsia="楷体_GB2312" w:cs="Times New Roman"/>
          <w:b/>
          <w:bCs/>
          <w:i/>
          <w:color w:val="auto"/>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rPr>
        <w:t>300.23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253.42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rPr>
        <w:t>84.41</w:t>
      </w:r>
      <w:r>
        <w:rPr>
          <w:rFonts w:ascii="Times New Roman" w:hAnsi="Times New Roman" w:eastAsia="仿宋_GB2312" w:cs="Times New Roman"/>
          <w:sz w:val="32"/>
          <w:szCs w:val="32"/>
        </w:rPr>
        <w:t>%，决算数小于年初预算数的主要原因是：</w:t>
      </w:r>
      <w:r>
        <w:rPr>
          <w:rFonts w:hint="eastAsia" w:ascii="仿宋_GB2312" w:hAnsi="仿宋" w:eastAsia="仿宋_GB2312" w:cs="Times New Roman"/>
          <w:sz w:val="32"/>
          <w:szCs w:val="32"/>
        </w:rPr>
        <w:t>轮值轮训专项经费年初预算50万元，其中20.85万元决算调整至</w:t>
      </w:r>
      <w:r>
        <w:rPr>
          <w:rFonts w:hint="eastAsia" w:ascii="Times New Roman" w:hAnsi="Times New Roman" w:eastAsia="仿宋_GB2312"/>
          <w:sz w:val="32"/>
          <w:szCs w:val="32"/>
        </w:rPr>
        <w:t>其他公安支出，29.15万元指标未解冻</w:t>
      </w:r>
      <w:r>
        <w:rPr>
          <w:rFonts w:hint="eastAsia" w:ascii="Times New Roman" w:hAnsi="Times New Roman" w:eastAsia="楷体_GB2312" w:cs="Times New Roman"/>
          <w:b/>
          <w:bCs/>
          <w:i/>
          <w:color w:val="auto"/>
          <w:sz w:val="32"/>
          <w:szCs w:val="32"/>
        </w:rPr>
        <w:t>。</w:t>
      </w:r>
    </w:p>
    <w:p w14:paraId="5B779247">
      <w:pPr>
        <w:pStyle w:val="12"/>
        <w:numPr>
          <w:ilvl w:val="0"/>
          <w:numId w:val="1"/>
        </w:numPr>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公共安全支出（类）公安（款）其他公安支出（项）。</w:t>
      </w:r>
    </w:p>
    <w:p w14:paraId="1CF302B4">
      <w:pPr>
        <w:pStyle w:val="12"/>
        <w:overflowPunct w:val="0"/>
        <w:autoSpaceDE/>
        <w:autoSpaceDN/>
        <w:spacing w:line="600" w:lineRule="exact"/>
        <w:ind w:firstLine="640" w:firstLineChars="200"/>
        <w:jc w:val="both"/>
        <w:rPr>
          <w:rFonts w:ascii="仿宋_GB2312" w:hAnsi="仿宋"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rPr>
        <w:t>1.24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26.84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rPr>
        <w:t>2164.52</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rPr>
        <w:t>大</w:t>
      </w:r>
      <w:r>
        <w:rPr>
          <w:rFonts w:ascii="Times New Roman" w:hAnsi="Times New Roman" w:eastAsia="仿宋_GB2312" w:cs="Times New Roman"/>
          <w:sz w:val="32"/>
          <w:szCs w:val="32"/>
        </w:rPr>
        <w:t>于年初预算数的主要原因是：</w:t>
      </w:r>
      <w:r>
        <w:rPr>
          <w:rFonts w:hint="eastAsia" w:ascii="仿宋_GB2312" w:hAnsi="仿宋" w:eastAsia="仿宋_GB2312" w:cs="Times New Roman"/>
          <w:sz w:val="32"/>
          <w:szCs w:val="32"/>
        </w:rPr>
        <w:t>人民警察执勤岗位津贴4.75万元未纳入预算，及决算从功能科目</w:t>
      </w:r>
      <w:r>
        <w:rPr>
          <w:rFonts w:hint="eastAsia" w:ascii="Times New Roman" w:hAnsi="Times New Roman" w:eastAsia="仿宋_GB2312"/>
          <w:sz w:val="32"/>
          <w:szCs w:val="32"/>
        </w:rPr>
        <w:t>行政运行中调整的</w:t>
      </w:r>
      <w:r>
        <w:rPr>
          <w:rFonts w:hint="eastAsia" w:ascii="仿宋_GB2312" w:hAnsi="仿宋" w:eastAsia="仿宋_GB2312" w:cs="Times New Roman"/>
          <w:sz w:val="32"/>
          <w:szCs w:val="32"/>
        </w:rPr>
        <w:t>轮值轮训专项经费20.85万元。</w:t>
      </w:r>
    </w:p>
    <w:p w14:paraId="4FACDD97">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4、社会保障和就业支出（类）行政事业单位养老支出（款）行政单位离退休（项）。</w:t>
      </w:r>
    </w:p>
    <w:p w14:paraId="171CC6BC">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年初预算为33.47万元，支出决算为22万元，完成年初预算的65.73%，</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rPr>
        <w:t>小</w:t>
      </w:r>
      <w:r>
        <w:rPr>
          <w:rFonts w:ascii="Times New Roman" w:hAnsi="Times New Roman" w:eastAsia="仿宋_GB2312" w:cs="Times New Roman"/>
          <w:sz w:val="32"/>
          <w:szCs w:val="32"/>
        </w:rPr>
        <w:t>于年初预算数的主要原因是：</w:t>
      </w:r>
      <w:r>
        <w:rPr>
          <w:rFonts w:hint="eastAsia" w:ascii="Times New Roman" w:hAnsi="Times New Roman" w:eastAsia="仿宋_GB2312"/>
          <w:sz w:val="32"/>
          <w:szCs w:val="32"/>
        </w:rPr>
        <w:t>2025年3月有一名提前退休人员正式退休，由社保发工资。</w:t>
      </w:r>
    </w:p>
    <w:p w14:paraId="5B804491">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5、社会保障和就业支出（类）行政事业单位养老支出（款）机关事业单位基本养老保险缴费支出（项）。</w:t>
      </w:r>
    </w:p>
    <w:p w14:paraId="63CD08E4">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sz w:val="32"/>
          <w:szCs w:val="32"/>
        </w:rPr>
        <w:t>年初预算为30.03万元，支出决算为30.3万元，完成年初预算的100.9%，主要原因是按预算执行。</w:t>
      </w:r>
    </w:p>
    <w:p w14:paraId="4CE5D79F">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6、卫生健康支出（类）行政事业单位医疗（款）行政单位医疗（项）。</w:t>
      </w:r>
    </w:p>
    <w:p w14:paraId="0EAA8DB0">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年初预算为12.47万元，支出决算为12.6万元，完成年初预算的101.04%，主要原因是按预算执行。</w:t>
      </w:r>
    </w:p>
    <w:p w14:paraId="2C03DDA0">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7、住房保障支出（类）住房改革支出（款）住房公积金（项）。</w:t>
      </w:r>
    </w:p>
    <w:p w14:paraId="6242C11F">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年初预算为23.32万元，支出决算为21.44万元，完成年初预算的91.94%，决算数小于年初预算数的主要原因是：机构改革，人员调整导致的住房公积金减少。</w:t>
      </w:r>
    </w:p>
    <w:p w14:paraId="4CF55FBD">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1D5883E4">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rPr>
        <w:t>366.08</w:t>
      </w:r>
      <w:r>
        <w:rPr>
          <w:rFonts w:ascii="Times New Roman" w:hAnsi="Times New Roman" w:eastAsia="仿宋_GB2312" w:cs="Times New Roman"/>
          <w:sz w:val="32"/>
          <w:szCs w:val="32"/>
        </w:rPr>
        <w:t>万元，其中：</w:t>
      </w:r>
    </w:p>
    <w:p w14:paraId="6CBDA58B">
      <w:pPr>
        <w:pStyle w:val="12"/>
        <w:overflowPunct w:val="0"/>
        <w:autoSpaceDE/>
        <w:autoSpaceDN/>
        <w:spacing w:line="600" w:lineRule="exact"/>
        <w:ind w:firstLine="640" w:firstLineChars="200"/>
        <w:jc w:val="both"/>
        <w:rPr>
          <w:rFonts w:ascii="Times New Roman" w:hAnsi="Times New Roman" w:eastAsia="仿宋_GB2312"/>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rPr>
        <w:t>330.89</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rPr>
        <w:t>90.39</w:t>
      </w:r>
      <w:r>
        <w:rPr>
          <w:rFonts w:ascii="Times New Roman" w:hAnsi="Times New Roman" w:eastAsia="仿宋_GB2312" w:cs="Times New Roman"/>
          <w:sz w:val="32"/>
          <w:szCs w:val="32"/>
        </w:rPr>
        <w:t>%,</w:t>
      </w:r>
      <w:r>
        <w:rPr>
          <w:rFonts w:hint="eastAsia" w:ascii="Times New Roman" w:hAnsi="Times New Roman" w:eastAsia="仿宋_GB2312"/>
          <w:sz w:val="32"/>
          <w:szCs w:val="32"/>
        </w:rPr>
        <w:t>主要包括基本工资、津贴补贴、奖金、机关事业单位基本养老保险缴费、职工基本医疗保险缴费、其他社会保险缴费、住房公积金、退休费、生活补助、奖励金等。</w:t>
      </w:r>
    </w:p>
    <w:p w14:paraId="124F2BF3">
      <w:pPr>
        <w:pStyle w:val="12"/>
        <w:spacing w:line="600" w:lineRule="exact"/>
        <w:ind w:firstLine="640" w:firstLineChars="200"/>
        <w:rPr>
          <w:rFonts w:ascii="Times New Roman" w:hAnsi="Times New Roman" w:eastAsia="仿宋_GB2312"/>
          <w:b/>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rPr>
        <w:t>35.2</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rPr>
        <w:t>9.62</w:t>
      </w:r>
      <w:r>
        <w:rPr>
          <w:rFonts w:ascii="Times New Roman" w:hAnsi="Times New Roman" w:eastAsia="仿宋_GB2312" w:cs="Times New Roman"/>
          <w:sz w:val="32"/>
          <w:szCs w:val="32"/>
        </w:rPr>
        <w:t>%，</w:t>
      </w:r>
      <w:r>
        <w:rPr>
          <w:rFonts w:hint="eastAsia" w:ascii="Times New Roman" w:hAnsi="Times New Roman" w:eastAsia="仿宋_GB2312"/>
          <w:sz w:val="32"/>
          <w:szCs w:val="32"/>
        </w:rPr>
        <w:t>主要包括办公费、差旅费、委托业务费、工会经费、福利费、公务用车运行维护费、其他交通费用、其他商品和服务支出。</w:t>
      </w:r>
    </w:p>
    <w:p w14:paraId="2CD35101">
      <w:pPr>
        <w:pStyle w:val="12"/>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14:paraId="79E763FF">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37305F07">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rPr>
        <w:t>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1</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rPr>
        <w:t>100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rPr>
        <w:t>0.32</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rPr>
        <w:t>24.24</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rPr>
        <w:t>与</w:t>
      </w:r>
      <w:r>
        <w:rPr>
          <w:rFonts w:ascii="Times New Roman" w:hAnsi="Times New Roman" w:eastAsia="仿宋_GB2312" w:cs="Times New Roman"/>
          <w:sz w:val="32"/>
          <w:szCs w:val="32"/>
        </w:rPr>
        <w:t>预算数</w:t>
      </w:r>
      <w:r>
        <w:rPr>
          <w:rFonts w:hint="eastAsia" w:ascii="Times New Roman" w:hAnsi="Times New Roman" w:eastAsia="仿宋_GB2312" w:cs="Times New Roman"/>
          <w:sz w:val="32"/>
          <w:szCs w:val="32"/>
        </w:rPr>
        <w:t>持平</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rPr>
        <w:t>厉行节约，压减</w:t>
      </w:r>
      <w:r>
        <w:rPr>
          <w:rFonts w:ascii="Times New Roman" w:hAnsi="Times New Roman" w:eastAsia="仿宋_GB2312" w:cs="Times New Roman"/>
          <w:sz w:val="32"/>
          <w:szCs w:val="32"/>
        </w:rPr>
        <w:t>“三公”经费</w:t>
      </w:r>
      <w:r>
        <w:rPr>
          <w:rFonts w:hint="eastAsia" w:ascii="Times New Roman" w:hAnsi="Times New Roman" w:eastAsia="仿宋_GB2312" w:cs="Times New Roman"/>
          <w:sz w:val="32"/>
          <w:szCs w:val="32"/>
        </w:rPr>
        <w:t>，降低车辆维修费，按预算支出</w:t>
      </w:r>
      <w:r>
        <w:rPr>
          <w:rFonts w:ascii="Times New Roman" w:hAnsi="Times New Roman" w:eastAsia="仿宋_GB2312" w:cs="Times New Roman"/>
          <w:sz w:val="32"/>
          <w:szCs w:val="32"/>
        </w:rPr>
        <w:t>。</w:t>
      </w:r>
    </w:p>
    <w:p w14:paraId="6A4796A5">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2C74AFD9">
      <w:pPr>
        <w:pStyle w:val="12"/>
        <w:spacing w:line="600" w:lineRule="exact"/>
        <w:ind w:firstLine="640" w:firstLineChars="200"/>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w:t>
      </w:r>
      <w:r>
        <w:rPr>
          <w:rFonts w:hint="eastAsia" w:ascii="Times New Roman" w:hAnsi="Times New Roman" w:eastAsia="仿宋_GB2312"/>
          <w:sz w:val="32"/>
          <w:szCs w:val="32"/>
        </w:rPr>
        <w:t>因公出国（境）费支出预算为0万元，支出决算为0万元，与预算及上年持平，主要原因是均未发生因公出国（境）费支出。</w:t>
      </w:r>
      <w:r>
        <w:rPr>
          <w:rFonts w:hint="eastAsia" w:ascii="Times New Roman" w:hAnsi="Times New Roman" w:eastAsia="仿宋_GB2312" w:cs="Times New Roman"/>
          <w:sz w:val="32"/>
          <w:szCs w:val="32"/>
        </w:rPr>
        <w:t>2025年</w:t>
      </w:r>
      <w:r>
        <w:rPr>
          <w:rFonts w:ascii="Times New Roman" w:hAnsi="Times New Roman" w:eastAsia="仿宋_GB2312" w:cs="Times New Roman"/>
          <w:sz w:val="32"/>
          <w:szCs w:val="32"/>
        </w:rPr>
        <w:t>度安排因公出国（境）团组</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个，累计</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人次</w:t>
      </w:r>
      <w:r>
        <w:rPr>
          <w:rFonts w:hint="eastAsia" w:ascii="Times New Roman" w:hAnsi="Times New Roman" w:eastAsia="仿宋_GB2312" w:cs="Times New Roman"/>
          <w:sz w:val="32"/>
          <w:szCs w:val="32"/>
        </w:rPr>
        <w:t>。</w:t>
      </w:r>
    </w:p>
    <w:p w14:paraId="32247071">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rPr>
        <w:t>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1</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rPr>
        <w:t>100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rPr>
        <w:t>0.32</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rPr>
        <w:t>24.24</w:t>
      </w:r>
      <w:r>
        <w:rPr>
          <w:rFonts w:ascii="Times New Roman" w:hAnsi="Times New Roman" w:eastAsia="仿宋_GB2312" w:cs="Times New Roman"/>
          <w:sz w:val="32"/>
          <w:szCs w:val="32"/>
        </w:rPr>
        <w:t>%。其中：</w:t>
      </w:r>
    </w:p>
    <w:p w14:paraId="249A8167">
      <w:pPr>
        <w:pStyle w:val="12"/>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公务用车购置费支出预算为</w:t>
      </w:r>
      <w:r>
        <w:rPr>
          <w:rFonts w:ascii="Times New Roman" w:hAnsi="Times New Roman" w:eastAsia="仿宋_GB2312"/>
          <w:sz w:val="32"/>
          <w:szCs w:val="32"/>
        </w:rPr>
        <w:t>0</w:t>
      </w:r>
      <w:r>
        <w:rPr>
          <w:rFonts w:hint="eastAsia" w:ascii="Times New Roman" w:hAnsi="Times New Roman" w:eastAsia="仿宋_GB2312"/>
          <w:sz w:val="32"/>
          <w:szCs w:val="32"/>
        </w:rPr>
        <w:t>万元，支出决算为</w:t>
      </w:r>
      <w:r>
        <w:rPr>
          <w:rFonts w:ascii="Times New Roman" w:hAnsi="Times New Roman" w:eastAsia="仿宋_GB2312"/>
          <w:sz w:val="32"/>
          <w:szCs w:val="32"/>
        </w:rPr>
        <w:t>0</w:t>
      </w:r>
      <w:r>
        <w:rPr>
          <w:rFonts w:hint="eastAsia" w:ascii="Times New Roman" w:hAnsi="Times New Roman" w:eastAsia="仿宋_GB2312"/>
          <w:sz w:val="32"/>
          <w:szCs w:val="32"/>
        </w:rPr>
        <w:t>万元，与预算及上年持平，原因是均未发生公务用车购置支出，怀化市公安局警官培训部本级</w:t>
      </w:r>
      <w:r>
        <w:rPr>
          <w:rFonts w:ascii="Times New Roman" w:hAnsi="Times New Roman" w:eastAsia="仿宋_GB2312" w:cs="Times New Roman"/>
          <w:sz w:val="32"/>
          <w:szCs w:val="32"/>
        </w:rPr>
        <w:t>更新公务用车</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辆</w:t>
      </w:r>
      <w:r>
        <w:rPr>
          <w:rFonts w:hint="eastAsia" w:ascii="Times New Roman" w:hAnsi="Times New Roman" w:eastAsia="仿宋_GB2312" w:cs="Times New Roman"/>
          <w:sz w:val="32"/>
          <w:szCs w:val="32"/>
        </w:rPr>
        <w:t>。</w:t>
      </w:r>
    </w:p>
    <w:p w14:paraId="0F30D547">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rPr>
        <w:t>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1</w:t>
      </w:r>
      <w:r>
        <w:rPr>
          <w:rFonts w:ascii="Times New Roman" w:hAnsi="Times New Roman" w:eastAsia="仿宋_GB2312" w:cs="Times New Roman"/>
          <w:sz w:val="32"/>
          <w:szCs w:val="32"/>
        </w:rPr>
        <w:t>万元，</w:t>
      </w:r>
    </w:p>
    <w:p w14:paraId="360A5BB4">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主要是</w:t>
      </w:r>
      <w:r>
        <w:rPr>
          <w:rFonts w:hint="eastAsia" w:ascii="Times New Roman" w:hAnsi="Times New Roman" w:eastAsia="仿宋_GB2312" w:cs="Times New Roman"/>
          <w:sz w:val="32"/>
          <w:szCs w:val="32"/>
        </w:rPr>
        <w:t>车辆保险、维修、年检等</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rPr>
        <w:t>100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rPr>
        <w:t>0.32</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rPr>
        <w:t>24.24</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rPr>
        <w:t>与</w:t>
      </w:r>
      <w:r>
        <w:rPr>
          <w:rFonts w:ascii="Times New Roman" w:hAnsi="Times New Roman" w:eastAsia="仿宋_GB2312" w:cs="Times New Roman"/>
          <w:sz w:val="32"/>
          <w:szCs w:val="32"/>
        </w:rPr>
        <w:t>预算数</w:t>
      </w:r>
      <w:r>
        <w:rPr>
          <w:rFonts w:hint="eastAsia" w:ascii="Times New Roman" w:hAnsi="Times New Roman" w:eastAsia="仿宋_GB2312" w:cs="Times New Roman"/>
          <w:sz w:val="32"/>
          <w:szCs w:val="32"/>
        </w:rPr>
        <w:t>持平。</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rPr>
        <w:t>厉行节约，压减</w:t>
      </w:r>
      <w:r>
        <w:rPr>
          <w:rFonts w:ascii="Times New Roman" w:hAnsi="Times New Roman" w:eastAsia="仿宋_GB2312" w:cs="Times New Roman"/>
          <w:sz w:val="32"/>
          <w:szCs w:val="32"/>
        </w:rPr>
        <w:t>“三公”经费</w:t>
      </w:r>
      <w:r>
        <w:rPr>
          <w:rFonts w:hint="eastAsia" w:ascii="Times New Roman" w:hAnsi="Times New Roman" w:eastAsia="仿宋_GB2312" w:cs="Times New Roman"/>
          <w:sz w:val="32"/>
          <w:szCs w:val="32"/>
        </w:rPr>
        <w:t>，降低车辆维修费</w:t>
      </w:r>
      <w:r>
        <w:rPr>
          <w:rFonts w:ascii="Times New Roman" w:hAnsi="Times New Roman" w:eastAsia="仿宋_GB2312" w:cs="Times New Roman"/>
          <w:sz w:val="32"/>
          <w:szCs w:val="32"/>
        </w:rPr>
        <w:t>。截</w:t>
      </w:r>
      <w:r>
        <w:rPr>
          <w:rFonts w:hint="eastAsia" w:ascii="Times New Roman" w:hAnsi="Times New Roman" w:eastAsia="仿宋_GB2312" w:cs="Times New Roman"/>
          <w:sz w:val="32"/>
          <w:szCs w:val="32"/>
          <w:lang w:eastAsia="zh-CN"/>
        </w:rPr>
        <w:t>至</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rPr>
        <w:t>1</w:t>
      </w:r>
      <w:r>
        <w:rPr>
          <w:rFonts w:ascii="Times New Roman" w:hAnsi="Times New Roman" w:eastAsia="仿宋_GB2312" w:cs="Times New Roman"/>
          <w:sz w:val="32"/>
          <w:szCs w:val="32"/>
        </w:rPr>
        <w:t>辆。</w:t>
      </w:r>
    </w:p>
    <w:p w14:paraId="7601619B">
      <w:pPr>
        <w:pStyle w:val="12"/>
        <w:spacing w:line="600" w:lineRule="exact"/>
        <w:ind w:firstLine="640" w:firstLineChars="200"/>
        <w:rPr>
          <w:rFonts w:ascii="Times New Roman" w:hAnsi="Times New Roman" w:eastAsia="仿宋_GB2312"/>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w:t>
      </w:r>
      <w:r>
        <w:rPr>
          <w:rFonts w:hint="eastAsia" w:ascii="Times New Roman" w:hAnsi="Times New Roman" w:eastAsia="仿宋_GB2312"/>
          <w:sz w:val="32"/>
          <w:szCs w:val="32"/>
        </w:rPr>
        <w:t>，与预算及上年持平，主要原因是均未发生公务接待费支出。</w:t>
      </w:r>
      <w:r>
        <w:rPr>
          <w:rFonts w:hint="eastAsia" w:ascii="Times New Roman" w:hAnsi="Times New Roman" w:eastAsia="仿宋_GB2312" w:cs="Times New Roman"/>
          <w:sz w:val="32"/>
          <w:szCs w:val="32"/>
        </w:rPr>
        <w:t>2025年</w:t>
      </w:r>
      <w:r>
        <w:rPr>
          <w:rFonts w:ascii="Times New Roman" w:hAnsi="Times New Roman" w:eastAsia="仿宋_GB2312" w:cs="Times New Roman"/>
          <w:sz w:val="32"/>
          <w:szCs w:val="32"/>
        </w:rPr>
        <w:t>度共接待来访团组</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人次。</w:t>
      </w:r>
    </w:p>
    <w:p w14:paraId="5D259C50">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5EDFA6FB">
      <w:pPr>
        <w:pStyle w:val="12"/>
        <w:spacing w:line="600" w:lineRule="exact"/>
        <w:ind w:firstLine="640" w:firstLineChars="200"/>
        <w:rPr>
          <w:rFonts w:ascii="Times New Roman" w:hAnsi="Times New Roman" w:eastAsia="仿宋_GB2312" w:cs="Times New Roman"/>
          <w:color w:val="auto"/>
          <w:kern w:val="2"/>
          <w:sz w:val="32"/>
          <w:szCs w:val="32"/>
        </w:rPr>
      </w:pPr>
      <w:r>
        <w:rPr>
          <w:rFonts w:ascii="Times New Roman" w:hAnsi="Times New Roman" w:eastAsia="仿宋_GB2312" w:cs="Times New Roman"/>
          <w:color w:val="auto"/>
          <w:kern w:val="2"/>
          <w:sz w:val="32"/>
          <w:szCs w:val="32"/>
        </w:rPr>
        <w:t>202</w:t>
      </w:r>
      <w:r>
        <w:rPr>
          <w:rFonts w:hint="eastAsia" w:ascii="Times New Roman" w:hAnsi="Times New Roman" w:eastAsia="仿宋_GB2312" w:cs="Times New Roman"/>
          <w:color w:val="auto"/>
          <w:kern w:val="2"/>
          <w:sz w:val="32"/>
          <w:szCs w:val="32"/>
        </w:rPr>
        <w:t>5年度本</w:t>
      </w:r>
      <w:r>
        <w:rPr>
          <w:rFonts w:hint="eastAsia" w:ascii="Times New Roman" w:hAnsi="Times New Roman" w:eastAsia="仿宋_GB2312"/>
          <w:sz w:val="32"/>
          <w:szCs w:val="32"/>
        </w:rPr>
        <w:t>部门</w:t>
      </w:r>
      <w:r>
        <w:rPr>
          <w:rFonts w:hint="eastAsia" w:ascii="Times New Roman" w:hAnsi="Times New Roman" w:eastAsia="仿宋_GB2312" w:cs="Times New Roman"/>
          <w:color w:val="auto"/>
          <w:kern w:val="2"/>
          <w:sz w:val="32"/>
          <w:szCs w:val="32"/>
        </w:rPr>
        <w:t>无政府性基金预算收入支出。</w:t>
      </w:r>
    </w:p>
    <w:p w14:paraId="11011897">
      <w:pPr>
        <w:pStyle w:val="12"/>
        <w:spacing w:line="600" w:lineRule="exact"/>
        <w:ind w:firstLine="640" w:firstLineChars="200"/>
        <w:rPr>
          <w:rFonts w:ascii="Times New Roman" w:hAnsi="Times New Roman" w:cs="Times New Roman"/>
          <w:bCs/>
          <w:sz w:val="32"/>
          <w:szCs w:val="32"/>
        </w:rPr>
      </w:pPr>
      <w:r>
        <w:rPr>
          <w:rFonts w:hint="eastAsia" w:ascii="Times New Roman" w:hAnsi="Times New Roman" w:cs="Times New Roman"/>
          <w:bCs/>
          <w:sz w:val="32"/>
          <w:szCs w:val="32"/>
        </w:rPr>
        <w:t>九、国有资本经营预算收入支出决算情况</w:t>
      </w:r>
    </w:p>
    <w:p w14:paraId="23CAF085">
      <w:pPr>
        <w:pStyle w:val="12"/>
        <w:spacing w:line="600" w:lineRule="exact"/>
        <w:ind w:firstLine="640" w:firstLineChars="200"/>
        <w:rPr>
          <w:rFonts w:ascii="Times New Roman" w:hAnsi="Times New Roman" w:eastAsia="仿宋_GB2312" w:cs="Times New Roman"/>
          <w:color w:val="auto"/>
          <w:kern w:val="2"/>
          <w:sz w:val="32"/>
          <w:szCs w:val="32"/>
        </w:rPr>
      </w:pPr>
      <w:r>
        <w:rPr>
          <w:rFonts w:ascii="Times New Roman" w:hAnsi="Times New Roman" w:eastAsia="仿宋_GB2312" w:cs="Times New Roman"/>
          <w:color w:val="auto"/>
          <w:kern w:val="2"/>
          <w:sz w:val="32"/>
          <w:szCs w:val="32"/>
        </w:rPr>
        <w:t>202</w:t>
      </w:r>
      <w:r>
        <w:rPr>
          <w:rFonts w:hint="eastAsia" w:ascii="Times New Roman" w:hAnsi="Times New Roman" w:eastAsia="仿宋_GB2312" w:cs="Times New Roman"/>
          <w:color w:val="auto"/>
          <w:kern w:val="2"/>
          <w:sz w:val="32"/>
          <w:szCs w:val="32"/>
        </w:rPr>
        <w:t>5年度本部门无国有资本经营预算收入支出。</w:t>
      </w:r>
    </w:p>
    <w:p w14:paraId="5870E256">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Times New Roman" w:hAnsi="Times New Roman" w:cs="Times New Roman"/>
          <w:bCs/>
          <w:sz w:val="32"/>
          <w:szCs w:val="32"/>
        </w:rPr>
        <w:t>十</w:t>
      </w:r>
      <w:r>
        <w:rPr>
          <w:rFonts w:ascii="Times New Roman" w:hAnsi="Times New Roman" w:cs="Times New Roman"/>
          <w:bCs/>
          <w:sz w:val="32"/>
          <w:szCs w:val="32"/>
        </w:rPr>
        <w:t>、关于机关运行经费支出说明</w:t>
      </w:r>
    </w:p>
    <w:p w14:paraId="18B28642">
      <w:pPr>
        <w:pStyle w:val="12"/>
        <w:overflowPunct w:val="0"/>
        <w:autoSpaceDE/>
        <w:autoSpaceDN/>
        <w:spacing w:line="600" w:lineRule="exact"/>
        <w:ind w:firstLine="640" w:firstLineChars="200"/>
        <w:jc w:val="both"/>
        <w:rPr>
          <w:rFonts w:ascii="Times New Roman" w:hAnsi="Times New Roman" w:eastAsia="仿宋_GB2312"/>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rPr>
        <w:t>35.2</w:t>
      </w:r>
      <w:r>
        <w:rPr>
          <w:rFonts w:ascii="Times New Roman" w:hAnsi="Times New Roman" w:eastAsia="仿宋_GB2312" w:cs="Times New Roman"/>
          <w:sz w:val="32"/>
          <w:szCs w:val="32"/>
        </w:rPr>
        <w:t>万元，比年初预算数</w:t>
      </w:r>
      <w:r>
        <w:rPr>
          <w:rFonts w:hint="eastAsia" w:ascii="Times New Roman" w:hAnsi="Times New Roman" w:eastAsia="仿宋_GB2312" w:cs="Times New Roman"/>
          <w:sz w:val="32"/>
          <w:szCs w:val="32"/>
        </w:rPr>
        <w:t>增加2.08万元，增长6.28%，</w:t>
      </w:r>
      <w:r>
        <w:rPr>
          <w:rFonts w:ascii="Times New Roman" w:hAnsi="Times New Roman" w:eastAsia="仿宋_GB2312" w:cs="Times New Roman"/>
          <w:sz w:val="32"/>
          <w:szCs w:val="32"/>
        </w:rPr>
        <w:t>主要原因是：</w:t>
      </w:r>
      <w:r>
        <w:rPr>
          <w:rFonts w:hint="eastAsia" w:ascii="Times New Roman" w:hAnsi="Times New Roman" w:eastAsia="仿宋_GB2312"/>
          <w:color w:val="auto"/>
          <w:sz w:val="32"/>
          <w:szCs w:val="32"/>
        </w:rPr>
        <w:t>日常运转经费年度间正常变化。比上年决算</w:t>
      </w:r>
      <w:r>
        <w:rPr>
          <w:rFonts w:hint="eastAsia" w:ascii="Times New Roman" w:hAnsi="Times New Roman" w:eastAsia="仿宋_GB2312" w:cs="Times New Roman"/>
          <w:color w:val="auto"/>
          <w:kern w:val="2"/>
          <w:sz w:val="32"/>
          <w:szCs w:val="32"/>
        </w:rPr>
        <w:t>数</w:t>
      </w:r>
      <w:r>
        <w:rPr>
          <w:rFonts w:hint="eastAsia" w:ascii="Times New Roman" w:hAnsi="Times New Roman" w:eastAsia="仿宋_GB2312" w:cs="Times New Roman"/>
          <w:sz w:val="32"/>
          <w:szCs w:val="32"/>
        </w:rPr>
        <w:t>增加2.7万元，增长8.31%，</w:t>
      </w:r>
      <w:r>
        <w:rPr>
          <w:rFonts w:ascii="Times New Roman" w:hAnsi="Times New Roman" w:eastAsia="仿宋_GB2312" w:cs="Times New Roman"/>
          <w:sz w:val="32"/>
          <w:szCs w:val="32"/>
        </w:rPr>
        <w:t>主要原因是：</w:t>
      </w:r>
      <w:r>
        <w:rPr>
          <w:rFonts w:hint="eastAsia" w:ascii="Times New Roman" w:hAnsi="Times New Roman" w:eastAsia="仿宋_GB2312"/>
          <w:color w:val="auto"/>
          <w:sz w:val="32"/>
          <w:szCs w:val="32"/>
        </w:rPr>
        <w:t>日常运转经费年度间正常变化。</w:t>
      </w:r>
    </w:p>
    <w:p w14:paraId="689D6E7C">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rPr>
        <w:t>一</w:t>
      </w:r>
      <w:r>
        <w:rPr>
          <w:rFonts w:ascii="Times New Roman" w:hAnsi="Times New Roman" w:cs="Times New Roman"/>
          <w:bCs/>
          <w:sz w:val="32"/>
          <w:szCs w:val="32"/>
        </w:rPr>
        <w:t>、一般性支出情况说明</w:t>
      </w:r>
    </w:p>
    <w:p w14:paraId="499ACEE8">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万元；开支培训费</w:t>
      </w:r>
      <w:r>
        <w:rPr>
          <w:rFonts w:hint="eastAsia" w:ascii="Times New Roman" w:hAnsi="Times New Roman" w:eastAsia="仿宋_GB2312" w:cs="Times New Roman"/>
          <w:sz w:val="32"/>
          <w:szCs w:val="32"/>
        </w:rPr>
        <w:t>20.85</w:t>
      </w:r>
      <w:r>
        <w:rPr>
          <w:rFonts w:ascii="Times New Roman" w:hAnsi="Times New Roman" w:eastAsia="仿宋_GB2312" w:cs="Times New Roman"/>
          <w:sz w:val="32"/>
          <w:szCs w:val="32"/>
        </w:rPr>
        <w:t>万元，</w:t>
      </w:r>
      <w:r>
        <w:rPr>
          <w:rFonts w:hint="eastAsia" w:ascii="Times New Roman" w:hAnsi="Times New Roman" w:eastAsia="仿宋_GB2312" w:cstheme="minorBidi"/>
          <w:color w:val="auto"/>
          <w:kern w:val="2"/>
          <w:sz w:val="32"/>
          <w:szCs w:val="32"/>
        </w:rPr>
        <w:t>主要用于开展新警与各警种专训等，全年完成9期培训班，累计培训1700余人次，</w:t>
      </w:r>
      <w:r>
        <w:rPr>
          <w:rFonts w:ascii="Times New Roman" w:hAnsi="Times New Roman" w:eastAsia="仿宋_GB2312" w:cs="Times New Roman"/>
          <w:sz w:val="32"/>
          <w:szCs w:val="32"/>
        </w:rPr>
        <w:t>用于开展</w:t>
      </w:r>
      <w:r>
        <w:rPr>
          <w:rFonts w:hint="eastAsia" w:ascii="Times New Roman" w:hAnsi="Times New Roman" w:eastAsia="仿宋_GB2312" w:cs="Times New Roman"/>
          <w:sz w:val="32"/>
          <w:szCs w:val="32"/>
        </w:rPr>
        <w:t>46期新警</w:t>
      </w:r>
      <w:r>
        <w:rPr>
          <w:rFonts w:ascii="Times New Roman" w:hAnsi="Times New Roman" w:eastAsia="仿宋_GB2312" w:cs="Times New Roman"/>
          <w:sz w:val="32"/>
          <w:szCs w:val="32"/>
        </w:rPr>
        <w:t>培训</w:t>
      </w:r>
      <w:r>
        <w:rPr>
          <w:rFonts w:hint="eastAsia" w:ascii="Times New Roman" w:hAnsi="Times New Roman" w:eastAsia="仿宋_GB2312" w:cs="Times New Roman"/>
          <w:sz w:val="32"/>
          <w:szCs w:val="32"/>
        </w:rPr>
        <w:t>班</w:t>
      </w:r>
      <w:r>
        <w:rPr>
          <w:rFonts w:ascii="Times New Roman" w:hAnsi="Times New Roman" w:eastAsia="仿宋_GB2312" w:cs="Times New Roman"/>
          <w:sz w:val="32"/>
          <w:szCs w:val="32"/>
        </w:rPr>
        <w:t>，人数</w:t>
      </w:r>
      <w:r>
        <w:rPr>
          <w:rFonts w:hint="eastAsia" w:ascii="Times New Roman" w:hAnsi="Times New Roman" w:eastAsia="仿宋_GB2312" w:cs="Times New Roman"/>
          <w:sz w:val="32"/>
          <w:szCs w:val="32"/>
        </w:rPr>
        <w:t>195</w:t>
      </w:r>
      <w:r>
        <w:rPr>
          <w:rFonts w:ascii="Times New Roman" w:hAnsi="Times New Roman" w:eastAsia="仿宋_GB2312" w:cs="Times New Roman"/>
          <w:sz w:val="32"/>
          <w:szCs w:val="32"/>
        </w:rPr>
        <w:t>人，</w:t>
      </w:r>
      <w:r>
        <w:rPr>
          <w:rFonts w:hint="eastAsia" w:ascii="Times New Roman" w:hAnsi="Times New Roman" w:eastAsia="仿宋_GB2312" w:cs="Times New Roman"/>
          <w:sz w:val="32"/>
          <w:szCs w:val="32"/>
        </w:rPr>
        <w:t>47期新警</w:t>
      </w:r>
      <w:r>
        <w:rPr>
          <w:rFonts w:ascii="Times New Roman" w:hAnsi="Times New Roman" w:eastAsia="仿宋_GB2312" w:cs="Times New Roman"/>
          <w:sz w:val="32"/>
          <w:szCs w:val="32"/>
        </w:rPr>
        <w:t>培训</w:t>
      </w:r>
      <w:r>
        <w:rPr>
          <w:rFonts w:hint="eastAsia" w:ascii="Times New Roman" w:hAnsi="Times New Roman" w:eastAsia="仿宋_GB2312" w:cs="Times New Roman"/>
          <w:sz w:val="32"/>
          <w:szCs w:val="32"/>
        </w:rPr>
        <w:t>班</w:t>
      </w:r>
      <w:r>
        <w:rPr>
          <w:rFonts w:ascii="Times New Roman" w:hAnsi="Times New Roman" w:eastAsia="仿宋_GB2312" w:cs="Times New Roman"/>
          <w:sz w:val="32"/>
          <w:szCs w:val="32"/>
        </w:rPr>
        <w:t>，人数</w:t>
      </w:r>
      <w:r>
        <w:rPr>
          <w:rFonts w:hint="eastAsia" w:ascii="Times New Roman" w:hAnsi="Times New Roman" w:eastAsia="仿宋_GB2312" w:cs="Times New Roman"/>
          <w:sz w:val="32"/>
          <w:szCs w:val="32"/>
        </w:rPr>
        <w:t>218</w:t>
      </w:r>
      <w:r>
        <w:rPr>
          <w:rFonts w:ascii="Times New Roman" w:hAnsi="Times New Roman" w:eastAsia="仿宋_GB2312" w:cs="Times New Roman"/>
          <w:sz w:val="32"/>
          <w:szCs w:val="32"/>
        </w:rPr>
        <w:t>人</w:t>
      </w:r>
      <w:r>
        <w:rPr>
          <w:rFonts w:hint="eastAsia" w:ascii="Times New Roman" w:hAnsi="Times New Roman" w:eastAsia="仿宋_GB2312" w:cs="Times New Roman"/>
          <w:sz w:val="32"/>
          <w:szCs w:val="32"/>
        </w:rPr>
        <w:t>等；未</w:t>
      </w:r>
      <w:r>
        <w:rPr>
          <w:rFonts w:ascii="Times New Roman" w:hAnsi="Times New Roman" w:eastAsia="仿宋_GB2312" w:cs="Times New Roman"/>
          <w:sz w:val="32"/>
          <w:szCs w:val="32"/>
        </w:rPr>
        <w:t>举办节庆、晚会、论坛、赛事活动</w:t>
      </w:r>
      <w:r>
        <w:rPr>
          <w:rFonts w:hint="eastAsia" w:ascii="Times New Roman" w:hAnsi="Times New Roman" w:eastAsia="仿宋_GB2312" w:cs="Times New Roman"/>
          <w:sz w:val="32"/>
          <w:szCs w:val="32"/>
        </w:rPr>
        <w:t>。</w:t>
      </w:r>
    </w:p>
    <w:p w14:paraId="76757B71">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rPr>
        <w:t>二</w:t>
      </w:r>
      <w:r>
        <w:rPr>
          <w:rFonts w:ascii="Times New Roman" w:hAnsi="Times New Roman" w:cs="Times New Roman"/>
          <w:bCs/>
          <w:sz w:val="32"/>
          <w:szCs w:val="32"/>
        </w:rPr>
        <w:t>、关于政府采购支出说明</w:t>
      </w:r>
    </w:p>
    <w:p w14:paraId="4918A622">
      <w:pPr>
        <w:pStyle w:val="12"/>
        <w:overflowPunct w:val="0"/>
        <w:autoSpaceDE/>
        <w:autoSpaceDN/>
        <w:spacing w:line="600" w:lineRule="exact"/>
        <w:ind w:firstLine="640" w:firstLineChars="200"/>
        <w:jc w:val="both"/>
        <w:rPr>
          <w:rFonts w:ascii="Times New Roman" w:hAnsi="Times New Roman" w:eastAsia="楷体_GB2312" w:cs="Times New Roman"/>
          <w:b/>
          <w:bCs/>
          <w:i/>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rPr>
        <w:t>7.32</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rPr>
        <w:t>6.77</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rPr>
        <w:t>0.55</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rPr>
        <w:t>6.77</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rPr>
        <w:t>92.49</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rPr>
        <w:t>6.77</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rPr>
        <w:t>100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rPr>
        <w:t>100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w:t>
      </w:r>
    </w:p>
    <w:p w14:paraId="34139544">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rPr>
        <w:t>三</w:t>
      </w:r>
      <w:r>
        <w:rPr>
          <w:rFonts w:ascii="Times New Roman" w:hAnsi="Times New Roman" w:cs="Times New Roman"/>
          <w:bCs/>
          <w:color w:val="auto"/>
          <w:sz w:val="32"/>
          <w:szCs w:val="32"/>
        </w:rPr>
        <w:t>、关于国有资产占用情况说明</w:t>
      </w:r>
    </w:p>
    <w:p w14:paraId="587CB99A">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rPr>
        <w:t>1</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rPr>
        <w:t>1</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台（套）。</w:t>
      </w:r>
    </w:p>
    <w:p w14:paraId="228EE007">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rPr>
        <w:t>四</w:t>
      </w:r>
      <w:r>
        <w:rPr>
          <w:rFonts w:ascii="Times New Roman" w:hAnsi="Times New Roman" w:cs="Times New Roman"/>
          <w:bCs/>
          <w:color w:val="auto"/>
          <w:sz w:val="32"/>
          <w:szCs w:val="32"/>
        </w:rPr>
        <w:t>、关于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rPr>
        <w:t>5</w:t>
      </w:r>
      <w:r>
        <w:rPr>
          <w:rFonts w:ascii="Times New Roman" w:hAnsi="Times New Roman" w:cs="Times New Roman"/>
          <w:bCs/>
          <w:color w:val="auto"/>
          <w:sz w:val="32"/>
          <w:szCs w:val="32"/>
        </w:rPr>
        <w:t>年度预算绩效情况的说明</w:t>
      </w:r>
    </w:p>
    <w:p w14:paraId="2182CC7E">
      <w:pPr>
        <w:overflowPunct w:val="0"/>
        <w:spacing w:line="600" w:lineRule="exact"/>
        <w:ind w:firstLine="640" w:firstLineChars="200"/>
        <w:rPr>
          <w:rFonts w:ascii="Times New Roman" w:hAnsi="Times New Roman" w:eastAsia="楷体" w:cs="Times New Roman"/>
          <w:b/>
          <w:bCs/>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rPr>
        <w:t>2</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rPr>
        <w:t>25.6</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rPr>
        <w:t>2</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rPr>
        <w:t>25.6</w:t>
      </w:r>
      <w:r>
        <w:rPr>
          <w:rFonts w:ascii="Times New Roman" w:hAnsi="Times New Roman" w:eastAsia="仿宋_GB2312" w:cs="Times New Roman"/>
          <w:kern w:val="0"/>
          <w:sz w:val="32"/>
          <w:szCs w:val="32"/>
        </w:rPr>
        <w:t xml:space="preserve"> 万元，占一般公共预算支出总额的</w:t>
      </w:r>
      <w:r>
        <w:rPr>
          <w:rFonts w:hint="eastAsia" w:ascii="Times New Roman" w:hAnsi="Times New Roman" w:eastAsia="仿宋_GB2312" w:cs="Times New Roman"/>
          <w:kern w:val="0"/>
          <w:sz w:val="32"/>
          <w:szCs w:val="32"/>
        </w:rPr>
        <w:t>100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rPr>
        <w:t>0</w:t>
      </w:r>
      <w:r>
        <w:rPr>
          <w:rFonts w:ascii="Times New Roman" w:hAnsi="Times New Roman" w:eastAsia="仿宋_GB2312" w:cs="Times New Roman"/>
          <w:kern w:val="0"/>
          <w:sz w:val="32"/>
          <w:szCs w:val="32"/>
        </w:rPr>
        <w:t xml:space="preserve"> 万元，占政府性基金预算支出总额的</w:t>
      </w:r>
      <w:r>
        <w:rPr>
          <w:rFonts w:hint="eastAsia" w:ascii="Times New Roman" w:hAnsi="Times New Roman" w:eastAsia="仿宋_GB2312" w:cs="Times New Roman"/>
          <w:kern w:val="0"/>
          <w:sz w:val="32"/>
          <w:szCs w:val="32"/>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rPr>
        <w:t>0</w:t>
      </w:r>
      <w:r>
        <w:rPr>
          <w:rFonts w:ascii="Times New Roman" w:hAnsi="Times New Roman" w:eastAsia="仿宋_GB2312" w:cs="Times New Roman"/>
          <w:kern w:val="0"/>
          <w:sz w:val="32"/>
          <w:szCs w:val="32"/>
        </w:rPr>
        <w:t xml:space="preserve"> 万元，占国有资本经营预算支出总额的</w:t>
      </w:r>
      <w:r>
        <w:rPr>
          <w:rFonts w:hint="eastAsia" w:ascii="Times New Roman" w:hAnsi="Times New Roman" w:eastAsia="仿宋_GB2312" w:cs="Times New Roman"/>
          <w:kern w:val="0"/>
          <w:sz w:val="32"/>
          <w:szCs w:val="32"/>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rPr>
        <w:t>0</w:t>
      </w:r>
      <w:r>
        <w:rPr>
          <w:rFonts w:ascii="Times New Roman" w:hAnsi="Times New Roman" w:eastAsia="仿宋_GB2312" w:cs="Times New Roman"/>
          <w:kern w:val="0"/>
          <w:sz w:val="32"/>
          <w:szCs w:val="32"/>
        </w:rPr>
        <w:t xml:space="preserve"> 万元，占社会保险基金预算支出总额的</w:t>
      </w:r>
      <w:r>
        <w:rPr>
          <w:rFonts w:hint="eastAsia" w:ascii="Times New Roman" w:hAnsi="Times New Roman" w:eastAsia="仿宋_GB2312" w:cs="Times New Roman"/>
          <w:kern w:val="0"/>
          <w:sz w:val="32"/>
          <w:szCs w:val="32"/>
        </w:rPr>
        <w:t>0</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二是部门评价开展情况。</w:t>
      </w:r>
      <w:r>
        <w:rPr>
          <w:rFonts w:hint="eastAsia" w:ascii="Times New Roman" w:hAnsi="Times New Roman" w:eastAsia="仿宋_GB2312" w:cs="黑体"/>
          <w:kern w:val="0"/>
          <w:sz w:val="32"/>
          <w:szCs w:val="32"/>
        </w:rPr>
        <w:t>无</w:t>
      </w:r>
      <w:r>
        <w:rPr>
          <w:rFonts w:ascii="Times New Roman" w:hAnsi="Times New Roman" w:eastAsia="仿宋_GB2312" w:cs="黑体"/>
          <w:kern w:val="0"/>
          <w:sz w:val="32"/>
          <w:szCs w:val="32"/>
        </w:rPr>
        <w:t>所属单位</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三是事前绩效评估开展情况。</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rPr>
        <w:t>0</w:t>
      </w:r>
      <w:r>
        <w:rPr>
          <w:rFonts w:ascii="Times New Roman" w:hAnsi="Times New Roman" w:eastAsia="仿宋_GB2312" w:cs="Times New Roman"/>
          <w:kern w:val="0"/>
          <w:sz w:val="32"/>
          <w:szCs w:val="32"/>
        </w:rPr>
        <w:t>个新增重大政策和</w:t>
      </w:r>
      <w:r>
        <w:rPr>
          <w:rFonts w:hint="eastAsia" w:ascii="Times New Roman" w:hAnsi="Times New Roman" w:eastAsia="仿宋_GB2312" w:cs="Times New Roman"/>
          <w:sz w:val="32"/>
          <w:szCs w:val="32"/>
        </w:rPr>
        <w:t>0</w:t>
      </w:r>
      <w:r>
        <w:rPr>
          <w:rFonts w:ascii="Times New Roman" w:hAnsi="Times New Roman" w:eastAsia="仿宋_GB2312" w:cs="Times New Roman"/>
          <w:kern w:val="0"/>
          <w:sz w:val="32"/>
          <w:szCs w:val="32"/>
        </w:rPr>
        <w:t>个重大项目开展事前绩效评估。</w:t>
      </w:r>
    </w:p>
    <w:p w14:paraId="04F9ED94">
      <w:pPr>
        <w:overflowPunct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rPr>
        <w:t>5</w:t>
      </w:r>
      <w:r>
        <w:rPr>
          <w:rFonts w:ascii="Times New Roman" w:hAnsi="Times New Roman" w:eastAsia="仿宋_GB2312" w:cs="Times New Roman"/>
          <w:kern w:val="0"/>
          <w:sz w:val="32"/>
          <w:szCs w:val="32"/>
        </w:rPr>
        <w:t>年度本单位整体支出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rPr>
        <w:t>397.85</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rPr>
        <w:t>391.68</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rPr>
        <w:t>98.45</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rPr>
        <w:t>99.85</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优</w:t>
      </w:r>
      <w:r>
        <w:rPr>
          <w:rFonts w:ascii="Times New Roman" w:hAnsi="Times New Roman" w:eastAsia="仿宋_GB2312" w:cs="Times New Roman"/>
          <w:sz w:val="32"/>
          <w:szCs w:val="32"/>
        </w:rPr>
        <w:t>”。绩效目标完成情况：</w:t>
      </w:r>
      <w:r>
        <w:rPr>
          <w:rFonts w:ascii="Times New Roman" w:hAnsi="Times New Roman" w:eastAsia="仿宋_GB2312" w:cs="黑体"/>
          <w:kern w:val="0"/>
          <w:sz w:val="32"/>
          <w:szCs w:val="32"/>
        </w:rPr>
        <w:t>一是</w:t>
      </w:r>
      <w:r>
        <w:rPr>
          <w:rFonts w:hint="eastAsia" w:ascii="Times New Roman" w:hAnsi="Times New Roman" w:eastAsia="仿宋_GB2312" w:cs="黑体"/>
          <w:kern w:val="0"/>
          <w:sz w:val="32"/>
          <w:szCs w:val="32"/>
        </w:rPr>
        <w:t>绩效指标基本完成</w:t>
      </w:r>
      <w:r>
        <w:rPr>
          <w:rFonts w:ascii="Times New Roman" w:hAnsi="Times New Roman" w:eastAsia="仿宋_GB2312" w:cs="黑体"/>
          <w:kern w:val="0"/>
          <w:sz w:val="32"/>
          <w:szCs w:val="32"/>
        </w:rPr>
        <w:t>；二是</w:t>
      </w:r>
      <w:r>
        <w:rPr>
          <w:rFonts w:hint="eastAsia" w:ascii="Times New Roman" w:hAnsi="Times New Roman" w:eastAsia="仿宋_GB2312" w:cs="黑体"/>
          <w:kern w:val="0"/>
          <w:sz w:val="32"/>
          <w:szCs w:val="32"/>
        </w:rPr>
        <w:t>重点工作基本完成</w:t>
      </w:r>
      <w:r>
        <w:rPr>
          <w:rFonts w:ascii="Times New Roman" w:hAnsi="Times New Roman" w:eastAsia="仿宋_GB2312" w:cs="Times New Roman"/>
          <w:sz w:val="32"/>
          <w:szCs w:val="32"/>
        </w:rPr>
        <w:t>。发现的主要问题及原因：</w:t>
      </w:r>
      <w:r>
        <w:rPr>
          <w:rFonts w:hint="eastAsia" w:ascii="仿宋" w:hAnsi="仿宋" w:eastAsia="仿宋" w:cs="Times New Roman"/>
          <w:spacing w:val="-2"/>
          <w:sz w:val="32"/>
          <w:szCs w:val="32"/>
        </w:rPr>
        <w:t>经费保障不足制约培训现代化水平。受</w:t>
      </w:r>
      <w:r>
        <w:rPr>
          <w:rFonts w:hint="eastAsia" w:ascii="Times New Roman" w:hAnsi="Times New Roman" w:eastAsia="仿宋_GB2312" w:cs="黑体"/>
          <w:kern w:val="0"/>
          <w:sz w:val="32"/>
          <w:szCs w:val="32"/>
        </w:rPr>
        <w:t>限于暂无自有训练场地，且培训经费面临现实困难，经费缺口直接限制了虚拟仿真、情景模拟等科技化教学手段的引入与应用，导致培训管理模式创新和现代化、智能化训练水平提升受阻，与智慧警务发展要求存在差距。</w:t>
      </w:r>
      <w:r>
        <w:rPr>
          <w:rFonts w:ascii="Times New Roman" w:hAnsi="Times New Roman" w:eastAsia="仿宋_GB2312" w:cs="黑体"/>
          <w:kern w:val="0"/>
          <w:sz w:val="32"/>
          <w:szCs w:val="32"/>
        </w:rPr>
        <w:t>下一步改进措施：</w:t>
      </w:r>
      <w:r>
        <w:rPr>
          <w:rFonts w:hint="eastAsia" w:ascii="仿宋" w:hAnsi="仿宋" w:eastAsia="仿宋" w:cs="仿宋"/>
          <w:spacing w:val="-2"/>
          <w:sz w:val="32"/>
          <w:szCs w:val="32"/>
        </w:rPr>
        <w:t>进一步加强预算管理</w:t>
      </w:r>
      <w:r>
        <w:rPr>
          <w:rFonts w:ascii="仿宋" w:hAnsi="仿宋" w:eastAsia="仿宋" w:cs="仿宋"/>
          <w:spacing w:val="-2"/>
          <w:sz w:val="32"/>
          <w:szCs w:val="32"/>
        </w:rPr>
        <w:t>，</w:t>
      </w:r>
      <w:r>
        <w:rPr>
          <w:rFonts w:hint="eastAsia" w:ascii="仿宋" w:hAnsi="仿宋" w:eastAsia="仿宋" w:cs="仿宋"/>
          <w:spacing w:val="-2"/>
          <w:sz w:val="32"/>
          <w:szCs w:val="32"/>
        </w:rPr>
        <w:t>尽量将确定的项目应纳尽纳</w:t>
      </w:r>
      <w:r>
        <w:rPr>
          <w:rFonts w:ascii="仿宋" w:hAnsi="仿宋" w:eastAsia="仿宋" w:cs="仿宋"/>
          <w:spacing w:val="-2"/>
          <w:sz w:val="32"/>
          <w:szCs w:val="32"/>
        </w:rPr>
        <w:t>，进一步提高预算编制的科学性、严谨性。</w:t>
      </w:r>
      <w:r>
        <w:rPr>
          <w:rFonts w:ascii="Times New Roman" w:hAnsi="Times New Roman" w:eastAsia="仿宋_GB2312" w:cs="Times New Roman"/>
          <w:b/>
          <w:bCs/>
          <w:kern w:val="0"/>
          <w:sz w:val="32"/>
          <w:szCs w:val="32"/>
        </w:rPr>
        <w:t>二是部门评价结果</w:t>
      </w:r>
      <w:r>
        <w:rPr>
          <w:rFonts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rPr>
        <w:t>无。</w:t>
      </w:r>
      <w:r>
        <w:rPr>
          <w:rFonts w:ascii="Times New Roman" w:hAnsi="Times New Roman" w:eastAsia="仿宋_GB2312" w:cs="Times New Roman"/>
          <w:b/>
          <w:bCs/>
          <w:kern w:val="0"/>
          <w:sz w:val="32"/>
          <w:szCs w:val="32"/>
        </w:rPr>
        <w:t>三是事前绩效评估结果。</w:t>
      </w:r>
      <w:r>
        <w:rPr>
          <w:rFonts w:ascii="Times New Roman" w:hAnsi="Times New Roman" w:eastAsia="仿宋_GB2312" w:cs="Times New Roman"/>
          <w:kern w:val="0"/>
          <w:sz w:val="32"/>
          <w:szCs w:val="32"/>
        </w:rPr>
        <w:t>2024年度</w:t>
      </w:r>
      <w:r>
        <w:rPr>
          <w:rFonts w:hint="eastAsia" w:ascii="Times New Roman" w:hAnsi="Times New Roman" w:eastAsia="仿宋_GB2312" w:cs="Times New Roman"/>
          <w:sz w:val="32"/>
          <w:szCs w:val="32"/>
        </w:rPr>
        <w:t>0</w:t>
      </w:r>
      <w:r>
        <w:rPr>
          <w:rFonts w:ascii="Times New Roman" w:hAnsi="Times New Roman" w:eastAsia="仿宋_GB2312" w:cs="Times New Roman"/>
          <w:kern w:val="0"/>
          <w:sz w:val="32"/>
          <w:szCs w:val="32"/>
        </w:rPr>
        <w:t>个重大项目事前绩效评估</w:t>
      </w:r>
      <w:r>
        <w:rPr>
          <w:rFonts w:hint="eastAsia" w:ascii="Times New Roman" w:hAnsi="Times New Roman" w:eastAsia="仿宋_GB2312" w:cs="Times New Roman"/>
          <w:kern w:val="0"/>
          <w:sz w:val="32"/>
          <w:szCs w:val="32"/>
        </w:rPr>
        <w:t>。</w:t>
      </w:r>
    </w:p>
    <w:p w14:paraId="22ED84A9">
      <w:pPr>
        <w:widowControl/>
        <w:shd w:val="clear" w:color="auto" w:fill="FFFFFF"/>
        <w:spacing w:line="620" w:lineRule="exact"/>
        <w:ind w:firstLine="640"/>
        <w:rPr>
          <w:rFonts w:ascii="Times New Roman" w:hAnsi="Times New Roman" w:eastAsia="仿宋_GB2312" w:cs="Times New Roman"/>
          <w:sz w:val="72"/>
          <w:szCs w:val="72"/>
        </w:rPr>
      </w:pPr>
      <w:r>
        <w:rPr>
          <w:rFonts w:ascii="Times New Roman" w:hAnsi="Times New Roman" w:eastAsia="楷体_GB2312" w:cs="Times New Roman"/>
          <w:b/>
          <w:bCs/>
          <w:sz w:val="32"/>
          <w:szCs w:val="32"/>
        </w:rPr>
        <w:t>（三）评价结果应用情况。</w:t>
      </w:r>
      <w:r>
        <w:rPr>
          <w:rFonts w:hint="eastAsia" w:ascii="仿宋" w:hAnsi="仿宋" w:eastAsia="仿宋" w:cs="仿宋"/>
          <w:sz w:val="32"/>
          <w:szCs w:val="32"/>
        </w:rPr>
        <w:t>2025年绩效自评结果作为以后年度预算安排的参考依据</w:t>
      </w:r>
      <w:r>
        <w:rPr>
          <w:rFonts w:ascii="Times New Roman" w:hAnsi="Times New Roman" w:eastAsia="仿宋_GB2312" w:cs="Times New Roman"/>
          <w:sz w:val="32"/>
          <w:szCs w:val="32"/>
        </w:rPr>
        <w:t>。</w:t>
      </w:r>
    </w:p>
    <w:p w14:paraId="461DEB26">
      <w:pPr>
        <w:pStyle w:val="12"/>
        <w:overflowPunct w:val="0"/>
        <w:autoSpaceDE/>
        <w:autoSpaceDN/>
        <w:spacing w:line="600" w:lineRule="exact"/>
        <w:ind w:firstLine="1440" w:firstLineChars="200"/>
        <w:jc w:val="both"/>
        <w:rPr>
          <w:rFonts w:ascii="Times New Roman" w:hAnsi="Times New Roman" w:cs="Times New Roman"/>
          <w:sz w:val="72"/>
          <w:szCs w:val="72"/>
        </w:rPr>
      </w:pPr>
    </w:p>
    <w:p w14:paraId="5388980E">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7209C83B">
      <w:pPr>
        <w:widowControl/>
        <w:jc w:val="left"/>
        <w:rPr>
          <w:rFonts w:ascii="Times New Roman" w:hAnsi="Times New Roman" w:cs="Times New Roman"/>
          <w:color w:val="000000"/>
          <w:kern w:val="0"/>
          <w:sz w:val="32"/>
          <w:szCs w:val="32"/>
        </w:rPr>
      </w:pPr>
    </w:p>
    <w:p w14:paraId="5BE464BF">
      <w:pPr>
        <w:widowControl/>
        <w:spacing w:line="600" w:lineRule="exact"/>
        <w:ind w:firstLine="640" w:firstLineChars="200"/>
        <w:jc w:val="left"/>
        <w:rPr>
          <w:rFonts w:ascii="仿宋" w:hAnsi="仿宋" w:eastAsia="仿宋" w:cs="黑体"/>
          <w:kern w:val="0"/>
          <w:sz w:val="32"/>
          <w:szCs w:val="32"/>
        </w:rPr>
      </w:pPr>
      <w:r>
        <w:rPr>
          <w:rFonts w:hint="eastAsia" w:ascii="仿宋" w:hAnsi="仿宋" w:eastAsia="仿宋" w:cs="黑体"/>
          <w:b/>
          <w:kern w:val="0"/>
          <w:sz w:val="32"/>
          <w:szCs w:val="32"/>
        </w:rPr>
        <w:t>一、机关运行经费：</w:t>
      </w:r>
      <w:r>
        <w:rPr>
          <w:rFonts w:hint="eastAsia" w:ascii="仿宋" w:hAnsi="仿宋" w:eastAsia="仿宋" w:cs="黑体"/>
          <w:kern w:val="0"/>
          <w:sz w:val="32"/>
          <w:szCs w:val="32"/>
        </w:rPr>
        <w:t>为保障行政单位（包括参照公务员法管理的事业单位）运行，用一般公共预算拨款安排，用于购买货物和服务的各项资金，包括办公及印刷费、邮电费、差旅费、会议费、福利费、日常维修费、办公用房水电费、办公用房取暖费、办公用房物业管理费、公务用车运行维护费以及其他费用，即为行政单位和参照公务员法管理事业单位一般公共预算财政拨款基本支出中的公用经费支出。</w:t>
      </w:r>
    </w:p>
    <w:p w14:paraId="1A343D97">
      <w:pPr>
        <w:widowControl/>
        <w:spacing w:line="600" w:lineRule="exact"/>
        <w:ind w:firstLine="640" w:firstLineChars="200"/>
        <w:rPr>
          <w:rFonts w:ascii="仿宋" w:hAnsi="仿宋" w:eastAsia="仿宋" w:cs="黑体"/>
          <w:kern w:val="0"/>
          <w:sz w:val="32"/>
          <w:szCs w:val="32"/>
        </w:rPr>
      </w:pPr>
      <w:r>
        <w:rPr>
          <w:rFonts w:hint="eastAsia" w:ascii="仿宋" w:hAnsi="仿宋" w:eastAsia="仿宋" w:cs="黑体"/>
          <w:b/>
          <w:kern w:val="0"/>
          <w:sz w:val="32"/>
          <w:szCs w:val="32"/>
        </w:rPr>
        <w:t>二、“三公”经费：</w:t>
      </w:r>
      <w:r>
        <w:rPr>
          <w:rFonts w:hint="eastAsia" w:ascii="仿宋" w:hAnsi="仿宋" w:eastAsia="仿宋" w:cs="黑体"/>
          <w:kern w:val="0"/>
          <w:sz w:val="32"/>
          <w:szCs w:val="32"/>
        </w:rPr>
        <w:t>纳入财政预算管理的“三公</w:t>
      </w:r>
      <w:bookmarkStart w:id="0" w:name="_GoBack"/>
      <w:bookmarkEnd w:id="0"/>
      <w:r>
        <w:rPr>
          <w:rFonts w:hint="eastAsia" w:ascii="仿宋" w:hAnsi="仿宋" w:eastAsia="仿宋" w:cs="黑体"/>
          <w:kern w:val="0"/>
          <w:sz w:val="32"/>
          <w:szCs w:val="32"/>
          <w:lang w:eastAsia="zh-CN"/>
        </w:rPr>
        <w:t>”</w:t>
      </w:r>
      <w:r>
        <w:rPr>
          <w:rFonts w:hint="eastAsia" w:ascii="仿宋" w:hAnsi="仿宋" w:eastAsia="仿宋" w:cs="黑体"/>
          <w:kern w:val="0"/>
          <w:sz w:val="32"/>
          <w:szCs w:val="32"/>
        </w:rPr>
        <w:t>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396CBEB5">
      <w:pPr>
        <w:pStyle w:val="12"/>
        <w:jc w:val="center"/>
        <w:rPr>
          <w:rFonts w:hint="eastAsia" w:ascii="Times New Roman" w:hAnsi="Times New Roman" w:cs="Times New Roman"/>
          <w:sz w:val="72"/>
          <w:szCs w:val="72"/>
        </w:rPr>
      </w:pPr>
    </w:p>
    <w:p w14:paraId="3CBC1C78">
      <w:pPr>
        <w:pStyle w:val="12"/>
        <w:jc w:val="center"/>
        <w:rPr>
          <w:rFonts w:hint="eastAsia" w:ascii="Times New Roman" w:hAnsi="Times New Roman" w:cs="Times New Roman"/>
          <w:sz w:val="72"/>
          <w:szCs w:val="72"/>
        </w:rPr>
      </w:pPr>
    </w:p>
    <w:p w14:paraId="4D3AAD0F">
      <w:pPr>
        <w:pStyle w:val="12"/>
        <w:jc w:val="center"/>
        <w:rPr>
          <w:rFonts w:ascii="Times New Roman" w:hAnsi="Times New Roman" w:cs="Times New Roman"/>
          <w:sz w:val="72"/>
          <w:szCs w:val="72"/>
        </w:rPr>
      </w:pPr>
    </w:p>
    <w:p w14:paraId="5B24014A">
      <w:pPr>
        <w:pStyle w:val="12"/>
        <w:jc w:val="both"/>
        <w:rPr>
          <w:rFonts w:ascii="Times New Roman" w:hAnsi="Times New Roman" w:cs="Times New Roman"/>
          <w:sz w:val="72"/>
          <w:szCs w:val="72"/>
        </w:rPr>
      </w:pPr>
    </w:p>
    <w:p w14:paraId="77B4CED9">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1096EA98">
      <w:pPr>
        <w:rPr>
          <w:rFonts w:ascii="Times New Roman" w:hAnsi="Times New Roman" w:cs="Times New Roman"/>
          <w:sz w:val="72"/>
          <w:szCs w:val="72"/>
        </w:rPr>
      </w:pPr>
    </w:p>
    <w:p w14:paraId="6BB53D71">
      <w:pPr>
        <w:pStyle w:val="12"/>
        <w:spacing w:line="600" w:lineRule="exact"/>
        <w:ind w:firstLine="640" w:firstLineChars="200"/>
        <w:rPr>
          <w:rFonts w:hint="eastAsia"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hint="eastAsia" w:ascii="Times New Roman" w:hAnsi="Times New Roman" w:eastAsia="仿宋_GB2312" w:cs="Times New Roman"/>
          <w:sz w:val="32"/>
          <w:szCs w:val="32"/>
        </w:rPr>
        <w:t>2025年度怀化市公安局警官培训部2024年决算公开表（万元）。</w:t>
      </w:r>
    </w:p>
    <w:p w14:paraId="27E52C26">
      <w:pPr>
        <w:pStyle w:val="12"/>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二、2025年度怀化市公安局警官培训部整体支出绩效自评报告</w:t>
      </w:r>
    </w:p>
    <w:p w14:paraId="43B6E6DB">
      <w:pPr>
        <w:pStyle w:val="12"/>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三、2025年度怀化市公安局警官培训部项目支出自评结果汇总分析报告</w:t>
      </w:r>
    </w:p>
    <w:p w14:paraId="382201D5">
      <w:pPr>
        <w:pStyle w:val="12"/>
        <w:spacing w:line="600" w:lineRule="exact"/>
        <w:ind w:firstLine="640" w:firstLineChars="200"/>
        <w:rPr>
          <w:rFonts w:ascii="Times New Roman" w:hAnsi="Times New Roman" w:eastAsia="仿宋_GB2312" w:cs="Times New Roman"/>
          <w:sz w:val="32"/>
          <w:szCs w:val="32"/>
        </w:rPr>
      </w:pPr>
    </w:p>
    <w:p w14:paraId="49933C96">
      <w:pPr>
        <w:pStyle w:val="12"/>
        <w:jc w:val="center"/>
        <w:rPr>
          <w:rFonts w:ascii="Times New Roman" w:hAnsi="Times New Roman" w:cs="Times New Roman"/>
          <w:sz w:val="72"/>
          <w:szCs w:val="72"/>
        </w:rPr>
      </w:pPr>
    </w:p>
    <w:p w14:paraId="2369C0DA">
      <w:pPr>
        <w:pStyle w:val="12"/>
        <w:jc w:val="center"/>
        <w:rPr>
          <w:rFonts w:ascii="Times New Roman" w:hAnsi="Times New Roman" w:cs="Times New Roman"/>
          <w:sz w:val="72"/>
          <w:szCs w:val="72"/>
        </w:rPr>
      </w:pPr>
    </w:p>
    <w:p w14:paraId="23E2AABB">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82DE80">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F4754C">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D3E9F4">
    <w:pPr>
      <w:pStyle w:val="6"/>
    </w:pPr>
    <w:r>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FgAA&#10;AGRycy9QSwECFAAUAAAACACHTuJAs0lY7tAAAAAFAQAADwAAAAAAAAABACAAAAA4AAAAZHJzL2Rv&#10;d25yZXYueG1sUEsBAhQAFAAAAAgAh07iQK9j2DAsAgAAVQQAAA4AAAAAAAAAAQAgAAAANQEAAGRy&#10;cy9lMm9Eb2MueG1sUEsFBgAAAAAGAAYAWQEAANMFAAAAAA==&#10;">
          <v:path/>
          <v:fill on="f" focussize="0,0"/>
          <v:stroke on="f" weight="0.5pt" joinstyle="miter"/>
          <v:imagedata o:title=""/>
          <o:lock v:ext="edit"/>
          <v:textbox inset="0mm,0mm,0mm,0mm" style="mso-fit-shape-to-text:t;">
            <w:txbxContent>
              <w:p w14:paraId="2EB2FE9D">
                <w:pPr>
                  <w:pStyle w:val="6"/>
                </w:pPr>
                <w:r>
                  <w:fldChar w:fldCharType="begin"/>
                </w:r>
                <w:r>
                  <w:instrText xml:space="preserve"> PAGE  \* MERGEFORMAT </w:instrText>
                </w:r>
                <w:r>
                  <w:fldChar w:fldCharType="separate"/>
                </w:r>
                <w:r>
                  <w:t>12</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E148FBE"/>
    <w:multiLevelType w:val="singleLevel"/>
    <w:tmpl w:val="5E148FBE"/>
    <w:lvl w:ilvl="0" w:tentative="0">
      <w:start w:val="3"/>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5445A"/>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84206"/>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88A"/>
    <w:rsid w:val="00517C33"/>
    <w:rsid w:val="00517D5F"/>
    <w:rsid w:val="00523644"/>
    <w:rsid w:val="0054069E"/>
    <w:rsid w:val="00544866"/>
    <w:rsid w:val="00552A3D"/>
    <w:rsid w:val="00574CC8"/>
    <w:rsid w:val="005767CC"/>
    <w:rsid w:val="00590D9F"/>
    <w:rsid w:val="00595D26"/>
    <w:rsid w:val="005A74E6"/>
    <w:rsid w:val="005A7558"/>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2AB5"/>
    <w:rsid w:val="008277D9"/>
    <w:rsid w:val="0084478C"/>
    <w:rsid w:val="00861DEC"/>
    <w:rsid w:val="0086638C"/>
    <w:rsid w:val="008764FA"/>
    <w:rsid w:val="008A1079"/>
    <w:rsid w:val="008A3E8D"/>
    <w:rsid w:val="008A5055"/>
    <w:rsid w:val="008D17F4"/>
    <w:rsid w:val="009237C4"/>
    <w:rsid w:val="00935F54"/>
    <w:rsid w:val="00944C48"/>
    <w:rsid w:val="00950252"/>
    <w:rsid w:val="00967F5D"/>
    <w:rsid w:val="009A0F95"/>
    <w:rsid w:val="009B3ADF"/>
    <w:rsid w:val="009C31C5"/>
    <w:rsid w:val="009C3B52"/>
    <w:rsid w:val="009E6817"/>
    <w:rsid w:val="009E6E9A"/>
    <w:rsid w:val="00A01D2B"/>
    <w:rsid w:val="00A1392A"/>
    <w:rsid w:val="00A37A55"/>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6166F"/>
    <w:rsid w:val="00C73888"/>
    <w:rsid w:val="00C77645"/>
    <w:rsid w:val="00CE04C3"/>
    <w:rsid w:val="00CE34BE"/>
    <w:rsid w:val="00CE76A0"/>
    <w:rsid w:val="00CF2CD5"/>
    <w:rsid w:val="00CF6484"/>
    <w:rsid w:val="00D148C6"/>
    <w:rsid w:val="00D17A8A"/>
    <w:rsid w:val="00D415BA"/>
    <w:rsid w:val="00D63780"/>
    <w:rsid w:val="00D644EE"/>
    <w:rsid w:val="00DD06FF"/>
    <w:rsid w:val="00DD5FE9"/>
    <w:rsid w:val="00E00C7A"/>
    <w:rsid w:val="00E3543F"/>
    <w:rsid w:val="00E37D6C"/>
    <w:rsid w:val="00E55B68"/>
    <w:rsid w:val="00E561AE"/>
    <w:rsid w:val="00E67BE6"/>
    <w:rsid w:val="00E8683C"/>
    <w:rsid w:val="00EA2B72"/>
    <w:rsid w:val="00ED5EAD"/>
    <w:rsid w:val="00F74360"/>
    <w:rsid w:val="00FB462F"/>
    <w:rsid w:val="00FE16FA"/>
    <w:rsid w:val="00FE328A"/>
    <w:rsid w:val="00FE6269"/>
    <w:rsid w:val="00FF5CD6"/>
    <w:rsid w:val="1D97DEFF"/>
    <w:rsid w:val="1DFF72E5"/>
    <w:rsid w:val="1EFC6F07"/>
    <w:rsid w:val="2FDF85B8"/>
    <w:rsid w:val="2FFFEE04"/>
    <w:rsid w:val="34DF85B0"/>
    <w:rsid w:val="3B8F36BC"/>
    <w:rsid w:val="491FF225"/>
    <w:rsid w:val="4FFD214C"/>
    <w:rsid w:val="5777D4F5"/>
    <w:rsid w:val="59DD8326"/>
    <w:rsid w:val="5DEF592A"/>
    <w:rsid w:val="5FC6BB1E"/>
    <w:rsid w:val="5FF720F1"/>
    <w:rsid w:val="67FF5C0B"/>
    <w:rsid w:val="6EFC0924"/>
    <w:rsid w:val="6FB74722"/>
    <w:rsid w:val="6FEF8B7E"/>
    <w:rsid w:val="71A6591B"/>
    <w:rsid w:val="737D59BA"/>
    <w:rsid w:val="77C37683"/>
    <w:rsid w:val="79D19834"/>
    <w:rsid w:val="79FF515B"/>
    <w:rsid w:val="7BF549BF"/>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3FF89F6"/>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alloon Text"/>
    <w:basedOn w:val="1"/>
    <w:link w:val="14"/>
    <w:semiHidden/>
    <w:unhideWhenUsed/>
    <w:qFormat/>
    <w:uiPriority w:val="99"/>
    <w:rPr>
      <w:sz w:val="18"/>
      <w:szCs w:val="18"/>
    </w:rPr>
  </w:style>
  <w:style w:type="paragraph" w:styleId="6">
    <w:name w:val="footer"/>
    <w:basedOn w:val="1"/>
    <w:link w:val="11"/>
    <w:unhideWhenUsed/>
    <w:qFormat/>
    <w:uiPriority w:val="99"/>
    <w:pPr>
      <w:tabs>
        <w:tab w:val="center" w:pos="4153"/>
        <w:tab w:val="right" w:pos="8306"/>
      </w:tabs>
      <w:snapToGrid w:val="0"/>
      <w:jc w:val="left"/>
    </w:pPr>
    <w:rPr>
      <w:sz w:val="18"/>
      <w:szCs w:val="18"/>
    </w:rPr>
  </w:style>
  <w:style w:type="paragraph" w:styleId="7">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0">
    <w:name w:val="页眉 Char"/>
    <w:basedOn w:val="9"/>
    <w:link w:val="7"/>
    <w:qFormat/>
    <w:uiPriority w:val="99"/>
    <w:rPr>
      <w:sz w:val="18"/>
      <w:szCs w:val="18"/>
    </w:rPr>
  </w:style>
  <w:style w:type="character" w:customStyle="1" w:styleId="11">
    <w:name w:val="页脚 Char"/>
    <w:basedOn w:val="9"/>
    <w:link w:val="6"/>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5"/>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15</Pages>
  <Words>816</Words>
  <Characters>4653</Characters>
  <Lines>38</Lines>
  <Paragraphs>10</Paragraphs>
  <TotalTime>256</TotalTime>
  <ScaleCrop>false</ScaleCrop>
  <LinksUpToDate>false</LinksUpToDate>
  <CharactersWithSpaces>5459</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2026-09-08T09:48:00Z</dcterms:created>
  <dc:creator>李航 null</dc:creator>
  <cp:lastModifiedBy>A梦</cp:lastModifiedBy>
  <cp:lastPrinted>2024-08-10T10:20:00Z</cp:lastPrinted>
  <dcterms:modified xsi:type="dcterms:W3CDTF">2026-10-15T15:57:06Z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4F0B27C0AAC35EFA9177686ADDD5E058</vt:lpwstr>
  </property>
</Properties>
</file>