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F3D454">
      <w:pPr>
        <w:pStyle w:val="14"/>
        <w:jc w:val="center"/>
        <w:rPr>
          <w:rFonts w:hint="eastAsia" w:hAnsi="黑体"/>
          <w:color w:val="auto"/>
          <w:sz w:val="36"/>
          <w:szCs w:val="36"/>
          <w:highlight w:val="none"/>
          <w:lang w:val="en-US" w:eastAsia="zh-CN"/>
        </w:rPr>
      </w:pPr>
      <w:r>
        <w:rPr>
          <w:rFonts w:hint="eastAsia" w:hAnsi="黑体"/>
          <w:color w:val="auto"/>
          <w:sz w:val="36"/>
          <w:szCs w:val="36"/>
          <w:highlight w:val="none"/>
          <w:lang w:val="en-US" w:eastAsia="zh-CN"/>
        </w:rPr>
        <w:t xml:space="preserve"> </w:t>
      </w:r>
    </w:p>
    <w:p w14:paraId="251ABA03">
      <w:pPr>
        <w:pStyle w:val="14"/>
        <w:jc w:val="center"/>
        <w:rPr>
          <w:rFonts w:hint="eastAsia" w:hAnsi="黑体"/>
          <w:color w:val="auto"/>
          <w:sz w:val="36"/>
          <w:szCs w:val="36"/>
          <w:highlight w:val="none"/>
          <w:lang w:val="en-US" w:eastAsia="zh-CN"/>
        </w:rPr>
      </w:pPr>
    </w:p>
    <w:p w14:paraId="705EF164">
      <w:pPr>
        <w:pStyle w:val="14"/>
        <w:jc w:val="center"/>
        <w:rPr>
          <w:rFonts w:ascii="Times New Roman" w:hAnsi="Times New Roman" w:cs="Times New Roman"/>
          <w:color w:val="auto"/>
          <w:sz w:val="84"/>
          <w:szCs w:val="84"/>
          <w:highlight w:val="none"/>
        </w:rPr>
      </w:pPr>
    </w:p>
    <w:p w14:paraId="0A65BD28">
      <w:pPr>
        <w:pStyle w:val="14"/>
        <w:jc w:val="center"/>
        <w:rPr>
          <w:rFonts w:ascii="Times New Roman" w:hAnsi="Times New Roman" w:cs="Times New Roman"/>
          <w:color w:val="auto"/>
          <w:sz w:val="84"/>
          <w:szCs w:val="84"/>
          <w:highlight w:val="none"/>
        </w:rPr>
      </w:pPr>
    </w:p>
    <w:p w14:paraId="42CC410D">
      <w:pPr>
        <w:pStyle w:val="14"/>
        <w:jc w:val="center"/>
        <w:rPr>
          <w:rFonts w:ascii="Times New Roman" w:hAnsi="Times New Roman" w:eastAsia="方正小标宋简体" w:cs="Times New Roman"/>
          <w:color w:val="auto"/>
          <w:sz w:val="72"/>
          <w:szCs w:val="72"/>
          <w:highlight w:val="none"/>
        </w:rPr>
      </w:pPr>
      <w:r>
        <w:rPr>
          <w:rFonts w:hint="eastAsia" w:ascii="Times New Roman" w:hAnsi="Times New Roman" w:eastAsia="方正小标宋简体" w:cs="Times New Roman"/>
          <w:color w:val="auto"/>
          <w:sz w:val="72"/>
          <w:szCs w:val="72"/>
          <w:highlight w:val="none"/>
          <w:lang w:eastAsia="zh-CN"/>
        </w:rPr>
        <w:t>2025</w:t>
      </w:r>
      <w:r>
        <w:rPr>
          <w:rFonts w:ascii="Times New Roman" w:hAnsi="Times New Roman" w:eastAsia="方正小标宋简体" w:cs="Times New Roman"/>
          <w:color w:val="auto"/>
          <w:sz w:val="72"/>
          <w:szCs w:val="72"/>
          <w:highlight w:val="none"/>
        </w:rPr>
        <w:t>年度</w:t>
      </w:r>
    </w:p>
    <w:p w14:paraId="74C2C98D">
      <w:pPr>
        <w:pStyle w:val="14"/>
        <w:jc w:val="center"/>
        <w:rPr>
          <w:rFonts w:hint="eastAsia" w:ascii="Times New Roman" w:hAnsi="Times New Roman" w:eastAsia="方正小标宋简体" w:cs="Times New Roman"/>
          <w:color w:val="auto"/>
          <w:sz w:val="72"/>
          <w:szCs w:val="72"/>
          <w:highlight w:val="none"/>
          <w:lang w:eastAsia="zh-CN"/>
        </w:rPr>
      </w:pPr>
      <w:r>
        <w:rPr>
          <w:rFonts w:hint="eastAsia" w:ascii="Times New Roman" w:hAnsi="Times New Roman" w:eastAsia="方正小标宋简体" w:cs="Times New Roman"/>
          <w:color w:val="auto"/>
          <w:sz w:val="72"/>
          <w:szCs w:val="72"/>
          <w:highlight w:val="none"/>
          <w:lang w:eastAsia="zh-CN"/>
        </w:rPr>
        <w:t>怀化市公安局鹤城分局</w:t>
      </w:r>
    </w:p>
    <w:p w14:paraId="04D5D54B">
      <w:pPr>
        <w:pStyle w:val="14"/>
        <w:jc w:val="center"/>
        <w:rPr>
          <w:rFonts w:ascii="Times New Roman" w:hAnsi="Times New Roman" w:eastAsia="方正小标宋简体" w:cs="Times New Roman"/>
          <w:color w:val="auto"/>
          <w:sz w:val="72"/>
          <w:szCs w:val="72"/>
          <w:highlight w:val="none"/>
        </w:rPr>
      </w:pPr>
      <w:r>
        <w:rPr>
          <w:rFonts w:ascii="Times New Roman" w:hAnsi="Times New Roman" w:eastAsia="方正小标宋简体" w:cs="Times New Roman"/>
          <w:color w:val="auto"/>
          <w:sz w:val="72"/>
          <w:szCs w:val="72"/>
          <w:highlight w:val="none"/>
        </w:rPr>
        <w:t>部门决算</w:t>
      </w:r>
    </w:p>
    <w:p w14:paraId="0FC18227">
      <w:pPr>
        <w:pStyle w:val="14"/>
        <w:jc w:val="center"/>
        <w:rPr>
          <w:rFonts w:ascii="Times New Roman" w:hAnsi="Times New Roman" w:eastAsia="方正小标宋_GBK" w:cs="Times New Roman"/>
          <w:color w:val="auto"/>
          <w:sz w:val="56"/>
          <w:szCs w:val="56"/>
          <w:highlight w:val="none"/>
        </w:rPr>
      </w:pPr>
    </w:p>
    <w:p w14:paraId="4969224E">
      <w:pPr>
        <w:pStyle w:val="14"/>
        <w:jc w:val="center"/>
        <w:rPr>
          <w:rFonts w:ascii="Times New Roman" w:hAnsi="Times New Roman" w:cs="Times New Roman"/>
          <w:color w:val="auto"/>
          <w:sz w:val="56"/>
          <w:szCs w:val="56"/>
          <w:highlight w:val="none"/>
        </w:rPr>
      </w:pPr>
    </w:p>
    <w:p w14:paraId="5F0B3E8D">
      <w:pPr>
        <w:pStyle w:val="14"/>
        <w:rPr>
          <w:rFonts w:ascii="Times New Roman" w:hAnsi="Times New Roman" w:cs="Times New Roman"/>
          <w:color w:val="auto"/>
          <w:sz w:val="56"/>
          <w:szCs w:val="56"/>
          <w:highlight w:val="none"/>
        </w:rPr>
      </w:pPr>
    </w:p>
    <w:p w14:paraId="4DB2F2BA">
      <w:pPr>
        <w:pStyle w:val="14"/>
        <w:jc w:val="center"/>
        <w:rPr>
          <w:rFonts w:ascii="Times New Roman" w:hAnsi="Times New Roman" w:cs="Times New Roman"/>
          <w:color w:val="auto"/>
          <w:sz w:val="32"/>
          <w:szCs w:val="32"/>
          <w:highlight w:val="none"/>
        </w:rPr>
      </w:pPr>
    </w:p>
    <w:p w14:paraId="2AB0FCBF">
      <w:pPr>
        <w:pStyle w:val="14"/>
        <w:jc w:val="center"/>
        <w:rPr>
          <w:rFonts w:ascii="Times New Roman" w:hAnsi="Times New Roman" w:cs="Times New Roman"/>
          <w:color w:val="auto"/>
          <w:sz w:val="32"/>
          <w:szCs w:val="32"/>
          <w:highlight w:val="none"/>
        </w:rPr>
      </w:pPr>
    </w:p>
    <w:p w14:paraId="4DD0AB17">
      <w:pPr>
        <w:pStyle w:val="14"/>
        <w:jc w:val="center"/>
        <w:rPr>
          <w:rFonts w:ascii="Times New Roman" w:hAnsi="Times New Roman" w:cs="Times New Roman"/>
          <w:color w:val="auto"/>
          <w:sz w:val="32"/>
          <w:szCs w:val="32"/>
          <w:highlight w:val="none"/>
        </w:rPr>
      </w:pPr>
    </w:p>
    <w:p w14:paraId="5B90A2D3">
      <w:pPr>
        <w:pStyle w:val="14"/>
        <w:jc w:val="center"/>
        <w:rPr>
          <w:rFonts w:ascii="Times New Roman" w:hAnsi="Times New Roman" w:cs="Times New Roman"/>
          <w:color w:val="auto"/>
          <w:sz w:val="32"/>
          <w:szCs w:val="32"/>
          <w:highlight w:val="none"/>
        </w:rPr>
      </w:pPr>
    </w:p>
    <w:p w14:paraId="1102FD37">
      <w:pPr>
        <w:rPr>
          <w:rFonts w:ascii="Times New Roman" w:hAnsi="Times New Roman" w:cs="Times New Roman"/>
          <w:b/>
          <w:color w:val="auto"/>
          <w:sz w:val="36"/>
          <w:szCs w:val="28"/>
          <w:highlight w:val="none"/>
        </w:rPr>
        <w:sectPr>
          <w:pgSz w:w="11906" w:h="16838"/>
          <w:pgMar w:top="1417" w:right="1588" w:bottom="1417" w:left="1588" w:header="851" w:footer="992" w:gutter="0"/>
          <w:cols w:space="425" w:num="1"/>
          <w:docGrid w:type="lines" w:linePitch="312" w:charSpace="0"/>
        </w:sectPr>
      </w:pPr>
    </w:p>
    <w:p w14:paraId="749EFFF3">
      <w:pPr>
        <w:pStyle w:val="14"/>
        <w:spacing w:line="600" w:lineRule="exact"/>
        <w:jc w:val="center"/>
        <w:rPr>
          <w:rFonts w:ascii="Times New Roman" w:hAnsi="Times New Roman" w:cs="Times New Roman"/>
          <w:bCs/>
          <w:color w:val="auto"/>
          <w:sz w:val="36"/>
          <w:szCs w:val="28"/>
          <w:highlight w:val="none"/>
        </w:rPr>
      </w:pPr>
      <w:r>
        <w:rPr>
          <w:rFonts w:ascii="Times New Roman" w:hAnsi="Times New Roman" w:cs="Times New Roman"/>
          <w:bCs/>
          <w:color w:val="auto"/>
          <w:sz w:val="36"/>
          <w:szCs w:val="28"/>
          <w:highlight w:val="none"/>
        </w:rPr>
        <w:t>目  录</w:t>
      </w:r>
    </w:p>
    <w:p w14:paraId="32CE4C4F">
      <w:pPr>
        <w:pStyle w:val="14"/>
        <w:spacing w:line="600" w:lineRule="exact"/>
        <w:jc w:val="center"/>
        <w:rPr>
          <w:rFonts w:ascii="Times New Roman" w:hAnsi="Times New Roman" w:cs="Times New Roman"/>
          <w:b/>
          <w:color w:val="auto"/>
          <w:sz w:val="36"/>
          <w:szCs w:val="28"/>
          <w:highlight w:val="none"/>
        </w:rPr>
      </w:pPr>
    </w:p>
    <w:p w14:paraId="15482733">
      <w:pPr>
        <w:pStyle w:val="14"/>
        <w:jc w:val="left"/>
        <w:rPr>
          <w:rFonts w:ascii="Times New Roman" w:hAnsi="Times New Roman" w:cs="Times New Roman"/>
          <w:bCs/>
          <w:color w:val="auto"/>
          <w:sz w:val="32"/>
          <w:szCs w:val="32"/>
          <w:highlight w:val="none"/>
        </w:rPr>
      </w:pPr>
      <w:r>
        <w:rPr>
          <w:rFonts w:ascii="Times New Roman" w:hAnsi="Times New Roman" w:cs="Times New Roman"/>
          <w:bCs/>
          <w:color w:val="auto"/>
          <w:sz w:val="32"/>
          <w:szCs w:val="32"/>
          <w:highlight w:val="none"/>
        </w:rPr>
        <w:t xml:space="preserve">第一部分 </w:t>
      </w:r>
      <w:r>
        <w:rPr>
          <w:rFonts w:hint="eastAsia" w:ascii="Times New Roman" w:hAnsi="Times New Roman" w:cs="Times New Roman"/>
          <w:bCs/>
          <w:color w:val="auto"/>
          <w:sz w:val="32"/>
          <w:szCs w:val="32"/>
          <w:highlight w:val="none"/>
          <w:lang w:eastAsia="zh-CN"/>
        </w:rPr>
        <w:t>怀化市公安局鹤城分局</w:t>
      </w:r>
      <w:r>
        <w:rPr>
          <w:rFonts w:ascii="Times New Roman" w:hAnsi="Times New Roman" w:cs="Times New Roman"/>
          <w:bCs/>
          <w:color w:val="auto"/>
          <w:sz w:val="32"/>
          <w:szCs w:val="32"/>
          <w:highlight w:val="none"/>
        </w:rPr>
        <w:t>概况</w:t>
      </w:r>
    </w:p>
    <w:p w14:paraId="016A5557">
      <w:pPr>
        <w:pStyle w:val="14"/>
        <w:spacing w:line="600" w:lineRule="exact"/>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rPr>
        <w:t>一、部门职责</w:t>
      </w:r>
    </w:p>
    <w:p w14:paraId="6008B4FD">
      <w:pPr>
        <w:pStyle w:val="14"/>
        <w:spacing w:line="600" w:lineRule="exact"/>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rPr>
        <w:t>二、机构设置及决算单位构成</w:t>
      </w:r>
    </w:p>
    <w:p w14:paraId="44C46D0B">
      <w:pPr>
        <w:pStyle w:val="14"/>
        <w:spacing w:before="156" w:beforeLines="50" w:after="156" w:afterLines="50" w:line="600" w:lineRule="exact"/>
        <w:rPr>
          <w:rFonts w:ascii="Times New Roman" w:hAnsi="Times New Roman" w:cs="Times New Roman"/>
          <w:bCs/>
          <w:color w:val="auto"/>
          <w:sz w:val="32"/>
          <w:szCs w:val="32"/>
          <w:highlight w:val="none"/>
        </w:rPr>
      </w:pPr>
      <w:r>
        <w:rPr>
          <w:rFonts w:ascii="Times New Roman" w:hAnsi="Times New Roman" w:cs="Times New Roman"/>
          <w:bCs/>
          <w:color w:val="auto"/>
          <w:sz w:val="32"/>
          <w:szCs w:val="32"/>
          <w:highlight w:val="none"/>
        </w:rPr>
        <w:t>第二部分 部门决算表</w:t>
      </w:r>
    </w:p>
    <w:p w14:paraId="7F1A075F">
      <w:pPr>
        <w:pStyle w:val="14"/>
        <w:spacing w:line="600" w:lineRule="exact"/>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rPr>
        <w:t>一、收入支出决算总表</w:t>
      </w:r>
    </w:p>
    <w:p w14:paraId="773DEE60">
      <w:pPr>
        <w:pStyle w:val="14"/>
        <w:spacing w:line="600" w:lineRule="exact"/>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rPr>
        <w:t>二、收入决算表</w:t>
      </w:r>
    </w:p>
    <w:p w14:paraId="47FB0893">
      <w:pPr>
        <w:pStyle w:val="14"/>
        <w:spacing w:line="600" w:lineRule="exact"/>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rPr>
        <w:t>三、支出决算表</w:t>
      </w:r>
    </w:p>
    <w:p w14:paraId="5BD772FF">
      <w:pPr>
        <w:pStyle w:val="14"/>
        <w:spacing w:line="600" w:lineRule="exact"/>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rPr>
        <w:t>四、财政拨款收入支出决算总表</w:t>
      </w:r>
    </w:p>
    <w:p w14:paraId="1E52CBAD">
      <w:pPr>
        <w:pStyle w:val="14"/>
        <w:spacing w:line="600" w:lineRule="exact"/>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rPr>
        <w:t>五、一般公共预算财政拨款支出决算表</w:t>
      </w:r>
    </w:p>
    <w:p w14:paraId="4B9ACB85">
      <w:pPr>
        <w:pStyle w:val="14"/>
        <w:spacing w:line="600" w:lineRule="exact"/>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rPr>
        <w:t>六、一般公共预算财政拨款基本支出决算明细表</w:t>
      </w:r>
    </w:p>
    <w:p w14:paraId="5C9D90EF">
      <w:pPr>
        <w:pStyle w:val="14"/>
        <w:spacing w:line="600" w:lineRule="exact"/>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rPr>
        <w:t>七、政府性基金预算财政拨款收入支出决算表</w:t>
      </w:r>
    </w:p>
    <w:p w14:paraId="1FA975FF">
      <w:pPr>
        <w:pStyle w:val="14"/>
        <w:spacing w:line="600" w:lineRule="exact"/>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rPr>
        <w:t>八、国有资本经营预算财政拨款支出决算表</w:t>
      </w:r>
    </w:p>
    <w:p w14:paraId="7E2F381F">
      <w:pPr>
        <w:pStyle w:val="14"/>
        <w:spacing w:line="600" w:lineRule="exact"/>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rPr>
        <w:t>九、财政拨款“三公”经费支出决算表</w:t>
      </w:r>
    </w:p>
    <w:p w14:paraId="6A4CA259">
      <w:pPr>
        <w:pStyle w:val="14"/>
        <w:spacing w:before="156" w:beforeLines="50" w:after="156" w:afterLines="50" w:line="600" w:lineRule="exact"/>
        <w:rPr>
          <w:rFonts w:ascii="Times New Roman" w:hAnsi="Times New Roman" w:cs="Times New Roman"/>
          <w:bCs/>
          <w:color w:val="auto"/>
          <w:sz w:val="32"/>
          <w:szCs w:val="32"/>
          <w:highlight w:val="none"/>
        </w:rPr>
      </w:pPr>
      <w:r>
        <w:rPr>
          <w:rFonts w:ascii="Times New Roman" w:hAnsi="Times New Roman" w:cs="Times New Roman"/>
          <w:bCs/>
          <w:color w:val="auto"/>
          <w:sz w:val="32"/>
          <w:szCs w:val="32"/>
          <w:highlight w:val="none"/>
        </w:rPr>
        <w:t>第三部分 部门决算情况说明</w:t>
      </w:r>
    </w:p>
    <w:p w14:paraId="41B84082">
      <w:pPr>
        <w:pStyle w:val="14"/>
        <w:spacing w:line="600" w:lineRule="exact"/>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rPr>
        <w:t>一、收入支出决算总体情况说明</w:t>
      </w:r>
    </w:p>
    <w:p w14:paraId="29D0DEF2">
      <w:pPr>
        <w:spacing w:line="600" w:lineRule="exact"/>
        <w:jc w:val="left"/>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rPr>
        <w:t>二、收入决算情况说明</w:t>
      </w:r>
    </w:p>
    <w:p w14:paraId="49100390">
      <w:pPr>
        <w:autoSpaceDE w:val="0"/>
        <w:autoSpaceDN w:val="0"/>
        <w:adjustRightInd w:val="0"/>
        <w:spacing w:line="600" w:lineRule="exact"/>
        <w:jc w:val="left"/>
        <w:rPr>
          <w:rFonts w:ascii="Times New Roman" w:hAnsi="Times New Roman" w:eastAsia="仿宋_GB2312" w:cs="Times New Roman"/>
          <w:color w:val="auto"/>
          <w:kern w:val="0"/>
          <w:sz w:val="32"/>
          <w:szCs w:val="32"/>
          <w:highlight w:val="none"/>
        </w:rPr>
      </w:pPr>
      <w:r>
        <w:rPr>
          <w:rFonts w:ascii="Times New Roman" w:hAnsi="Times New Roman" w:eastAsia="仿宋_GB2312" w:cs="Times New Roman"/>
          <w:color w:val="auto"/>
          <w:kern w:val="0"/>
          <w:sz w:val="32"/>
          <w:szCs w:val="32"/>
          <w:highlight w:val="none"/>
        </w:rPr>
        <w:t>三、支出决算情况说明</w:t>
      </w:r>
    </w:p>
    <w:p w14:paraId="018C97CC">
      <w:pPr>
        <w:autoSpaceDE w:val="0"/>
        <w:autoSpaceDN w:val="0"/>
        <w:adjustRightInd w:val="0"/>
        <w:spacing w:line="600" w:lineRule="exact"/>
        <w:jc w:val="left"/>
        <w:rPr>
          <w:rFonts w:ascii="Times New Roman" w:hAnsi="Times New Roman" w:eastAsia="仿宋_GB2312" w:cs="Times New Roman"/>
          <w:color w:val="auto"/>
          <w:kern w:val="0"/>
          <w:sz w:val="32"/>
          <w:szCs w:val="32"/>
          <w:highlight w:val="none"/>
        </w:rPr>
      </w:pPr>
      <w:r>
        <w:rPr>
          <w:rFonts w:ascii="Times New Roman" w:hAnsi="Times New Roman" w:eastAsia="仿宋_GB2312" w:cs="Times New Roman"/>
          <w:color w:val="auto"/>
          <w:kern w:val="0"/>
          <w:sz w:val="32"/>
          <w:szCs w:val="32"/>
          <w:highlight w:val="none"/>
        </w:rPr>
        <w:t>四、财政拨款收入支出决算总体情况说明</w:t>
      </w:r>
    </w:p>
    <w:p w14:paraId="108F45F0">
      <w:pPr>
        <w:autoSpaceDE w:val="0"/>
        <w:autoSpaceDN w:val="0"/>
        <w:adjustRightInd w:val="0"/>
        <w:spacing w:line="600" w:lineRule="exact"/>
        <w:jc w:val="left"/>
        <w:rPr>
          <w:rFonts w:ascii="Times New Roman" w:hAnsi="Times New Roman" w:eastAsia="仿宋_GB2312" w:cs="Times New Roman"/>
          <w:color w:val="auto"/>
          <w:kern w:val="0"/>
          <w:sz w:val="32"/>
          <w:szCs w:val="32"/>
          <w:highlight w:val="none"/>
        </w:rPr>
      </w:pPr>
      <w:r>
        <w:rPr>
          <w:rFonts w:ascii="Times New Roman" w:hAnsi="Times New Roman" w:eastAsia="仿宋_GB2312" w:cs="Times New Roman"/>
          <w:color w:val="auto"/>
          <w:kern w:val="0"/>
          <w:sz w:val="32"/>
          <w:szCs w:val="32"/>
          <w:highlight w:val="none"/>
        </w:rPr>
        <w:t>五、一般公共预算财政拨款支出决算情况说明</w:t>
      </w:r>
    </w:p>
    <w:p w14:paraId="07F25BE0">
      <w:pPr>
        <w:autoSpaceDE w:val="0"/>
        <w:autoSpaceDN w:val="0"/>
        <w:adjustRightInd w:val="0"/>
        <w:spacing w:line="600" w:lineRule="exact"/>
        <w:jc w:val="left"/>
        <w:rPr>
          <w:rFonts w:ascii="Times New Roman" w:hAnsi="Times New Roman" w:eastAsia="仿宋_GB2312" w:cs="Times New Roman"/>
          <w:color w:val="auto"/>
          <w:kern w:val="0"/>
          <w:sz w:val="32"/>
          <w:szCs w:val="32"/>
          <w:highlight w:val="none"/>
        </w:rPr>
        <w:sectPr>
          <w:footerReference r:id="rId3" w:type="default"/>
          <w:pgSz w:w="11906" w:h="16838"/>
          <w:pgMar w:top="1417" w:right="1588" w:bottom="1417" w:left="1588" w:header="851" w:footer="992" w:gutter="0"/>
          <w:pgNumType w:start="1"/>
          <w:cols w:space="425" w:num="1"/>
          <w:docGrid w:type="lines" w:linePitch="312" w:charSpace="0"/>
        </w:sectPr>
      </w:pPr>
    </w:p>
    <w:p w14:paraId="5FCEE657">
      <w:pPr>
        <w:autoSpaceDE w:val="0"/>
        <w:autoSpaceDN w:val="0"/>
        <w:adjustRightInd w:val="0"/>
        <w:spacing w:line="600" w:lineRule="exact"/>
        <w:jc w:val="left"/>
        <w:rPr>
          <w:rFonts w:ascii="Times New Roman" w:hAnsi="Times New Roman" w:eastAsia="仿宋_GB2312" w:cs="Times New Roman"/>
          <w:color w:val="auto"/>
          <w:kern w:val="0"/>
          <w:sz w:val="32"/>
          <w:szCs w:val="32"/>
          <w:highlight w:val="none"/>
        </w:rPr>
      </w:pPr>
      <w:r>
        <w:rPr>
          <w:rFonts w:ascii="Times New Roman" w:hAnsi="Times New Roman" w:eastAsia="仿宋_GB2312" w:cs="Times New Roman"/>
          <w:color w:val="auto"/>
          <w:kern w:val="0"/>
          <w:sz w:val="32"/>
          <w:szCs w:val="32"/>
          <w:highlight w:val="none"/>
        </w:rPr>
        <w:t>六、一般公共预算财政拨款基本支出决算情况说明</w:t>
      </w:r>
    </w:p>
    <w:p w14:paraId="0C29BFFA">
      <w:pPr>
        <w:autoSpaceDE w:val="0"/>
        <w:autoSpaceDN w:val="0"/>
        <w:adjustRightInd w:val="0"/>
        <w:spacing w:line="600" w:lineRule="exact"/>
        <w:jc w:val="left"/>
        <w:rPr>
          <w:rFonts w:ascii="Times New Roman" w:hAnsi="Times New Roman" w:eastAsia="仿宋_GB2312" w:cs="Times New Roman"/>
          <w:color w:val="auto"/>
          <w:kern w:val="0"/>
          <w:sz w:val="32"/>
          <w:szCs w:val="32"/>
          <w:highlight w:val="none"/>
        </w:rPr>
      </w:pPr>
      <w:r>
        <w:rPr>
          <w:rFonts w:ascii="Times New Roman" w:hAnsi="Times New Roman" w:eastAsia="仿宋_GB2312" w:cs="Times New Roman"/>
          <w:color w:val="auto"/>
          <w:kern w:val="0"/>
          <w:sz w:val="32"/>
          <w:szCs w:val="32"/>
          <w:highlight w:val="none"/>
        </w:rPr>
        <w:t>七、财政拨款“三公”经费支出决算情况说明</w:t>
      </w:r>
    </w:p>
    <w:p w14:paraId="40885C99">
      <w:pPr>
        <w:autoSpaceDE w:val="0"/>
        <w:autoSpaceDN w:val="0"/>
        <w:adjustRightInd w:val="0"/>
        <w:spacing w:line="600" w:lineRule="exact"/>
        <w:jc w:val="left"/>
        <w:rPr>
          <w:rFonts w:ascii="Times New Roman" w:hAnsi="Times New Roman" w:eastAsia="仿宋_GB2312" w:cs="Times New Roman"/>
          <w:color w:val="auto"/>
          <w:kern w:val="0"/>
          <w:sz w:val="32"/>
          <w:szCs w:val="32"/>
          <w:highlight w:val="none"/>
        </w:rPr>
      </w:pPr>
      <w:r>
        <w:rPr>
          <w:rFonts w:ascii="Times New Roman" w:hAnsi="Times New Roman" w:eastAsia="仿宋_GB2312" w:cs="Times New Roman"/>
          <w:color w:val="auto"/>
          <w:kern w:val="0"/>
          <w:sz w:val="32"/>
          <w:szCs w:val="32"/>
          <w:highlight w:val="none"/>
        </w:rPr>
        <w:t>八、政府性基金预算收入支出决算情况</w:t>
      </w:r>
    </w:p>
    <w:p w14:paraId="6DEFDF47">
      <w:pPr>
        <w:pStyle w:val="14"/>
        <w:rPr>
          <w:color w:val="auto"/>
          <w:highlight w:val="none"/>
        </w:rPr>
      </w:pPr>
      <w:r>
        <w:rPr>
          <w:rFonts w:hint="eastAsia" w:ascii="Times New Roman" w:hAnsi="Times New Roman" w:eastAsia="仿宋_GB2312" w:cs="Times New Roman"/>
          <w:color w:val="auto"/>
          <w:kern w:val="0"/>
          <w:sz w:val="32"/>
          <w:szCs w:val="32"/>
          <w:highlight w:val="none"/>
          <w:lang w:val="en-US" w:eastAsia="zh-CN" w:bidi="ar-SA"/>
        </w:rPr>
        <w:t>九、国有资本经营预算财政拨款支出决算情况说明</w:t>
      </w:r>
    </w:p>
    <w:p w14:paraId="7CAAE17B">
      <w:pPr>
        <w:autoSpaceDE w:val="0"/>
        <w:autoSpaceDN w:val="0"/>
        <w:adjustRightInd w:val="0"/>
        <w:spacing w:line="600" w:lineRule="exact"/>
        <w:jc w:val="left"/>
        <w:rPr>
          <w:rFonts w:ascii="Times New Roman" w:hAnsi="Times New Roman" w:eastAsia="仿宋_GB2312" w:cs="Times New Roman"/>
          <w:color w:val="auto"/>
          <w:kern w:val="0"/>
          <w:sz w:val="32"/>
          <w:szCs w:val="32"/>
          <w:highlight w:val="none"/>
        </w:rPr>
      </w:pPr>
      <w:r>
        <w:rPr>
          <w:rFonts w:hint="eastAsia" w:ascii="Times New Roman" w:hAnsi="Times New Roman" w:eastAsia="仿宋_GB2312" w:cs="Times New Roman"/>
          <w:color w:val="auto"/>
          <w:kern w:val="0"/>
          <w:sz w:val="32"/>
          <w:szCs w:val="32"/>
          <w:highlight w:val="none"/>
          <w:lang w:eastAsia="zh-CN"/>
        </w:rPr>
        <w:t>十</w:t>
      </w:r>
      <w:r>
        <w:rPr>
          <w:rFonts w:ascii="Times New Roman" w:hAnsi="Times New Roman" w:eastAsia="仿宋_GB2312" w:cs="Times New Roman"/>
          <w:color w:val="auto"/>
          <w:kern w:val="0"/>
          <w:sz w:val="32"/>
          <w:szCs w:val="32"/>
          <w:highlight w:val="none"/>
        </w:rPr>
        <w:t>、关于机关运行经费支出说明</w:t>
      </w:r>
    </w:p>
    <w:p w14:paraId="081D7BFD">
      <w:pPr>
        <w:autoSpaceDE w:val="0"/>
        <w:autoSpaceDN w:val="0"/>
        <w:adjustRightInd w:val="0"/>
        <w:spacing w:line="600" w:lineRule="exact"/>
        <w:jc w:val="left"/>
        <w:rPr>
          <w:rFonts w:ascii="Times New Roman" w:hAnsi="Times New Roman" w:eastAsia="仿宋_GB2312" w:cs="Times New Roman"/>
          <w:color w:val="auto"/>
          <w:kern w:val="0"/>
          <w:sz w:val="32"/>
          <w:szCs w:val="32"/>
          <w:highlight w:val="none"/>
        </w:rPr>
      </w:pPr>
      <w:r>
        <w:rPr>
          <w:rFonts w:ascii="Times New Roman" w:hAnsi="Times New Roman" w:eastAsia="仿宋_GB2312" w:cs="Times New Roman"/>
          <w:color w:val="auto"/>
          <w:kern w:val="0"/>
          <w:sz w:val="32"/>
          <w:szCs w:val="32"/>
          <w:highlight w:val="none"/>
        </w:rPr>
        <w:t>十</w:t>
      </w:r>
      <w:r>
        <w:rPr>
          <w:rFonts w:hint="eastAsia" w:ascii="Times New Roman" w:hAnsi="Times New Roman" w:eastAsia="仿宋_GB2312" w:cs="Times New Roman"/>
          <w:color w:val="auto"/>
          <w:kern w:val="0"/>
          <w:sz w:val="32"/>
          <w:szCs w:val="32"/>
          <w:highlight w:val="none"/>
          <w:lang w:eastAsia="zh-CN"/>
        </w:rPr>
        <w:t>一</w:t>
      </w:r>
      <w:r>
        <w:rPr>
          <w:rFonts w:ascii="Times New Roman" w:hAnsi="Times New Roman" w:eastAsia="仿宋_GB2312" w:cs="Times New Roman"/>
          <w:color w:val="auto"/>
          <w:kern w:val="0"/>
          <w:sz w:val="32"/>
          <w:szCs w:val="32"/>
          <w:highlight w:val="none"/>
        </w:rPr>
        <w:t>、一般性支出情况说明</w:t>
      </w:r>
    </w:p>
    <w:p w14:paraId="7B7CE67F">
      <w:pPr>
        <w:autoSpaceDE w:val="0"/>
        <w:autoSpaceDN w:val="0"/>
        <w:adjustRightInd w:val="0"/>
        <w:spacing w:line="600" w:lineRule="exact"/>
        <w:jc w:val="left"/>
        <w:rPr>
          <w:rFonts w:ascii="Times New Roman" w:hAnsi="Times New Roman" w:eastAsia="仿宋_GB2312" w:cs="Times New Roman"/>
          <w:color w:val="auto"/>
          <w:kern w:val="0"/>
          <w:sz w:val="32"/>
          <w:szCs w:val="32"/>
          <w:highlight w:val="none"/>
        </w:rPr>
      </w:pPr>
      <w:r>
        <w:rPr>
          <w:rFonts w:ascii="Times New Roman" w:hAnsi="Times New Roman" w:eastAsia="仿宋_GB2312" w:cs="Times New Roman"/>
          <w:color w:val="auto"/>
          <w:kern w:val="0"/>
          <w:sz w:val="32"/>
          <w:szCs w:val="32"/>
          <w:highlight w:val="none"/>
        </w:rPr>
        <w:t>十</w:t>
      </w:r>
      <w:r>
        <w:rPr>
          <w:rFonts w:hint="eastAsia" w:ascii="Times New Roman" w:hAnsi="Times New Roman" w:eastAsia="仿宋_GB2312" w:cs="Times New Roman"/>
          <w:color w:val="auto"/>
          <w:kern w:val="0"/>
          <w:sz w:val="32"/>
          <w:szCs w:val="32"/>
          <w:highlight w:val="none"/>
          <w:lang w:eastAsia="zh-CN"/>
        </w:rPr>
        <w:t>二</w:t>
      </w:r>
      <w:r>
        <w:rPr>
          <w:rFonts w:ascii="Times New Roman" w:hAnsi="Times New Roman" w:eastAsia="仿宋_GB2312" w:cs="Times New Roman"/>
          <w:color w:val="auto"/>
          <w:kern w:val="0"/>
          <w:sz w:val="32"/>
          <w:szCs w:val="32"/>
          <w:highlight w:val="none"/>
        </w:rPr>
        <w:t>、关于政府采购支出说明</w:t>
      </w:r>
    </w:p>
    <w:p w14:paraId="1CE52624">
      <w:pPr>
        <w:pStyle w:val="14"/>
        <w:spacing w:line="600" w:lineRule="exact"/>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rPr>
        <w:t>十</w:t>
      </w:r>
      <w:r>
        <w:rPr>
          <w:rFonts w:hint="eastAsia" w:ascii="Times New Roman" w:hAnsi="Times New Roman" w:eastAsia="仿宋_GB2312" w:cs="Times New Roman"/>
          <w:color w:val="auto"/>
          <w:sz w:val="32"/>
          <w:szCs w:val="32"/>
          <w:highlight w:val="none"/>
          <w:lang w:eastAsia="zh-CN"/>
        </w:rPr>
        <w:t>三</w:t>
      </w:r>
      <w:r>
        <w:rPr>
          <w:rFonts w:ascii="Times New Roman" w:hAnsi="Times New Roman" w:eastAsia="仿宋_GB2312" w:cs="Times New Roman"/>
          <w:color w:val="auto"/>
          <w:sz w:val="32"/>
          <w:szCs w:val="32"/>
          <w:highlight w:val="none"/>
        </w:rPr>
        <w:t>、关于国有资产占用情况说明</w:t>
      </w:r>
    </w:p>
    <w:p w14:paraId="2E8C84C7">
      <w:pPr>
        <w:pStyle w:val="14"/>
        <w:spacing w:line="600" w:lineRule="exact"/>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rPr>
        <w:t>十</w:t>
      </w:r>
      <w:r>
        <w:rPr>
          <w:rFonts w:hint="eastAsia" w:ascii="Times New Roman" w:hAnsi="Times New Roman" w:eastAsia="仿宋_GB2312" w:cs="Times New Roman"/>
          <w:color w:val="auto"/>
          <w:sz w:val="32"/>
          <w:szCs w:val="32"/>
          <w:highlight w:val="none"/>
          <w:lang w:eastAsia="zh-CN"/>
        </w:rPr>
        <w:t>四</w:t>
      </w:r>
      <w:r>
        <w:rPr>
          <w:rFonts w:ascii="Times New Roman" w:hAnsi="Times New Roman" w:eastAsia="仿宋_GB2312" w:cs="Times New Roman"/>
          <w:color w:val="auto"/>
          <w:sz w:val="32"/>
          <w:szCs w:val="32"/>
          <w:highlight w:val="none"/>
        </w:rPr>
        <w:t>、关于</w:t>
      </w:r>
      <w:r>
        <w:rPr>
          <w:rFonts w:hint="eastAsia" w:ascii="Times New Roman" w:hAnsi="Times New Roman" w:eastAsia="仿宋_GB2312" w:cs="Times New Roman"/>
          <w:color w:val="auto"/>
          <w:sz w:val="32"/>
          <w:szCs w:val="32"/>
          <w:highlight w:val="none"/>
          <w:lang w:eastAsia="zh-CN"/>
        </w:rPr>
        <w:t>2025</w:t>
      </w:r>
      <w:r>
        <w:rPr>
          <w:rFonts w:ascii="Times New Roman" w:hAnsi="Times New Roman" w:eastAsia="仿宋_GB2312" w:cs="Times New Roman"/>
          <w:color w:val="auto"/>
          <w:sz w:val="32"/>
          <w:szCs w:val="32"/>
          <w:highlight w:val="none"/>
        </w:rPr>
        <w:t>年度预算绩效管理情况的说明</w:t>
      </w:r>
    </w:p>
    <w:p w14:paraId="1100B330">
      <w:pPr>
        <w:pStyle w:val="14"/>
        <w:spacing w:before="156" w:beforeLines="50" w:after="156" w:afterLines="50" w:line="600" w:lineRule="exact"/>
        <w:rPr>
          <w:rFonts w:ascii="Times New Roman" w:hAnsi="Times New Roman" w:cs="Times New Roman"/>
          <w:bCs/>
          <w:color w:val="auto"/>
          <w:sz w:val="32"/>
          <w:szCs w:val="32"/>
          <w:highlight w:val="none"/>
        </w:rPr>
      </w:pPr>
      <w:r>
        <w:rPr>
          <w:rFonts w:ascii="Times New Roman" w:hAnsi="Times New Roman" w:cs="Times New Roman"/>
          <w:bCs/>
          <w:color w:val="auto"/>
          <w:sz w:val="32"/>
          <w:szCs w:val="32"/>
          <w:highlight w:val="none"/>
        </w:rPr>
        <w:t>第四部分 名词解释</w:t>
      </w:r>
    </w:p>
    <w:p w14:paraId="0FB95934">
      <w:pPr>
        <w:pStyle w:val="14"/>
        <w:spacing w:before="156" w:beforeLines="50" w:after="156" w:afterLines="50" w:line="600" w:lineRule="exact"/>
        <w:rPr>
          <w:rFonts w:ascii="Times New Roman" w:hAnsi="Times New Roman" w:cs="Times New Roman"/>
          <w:bCs/>
          <w:color w:val="auto"/>
          <w:sz w:val="32"/>
          <w:szCs w:val="32"/>
          <w:highlight w:val="none"/>
        </w:rPr>
      </w:pPr>
      <w:r>
        <w:rPr>
          <w:rFonts w:ascii="Times New Roman" w:hAnsi="Times New Roman" w:cs="Times New Roman"/>
          <w:bCs/>
          <w:color w:val="auto"/>
          <w:sz w:val="32"/>
          <w:szCs w:val="32"/>
          <w:highlight w:val="none"/>
        </w:rPr>
        <w:t>第五部分 附件</w:t>
      </w:r>
    </w:p>
    <w:p w14:paraId="5F4FAE59">
      <w:pPr>
        <w:pStyle w:val="14"/>
        <w:spacing w:line="600" w:lineRule="exact"/>
        <w:rPr>
          <w:rFonts w:ascii="Times New Roman" w:hAnsi="Times New Roman" w:cs="Times New Roman"/>
          <w:bCs/>
          <w:color w:val="auto"/>
          <w:sz w:val="28"/>
          <w:szCs w:val="28"/>
          <w:highlight w:val="none"/>
        </w:rPr>
      </w:pPr>
    </w:p>
    <w:p w14:paraId="0EC6117B">
      <w:pPr>
        <w:jc w:val="center"/>
        <w:rPr>
          <w:rFonts w:ascii="Times New Roman" w:hAnsi="Times New Roman" w:cs="Times New Roman"/>
          <w:color w:val="auto"/>
          <w:sz w:val="72"/>
          <w:szCs w:val="72"/>
          <w:highlight w:val="none"/>
        </w:rPr>
      </w:pPr>
    </w:p>
    <w:p w14:paraId="64CA968C">
      <w:pPr>
        <w:jc w:val="center"/>
        <w:rPr>
          <w:rFonts w:ascii="Times New Roman" w:hAnsi="Times New Roman" w:cs="Times New Roman"/>
          <w:color w:val="auto"/>
          <w:sz w:val="72"/>
          <w:szCs w:val="72"/>
          <w:highlight w:val="none"/>
        </w:rPr>
      </w:pPr>
    </w:p>
    <w:p w14:paraId="05CD3E51">
      <w:pPr>
        <w:pStyle w:val="7"/>
        <w:rPr>
          <w:rFonts w:ascii="Times New Roman" w:hAnsi="Times New Roman" w:cs="Times New Roman"/>
          <w:color w:val="auto"/>
          <w:highlight w:val="none"/>
        </w:rPr>
        <w:sectPr>
          <w:footerReference r:id="rId4" w:type="default"/>
          <w:pgSz w:w="11906" w:h="16838"/>
          <w:pgMar w:top="1417" w:right="1588" w:bottom="1417" w:left="1588" w:header="851" w:footer="992" w:gutter="0"/>
          <w:pgNumType w:start="1"/>
          <w:cols w:space="425" w:num="1"/>
          <w:docGrid w:type="lines" w:linePitch="312" w:charSpace="0"/>
        </w:sectPr>
      </w:pPr>
    </w:p>
    <w:p w14:paraId="5967A0E0">
      <w:pPr>
        <w:rPr>
          <w:rFonts w:ascii="Times New Roman" w:hAnsi="Times New Roman" w:eastAsia="方正小标宋_GBK" w:cs="Times New Roman"/>
          <w:color w:val="auto"/>
          <w:sz w:val="72"/>
          <w:szCs w:val="72"/>
          <w:highlight w:val="none"/>
        </w:rPr>
      </w:pPr>
    </w:p>
    <w:p w14:paraId="1D374B7B">
      <w:pPr>
        <w:pStyle w:val="14"/>
        <w:spacing w:line="360" w:lineRule="auto"/>
        <w:jc w:val="center"/>
        <w:rPr>
          <w:rFonts w:ascii="Times New Roman" w:hAnsi="Times New Roman" w:eastAsia="方正小标宋_GBK" w:cs="Times New Roman"/>
          <w:color w:val="auto"/>
          <w:sz w:val="52"/>
          <w:szCs w:val="52"/>
          <w:highlight w:val="none"/>
        </w:rPr>
      </w:pPr>
      <w:r>
        <w:rPr>
          <w:rFonts w:ascii="Times New Roman" w:hAnsi="Times New Roman" w:eastAsia="方正小标宋_GBK" w:cs="Times New Roman"/>
          <w:color w:val="auto"/>
          <w:sz w:val="52"/>
          <w:szCs w:val="52"/>
          <w:highlight w:val="none"/>
        </w:rPr>
        <w:t>第一部分</w:t>
      </w:r>
    </w:p>
    <w:p w14:paraId="1F686037">
      <w:pPr>
        <w:pStyle w:val="14"/>
        <w:spacing w:line="360" w:lineRule="auto"/>
        <w:jc w:val="center"/>
        <w:rPr>
          <w:rFonts w:ascii="Times New Roman" w:hAnsi="Times New Roman" w:eastAsia="方正小标宋_GBK" w:cs="Times New Roman"/>
          <w:color w:val="auto"/>
          <w:sz w:val="52"/>
          <w:szCs w:val="52"/>
          <w:highlight w:val="none"/>
        </w:rPr>
      </w:pPr>
      <w:r>
        <w:rPr>
          <w:rFonts w:hint="eastAsia" w:ascii="Times New Roman" w:hAnsi="Times New Roman" w:eastAsia="方正小标宋_GBK" w:cs="Times New Roman"/>
          <w:color w:val="auto"/>
          <w:sz w:val="52"/>
          <w:szCs w:val="52"/>
          <w:highlight w:val="none"/>
          <w:lang w:eastAsia="zh-CN"/>
        </w:rPr>
        <w:t>怀化市公安局鹤城分局</w:t>
      </w:r>
      <w:r>
        <w:rPr>
          <w:rFonts w:ascii="Times New Roman" w:hAnsi="Times New Roman" w:eastAsia="方正小标宋_GBK" w:cs="Times New Roman"/>
          <w:color w:val="auto"/>
          <w:sz w:val="52"/>
          <w:szCs w:val="52"/>
          <w:highlight w:val="none"/>
        </w:rPr>
        <w:t>概况</w:t>
      </w:r>
    </w:p>
    <w:p w14:paraId="7D4945A2">
      <w:pPr>
        <w:pStyle w:val="3"/>
        <w:ind w:left="0" w:leftChars="0" w:firstLine="0" w:firstLineChars="0"/>
        <w:rPr>
          <w:rFonts w:ascii="Times New Roman" w:hAnsi="Times New Roman" w:cs="Times New Roman"/>
          <w:color w:val="auto"/>
          <w:highlight w:val="none"/>
        </w:rPr>
      </w:pPr>
    </w:p>
    <w:p w14:paraId="76359FE3">
      <w:pPr>
        <w:pStyle w:val="15"/>
        <w:spacing w:line="600" w:lineRule="exact"/>
        <w:ind w:firstLine="0" w:firstLineChars="0"/>
        <w:jc w:val="left"/>
        <w:rPr>
          <w:rFonts w:ascii="Times New Roman" w:hAnsi="Times New Roman" w:eastAsia="黑体" w:cs="Times New Roman"/>
          <w:color w:val="auto"/>
          <w:sz w:val="32"/>
          <w:szCs w:val="32"/>
          <w:highlight w:val="none"/>
        </w:rPr>
      </w:pPr>
      <w:r>
        <w:rPr>
          <w:rFonts w:hint="eastAsia" w:ascii="Times New Roman" w:hAnsi="Times New Roman" w:eastAsia="黑体" w:cs="Times New Roman"/>
          <w:color w:val="auto"/>
          <w:sz w:val="32"/>
          <w:szCs w:val="32"/>
          <w:highlight w:val="none"/>
        </w:rPr>
        <w:t>一、</w:t>
      </w:r>
      <w:r>
        <w:rPr>
          <w:rFonts w:ascii="Times New Roman" w:hAnsi="Times New Roman" w:eastAsia="黑体" w:cs="Times New Roman"/>
          <w:color w:val="auto"/>
          <w:sz w:val="32"/>
          <w:szCs w:val="32"/>
          <w:highlight w:val="none"/>
        </w:rPr>
        <w:t>部门职责</w:t>
      </w:r>
    </w:p>
    <w:p w14:paraId="39192455">
      <w:pPr>
        <w:pStyle w:val="14"/>
        <w:spacing w:line="600" w:lineRule="exact"/>
        <w:ind w:firstLine="640" w:firstLineChars="200"/>
        <w:rPr>
          <w:rFonts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kern w:val="0"/>
          <w:sz w:val="32"/>
          <w:szCs w:val="32"/>
          <w:highlight w:val="none"/>
          <w:lang w:val="en-US" w:eastAsia="zh-CN" w:bidi="ar-SA"/>
        </w:rPr>
        <w:t>本部门主要职责是：预防、制止和侦查违法犯罪活动；维护社会治安秩序，制止危害社会治安秩序的行为；管理户政、国籍、入境出境事务和外国人在中国境内居留、旅行的有关事务；监督管理计算机信息系统的安全保护工作；指导和监督国家机关、社会团体、企业事业组织和重点建设工程的治安保卫工作，指导治安保卫委员会等群众性组织的治安防范工作；法律、法规规定的其他职责。</w:t>
      </w:r>
    </w:p>
    <w:p w14:paraId="508C104B">
      <w:pPr>
        <w:widowControl/>
        <w:spacing w:line="600" w:lineRule="exact"/>
        <w:rPr>
          <w:rFonts w:ascii="Times New Roman" w:hAnsi="Times New Roman" w:eastAsia="黑体" w:cs="Times New Roman"/>
          <w:bCs/>
          <w:color w:val="auto"/>
          <w:kern w:val="0"/>
          <w:sz w:val="32"/>
          <w:szCs w:val="32"/>
          <w:highlight w:val="none"/>
        </w:rPr>
      </w:pPr>
      <w:r>
        <w:rPr>
          <w:rFonts w:ascii="Times New Roman" w:hAnsi="Times New Roman" w:eastAsia="黑体" w:cs="Times New Roman"/>
          <w:bCs/>
          <w:color w:val="auto"/>
          <w:kern w:val="0"/>
          <w:sz w:val="32"/>
          <w:szCs w:val="32"/>
          <w:highlight w:val="none"/>
        </w:rPr>
        <w:t>二、机构设置及决算单位构成</w:t>
      </w:r>
    </w:p>
    <w:p w14:paraId="613D226E">
      <w:pPr>
        <w:ind w:firstLine="640" w:firstLineChars="200"/>
        <w:rPr>
          <w:rFonts w:hint="eastAsia" w:ascii="仿宋" w:hAnsi="仿宋" w:eastAsia="仿宋" w:cs="仿宋"/>
          <w:color w:val="auto"/>
          <w:sz w:val="32"/>
          <w:szCs w:val="32"/>
          <w:highlight w:val="none"/>
          <w:lang w:eastAsia="zh-CN"/>
        </w:rPr>
      </w:pPr>
      <w:r>
        <w:rPr>
          <w:rFonts w:ascii="Times New Roman" w:hAnsi="Times New Roman" w:eastAsia="仿宋_GB2312" w:cs="Times New Roman"/>
          <w:bCs/>
          <w:color w:val="auto"/>
          <w:kern w:val="0"/>
          <w:sz w:val="32"/>
          <w:szCs w:val="32"/>
          <w:highlight w:val="none"/>
        </w:rPr>
        <w:t>（一）内设机构设置。</w:t>
      </w:r>
      <w:r>
        <w:rPr>
          <w:rFonts w:hint="eastAsia" w:ascii="Times New Roman" w:hAnsi="Times New Roman" w:eastAsia="仿宋_GB2312" w:cs="Times New Roman"/>
          <w:color w:val="auto"/>
          <w:kern w:val="0"/>
          <w:sz w:val="32"/>
          <w:szCs w:val="32"/>
          <w:highlight w:val="none"/>
          <w:lang w:val="en-US" w:eastAsia="zh-CN" w:bidi="ar-SA"/>
        </w:rPr>
        <w:t>怀化市公安局鹤城分局作为一级部门预算单位，</w:t>
      </w:r>
      <w:r>
        <w:rPr>
          <w:rFonts w:hint="eastAsia" w:ascii="仿宋" w:hAnsi="仿宋" w:eastAsia="仿宋" w:cs="仿宋"/>
          <w:color w:val="auto"/>
          <w:sz w:val="32"/>
          <w:szCs w:val="32"/>
          <w:highlight w:val="none"/>
        </w:rPr>
        <w:t>内设 5个机关科室，包括：情报指挥中心、警务保障室、法制大队、督察审计大队、政工室；内设 6个业务大队，包括：政治安全保卫大队、经济犯罪侦查大队、治安管理大队、刑事侦查大队、网络安全保卫大队、禁毒大队； 13个派出所，包括：鹤城区森林公安局、城北派出所、迎丰派出所、团结派出所、城中派出所、河西派出所、国际陆港派出所、红星派出所、坨院派出所、城南派出所、盈口派出所、黄金坳派出所、中坡森林派出所。</w:t>
      </w:r>
    </w:p>
    <w:p w14:paraId="705BFB90">
      <w:pPr>
        <w:widowControl/>
        <w:spacing w:line="600" w:lineRule="exact"/>
        <w:rPr>
          <w:rFonts w:hint="eastAsia" w:ascii="Times New Roman" w:hAnsi="Times New Roman" w:eastAsia="仿宋_GB2312" w:cs="Times New Roman"/>
          <w:color w:val="auto"/>
          <w:kern w:val="0"/>
          <w:sz w:val="32"/>
          <w:szCs w:val="32"/>
          <w:highlight w:val="none"/>
          <w:lang w:val="en-US" w:eastAsia="zh-CN" w:bidi="ar-SA"/>
        </w:rPr>
      </w:pPr>
    </w:p>
    <w:p w14:paraId="0F7B306A">
      <w:pPr>
        <w:widowControl/>
        <w:spacing w:line="600" w:lineRule="exact"/>
        <w:ind w:firstLine="640" w:firstLineChars="200"/>
        <w:rPr>
          <w:rFonts w:ascii="宋体"/>
          <w:bCs/>
          <w:color w:val="auto"/>
          <w:kern w:val="0"/>
          <w:sz w:val="32"/>
          <w:szCs w:val="32"/>
          <w:highlight w:val="none"/>
        </w:rPr>
      </w:pPr>
      <w:r>
        <w:rPr>
          <w:rFonts w:ascii="Times New Roman" w:hAnsi="Times New Roman" w:eastAsia="仿宋_GB2312" w:cs="Times New Roman"/>
          <w:bCs/>
          <w:color w:val="auto"/>
          <w:kern w:val="0"/>
          <w:sz w:val="32"/>
          <w:szCs w:val="32"/>
          <w:highlight w:val="none"/>
        </w:rPr>
        <w:t>（二）决算单位构成。</w:t>
      </w:r>
      <w:r>
        <w:rPr>
          <w:rFonts w:hint="eastAsia" w:ascii="Times New Roman" w:hAnsi="Times New Roman" w:eastAsia="仿宋_GB2312" w:cs="Times New Roman"/>
          <w:color w:val="auto"/>
          <w:kern w:val="0"/>
          <w:sz w:val="32"/>
          <w:szCs w:val="32"/>
          <w:highlight w:val="none"/>
          <w:lang w:val="en-US" w:eastAsia="zh-CN" w:bidi="ar-SA"/>
        </w:rPr>
        <w:t>怀化市公安局鹤城分局</w:t>
      </w:r>
      <w:r>
        <w:rPr>
          <w:rFonts w:hint="eastAsia" w:ascii="Times New Roman" w:hAnsi="Times New Roman" w:eastAsia="仿宋_GB2312" w:cs="Times New Roman"/>
          <w:bCs/>
          <w:color w:val="auto"/>
          <w:kern w:val="0"/>
          <w:sz w:val="32"/>
          <w:szCs w:val="32"/>
          <w:highlight w:val="none"/>
          <w:lang w:eastAsia="zh-CN"/>
        </w:rPr>
        <w:t>2025</w:t>
      </w:r>
      <w:r>
        <w:rPr>
          <w:rFonts w:ascii="Times New Roman" w:hAnsi="Times New Roman" w:eastAsia="仿宋_GB2312" w:cs="Times New Roman"/>
          <w:bCs/>
          <w:color w:val="auto"/>
          <w:kern w:val="0"/>
          <w:sz w:val="32"/>
          <w:szCs w:val="32"/>
          <w:highlight w:val="none"/>
        </w:rPr>
        <w:t>年部门决算汇总公开单位构成包括：</w:t>
      </w:r>
      <w:r>
        <w:rPr>
          <w:rFonts w:hint="eastAsia" w:ascii="Times New Roman" w:hAnsi="Times New Roman" w:eastAsia="仿宋_GB2312" w:cs="Times New Roman"/>
          <w:color w:val="auto"/>
          <w:kern w:val="0"/>
          <w:sz w:val="32"/>
          <w:szCs w:val="32"/>
          <w:highlight w:val="none"/>
          <w:lang w:val="en-US" w:eastAsia="zh-CN" w:bidi="ar-SA"/>
        </w:rPr>
        <w:t>怀化市公安局鹤城分局本级。</w:t>
      </w:r>
    </w:p>
    <w:p w14:paraId="5885CD87">
      <w:pPr>
        <w:widowControl/>
        <w:spacing w:line="600" w:lineRule="exact"/>
        <w:rPr>
          <w:rFonts w:ascii="Times New Roman" w:hAnsi="Times New Roman" w:eastAsia="仿宋_GB2312" w:cs="Times New Roman"/>
          <w:bCs/>
          <w:color w:val="auto"/>
          <w:kern w:val="0"/>
          <w:sz w:val="32"/>
          <w:szCs w:val="32"/>
          <w:highlight w:val="none"/>
        </w:rPr>
      </w:pPr>
    </w:p>
    <w:p w14:paraId="2D2A96C6">
      <w:pPr>
        <w:jc w:val="left"/>
        <w:rPr>
          <w:rFonts w:ascii="Times New Roman" w:hAnsi="Times New Roman" w:eastAsia="仿宋_GB2312" w:cs="Times New Roman"/>
          <w:color w:val="auto"/>
          <w:sz w:val="28"/>
          <w:szCs w:val="32"/>
          <w:highlight w:val="none"/>
        </w:rPr>
      </w:pPr>
    </w:p>
    <w:p w14:paraId="34859A5D">
      <w:pPr>
        <w:jc w:val="center"/>
        <w:rPr>
          <w:rFonts w:ascii="Times New Roman" w:hAnsi="Times New Roman" w:eastAsia="黑体" w:cs="Times New Roman"/>
          <w:color w:val="auto"/>
          <w:sz w:val="28"/>
          <w:szCs w:val="28"/>
          <w:highlight w:val="none"/>
        </w:rPr>
      </w:pPr>
    </w:p>
    <w:p w14:paraId="77DE0F48">
      <w:pPr>
        <w:jc w:val="center"/>
        <w:rPr>
          <w:rFonts w:ascii="Times New Roman" w:hAnsi="Times New Roman" w:eastAsia="黑体" w:cs="Times New Roman"/>
          <w:color w:val="auto"/>
          <w:sz w:val="28"/>
          <w:szCs w:val="28"/>
          <w:highlight w:val="none"/>
        </w:rPr>
      </w:pPr>
    </w:p>
    <w:p w14:paraId="2E234798">
      <w:pPr>
        <w:jc w:val="center"/>
        <w:rPr>
          <w:rFonts w:ascii="Times New Roman" w:hAnsi="Times New Roman" w:eastAsia="黑体" w:cs="Times New Roman"/>
          <w:color w:val="auto"/>
          <w:sz w:val="28"/>
          <w:szCs w:val="28"/>
          <w:highlight w:val="none"/>
        </w:rPr>
      </w:pPr>
    </w:p>
    <w:p w14:paraId="0FFB49C8">
      <w:pPr>
        <w:jc w:val="center"/>
        <w:rPr>
          <w:rFonts w:ascii="Times New Roman" w:hAnsi="Times New Roman" w:eastAsia="黑体" w:cs="Times New Roman"/>
          <w:color w:val="auto"/>
          <w:sz w:val="28"/>
          <w:szCs w:val="28"/>
          <w:highlight w:val="none"/>
        </w:rPr>
      </w:pPr>
    </w:p>
    <w:p w14:paraId="22B056B1">
      <w:pPr>
        <w:jc w:val="center"/>
        <w:rPr>
          <w:rFonts w:ascii="Times New Roman" w:hAnsi="Times New Roman" w:eastAsia="黑体" w:cs="Times New Roman"/>
          <w:color w:val="auto"/>
          <w:sz w:val="28"/>
          <w:szCs w:val="28"/>
          <w:highlight w:val="none"/>
        </w:rPr>
      </w:pPr>
    </w:p>
    <w:p w14:paraId="4D93D70A">
      <w:pPr>
        <w:pStyle w:val="7"/>
        <w:rPr>
          <w:rFonts w:ascii="Times New Roman" w:hAnsi="Times New Roman" w:cs="Times New Roman"/>
          <w:color w:val="auto"/>
          <w:highlight w:val="none"/>
        </w:rPr>
        <w:sectPr>
          <w:footerReference r:id="rId5" w:type="default"/>
          <w:pgSz w:w="11906" w:h="16838"/>
          <w:pgMar w:top="1417" w:right="1588" w:bottom="1417" w:left="1588" w:header="851" w:footer="992" w:gutter="0"/>
          <w:pgNumType w:start="1"/>
          <w:cols w:space="425" w:num="1"/>
          <w:docGrid w:type="lines" w:linePitch="312" w:charSpace="0"/>
        </w:sectPr>
      </w:pPr>
    </w:p>
    <w:p w14:paraId="15498480">
      <w:pPr>
        <w:pStyle w:val="14"/>
        <w:jc w:val="center"/>
        <w:rPr>
          <w:rFonts w:ascii="Times New Roman" w:hAnsi="Times New Roman" w:eastAsia="方正小标宋_GBK" w:cs="Times New Roman"/>
          <w:color w:val="auto"/>
          <w:sz w:val="52"/>
          <w:szCs w:val="52"/>
          <w:highlight w:val="none"/>
        </w:rPr>
      </w:pPr>
      <w:r>
        <w:rPr>
          <w:rFonts w:ascii="Times New Roman" w:hAnsi="Times New Roman" w:eastAsia="方正小标宋_GBK" w:cs="Times New Roman"/>
          <w:color w:val="auto"/>
          <w:sz w:val="52"/>
          <w:szCs w:val="52"/>
          <w:highlight w:val="none"/>
        </w:rPr>
        <w:br w:type="textWrapping"/>
      </w:r>
    </w:p>
    <w:p w14:paraId="7027CE51">
      <w:pPr>
        <w:pStyle w:val="14"/>
        <w:jc w:val="center"/>
        <w:rPr>
          <w:rFonts w:ascii="Times New Roman" w:hAnsi="Times New Roman" w:eastAsia="方正小标宋_GBK" w:cs="Times New Roman"/>
          <w:color w:val="auto"/>
          <w:sz w:val="52"/>
          <w:szCs w:val="52"/>
          <w:highlight w:val="none"/>
        </w:rPr>
      </w:pPr>
      <w:r>
        <w:rPr>
          <w:rFonts w:ascii="Times New Roman" w:hAnsi="Times New Roman" w:eastAsia="方正小标宋_GBK" w:cs="Times New Roman"/>
          <w:color w:val="auto"/>
          <w:sz w:val="52"/>
          <w:szCs w:val="52"/>
          <w:highlight w:val="none"/>
        </w:rPr>
        <w:t>第二部分    部门决算表</w:t>
      </w:r>
    </w:p>
    <w:p w14:paraId="2D7327F9">
      <w:pPr>
        <w:pStyle w:val="14"/>
        <w:rPr>
          <w:rFonts w:ascii="Times New Roman" w:hAnsi="Times New Roman" w:cs="Times New Roman"/>
          <w:color w:val="auto"/>
          <w:sz w:val="72"/>
          <w:szCs w:val="72"/>
          <w:highlight w:val="none"/>
        </w:rPr>
      </w:pPr>
    </w:p>
    <w:p w14:paraId="514F4370">
      <w:pPr>
        <w:pStyle w:val="14"/>
        <w:rPr>
          <w:rFonts w:ascii="Times New Roman" w:hAnsi="Times New Roman" w:cs="Times New Roman"/>
          <w:color w:val="auto"/>
          <w:sz w:val="72"/>
          <w:szCs w:val="72"/>
          <w:highlight w:val="none"/>
        </w:rPr>
      </w:pPr>
    </w:p>
    <w:p w14:paraId="10941832">
      <w:pPr>
        <w:pStyle w:val="14"/>
        <w:rPr>
          <w:rFonts w:ascii="Times New Roman" w:hAnsi="Times New Roman" w:cs="Times New Roman"/>
          <w:color w:val="auto"/>
          <w:sz w:val="72"/>
          <w:szCs w:val="72"/>
          <w:highlight w:val="none"/>
        </w:rPr>
      </w:pPr>
    </w:p>
    <w:p w14:paraId="2BD678CC">
      <w:pPr>
        <w:pStyle w:val="14"/>
        <w:jc w:val="center"/>
        <w:rPr>
          <w:rFonts w:hint="eastAsia"/>
          <w:color w:val="auto"/>
          <w:sz w:val="44"/>
          <w:szCs w:val="44"/>
          <w:highlight w:val="none"/>
        </w:rPr>
      </w:pPr>
      <w:r>
        <w:rPr>
          <w:rFonts w:hint="eastAsia"/>
          <w:color w:val="auto"/>
          <w:sz w:val="44"/>
          <w:szCs w:val="44"/>
          <w:highlight w:val="none"/>
        </w:rPr>
        <w:t>见附件</w:t>
      </w:r>
    </w:p>
    <w:p w14:paraId="3B68A866">
      <w:pPr>
        <w:pStyle w:val="14"/>
        <w:rPr>
          <w:rFonts w:ascii="Times New Roman" w:hAnsi="Times New Roman" w:cs="Times New Roman"/>
          <w:color w:val="auto"/>
          <w:sz w:val="72"/>
          <w:szCs w:val="72"/>
          <w:highlight w:val="none"/>
        </w:rPr>
      </w:pPr>
    </w:p>
    <w:p w14:paraId="4D1AB5C5">
      <w:pPr>
        <w:pStyle w:val="14"/>
        <w:rPr>
          <w:rFonts w:ascii="Times New Roman" w:hAnsi="Times New Roman" w:cs="Times New Roman"/>
          <w:color w:val="auto"/>
          <w:sz w:val="72"/>
          <w:szCs w:val="72"/>
          <w:highlight w:val="none"/>
        </w:rPr>
      </w:pPr>
    </w:p>
    <w:p w14:paraId="1DF39A2C">
      <w:pPr>
        <w:pStyle w:val="14"/>
        <w:rPr>
          <w:rFonts w:ascii="Times New Roman" w:hAnsi="Times New Roman" w:cs="Times New Roman"/>
          <w:color w:val="auto"/>
          <w:sz w:val="72"/>
          <w:szCs w:val="72"/>
          <w:highlight w:val="none"/>
        </w:rPr>
      </w:pPr>
    </w:p>
    <w:p w14:paraId="11919E6B">
      <w:pPr>
        <w:pStyle w:val="14"/>
        <w:rPr>
          <w:rFonts w:ascii="Times New Roman" w:hAnsi="Times New Roman" w:cs="Times New Roman"/>
          <w:color w:val="auto"/>
          <w:sz w:val="72"/>
          <w:szCs w:val="72"/>
          <w:highlight w:val="none"/>
        </w:rPr>
      </w:pPr>
    </w:p>
    <w:p w14:paraId="5679C494">
      <w:pPr>
        <w:pStyle w:val="14"/>
        <w:rPr>
          <w:rFonts w:ascii="Times New Roman" w:hAnsi="Times New Roman" w:cs="Times New Roman"/>
          <w:color w:val="auto"/>
          <w:sz w:val="72"/>
          <w:szCs w:val="72"/>
          <w:highlight w:val="none"/>
        </w:rPr>
      </w:pPr>
    </w:p>
    <w:p w14:paraId="084218D7">
      <w:pPr>
        <w:pStyle w:val="14"/>
        <w:rPr>
          <w:rFonts w:ascii="Times New Roman" w:hAnsi="Times New Roman" w:cs="Times New Roman"/>
          <w:color w:val="auto"/>
          <w:sz w:val="72"/>
          <w:szCs w:val="72"/>
          <w:highlight w:val="none"/>
        </w:rPr>
      </w:pPr>
    </w:p>
    <w:p w14:paraId="7254342B">
      <w:pPr>
        <w:pStyle w:val="14"/>
        <w:rPr>
          <w:rFonts w:ascii="Times New Roman" w:hAnsi="Times New Roman" w:cs="Times New Roman"/>
          <w:color w:val="auto"/>
          <w:sz w:val="72"/>
          <w:szCs w:val="72"/>
          <w:highlight w:val="none"/>
        </w:rPr>
      </w:pPr>
    </w:p>
    <w:p w14:paraId="08EEF04C">
      <w:pPr>
        <w:pStyle w:val="14"/>
        <w:rPr>
          <w:rFonts w:ascii="Times New Roman" w:hAnsi="Times New Roman" w:cs="Times New Roman"/>
          <w:color w:val="auto"/>
          <w:sz w:val="72"/>
          <w:szCs w:val="72"/>
          <w:highlight w:val="none"/>
        </w:rPr>
      </w:pPr>
    </w:p>
    <w:p w14:paraId="7764C8C3">
      <w:pPr>
        <w:pStyle w:val="14"/>
        <w:jc w:val="center"/>
        <w:rPr>
          <w:rFonts w:ascii="Times New Roman" w:hAnsi="Times New Roman" w:cs="Times New Roman"/>
          <w:color w:val="auto"/>
          <w:sz w:val="72"/>
          <w:szCs w:val="72"/>
          <w:highlight w:val="none"/>
        </w:rPr>
      </w:pPr>
    </w:p>
    <w:p w14:paraId="64A6A2EF">
      <w:pPr>
        <w:pStyle w:val="14"/>
        <w:jc w:val="center"/>
        <w:rPr>
          <w:rFonts w:ascii="Times New Roman" w:hAnsi="Times New Roman" w:eastAsia="方正小标宋_GBK" w:cs="Times New Roman"/>
          <w:color w:val="auto"/>
          <w:sz w:val="72"/>
          <w:szCs w:val="72"/>
          <w:highlight w:val="none"/>
        </w:rPr>
      </w:pPr>
    </w:p>
    <w:p w14:paraId="0EFF2087">
      <w:pPr>
        <w:pStyle w:val="14"/>
        <w:spacing w:line="360" w:lineRule="auto"/>
        <w:jc w:val="center"/>
        <w:rPr>
          <w:rFonts w:ascii="Times New Roman" w:hAnsi="Times New Roman" w:eastAsia="方正小标宋_GBK" w:cs="Times New Roman"/>
          <w:color w:val="auto"/>
          <w:sz w:val="52"/>
          <w:szCs w:val="52"/>
          <w:highlight w:val="none"/>
        </w:rPr>
      </w:pPr>
      <w:r>
        <w:rPr>
          <w:rFonts w:ascii="Times New Roman" w:hAnsi="Times New Roman" w:eastAsia="方正小标宋_GBK" w:cs="Times New Roman"/>
          <w:color w:val="auto"/>
          <w:sz w:val="52"/>
          <w:szCs w:val="52"/>
          <w:highlight w:val="none"/>
        </w:rPr>
        <w:t>第三部分</w:t>
      </w:r>
    </w:p>
    <w:p w14:paraId="481C9B37">
      <w:pPr>
        <w:pStyle w:val="14"/>
        <w:spacing w:line="360" w:lineRule="auto"/>
        <w:jc w:val="center"/>
        <w:rPr>
          <w:rFonts w:ascii="Times New Roman" w:hAnsi="Times New Roman" w:eastAsia="方正小标宋_GBK" w:cs="Times New Roman"/>
          <w:color w:val="auto"/>
          <w:sz w:val="52"/>
          <w:szCs w:val="52"/>
          <w:highlight w:val="none"/>
        </w:rPr>
      </w:pPr>
      <w:r>
        <w:rPr>
          <w:rFonts w:hint="eastAsia" w:ascii="Times New Roman" w:hAnsi="Times New Roman" w:eastAsia="方正小标宋_GBK" w:cs="Times New Roman"/>
          <w:color w:val="auto"/>
          <w:sz w:val="52"/>
          <w:szCs w:val="52"/>
          <w:highlight w:val="none"/>
          <w:lang w:eastAsia="zh-CN"/>
        </w:rPr>
        <w:t>2025</w:t>
      </w:r>
      <w:r>
        <w:rPr>
          <w:rFonts w:ascii="Times New Roman" w:hAnsi="Times New Roman" w:eastAsia="方正小标宋_GBK" w:cs="Times New Roman"/>
          <w:color w:val="auto"/>
          <w:sz w:val="52"/>
          <w:szCs w:val="52"/>
          <w:highlight w:val="none"/>
        </w:rPr>
        <w:t>年度部门决算情况说明</w:t>
      </w:r>
    </w:p>
    <w:p w14:paraId="2EDC794C">
      <w:pPr>
        <w:widowControl/>
        <w:jc w:val="left"/>
        <w:rPr>
          <w:rFonts w:ascii="Times New Roman" w:hAnsi="Times New Roman" w:cs="Times New Roman"/>
          <w:color w:val="auto"/>
          <w:sz w:val="32"/>
          <w:szCs w:val="32"/>
          <w:highlight w:val="none"/>
        </w:rPr>
      </w:pPr>
      <w:r>
        <w:rPr>
          <w:rFonts w:ascii="Times New Roman" w:hAnsi="Times New Roman" w:eastAsia="方正小标宋_GBK" w:cs="Times New Roman"/>
          <w:color w:val="auto"/>
          <w:sz w:val="70"/>
          <w:szCs w:val="70"/>
          <w:highlight w:val="none"/>
        </w:rPr>
        <w:br w:type="page"/>
      </w:r>
    </w:p>
    <w:p w14:paraId="4F507717">
      <w:pPr>
        <w:pStyle w:val="14"/>
        <w:overflowPunct w:val="0"/>
        <w:autoSpaceDE/>
        <w:autoSpaceDN/>
        <w:spacing w:line="600" w:lineRule="exact"/>
        <w:ind w:firstLine="640" w:firstLineChars="200"/>
        <w:jc w:val="both"/>
        <w:rPr>
          <w:rFonts w:ascii="Times New Roman" w:hAnsi="Times New Roman" w:cs="Times New Roman"/>
          <w:bCs/>
          <w:color w:val="auto"/>
          <w:sz w:val="32"/>
          <w:szCs w:val="32"/>
          <w:highlight w:val="none"/>
        </w:rPr>
      </w:pPr>
      <w:r>
        <w:rPr>
          <w:rFonts w:ascii="Times New Roman" w:hAnsi="Times New Roman" w:cs="Times New Roman"/>
          <w:bCs/>
          <w:color w:val="auto"/>
          <w:sz w:val="32"/>
          <w:szCs w:val="32"/>
          <w:highlight w:val="none"/>
        </w:rPr>
        <w:t>一、收入支出决算总体情况说明</w:t>
      </w:r>
    </w:p>
    <w:p w14:paraId="3ECD4D57">
      <w:pPr>
        <w:pStyle w:val="14"/>
        <w:overflowPunct w:val="0"/>
        <w:autoSpaceDE/>
        <w:autoSpaceDN/>
        <w:spacing w:line="600" w:lineRule="exact"/>
        <w:ind w:firstLine="640" w:firstLineChars="200"/>
        <w:jc w:val="both"/>
        <w:rPr>
          <w:rFonts w:hint="eastAsia" w:ascii="Times New Roman" w:hAnsi="Times New Roman" w:eastAsia="仿宋_GB2312" w:cs="Times New Roman"/>
          <w:bCs/>
          <w:color w:val="auto"/>
          <w:kern w:val="0"/>
          <w:sz w:val="32"/>
          <w:szCs w:val="32"/>
          <w:highlight w:val="none"/>
          <w:lang w:val="en-US" w:eastAsia="zh-CN"/>
        </w:rPr>
      </w:pPr>
      <w:r>
        <w:rPr>
          <w:rFonts w:hint="eastAsia" w:ascii="Times New Roman" w:hAnsi="Times New Roman" w:eastAsia="仿宋_GB2312" w:cs="Times New Roman"/>
          <w:bCs/>
          <w:color w:val="auto"/>
          <w:kern w:val="0"/>
          <w:sz w:val="32"/>
          <w:szCs w:val="32"/>
          <w:highlight w:val="none"/>
          <w:lang w:eastAsia="zh-CN"/>
        </w:rPr>
        <w:t>2025</w:t>
      </w:r>
      <w:r>
        <w:rPr>
          <w:rFonts w:hint="eastAsia" w:ascii="Times New Roman" w:hAnsi="Times New Roman" w:eastAsia="仿宋_GB2312" w:cs="Times New Roman"/>
          <w:bCs/>
          <w:color w:val="auto"/>
          <w:kern w:val="0"/>
          <w:sz w:val="32"/>
          <w:szCs w:val="32"/>
          <w:highlight w:val="none"/>
        </w:rPr>
        <w:t>年度收、支总计</w:t>
      </w:r>
      <w:r>
        <w:rPr>
          <w:rFonts w:hint="eastAsia" w:ascii="Times New Roman" w:hAnsi="Times New Roman" w:eastAsia="仿宋_GB2312" w:cs="Times New Roman"/>
          <w:bCs/>
          <w:color w:val="auto"/>
          <w:kern w:val="0"/>
          <w:sz w:val="32"/>
          <w:szCs w:val="32"/>
          <w:highlight w:val="none"/>
          <w:lang w:val="en-US" w:eastAsia="zh-CN"/>
        </w:rPr>
        <w:t>32181.8</w:t>
      </w:r>
      <w:r>
        <w:rPr>
          <w:rFonts w:hint="eastAsia" w:ascii="Times New Roman" w:hAnsi="Times New Roman" w:eastAsia="仿宋_GB2312" w:cs="Times New Roman"/>
          <w:bCs/>
          <w:color w:val="auto"/>
          <w:kern w:val="0"/>
          <w:sz w:val="32"/>
          <w:szCs w:val="32"/>
          <w:highlight w:val="none"/>
        </w:rPr>
        <w:t>万元。与上年相比，</w:t>
      </w:r>
      <w:r>
        <w:rPr>
          <w:rFonts w:hint="eastAsia" w:ascii="Times New Roman" w:hAnsi="Times New Roman" w:eastAsia="仿宋_GB2312" w:cs="Times New Roman"/>
          <w:bCs/>
          <w:color w:val="auto"/>
          <w:kern w:val="0"/>
          <w:sz w:val="32"/>
          <w:szCs w:val="32"/>
          <w:highlight w:val="none"/>
          <w:lang w:eastAsia="zh-CN"/>
        </w:rPr>
        <w:t>减少</w:t>
      </w:r>
      <w:r>
        <w:rPr>
          <w:rFonts w:hint="eastAsia" w:ascii="Times New Roman" w:hAnsi="Times New Roman" w:eastAsia="仿宋_GB2312" w:cs="Times New Roman"/>
          <w:bCs/>
          <w:color w:val="auto"/>
          <w:kern w:val="0"/>
          <w:sz w:val="32"/>
          <w:szCs w:val="32"/>
          <w:highlight w:val="none"/>
          <w:lang w:val="en-US" w:eastAsia="zh-CN"/>
        </w:rPr>
        <w:t>2115.46</w:t>
      </w:r>
      <w:r>
        <w:rPr>
          <w:rFonts w:hint="eastAsia" w:ascii="Times New Roman" w:hAnsi="Times New Roman" w:eastAsia="仿宋_GB2312" w:cs="Times New Roman"/>
          <w:bCs/>
          <w:color w:val="auto"/>
          <w:kern w:val="0"/>
          <w:sz w:val="32"/>
          <w:szCs w:val="32"/>
          <w:highlight w:val="none"/>
        </w:rPr>
        <w:t>万元，</w:t>
      </w:r>
      <w:r>
        <w:rPr>
          <w:rFonts w:hint="eastAsia" w:ascii="Times New Roman" w:hAnsi="Times New Roman" w:eastAsia="仿宋_GB2312" w:cs="Times New Roman"/>
          <w:bCs/>
          <w:color w:val="auto"/>
          <w:kern w:val="0"/>
          <w:sz w:val="32"/>
          <w:szCs w:val="32"/>
          <w:highlight w:val="none"/>
          <w:lang w:eastAsia="zh-CN"/>
        </w:rPr>
        <w:t>减少</w:t>
      </w:r>
      <w:r>
        <w:rPr>
          <w:rFonts w:hint="eastAsia" w:ascii="Times New Roman" w:hAnsi="Times New Roman" w:eastAsia="仿宋_GB2312" w:cs="Times New Roman"/>
          <w:bCs/>
          <w:color w:val="auto"/>
          <w:kern w:val="0"/>
          <w:sz w:val="32"/>
          <w:szCs w:val="32"/>
          <w:highlight w:val="none"/>
          <w:lang w:val="en-US" w:eastAsia="zh-CN"/>
        </w:rPr>
        <w:t>6.17</w:t>
      </w:r>
      <w:r>
        <w:rPr>
          <w:rFonts w:ascii="Times New Roman" w:hAnsi="Times New Roman" w:eastAsia="仿宋_GB2312" w:cs="Times New Roman"/>
          <w:bCs/>
          <w:color w:val="auto"/>
          <w:kern w:val="0"/>
          <w:sz w:val="32"/>
          <w:szCs w:val="32"/>
          <w:highlight w:val="none"/>
        </w:rPr>
        <w:t>%</w:t>
      </w:r>
      <w:r>
        <w:rPr>
          <w:rFonts w:hint="eastAsia" w:ascii="Times New Roman" w:hAnsi="Times New Roman" w:eastAsia="仿宋_GB2312" w:cs="Times New Roman"/>
          <w:bCs/>
          <w:color w:val="auto"/>
          <w:kern w:val="0"/>
          <w:sz w:val="32"/>
          <w:szCs w:val="32"/>
          <w:highlight w:val="none"/>
        </w:rPr>
        <w:t>，</w:t>
      </w:r>
      <w:r>
        <w:rPr>
          <w:rFonts w:hint="eastAsia" w:ascii="Times New Roman" w:hAnsi="Times New Roman" w:eastAsia="仿宋_GB2312" w:cs="Times New Roman"/>
          <w:bCs/>
          <w:color w:val="auto"/>
          <w:kern w:val="0"/>
          <w:sz w:val="32"/>
          <w:szCs w:val="32"/>
          <w:highlight w:val="none"/>
          <w:lang w:eastAsia="zh-CN"/>
        </w:rPr>
        <w:t>原因为：</w:t>
      </w:r>
      <w:r>
        <w:rPr>
          <w:rFonts w:hint="eastAsia" w:ascii="Times New Roman" w:hAnsi="Times New Roman" w:eastAsia="仿宋_GB2312" w:cs="Times New Roman"/>
          <w:bCs/>
          <w:color w:val="auto"/>
          <w:kern w:val="0"/>
          <w:sz w:val="32"/>
          <w:szCs w:val="32"/>
          <w:highlight w:val="none"/>
          <w:lang w:val="en-US" w:eastAsia="zh-CN"/>
        </w:rPr>
        <w:t>1、收入减少：本年公共安全支出收入较上年减少 1089.65 万元；本年社会保障和就业支出收入较上年减少 234.5万元；住房保障支出收入较上年减少57.63万元。2、支出减少：本年公共安全支出较上年减少 1089.65 万元；本年社会保障和就业支出较上年减少 234.5万元；住房保障支出较上年减少57.63万元。</w:t>
      </w:r>
    </w:p>
    <w:p w14:paraId="046ADD09">
      <w:pPr>
        <w:pStyle w:val="8"/>
        <w:keepNext w:val="0"/>
        <w:keepLines w:val="0"/>
        <w:widowControl/>
        <w:suppressLineNumbers w:val="0"/>
        <w:rPr>
          <w:rFonts w:hint="eastAsia" w:ascii="Times New Roman" w:hAnsi="Times New Roman" w:eastAsia="仿宋_GB2312" w:cs="Times New Roman"/>
          <w:color w:val="auto"/>
          <w:sz w:val="32"/>
          <w:szCs w:val="32"/>
          <w:highlight w:val="none"/>
          <w:lang w:eastAsia="zh-CN"/>
        </w:rPr>
      </w:pPr>
      <w:r>
        <w:rPr>
          <w:rFonts w:hint="eastAsia" w:ascii="Times New Roman" w:hAnsi="Times New Roman" w:eastAsia="仿宋_GB2312" w:cs="Times New Roman"/>
          <w:bCs/>
          <w:color w:val="auto"/>
          <w:kern w:val="0"/>
          <w:sz w:val="32"/>
          <w:szCs w:val="32"/>
          <w:highlight w:val="none"/>
          <w:lang w:val="en-US" w:eastAsia="zh-CN"/>
        </w:rPr>
        <w:t xml:space="preserve">    </w:t>
      </w:r>
      <w:r>
        <w:rPr>
          <w:rFonts w:hint="eastAsia" w:ascii="Times New Roman" w:hAnsi="Times New Roman" w:eastAsia="仿宋_GB2312" w:cs="Times New Roman"/>
          <w:color w:val="auto"/>
          <w:sz w:val="32"/>
          <w:szCs w:val="32"/>
          <w:highlight w:val="none"/>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执法办案、公安业务专项、基层执法保障等重点支出，体现在有关支出科目中。</w:t>
      </w:r>
    </w:p>
    <w:p w14:paraId="6B553116">
      <w:pPr>
        <w:pStyle w:val="8"/>
        <w:keepNext w:val="0"/>
        <w:keepLines w:val="0"/>
        <w:widowControl/>
        <w:suppressLineNumbers w:val="0"/>
        <w:ind w:firstLine="640" w:firstLineChars="200"/>
        <w:rPr>
          <w:rFonts w:ascii="Times New Roman" w:hAnsi="Times New Roman" w:cs="Times New Roman"/>
          <w:bCs/>
          <w:color w:val="auto"/>
          <w:sz w:val="32"/>
          <w:szCs w:val="32"/>
          <w:highlight w:val="none"/>
        </w:rPr>
      </w:pPr>
      <w:r>
        <w:rPr>
          <w:rFonts w:ascii="Times New Roman" w:hAnsi="Times New Roman" w:cs="Times New Roman"/>
          <w:bCs/>
          <w:color w:val="auto"/>
          <w:sz w:val="32"/>
          <w:szCs w:val="32"/>
          <w:highlight w:val="none"/>
        </w:rPr>
        <w:t>二、收入决算情况说明</w:t>
      </w:r>
    </w:p>
    <w:p w14:paraId="2B93E717">
      <w:pPr>
        <w:pStyle w:val="14"/>
        <w:overflowPunct w:val="0"/>
        <w:autoSpaceDE/>
        <w:autoSpaceDN/>
        <w:spacing w:line="600" w:lineRule="exact"/>
        <w:ind w:firstLine="640" w:firstLineChars="200"/>
        <w:jc w:val="both"/>
        <w:rPr>
          <w:rFonts w:ascii="Times New Roman" w:hAnsi="Times New Roman" w:eastAsia="仿宋_GB2312" w:cs="Times New Roman"/>
          <w:sz w:val="32"/>
          <w:szCs w:val="32"/>
          <w:highlight w:val="none"/>
        </w:rPr>
      </w:pPr>
      <w:r>
        <w:rPr>
          <w:rFonts w:hint="eastAsia" w:ascii="Times New Roman" w:hAnsi="Times New Roman" w:eastAsia="仿宋_GB2312" w:cs="Times New Roman"/>
          <w:bCs/>
          <w:color w:val="auto"/>
          <w:kern w:val="0"/>
          <w:sz w:val="32"/>
          <w:szCs w:val="32"/>
          <w:highlight w:val="none"/>
          <w:lang w:val="en-US" w:eastAsia="zh-CN" w:bidi="ar-SA"/>
        </w:rPr>
        <w:t>2025</w:t>
      </w:r>
      <w:r>
        <w:rPr>
          <w:rFonts w:ascii="Times New Roman" w:hAnsi="Times New Roman" w:eastAsia="仿宋_GB2312" w:cs="Times New Roman"/>
          <w:bCs/>
          <w:color w:val="auto"/>
          <w:kern w:val="0"/>
          <w:sz w:val="32"/>
          <w:szCs w:val="32"/>
          <w:highlight w:val="none"/>
          <w:lang w:val="en-US" w:eastAsia="zh-CN" w:bidi="ar-SA"/>
        </w:rPr>
        <w:t>年度收入合计</w:t>
      </w:r>
      <w:r>
        <w:rPr>
          <w:rFonts w:hint="eastAsia" w:ascii="Times New Roman" w:hAnsi="Times New Roman" w:eastAsia="仿宋_GB2312" w:cs="Times New Roman"/>
          <w:bCs/>
          <w:color w:val="auto"/>
          <w:kern w:val="0"/>
          <w:sz w:val="32"/>
          <w:szCs w:val="32"/>
          <w:highlight w:val="none"/>
          <w:lang w:val="en-US" w:eastAsia="zh-CN" w:bidi="ar-SA"/>
        </w:rPr>
        <w:t>16090.9</w:t>
      </w:r>
      <w:r>
        <w:rPr>
          <w:rFonts w:ascii="Times New Roman" w:hAnsi="Times New Roman" w:eastAsia="仿宋_GB2312" w:cs="Times New Roman"/>
          <w:bCs/>
          <w:color w:val="auto"/>
          <w:kern w:val="0"/>
          <w:sz w:val="32"/>
          <w:szCs w:val="32"/>
          <w:highlight w:val="none"/>
          <w:lang w:val="en-US" w:eastAsia="zh-CN" w:bidi="ar-SA"/>
        </w:rPr>
        <w:t>万元，其中：财政拨款收入</w:t>
      </w:r>
      <w:r>
        <w:rPr>
          <w:rFonts w:hint="eastAsia" w:ascii="Times New Roman" w:hAnsi="Times New Roman" w:eastAsia="仿宋_GB2312" w:cs="Times New Roman"/>
          <w:bCs/>
          <w:color w:val="auto"/>
          <w:kern w:val="0"/>
          <w:sz w:val="32"/>
          <w:szCs w:val="32"/>
          <w:highlight w:val="none"/>
          <w:lang w:val="en-US" w:eastAsia="zh-CN" w:bidi="ar-SA"/>
        </w:rPr>
        <w:t>16038.73</w:t>
      </w:r>
      <w:r>
        <w:rPr>
          <w:rFonts w:ascii="Times New Roman" w:hAnsi="Times New Roman" w:eastAsia="仿宋_GB2312" w:cs="Times New Roman"/>
          <w:bCs/>
          <w:color w:val="auto"/>
          <w:kern w:val="0"/>
          <w:sz w:val="32"/>
          <w:szCs w:val="32"/>
          <w:highlight w:val="none"/>
          <w:lang w:val="en-US" w:eastAsia="zh-CN" w:bidi="ar-SA"/>
        </w:rPr>
        <w:t>万元，占</w:t>
      </w:r>
      <w:r>
        <w:rPr>
          <w:rFonts w:hint="eastAsia" w:ascii="Times New Roman" w:hAnsi="Times New Roman" w:eastAsia="仿宋_GB2312" w:cs="Times New Roman"/>
          <w:bCs/>
          <w:color w:val="auto"/>
          <w:kern w:val="0"/>
          <w:sz w:val="32"/>
          <w:szCs w:val="32"/>
          <w:highlight w:val="none"/>
          <w:lang w:val="en-US" w:eastAsia="zh-CN" w:bidi="ar-SA"/>
        </w:rPr>
        <w:t>99.68</w:t>
      </w:r>
      <w:r>
        <w:rPr>
          <w:rFonts w:ascii="Times New Roman" w:hAnsi="Times New Roman" w:eastAsia="仿宋_GB2312" w:cs="Times New Roman"/>
          <w:bCs/>
          <w:color w:val="auto"/>
          <w:kern w:val="0"/>
          <w:sz w:val="32"/>
          <w:szCs w:val="32"/>
          <w:highlight w:val="none"/>
          <w:lang w:val="en-US" w:eastAsia="zh-CN" w:bidi="ar-SA"/>
        </w:rPr>
        <w:t>%</w:t>
      </w:r>
      <w:r>
        <w:rPr>
          <w:rFonts w:hint="eastAsia" w:ascii="Times New Roman" w:hAnsi="Times New Roman" w:eastAsia="仿宋_GB2312" w:cs="Times New Roman"/>
          <w:bCs/>
          <w:color w:val="auto"/>
          <w:kern w:val="0"/>
          <w:sz w:val="32"/>
          <w:szCs w:val="32"/>
          <w:highlight w:val="none"/>
          <w:lang w:val="en-US" w:eastAsia="zh-CN" w:bidi="ar-SA"/>
        </w:rPr>
        <w:t>；</w:t>
      </w:r>
      <w:r>
        <w:rPr>
          <w:rFonts w:ascii="Times New Roman" w:hAnsi="Times New Roman" w:eastAsia="仿宋_GB2312" w:cs="Times New Roman"/>
          <w:sz w:val="32"/>
          <w:szCs w:val="32"/>
          <w:highlight w:val="none"/>
        </w:rPr>
        <w:t>其他收入</w:t>
      </w:r>
      <w:r>
        <w:rPr>
          <w:rFonts w:hint="eastAsia" w:ascii="Times New Roman" w:hAnsi="Times New Roman" w:eastAsia="仿宋_GB2312" w:cs="Times New Roman"/>
          <w:sz w:val="32"/>
          <w:szCs w:val="32"/>
          <w:highlight w:val="none"/>
          <w:lang w:val="en-US" w:eastAsia="zh-CN"/>
        </w:rPr>
        <w:t>52.17</w:t>
      </w:r>
      <w:r>
        <w:rPr>
          <w:rFonts w:ascii="Times New Roman" w:hAnsi="Times New Roman" w:eastAsia="仿宋_GB2312" w:cs="Times New Roman"/>
          <w:sz w:val="32"/>
          <w:szCs w:val="32"/>
          <w:highlight w:val="none"/>
        </w:rPr>
        <w:t>万元，占</w:t>
      </w:r>
      <w:r>
        <w:rPr>
          <w:rFonts w:hint="eastAsia" w:ascii="Times New Roman" w:hAnsi="Times New Roman" w:eastAsia="仿宋_GB2312" w:cs="Times New Roman"/>
          <w:sz w:val="32"/>
          <w:szCs w:val="32"/>
          <w:highlight w:val="none"/>
          <w:lang w:val="en-US" w:eastAsia="zh-CN"/>
        </w:rPr>
        <w:t>0.32</w:t>
      </w:r>
      <w:r>
        <w:rPr>
          <w:rFonts w:ascii="Times New Roman" w:hAnsi="Times New Roman" w:eastAsia="仿宋_GB2312" w:cs="Times New Roman"/>
          <w:sz w:val="32"/>
          <w:szCs w:val="32"/>
          <w:highlight w:val="none"/>
        </w:rPr>
        <w:t>%。</w:t>
      </w:r>
    </w:p>
    <w:p w14:paraId="3E161844">
      <w:pPr>
        <w:pStyle w:val="14"/>
        <w:overflowPunct w:val="0"/>
        <w:autoSpaceDE/>
        <w:autoSpaceDN/>
        <w:spacing w:line="600" w:lineRule="exact"/>
        <w:ind w:firstLine="640" w:firstLineChars="200"/>
        <w:jc w:val="both"/>
        <w:rPr>
          <w:rFonts w:ascii="Times New Roman" w:hAnsi="Times New Roman" w:cs="Times New Roman"/>
          <w:bCs/>
          <w:color w:val="auto"/>
          <w:sz w:val="32"/>
          <w:szCs w:val="32"/>
          <w:highlight w:val="none"/>
        </w:rPr>
      </w:pPr>
      <w:r>
        <w:rPr>
          <w:rFonts w:ascii="Times New Roman" w:hAnsi="Times New Roman" w:cs="Times New Roman"/>
          <w:bCs/>
          <w:color w:val="auto"/>
          <w:sz w:val="32"/>
          <w:szCs w:val="32"/>
          <w:highlight w:val="none"/>
        </w:rPr>
        <w:t>三、支出决算情况说明</w:t>
      </w:r>
    </w:p>
    <w:p w14:paraId="387864B5">
      <w:pPr>
        <w:pStyle w:val="14"/>
        <w:overflowPunct w:val="0"/>
        <w:autoSpaceDE/>
        <w:autoSpaceDN/>
        <w:spacing w:line="600" w:lineRule="exact"/>
        <w:ind w:firstLine="640" w:firstLineChars="200"/>
        <w:jc w:val="both"/>
        <w:rPr>
          <w:rFonts w:ascii="Times New Roman" w:hAnsi="Times New Roman" w:eastAsia="仿宋_GB2312" w:cs="Times New Roman"/>
          <w:bCs/>
          <w:color w:val="auto"/>
          <w:kern w:val="0"/>
          <w:sz w:val="32"/>
          <w:szCs w:val="32"/>
          <w:highlight w:val="none"/>
          <w:lang w:val="en-US" w:eastAsia="zh-CN" w:bidi="ar-SA"/>
        </w:rPr>
      </w:pPr>
      <w:r>
        <w:rPr>
          <w:rFonts w:hint="eastAsia" w:ascii="Times New Roman" w:hAnsi="Times New Roman" w:eastAsia="仿宋_GB2312" w:cs="Times New Roman"/>
          <w:bCs/>
          <w:color w:val="auto"/>
          <w:kern w:val="0"/>
          <w:sz w:val="32"/>
          <w:szCs w:val="32"/>
          <w:highlight w:val="none"/>
          <w:lang w:val="en-US" w:eastAsia="zh-CN" w:bidi="ar-SA"/>
        </w:rPr>
        <w:t>2025</w:t>
      </w:r>
      <w:r>
        <w:rPr>
          <w:rFonts w:ascii="Times New Roman" w:hAnsi="Times New Roman" w:eastAsia="仿宋_GB2312" w:cs="Times New Roman"/>
          <w:bCs/>
          <w:color w:val="auto"/>
          <w:kern w:val="0"/>
          <w:sz w:val="32"/>
          <w:szCs w:val="32"/>
          <w:highlight w:val="none"/>
          <w:lang w:val="en-US" w:eastAsia="zh-CN" w:bidi="ar-SA"/>
        </w:rPr>
        <w:t>年度支出合计</w:t>
      </w:r>
      <w:r>
        <w:rPr>
          <w:rFonts w:hint="eastAsia" w:ascii="Times New Roman" w:hAnsi="Times New Roman" w:eastAsia="仿宋_GB2312" w:cs="Times New Roman"/>
          <w:bCs/>
          <w:color w:val="auto"/>
          <w:kern w:val="0"/>
          <w:sz w:val="32"/>
          <w:szCs w:val="32"/>
          <w:highlight w:val="none"/>
          <w:lang w:val="en-US" w:eastAsia="zh-CN" w:bidi="ar-SA"/>
        </w:rPr>
        <w:t>16090.9</w:t>
      </w:r>
      <w:r>
        <w:rPr>
          <w:rFonts w:ascii="Times New Roman" w:hAnsi="Times New Roman" w:eastAsia="仿宋_GB2312" w:cs="Times New Roman"/>
          <w:bCs/>
          <w:color w:val="auto"/>
          <w:kern w:val="0"/>
          <w:sz w:val="32"/>
          <w:szCs w:val="32"/>
          <w:highlight w:val="none"/>
          <w:lang w:val="en-US" w:eastAsia="zh-CN" w:bidi="ar-SA"/>
        </w:rPr>
        <w:t>万元，其中：基本支出</w:t>
      </w:r>
      <w:r>
        <w:rPr>
          <w:rFonts w:hint="eastAsia" w:ascii="Times New Roman" w:hAnsi="Times New Roman" w:eastAsia="仿宋_GB2312" w:cs="Times New Roman"/>
          <w:bCs/>
          <w:color w:val="auto"/>
          <w:kern w:val="0"/>
          <w:sz w:val="32"/>
          <w:szCs w:val="32"/>
          <w:highlight w:val="none"/>
          <w:lang w:val="en-US" w:eastAsia="zh-CN" w:bidi="ar-SA"/>
        </w:rPr>
        <w:t>10687.02</w:t>
      </w:r>
      <w:r>
        <w:rPr>
          <w:rFonts w:ascii="Times New Roman" w:hAnsi="Times New Roman" w:eastAsia="仿宋_GB2312" w:cs="Times New Roman"/>
          <w:bCs/>
          <w:color w:val="auto"/>
          <w:kern w:val="0"/>
          <w:sz w:val="32"/>
          <w:szCs w:val="32"/>
          <w:highlight w:val="none"/>
          <w:lang w:val="en-US" w:eastAsia="zh-CN" w:bidi="ar-SA"/>
        </w:rPr>
        <w:t>万元，占</w:t>
      </w:r>
      <w:r>
        <w:rPr>
          <w:rFonts w:hint="eastAsia" w:ascii="Times New Roman" w:hAnsi="Times New Roman" w:eastAsia="仿宋_GB2312" w:cs="Times New Roman"/>
          <w:bCs/>
          <w:color w:val="auto"/>
          <w:kern w:val="0"/>
          <w:sz w:val="32"/>
          <w:szCs w:val="32"/>
          <w:highlight w:val="none"/>
          <w:lang w:val="en-US" w:eastAsia="zh-CN" w:bidi="ar-SA"/>
        </w:rPr>
        <w:t>66.42</w:t>
      </w:r>
      <w:r>
        <w:rPr>
          <w:rFonts w:ascii="Times New Roman" w:hAnsi="Times New Roman" w:eastAsia="仿宋_GB2312" w:cs="Times New Roman"/>
          <w:bCs/>
          <w:color w:val="auto"/>
          <w:kern w:val="0"/>
          <w:sz w:val="32"/>
          <w:szCs w:val="32"/>
          <w:highlight w:val="none"/>
          <w:lang w:val="en-US" w:eastAsia="zh-CN" w:bidi="ar-SA"/>
        </w:rPr>
        <w:t>%；项目支出</w:t>
      </w:r>
      <w:r>
        <w:rPr>
          <w:rFonts w:hint="eastAsia" w:ascii="Times New Roman" w:hAnsi="Times New Roman" w:eastAsia="仿宋_GB2312" w:cs="Times New Roman"/>
          <w:bCs/>
          <w:color w:val="auto"/>
          <w:kern w:val="0"/>
          <w:sz w:val="32"/>
          <w:szCs w:val="32"/>
          <w:highlight w:val="none"/>
          <w:lang w:val="en-US" w:eastAsia="zh-CN" w:bidi="ar-SA"/>
        </w:rPr>
        <w:t>5403.88</w:t>
      </w:r>
      <w:r>
        <w:rPr>
          <w:rFonts w:ascii="Times New Roman" w:hAnsi="Times New Roman" w:eastAsia="仿宋_GB2312" w:cs="Times New Roman"/>
          <w:bCs/>
          <w:color w:val="auto"/>
          <w:kern w:val="0"/>
          <w:sz w:val="32"/>
          <w:szCs w:val="32"/>
          <w:highlight w:val="none"/>
          <w:lang w:val="en-US" w:eastAsia="zh-CN" w:bidi="ar-SA"/>
        </w:rPr>
        <w:t>万元，占</w:t>
      </w:r>
      <w:r>
        <w:rPr>
          <w:rFonts w:hint="eastAsia" w:ascii="Times New Roman" w:hAnsi="Times New Roman" w:eastAsia="仿宋_GB2312" w:cs="Times New Roman"/>
          <w:bCs/>
          <w:color w:val="auto"/>
          <w:kern w:val="0"/>
          <w:sz w:val="32"/>
          <w:szCs w:val="32"/>
          <w:highlight w:val="none"/>
          <w:lang w:val="en-US" w:eastAsia="zh-CN" w:bidi="ar-SA"/>
        </w:rPr>
        <w:t>33.58</w:t>
      </w:r>
      <w:r>
        <w:rPr>
          <w:rFonts w:ascii="Times New Roman" w:hAnsi="Times New Roman" w:eastAsia="仿宋_GB2312" w:cs="Times New Roman"/>
          <w:bCs/>
          <w:color w:val="auto"/>
          <w:kern w:val="0"/>
          <w:sz w:val="32"/>
          <w:szCs w:val="32"/>
          <w:highlight w:val="none"/>
          <w:lang w:val="en-US" w:eastAsia="zh-CN" w:bidi="ar-SA"/>
        </w:rPr>
        <w:t>%。</w:t>
      </w:r>
    </w:p>
    <w:p w14:paraId="7881B918">
      <w:pPr>
        <w:pStyle w:val="14"/>
        <w:overflowPunct w:val="0"/>
        <w:autoSpaceDE/>
        <w:autoSpaceDN/>
        <w:spacing w:line="600" w:lineRule="exact"/>
        <w:ind w:firstLine="640" w:firstLineChars="200"/>
        <w:jc w:val="both"/>
        <w:rPr>
          <w:rFonts w:ascii="Times New Roman" w:hAnsi="Times New Roman" w:cs="Times New Roman"/>
          <w:bCs/>
          <w:color w:val="auto"/>
          <w:sz w:val="32"/>
          <w:szCs w:val="32"/>
          <w:highlight w:val="none"/>
        </w:rPr>
      </w:pPr>
      <w:r>
        <w:rPr>
          <w:rFonts w:ascii="Times New Roman" w:hAnsi="Times New Roman" w:cs="Times New Roman"/>
          <w:bCs/>
          <w:color w:val="auto"/>
          <w:sz w:val="32"/>
          <w:szCs w:val="32"/>
          <w:highlight w:val="none"/>
        </w:rPr>
        <w:t>四、财政拨款收入支出决算总体情况说明</w:t>
      </w:r>
    </w:p>
    <w:p w14:paraId="2159EEB8">
      <w:pPr>
        <w:pStyle w:val="14"/>
        <w:overflowPunct w:val="0"/>
        <w:autoSpaceDE/>
        <w:autoSpaceDN/>
        <w:spacing w:line="600" w:lineRule="exact"/>
        <w:ind w:firstLine="640" w:firstLineChars="200"/>
        <w:jc w:val="both"/>
        <w:rPr>
          <w:rFonts w:hint="eastAsia" w:ascii="宋体" w:hAnsi="宋体" w:eastAsia="宋体"/>
          <w:color w:val="auto"/>
          <w:sz w:val="32"/>
          <w:szCs w:val="32"/>
          <w:highlight w:val="none"/>
          <w:lang w:val="en-US" w:eastAsia="zh-CN"/>
        </w:rPr>
      </w:pPr>
      <w:r>
        <w:rPr>
          <w:rFonts w:hint="eastAsia" w:ascii="Times New Roman" w:hAnsi="Times New Roman" w:eastAsia="仿宋_GB2312" w:cs="Times New Roman"/>
          <w:bCs/>
          <w:color w:val="auto"/>
          <w:kern w:val="0"/>
          <w:sz w:val="32"/>
          <w:szCs w:val="32"/>
          <w:highlight w:val="none"/>
          <w:lang w:eastAsia="zh-CN"/>
        </w:rPr>
        <w:t>2025</w:t>
      </w:r>
      <w:r>
        <w:rPr>
          <w:rFonts w:ascii="Times New Roman" w:hAnsi="Times New Roman" w:eastAsia="仿宋_GB2312" w:cs="Times New Roman"/>
          <w:bCs/>
          <w:color w:val="auto"/>
          <w:kern w:val="0"/>
          <w:sz w:val="32"/>
          <w:szCs w:val="32"/>
          <w:highlight w:val="none"/>
        </w:rPr>
        <w:t>年度财政拨款收、支总计</w:t>
      </w:r>
      <w:r>
        <w:rPr>
          <w:rFonts w:hint="eastAsia" w:ascii="Times New Roman" w:hAnsi="Times New Roman" w:eastAsia="仿宋_GB2312" w:cs="Times New Roman"/>
          <w:bCs/>
          <w:color w:val="auto"/>
          <w:kern w:val="0"/>
          <w:sz w:val="32"/>
          <w:szCs w:val="32"/>
          <w:highlight w:val="none"/>
          <w:lang w:val="en-US" w:eastAsia="zh-CN"/>
        </w:rPr>
        <w:t>32077.46</w:t>
      </w:r>
      <w:r>
        <w:rPr>
          <w:rFonts w:hint="eastAsia" w:ascii="Times New Roman" w:hAnsi="Times New Roman" w:eastAsia="仿宋_GB2312" w:cs="Times New Roman"/>
          <w:bCs/>
          <w:color w:val="auto"/>
          <w:kern w:val="0"/>
          <w:sz w:val="32"/>
          <w:szCs w:val="32"/>
          <w:highlight w:val="none"/>
        </w:rPr>
        <w:t>万元。与上年相比，</w:t>
      </w:r>
      <w:r>
        <w:rPr>
          <w:rFonts w:hint="eastAsia" w:ascii="Times New Roman" w:hAnsi="Times New Roman" w:eastAsia="仿宋_GB2312" w:cs="Times New Roman"/>
          <w:bCs/>
          <w:color w:val="auto"/>
          <w:kern w:val="0"/>
          <w:sz w:val="32"/>
          <w:szCs w:val="32"/>
          <w:highlight w:val="none"/>
          <w:lang w:eastAsia="zh-CN"/>
        </w:rPr>
        <w:t>减少</w:t>
      </w:r>
      <w:r>
        <w:rPr>
          <w:rFonts w:hint="eastAsia" w:ascii="Times New Roman" w:hAnsi="Times New Roman" w:eastAsia="仿宋_GB2312" w:cs="Times New Roman"/>
          <w:bCs/>
          <w:color w:val="auto"/>
          <w:kern w:val="0"/>
          <w:sz w:val="32"/>
          <w:szCs w:val="32"/>
          <w:highlight w:val="none"/>
          <w:lang w:val="en-US" w:eastAsia="zh-CN"/>
        </w:rPr>
        <w:t>2219.8</w:t>
      </w:r>
      <w:r>
        <w:rPr>
          <w:rFonts w:hint="eastAsia" w:ascii="Times New Roman" w:hAnsi="Times New Roman" w:eastAsia="仿宋_GB2312" w:cs="Times New Roman"/>
          <w:bCs/>
          <w:color w:val="auto"/>
          <w:kern w:val="0"/>
          <w:sz w:val="32"/>
          <w:szCs w:val="32"/>
          <w:highlight w:val="none"/>
        </w:rPr>
        <w:t>万元，</w:t>
      </w:r>
      <w:r>
        <w:rPr>
          <w:rFonts w:hint="eastAsia" w:ascii="Times New Roman" w:hAnsi="Times New Roman" w:eastAsia="仿宋_GB2312" w:cs="Times New Roman"/>
          <w:bCs/>
          <w:color w:val="auto"/>
          <w:kern w:val="0"/>
          <w:sz w:val="32"/>
          <w:szCs w:val="32"/>
          <w:highlight w:val="none"/>
          <w:lang w:eastAsia="zh-CN"/>
        </w:rPr>
        <w:t>减少</w:t>
      </w:r>
      <w:r>
        <w:rPr>
          <w:rFonts w:hint="eastAsia" w:ascii="Times New Roman" w:hAnsi="Times New Roman" w:eastAsia="仿宋_GB2312" w:cs="Times New Roman"/>
          <w:bCs/>
          <w:color w:val="auto"/>
          <w:kern w:val="0"/>
          <w:sz w:val="32"/>
          <w:szCs w:val="32"/>
          <w:highlight w:val="none"/>
          <w:lang w:val="en-US" w:eastAsia="zh-CN"/>
        </w:rPr>
        <w:t>6.47</w:t>
      </w:r>
      <w:r>
        <w:rPr>
          <w:rFonts w:ascii="Times New Roman" w:hAnsi="Times New Roman" w:eastAsia="仿宋_GB2312" w:cs="Times New Roman"/>
          <w:bCs/>
          <w:color w:val="auto"/>
          <w:kern w:val="0"/>
          <w:sz w:val="32"/>
          <w:szCs w:val="32"/>
          <w:highlight w:val="none"/>
        </w:rPr>
        <w:t>%</w:t>
      </w:r>
      <w:r>
        <w:rPr>
          <w:rFonts w:hint="eastAsia" w:ascii="Times New Roman" w:hAnsi="Times New Roman" w:eastAsia="仿宋_GB2312" w:cs="Times New Roman"/>
          <w:bCs/>
          <w:color w:val="auto"/>
          <w:kern w:val="0"/>
          <w:sz w:val="32"/>
          <w:szCs w:val="32"/>
          <w:highlight w:val="none"/>
        </w:rPr>
        <w:t>，</w:t>
      </w:r>
      <w:r>
        <w:rPr>
          <w:rFonts w:hint="eastAsia" w:ascii="Times New Roman" w:hAnsi="Times New Roman" w:eastAsia="仿宋_GB2312" w:cs="Times New Roman"/>
          <w:bCs/>
          <w:color w:val="auto"/>
          <w:kern w:val="0"/>
          <w:sz w:val="32"/>
          <w:szCs w:val="32"/>
          <w:highlight w:val="none"/>
          <w:lang w:eastAsia="zh-CN"/>
        </w:rPr>
        <w:t>原因为：</w:t>
      </w:r>
      <w:r>
        <w:rPr>
          <w:rFonts w:hint="eastAsia" w:ascii="Times New Roman" w:hAnsi="Times New Roman" w:eastAsia="仿宋_GB2312" w:cs="Times New Roman"/>
          <w:bCs/>
          <w:color w:val="auto"/>
          <w:kern w:val="0"/>
          <w:sz w:val="32"/>
          <w:szCs w:val="32"/>
          <w:highlight w:val="none"/>
          <w:lang w:val="en-US" w:eastAsia="zh-CN"/>
        </w:rPr>
        <w:t>1、收入减少：本年公共安全支出收入较上年减少1141.82万元；本年社会保障和就业支出收入较上年减少 234.5万元；住房保障支出收入较上年减少57.63万元。2、支出减少：本年公共安全支出较上年减少 1141.82万元；本年社会保障和就业支出较上年减少 234.5万元；住房保障支出较上年减少57.63万元。</w:t>
      </w:r>
    </w:p>
    <w:p w14:paraId="579FEA1F">
      <w:pPr>
        <w:pStyle w:val="14"/>
        <w:overflowPunct w:val="0"/>
        <w:autoSpaceDE/>
        <w:autoSpaceDN/>
        <w:spacing w:line="600" w:lineRule="exact"/>
        <w:ind w:firstLine="640" w:firstLineChars="200"/>
        <w:jc w:val="both"/>
        <w:rPr>
          <w:rFonts w:ascii="Times New Roman" w:hAnsi="Times New Roman" w:cs="Times New Roman"/>
          <w:bCs/>
          <w:color w:val="auto"/>
          <w:sz w:val="32"/>
          <w:szCs w:val="32"/>
          <w:highlight w:val="none"/>
        </w:rPr>
      </w:pPr>
      <w:r>
        <w:rPr>
          <w:rFonts w:ascii="Times New Roman" w:hAnsi="Times New Roman" w:cs="Times New Roman"/>
          <w:bCs/>
          <w:color w:val="auto"/>
          <w:sz w:val="32"/>
          <w:szCs w:val="32"/>
          <w:highlight w:val="none"/>
        </w:rPr>
        <w:t>五、一般公共预算财政拨款支出决算情况说明</w:t>
      </w:r>
    </w:p>
    <w:p w14:paraId="44A163C4">
      <w:pPr>
        <w:pStyle w:val="14"/>
        <w:overflowPunct w:val="0"/>
        <w:autoSpaceDE/>
        <w:autoSpaceDN/>
        <w:spacing w:line="600" w:lineRule="exact"/>
        <w:ind w:firstLine="640" w:firstLineChars="200"/>
        <w:jc w:val="both"/>
        <w:rPr>
          <w:rFonts w:ascii="Times New Roman" w:hAnsi="Times New Roman" w:eastAsia="楷体_GB2312" w:cs="Times New Roman"/>
          <w:b/>
          <w:color w:val="auto"/>
          <w:sz w:val="32"/>
          <w:szCs w:val="32"/>
          <w:highlight w:val="none"/>
        </w:rPr>
      </w:pPr>
      <w:r>
        <w:rPr>
          <w:rFonts w:ascii="Times New Roman" w:hAnsi="Times New Roman" w:eastAsia="楷体_GB2312" w:cs="Times New Roman"/>
          <w:b/>
          <w:color w:val="auto"/>
          <w:sz w:val="32"/>
          <w:szCs w:val="32"/>
          <w:highlight w:val="none"/>
        </w:rPr>
        <w:t>（一）一般公共预算财政拨款支出决算总体情况</w:t>
      </w:r>
    </w:p>
    <w:p w14:paraId="26A82394">
      <w:pPr>
        <w:pStyle w:val="14"/>
        <w:overflowPunct w:val="0"/>
        <w:autoSpaceDE/>
        <w:autoSpaceDN/>
        <w:spacing w:line="600" w:lineRule="exact"/>
        <w:ind w:firstLine="640" w:firstLineChars="200"/>
        <w:jc w:val="both"/>
        <w:rPr>
          <w:rFonts w:hint="eastAsia" w:ascii="宋体" w:hAnsi="宋体" w:eastAsia="宋体"/>
          <w:color w:val="auto"/>
          <w:sz w:val="32"/>
          <w:szCs w:val="32"/>
          <w:highlight w:val="none"/>
          <w:lang w:val="en-US" w:eastAsia="zh-CN"/>
        </w:rPr>
      </w:pPr>
      <w:r>
        <w:rPr>
          <w:rFonts w:hint="eastAsia" w:ascii="Times New Roman" w:hAnsi="Times New Roman" w:eastAsia="仿宋_GB2312" w:cs="Times New Roman"/>
          <w:bCs/>
          <w:color w:val="auto"/>
          <w:kern w:val="0"/>
          <w:sz w:val="32"/>
          <w:szCs w:val="32"/>
          <w:highlight w:val="none"/>
          <w:lang w:eastAsia="zh-CN"/>
        </w:rPr>
        <w:t>2025</w:t>
      </w:r>
      <w:r>
        <w:rPr>
          <w:rFonts w:ascii="Times New Roman" w:hAnsi="Times New Roman" w:eastAsia="仿宋_GB2312" w:cs="Times New Roman"/>
          <w:bCs/>
          <w:color w:val="auto"/>
          <w:kern w:val="0"/>
          <w:sz w:val="32"/>
          <w:szCs w:val="32"/>
          <w:highlight w:val="none"/>
        </w:rPr>
        <w:t>年度财政拨款支出</w:t>
      </w:r>
      <w:r>
        <w:rPr>
          <w:rFonts w:hint="eastAsia" w:ascii="Times New Roman" w:hAnsi="Times New Roman" w:eastAsia="仿宋_GB2312" w:cs="Times New Roman"/>
          <w:bCs/>
          <w:color w:val="auto"/>
          <w:kern w:val="0"/>
          <w:sz w:val="32"/>
          <w:szCs w:val="32"/>
          <w:highlight w:val="none"/>
          <w:lang w:val="en-US" w:eastAsia="zh-CN"/>
        </w:rPr>
        <w:t>16038.73</w:t>
      </w:r>
      <w:r>
        <w:rPr>
          <w:rFonts w:ascii="Times New Roman" w:hAnsi="Times New Roman" w:eastAsia="仿宋_GB2312" w:cs="Times New Roman"/>
          <w:bCs/>
          <w:color w:val="auto"/>
          <w:kern w:val="0"/>
          <w:sz w:val="32"/>
          <w:szCs w:val="32"/>
          <w:highlight w:val="none"/>
        </w:rPr>
        <w:t>万元，占本年支出合计的</w:t>
      </w:r>
      <w:r>
        <w:rPr>
          <w:rFonts w:hint="eastAsia" w:ascii="Times New Roman" w:hAnsi="Times New Roman" w:eastAsia="仿宋_GB2312" w:cs="Times New Roman"/>
          <w:bCs/>
          <w:color w:val="auto"/>
          <w:kern w:val="0"/>
          <w:sz w:val="32"/>
          <w:szCs w:val="32"/>
          <w:highlight w:val="none"/>
          <w:lang w:val="en-US" w:eastAsia="zh-CN"/>
        </w:rPr>
        <w:t>100</w:t>
      </w:r>
      <w:r>
        <w:rPr>
          <w:rFonts w:ascii="Times New Roman" w:hAnsi="Times New Roman" w:eastAsia="仿宋_GB2312" w:cs="Times New Roman"/>
          <w:bCs/>
          <w:color w:val="auto"/>
          <w:kern w:val="0"/>
          <w:sz w:val="32"/>
          <w:szCs w:val="32"/>
          <w:highlight w:val="none"/>
        </w:rPr>
        <w:t>%，与上年相比，财政拨款支出</w:t>
      </w:r>
      <w:r>
        <w:rPr>
          <w:rFonts w:hint="eastAsia" w:ascii="Times New Roman" w:hAnsi="Times New Roman" w:eastAsia="仿宋_GB2312" w:cs="Times New Roman"/>
          <w:bCs/>
          <w:color w:val="auto"/>
          <w:kern w:val="0"/>
          <w:sz w:val="32"/>
          <w:szCs w:val="32"/>
          <w:highlight w:val="none"/>
          <w:lang w:eastAsia="zh-CN"/>
        </w:rPr>
        <w:t>减少</w:t>
      </w:r>
      <w:r>
        <w:rPr>
          <w:rFonts w:hint="eastAsia" w:ascii="Times New Roman" w:hAnsi="Times New Roman" w:eastAsia="仿宋_GB2312" w:cs="Times New Roman"/>
          <w:bCs/>
          <w:color w:val="auto"/>
          <w:kern w:val="0"/>
          <w:sz w:val="32"/>
          <w:szCs w:val="32"/>
          <w:highlight w:val="none"/>
          <w:lang w:val="en-US" w:eastAsia="zh-CN"/>
        </w:rPr>
        <w:t>1109.9</w:t>
      </w:r>
      <w:r>
        <w:rPr>
          <w:rFonts w:ascii="Times New Roman" w:hAnsi="Times New Roman" w:eastAsia="仿宋_GB2312" w:cs="Times New Roman"/>
          <w:bCs/>
          <w:color w:val="auto"/>
          <w:kern w:val="0"/>
          <w:sz w:val="32"/>
          <w:szCs w:val="32"/>
          <w:highlight w:val="none"/>
        </w:rPr>
        <w:t>万元，</w:t>
      </w:r>
      <w:r>
        <w:rPr>
          <w:rFonts w:hint="eastAsia" w:ascii="Times New Roman" w:hAnsi="Times New Roman" w:eastAsia="仿宋_GB2312" w:cs="Times New Roman"/>
          <w:bCs/>
          <w:color w:val="auto"/>
          <w:kern w:val="0"/>
          <w:sz w:val="32"/>
          <w:szCs w:val="32"/>
          <w:highlight w:val="none"/>
          <w:lang w:eastAsia="zh-CN"/>
        </w:rPr>
        <w:t>减少</w:t>
      </w:r>
      <w:r>
        <w:rPr>
          <w:rFonts w:hint="eastAsia" w:ascii="Times New Roman" w:hAnsi="Times New Roman" w:eastAsia="仿宋_GB2312" w:cs="Times New Roman"/>
          <w:bCs/>
          <w:color w:val="auto"/>
          <w:kern w:val="0"/>
          <w:sz w:val="32"/>
          <w:szCs w:val="32"/>
          <w:highlight w:val="none"/>
          <w:lang w:val="en-US" w:eastAsia="zh-CN"/>
        </w:rPr>
        <w:t>6.47</w:t>
      </w:r>
      <w:r>
        <w:rPr>
          <w:rFonts w:ascii="Times New Roman" w:hAnsi="Times New Roman" w:eastAsia="仿宋_GB2312" w:cs="Times New Roman"/>
          <w:bCs/>
          <w:color w:val="auto"/>
          <w:kern w:val="0"/>
          <w:sz w:val="32"/>
          <w:szCs w:val="32"/>
          <w:highlight w:val="none"/>
        </w:rPr>
        <w:t>%，主要是因为</w:t>
      </w:r>
      <w:r>
        <w:rPr>
          <w:rFonts w:hint="eastAsia" w:ascii="Times New Roman" w:hAnsi="Times New Roman" w:eastAsia="仿宋_GB2312" w:cs="Times New Roman"/>
          <w:bCs/>
          <w:color w:val="auto"/>
          <w:kern w:val="0"/>
          <w:sz w:val="32"/>
          <w:szCs w:val="32"/>
          <w:highlight w:val="none"/>
          <w:lang w:val="en-US" w:eastAsia="zh-CN"/>
        </w:rPr>
        <w:t>本年公共安全支出较上年减少 1141.82万元；本年社会保障和就业支出较上年减少 234.5万元；住房保障支出较上年减少57.63万元。</w:t>
      </w:r>
    </w:p>
    <w:p w14:paraId="1052B599">
      <w:pPr>
        <w:pStyle w:val="14"/>
        <w:overflowPunct w:val="0"/>
        <w:autoSpaceDE/>
        <w:autoSpaceDN/>
        <w:spacing w:line="600" w:lineRule="exact"/>
        <w:ind w:firstLine="640" w:firstLineChars="200"/>
        <w:jc w:val="both"/>
        <w:rPr>
          <w:rFonts w:ascii="Times New Roman" w:hAnsi="Times New Roman" w:eastAsia="楷体_GB2312" w:cs="Times New Roman"/>
          <w:b/>
          <w:color w:val="auto"/>
          <w:sz w:val="32"/>
          <w:szCs w:val="32"/>
          <w:highlight w:val="none"/>
        </w:rPr>
      </w:pPr>
      <w:r>
        <w:rPr>
          <w:rFonts w:ascii="Times New Roman" w:hAnsi="Times New Roman" w:eastAsia="楷体_GB2312" w:cs="Times New Roman"/>
          <w:b/>
          <w:color w:val="auto"/>
          <w:sz w:val="32"/>
          <w:szCs w:val="32"/>
          <w:highlight w:val="none"/>
        </w:rPr>
        <w:t>（二）一般公共预算财政拨款支出决算结构情况</w:t>
      </w:r>
    </w:p>
    <w:p w14:paraId="4EBED579">
      <w:pPr>
        <w:pStyle w:val="14"/>
        <w:ind w:firstLine="640" w:firstLineChars="200"/>
        <w:rPr>
          <w:rFonts w:ascii="Times New Roman" w:hAnsi="Times New Roman" w:eastAsia="仿宋_GB2312" w:cs="Times New Roman"/>
          <w:bCs/>
          <w:color w:val="auto"/>
          <w:kern w:val="0"/>
          <w:sz w:val="32"/>
          <w:szCs w:val="32"/>
          <w:highlight w:val="none"/>
          <w:lang w:val="en-US" w:eastAsia="zh-CN" w:bidi="ar-SA"/>
        </w:rPr>
      </w:pPr>
      <w:r>
        <w:rPr>
          <w:rFonts w:hint="eastAsia" w:ascii="Times New Roman" w:hAnsi="Times New Roman" w:eastAsia="仿宋_GB2312" w:cs="Times New Roman"/>
          <w:bCs/>
          <w:color w:val="auto"/>
          <w:kern w:val="0"/>
          <w:sz w:val="32"/>
          <w:szCs w:val="32"/>
          <w:highlight w:val="none"/>
          <w:lang w:val="en-US" w:eastAsia="zh-CN" w:bidi="ar-SA"/>
        </w:rPr>
        <w:t>2025</w:t>
      </w:r>
      <w:r>
        <w:rPr>
          <w:rFonts w:ascii="Times New Roman" w:hAnsi="Times New Roman" w:eastAsia="仿宋_GB2312" w:cs="Times New Roman"/>
          <w:bCs/>
          <w:color w:val="auto"/>
          <w:kern w:val="0"/>
          <w:sz w:val="32"/>
          <w:szCs w:val="32"/>
          <w:highlight w:val="none"/>
          <w:lang w:val="en-US" w:eastAsia="zh-CN" w:bidi="ar-SA"/>
        </w:rPr>
        <w:t>年度财政拨款支出</w:t>
      </w:r>
      <w:r>
        <w:rPr>
          <w:rFonts w:hint="eastAsia" w:ascii="Times New Roman" w:hAnsi="Times New Roman" w:eastAsia="仿宋_GB2312" w:cs="Times New Roman"/>
          <w:bCs/>
          <w:color w:val="auto"/>
          <w:kern w:val="0"/>
          <w:sz w:val="32"/>
          <w:szCs w:val="32"/>
          <w:highlight w:val="none"/>
          <w:lang w:val="en-US" w:eastAsia="zh-CN"/>
        </w:rPr>
        <w:t>16038.73</w:t>
      </w:r>
      <w:r>
        <w:rPr>
          <w:rFonts w:ascii="Times New Roman" w:hAnsi="Times New Roman" w:eastAsia="仿宋_GB2312" w:cs="Times New Roman"/>
          <w:bCs/>
          <w:color w:val="auto"/>
          <w:kern w:val="0"/>
          <w:sz w:val="32"/>
          <w:szCs w:val="32"/>
          <w:highlight w:val="none"/>
          <w:lang w:val="en-US" w:eastAsia="zh-CN" w:bidi="ar-SA"/>
        </w:rPr>
        <w:t>万元，主要用于以下方面：</w:t>
      </w:r>
      <w:r>
        <w:rPr>
          <w:rFonts w:hint="eastAsia" w:ascii="Times New Roman" w:hAnsi="Times New Roman" w:eastAsia="仿宋_GB2312" w:cs="Times New Roman"/>
          <w:bCs/>
          <w:color w:val="auto"/>
          <w:kern w:val="0"/>
          <w:sz w:val="32"/>
          <w:szCs w:val="32"/>
          <w:highlight w:val="none"/>
          <w:lang w:val="en-US" w:eastAsia="zh-CN" w:bidi="ar-SA"/>
        </w:rPr>
        <w:t>一般公安服务支出355.47万元，占比2.21</w:t>
      </w:r>
      <w:r>
        <w:rPr>
          <w:rFonts w:hint="default" w:ascii="Times New Roman" w:hAnsi="Times New Roman" w:eastAsia="仿宋_GB2312" w:cs="Times New Roman"/>
          <w:bCs/>
          <w:color w:val="auto"/>
          <w:kern w:val="0"/>
          <w:sz w:val="32"/>
          <w:szCs w:val="32"/>
          <w:highlight w:val="none"/>
          <w:lang w:val="en-US" w:eastAsia="zh-CN" w:bidi="ar-SA"/>
        </w:rPr>
        <w:t>%</w:t>
      </w:r>
      <w:r>
        <w:rPr>
          <w:rFonts w:hint="eastAsia" w:ascii="Times New Roman" w:hAnsi="Times New Roman" w:eastAsia="仿宋_GB2312" w:cs="Times New Roman"/>
          <w:bCs/>
          <w:color w:val="auto"/>
          <w:kern w:val="0"/>
          <w:sz w:val="32"/>
          <w:szCs w:val="32"/>
          <w:highlight w:val="none"/>
          <w:lang w:val="en-US" w:eastAsia="zh-CN" w:bidi="ar-SA"/>
        </w:rPr>
        <w:t>，公共安全（类）支出13930.82万元，占比86.9</w:t>
      </w:r>
      <w:r>
        <w:rPr>
          <w:rFonts w:hint="default" w:ascii="Times New Roman" w:hAnsi="Times New Roman" w:eastAsia="仿宋_GB2312" w:cs="Times New Roman"/>
          <w:bCs/>
          <w:color w:val="auto"/>
          <w:kern w:val="0"/>
          <w:sz w:val="32"/>
          <w:szCs w:val="32"/>
          <w:highlight w:val="none"/>
          <w:lang w:val="en-US" w:eastAsia="zh-CN" w:bidi="ar-SA"/>
        </w:rPr>
        <w:t>%</w:t>
      </w:r>
      <w:r>
        <w:rPr>
          <w:rFonts w:hint="eastAsia" w:ascii="Times New Roman" w:hAnsi="Times New Roman" w:eastAsia="仿宋_GB2312" w:cs="Times New Roman"/>
          <w:bCs/>
          <w:color w:val="auto"/>
          <w:kern w:val="0"/>
          <w:sz w:val="32"/>
          <w:szCs w:val="32"/>
          <w:highlight w:val="none"/>
          <w:lang w:val="en-US" w:eastAsia="zh-CN" w:bidi="ar-SA"/>
        </w:rPr>
        <w:t>，社会保障和就业（类）支出787.48万元，占比4.89</w:t>
      </w:r>
      <w:r>
        <w:rPr>
          <w:rFonts w:hint="default" w:ascii="Times New Roman" w:hAnsi="Times New Roman" w:eastAsia="仿宋_GB2312" w:cs="Times New Roman"/>
          <w:bCs/>
          <w:color w:val="auto"/>
          <w:kern w:val="0"/>
          <w:sz w:val="32"/>
          <w:szCs w:val="32"/>
          <w:highlight w:val="none"/>
          <w:lang w:val="en-US" w:eastAsia="zh-CN" w:bidi="ar-SA"/>
        </w:rPr>
        <w:t>%</w:t>
      </w:r>
      <w:r>
        <w:rPr>
          <w:rFonts w:hint="eastAsia" w:ascii="Times New Roman" w:hAnsi="Times New Roman" w:eastAsia="仿宋_GB2312" w:cs="Times New Roman"/>
          <w:bCs/>
          <w:color w:val="auto"/>
          <w:kern w:val="0"/>
          <w:sz w:val="32"/>
          <w:szCs w:val="32"/>
          <w:highlight w:val="none"/>
          <w:lang w:val="en-US" w:eastAsia="zh-CN" w:bidi="ar-SA"/>
        </w:rPr>
        <w:t>，卫生健康（类）支出262.56万元，占比1.63</w:t>
      </w:r>
      <w:r>
        <w:rPr>
          <w:rFonts w:hint="default" w:ascii="Times New Roman" w:hAnsi="Times New Roman" w:eastAsia="仿宋_GB2312" w:cs="Times New Roman"/>
          <w:bCs/>
          <w:color w:val="auto"/>
          <w:kern w:val="0"/>
          <w:sz w:val="32"/>
          <w:szCs w:val="32"/>
          <w:highlight w:val="none"/>
          <w:lang w:val="en-US" w:eastAsia="zh-CN" w:bidi="ar-SA"/>
        </w:rPr>
        <w:t>%</w:t>
      </w:r>
      <w:r>
        <w:rPr>
          <w:rFonts w:hint="eastAsia" w:ascii="Times New Roman" w:hAnsi="Times New Roman" w:eastAsia="仿宋_GB2312" w:cs="Times New Roman"/>
          <w:bCs/>
          <w:color w:val="auto"/>
          <w:kern w:val="0"/>
          <w:sz w:val="32"/>
          <w:szCs w:val="32"/>
          <w:highlight w:val="none"/>
          <w:lang w:val="en-US" w:eastAsia="zh-CN" w:bidi="ar-SA"/>
        </w:rPr>
        <w:t>，住房保障支出702.4万元，占比4.37</w:t>
      </w:r>
      <w:r>
        <w:rPr>
          <w:rFonts w:hint="default" w:ascii="Times New Roman" w:hAnsi="Times New Roman" w:eastAsia="仿宋_GB2312" w:cs="Times New Roman"/>
          <w:bCs/>
          <w:color w:val="auto"/>
          <w:kern w:val="0"/>
          <w:sz w:val="32"/>
          <w:szCs w:val="32"/>
          <w:highlight w:val="none"/>
          <w:lang w:val="en-US" w:eastAsia="zh-CN" w:bidi="ar-SA"/>
        </w:rPr>
        <w:t>%</w:t>
      </w:r>
      <w:r>
        <w:rPr>
          <w:rFonts w:hint="eastAsia" w:ascii="Times New Roman" w:hAnsi="Times New Roman" w:eastAsia="仿宋_GB2312" w:cs="Times New Roman"/>
          <w:bCs/>
          <w:color w:val="auto"/>
          <w:kern w:val="0"/>
          <w:sz w:val="32"/>
          <w:szCs w:val="32"/>
          <w:highlight w:val="none"/>
          <w:lang w:val="en-US" w:eastAsia="zh-CN" w:bidi="ar-SA"/>
        </w:rPr>
        <w:t xml:space="preserve">。 </w:t>
      </w:r>
    </w:p>
    <w:p w14:paraId="00BA099F">
      <w:pPr>
        <w:pStyle w:val="14"/>
        <w:overflowPunct w:val="0"/>
        <w:autoSpaceDE/>
        <w:autoSpaceDN/>
        <w:spacing w:line="600" w:lineRule="exact"/>
        <w:ind w:firstLine="640" w:firstLineChars="200"/>
        <w:jc w:val="both"/>
        <w:rPr>
          <w:rFonts w:ascii="Times New Roman" w:hAnsi="Times New Roman" w:eastAsia="楷体_GB2312" w:cs="Times New Roman"/>
          <w:b/>
          <w:color w:val="auto"/>
          <w:sz w:val="32"/>
          <w:szCs w:val="32"/>
          <w:highlight w:val="none"/>
        </w:rPr>
      </w:pPr>
      <w:r>
        <w:rPr>
          <w:rFonts w:ascii="Times New Roman" w:hAnsi="Times New Roman" w:eastAsia="楷体_GB2312" w:cs="Times New Roman"/>
          <w:b/>
          <w:color w:val="auto"/>
          <w:sz w:val="32"/>
          <w:szCs w:val="32"/>
          <w:highlight w:val="none"/>
        </w:rPr>
        <w:t>（三）一般公共预算财政拨款支出决算具体情况</w:t>
      </w:r>
    </w:p>
    <w:p w14:paraId="46AB73AC">
      <w:pPr>
        <w:pStyle w:val="14"/>
        <w:keepNext w:val="0"/>
        <w:keepLines w:val="0"/>
        <w:pageBreakBefore w:val="0"/>
        <w:kinsoku/>
        <w:wordWrap/>
        <w:overflowPunct/>
        <w:topLinePunct w:val="0"/>
        <w:bidi w:val="0"/>
        <w:snapToGrid/>
        <w:spacing w:line="240" w:lineRule="auto"/>
        <w:ind w:firstLine="800" w:firstLineChars="250"/>
        <w:rPr>
          <w:rFonts w:hint="eastAsia" w:ascii="Times New Roman" w:hAnsi="Times New Roman" w:eastAsia="仿宋_GB2312" w:cs="Times New Roman"/>
          <w:bCs/>
          <w:color w:val="auto"/>
          <w:kern w:val="0"/>
          <w:sz w:val="32"/>
          <w:szCs w:val="32"/>
          <w:highlight w:val="none"/>
          <w:lang w:val="en-US" w:eastAsia="zh-CN" w:bidi="ar-SA"/>
        </w:rPr>
      </w:pPr>
      <w:r>
        <w:rPr>
          <w:rFonts w:hint="eastAsia" w:ascii="Times New Roman" w:hAnsi="Times New Roman" w:eastAsia="仿宋_GB2312" w:cs="Times New Roman"/>
          <w:bCs/>
          <w:color w:val="auto"/>
          <w:kern w:val="0"/>
          <w:sz w:val="32"/>
          <w:szCs w:val="32"/>
          <w:highlight w:val="none"/>
          <w:lang w:val="en-US" w:eastAsia="zh-CN" w:bidi="ar-SA"/>
        </w:rPr>
        <w:t>2025年度财政拨款支出年初预算数为14184.36万元，支出决算数为16038.73万元，完成年初预算的113.07</w:t>
      </w:r>
      <w:r>
        <w:rPr>
          <w:rFonts w:ascii="Times New Roman" w:hAnsi="Times New Roman" w:eastAsia="仿宋_GB2312" w:cs="Times New Roman"/>
          <w:bCs/>
          <w:color w:val="auto"/>
          <w:kern w:val="0"/>
          <w:sz w:val="32"/>
          <w:szCs w:val="32"/>
          <w:highlight w:val="none"/>
          <w:lang w:val="en-US" w:eastAsia="zh-CN" w:bidi="ar-SA"/>
        </w:rPr>
        <w:t>%</w:t>
      </w:r>
      <w:r>
        <w:rPr>
          <w:rFonts w:hint="eastAsia" w:ascii="Times New Roman" w:hAnsi="Times New Roman" w:eastAsia="仿宋_GB2312" w:cs="Times New Roman"/>
          <w:bCs/>
          <w:color w:val="auto"/>
          <w:kern w:val="0"/>
          <w:sz w:val="32"/>
          <w:szCs w:val="32"/>
          <w:highlight w:val="none"/>
          <w:lang w:val="en-US" w:eastAsia="zh-CN" w:bidi="ar-SA"/>
        </w:rPr>
        <w:t>，其中：</w:t>
      </w:r>
    </w:p>
    <w:p w14:paraId="468105C8">
      <w:pPr>
        <w:pStyle w:val="8"/>
        <w:keepNext w:val="0"/>
        <w:keepLines w:val="0"/>
        <w:pageBreakBefore w:val="0"/>
        <w:widowControl/>
        <w:shd w:val="clear" w:color="auto" w:fill="FFFFFF"/>
        <w:kinsoku/>
        <w:wordWrap/>
        <w:overflowPunct/>
        <w:topLinePunct w:val="0"/>
        <w:bidi w:val="0"/>
        <w:snapToGrid/>
        <w:spacing w:before="225" w:beforeAutospacing="0" w:afterAutospacing="0" w:line="240" w:lineRule="auto"/>
        <w:ind w:firstLine="800"/>
        <w:textAlignment w:val="baseline"/>
        <w:rPr>
          <w:rFonts w:ascii="Times New Roman" w:hAnsi="Times New Roman" w:eastAsia="仿宋_GB2312" w:cs="Times New Roman"/>
          <w:bCs/>
          <w:color w:val="auto"/>
          <w:kern w:val="0"/>
          <w:sz w:val="32"/>
          <w:szCs w:val="32"/>
          <w:highlight w:val="none"/>
          <w:lang w:val="en-US" w:eastAsia="zh-CN" w:bidi="ar-SA"/>
        </w:rPr>
      </w:pPr>
      <w:r>
        <w:rPr>
          <w:rFonts w:hint="eastAsia" w:ascii="Times New Roman" w:hAnsi="Times New Roman" w:eastAsia="仿宋_GB2312" w:cs="Times New Roman"/>
          <w:bCs/>
          <w:color w:val="auto"/>
          <w:kern w:val="0"/>
          <w:sz w:val="32"/>
          <w:szCs w:val="32"/>
          <w:highlight w:val="none"/>
          <w:lang w:val="en-US" w:eastAsia="zh-CN" w:bidi="ar-SA"/>
        </w:rPr>
        <w:t>1、一般公共服务支出（类）其他一般公共服务支出（款） 其他一般公共服务支出（项）。</w:t>
      </w:r>
    </w:p>
    <w:p w14:paraId="47B0D0F2">
      <w:pPr>
        <w:pStyle w:val="8"/>
        <w:keepNext w:val="0"/>
        <w:keepLines w:val="0"/>
        <w:pageBreakBefore w:val="0"/>
        <w:widowControl/>
        <w:shd w:val="clear" w:color="auto" w:fill="FFFFFF"/>
        <w:kinsoku/>
        <w:wordWrap/>
        <w:overflowPunct/>
        <w:topLinePunct w:val="0"/>
        <w:bidi w:val="0"/>
        <w:snapToGrid/>
        <w:spacing w:before="225" w:beforeAutospacing="0" w:afterAutospacing="0" w:line="240" w:lineRule="auto"/>
        <w:ind w:firstLine="800"/>
        <w:textAlignment w:val="baseline"/>
        <w:rPr>
          <w:rFonts w:hint="eastAsia" w:ascii="Times New Roman" w:hAnsi="Times New Roman" w:eastAsia="仿宋_GB2312" w:cs="Times New Roman"/>
          <w:bCs/>
          <w:color w:val="auto"/>
          <w:kern w:val="0"/>
          <w:sz w:val="32"/>
          <w:szCs w:val="32"/>
          <w:highlight w:val="none"/>
          <w:lang w:val="en-US" w:eastAsia="zh-CN" w:bidi="ar-SA"/>
        </w:rPr>
      </w:pPr>
      <w:r>
        <w:rPr>
          <w:rFonts w:hint="eastAsia" w:ascii="Times New Roman" w:hAnsi="Times New Roman" w:eastAsia="仿宋_GB2312" w:cs="Times New Roman"/>
          <w:bCs/>
          <w:color w:val="auto"/>
          <w:kern w:val="0"/>
          <w:sz w:val="32"/>
          <w:szCs w:val="32"/>
          <w:highlight w:val="none"/>
          <w:lang w:val="en-US" w:eastAsia="zh-CN" w:bidi="ar-SA"/>
        </w:rPr>
        <w:t>年初预算为0万元，支出决算为355.47万元，较年初预算增加355.47万元，决算数大于年初预算数的主要原因是：该资金为民警工资奖金津补贴，未列入我单位年初预算，故预决算存在此差异。</w:t>
      </w:r>
    </w:p>
    <w:p w14:paraId="44B61747">
      <w:pPr>
        <w:pStyle w:val="8"/>
        <w:keepNext w:val="0"/>
        <w:keepLines w:val="0"/>
        <w:pageBreakBefore w:val="0"/>
        <w:widowControl/>
        <w:shd w:val="clear" w:color="auto" w:fill="FFFFFF"/>
        <w:kinsoku/>
        <w:wordWrap/>
        <w:overflowPunct/>
        <w:topLinePunct w:val="0"/>
        <w:bidi w:val="0"/>
        <w:snapToGrid/>
        <w:spacing w:before="225" w:beforeAutospacing="0" w:afterAutospacing="0" w:line="240" w:lineRule="auto"/>
        <w:ind w:firstLine="800"/>
        <w:textAlignment w:val="baseline"/>
        <w:rPr>
          <w:rFonts w:hint="default" w:ascii="Times New Roman" w:hAnsi="Times New Roman" w:eastAsia="仿宋_GB2312" w:cs="Times New Roman"/>
          <w:bCs/>
          <w:color w:val="auto"/>
          <w:kern w:val="0"/>
          <w:sz w:val="32"/>
          <w:szCs w:val="32"/>
          <w:highlight w:val="none"/>
          <w:lang w:val="en-US" w:eastAsia="zh-CN" w:bidi="ar-SA"/>
        </w:rPr>
      </w:pPr>
      <w:r>
        <w:rPr>
          <w:rFonts w:hint="eastAsia" w:ascii="Times New Roman" w:hAnsi="Times New Roman" w:eastAsia="仿宋_GB2312" w:cs="Times New Roman"/>
          <w:bCs/>
          <w:color w:val="auto"/>
          <w:kern w:val="0"/>
          <w:sz w:val="32"/>
          <w:szCs w:val="32"/>
          <w:highlight w:val="none"/>
          <w:lang w:val="en-US" w:eastAsia="zh-CN" w:bidi="ar-SA"/>
        </w:rPr>
        <w:t>2、公共安全支出（类）公安（款） 行政运行（项）。</w:t>
      </w:r>
    </w:p>
    <w:p w14:paraId="6E6A5AAA">
      <w:pPr>
        <w:pStyle w:val="8"/>
        <w:keepNext w:val="0"/>
        <w:keepLines w:val="0"/>
        <w:pageBreakBefore w:val="0"/>
        <w:widowControl/>
        <w:shd w:val="clear" w:color="auto" w:fill="FFFFFF"/>
        <w:kinsoku/>
        <w:wordWrap/>
        <w:overflowPunct/>
        <w:topLinePunct w:val="0"/>
        <w:bidi w:val="0"/>
        <w:snapToGrid/>
        <w:spacing w:before="225" w:beforeAutospacing="0" w:afterAutospacing="0" w:line="240" w:lineRule="auto"/>
        <w:ind w:firstLine="800"/>
        <w:textAlignment w:val="baseline"/>
        <w:rPr>
          <w:rFonts w:hint="eastAsia" w:ascii="Times New Roman" w:hAnsi="Times New Roman" w:eastAsia="仿宋_GB2312" w:cs="Times New Roman"/>
          <w:bCs/>
          <w:color w:val="auto"/>
          <w:kern w:val="0"/>
          <w:sz w:val="32"/>
          <w:szCs w:val="32"/>
          <w:highlight w:val="none"/>
          <w:lang w:val="en-US" w:eastAsia="zh-CN" w:bidi="ar-SA"/>
        </w:rPr>
      </w:pPr>
      <w:r>
        <w:rPr>
          <w:rFonts w:hint="eastAsia" w:ascii="Times New Roman" w:hAnsi="Times New Roman" w:eastAsia="仿宋_GB2312" w:cs="Times New Roman"/>
          <w:bCs/>
          <w:color w:val="auto"/>
          <w:kern w:val="0"/>
          <w:sz w:val="32"/>
          <w:szCs w:val="32"/>
          <w:highlight w:val="none"/>
          <w:lang w:val="en-US" w:eastAsia="zh-CN" w:bidi="ar-SA"/>
        </w:rPr>
        <w:t>年初预算为7281.56万元，支出决算为7822.5万元，完成年初预算的107.43%，决算数大于年初预算数的主要原因是：民警交通补助、遗属生活补助、退休费、离退休人员春节一次性生活补助均未列入我单位年初预算，故预决算存在此差异。</w:t>
      </w:r>
    </w:p>
    <w:p w14:paraId="1F10EBD6">
      <w:pPr>
        <w:pStyle w:val="8"/>
        <w:keepNext w:val="0"/>
        <w:keepLines w:val="0"/>
        <w:pageBreakBefore w:val="0"/>
        <w:widowControl/>
        <w:numPr>
          <w:ilvl w:val="0"/>
          <w:numId w:val="1"/>
        </w:numPr>
        <w:shd w:val="clear" w:color="auto" w:fill="FFFFFF"/>
        <w:kinsoku/>
        <w:wordWrap/>
        <w:overflowPunct/>
        <w:topLinePunct w:val="0"/>
        <w:bidi w:val="0"/>
        <w:snapToGrid/>
        <w:spacing w:before="225" w:beforeAutospacing="0" w:afterAutospacing="0" w:line="240" w:lineRule="auto"/>
        <w:ind w:firstLine="800"/>
        <w:textAlignment w:val="baseline"/>
        <w:rPr>
          <w:rFonts w:hint="eastAsia" w:ascii="Times New Roman" w:hAnsi="Times New Roman" w:eastAsia="仿宋_GB2312" w:cs="Times New Roman"/>
          <w:bCs/>
          <w:color w:val="auto"/>
          <w:kern w:val="0"/>
          <w:sz w:val="32"/>
          <w:szCs w:val="32"/>
          <w:highlight w:val="none"/>
          <w:lang w:val="en-US" w:eastAsia="zh-CN" w:bidi="ar-SA"/>
        </w:rPr>
      </w:pPr>
      <w:r>
        <w:rPr>
          <w:rFonts w:hint="eastAsia" w:ascii="Times New Roman" w:hAnsi="Times New Roman" w:eastAsia="仿宋_GB2312" w:cs="Times New Roman"/>
          <w:bCs/>
          <w:color w:val="auto"/>
          <w:kern w:val="0"/>
          <w:sz w:val="32"/>
          <w:szCs w:val="32"/>
          <w:highlight w:val="none"/>
          <w:lang w:val="en-US" w:eastAsia="zh-CN" w:bidi="ar-SA"/>
        </w:rPr>
        <w:t>公共安全支出（类）公安（款）</w:t>
      </w:r>
      <w:r>
        <w:rPr>
          <w:rFonts w:ascii="Times New Roman" w:hAnsi="Times New Roman" w:eastAsia="仿宋_GB2312" w:cs="Times New Roman"/>
          <w:bCs/>
          <w:color w:val="auto"/>
          <w:kern w:val="0"/>
          <w:sz w:val="32"/>
          <w:szCs w:val="32"/>
          <w:highlight w:val="none"/>
          <w:lang w:val="en-US" w:eastAsia="zh-CN" w:bidi="ar-SA"/>
        </w:rPr>
        <w:t> </w:t>
      </w:r>
      <w:r>
        <w:rPr>
          <w:rFonts w:hint="eastAsia" w:ascii="Times New Roman" w:hAnsi="Times New Roman" w:eastAsia="仿宋_GB2312" w:cs="Times New Roman"/>
          <w:bCs/>
          <w:color w:val="auto"/>
          <w:kern w:val="0"/>
          <w:sz w:val="32"/>
          <w:szCs w:val="32"/>
          <w:highlight w:val="none"/>
          <w:lang w:val="en-US" w:eastAsia="zh-CN" w:bidi="ar-SA"/>
        </w:rPr>
        <w:t>一般行政管理事务（项）。</w:t>
      </w:r>
    </w:p>
    <w:p w14:paraId="7F5B2ABC">
      <w:pPr>
        <w:pStyle w:val="8"/>
        <w:keepNext w:val="0"/>
        <w:keepLines w:val="0"/>
        <w:pageBreakBefore w:val="0"/>
        <w:widowControl/>
        <w:numPr>
          <w:ilvl w:val="0"/>
          <w:numId w:val="0"/>
        </w:numPr>
        <w:shd w:val="clear" w:color="auto" w:fill="FFFFFF"/>
        <w:kinsoku/>
        <w:wordWrap/>
        <w:overflowPunct/>
        <w:topLinePunct w:val="0"/>
        <w:bidi w:val="0"/>
        <w:snapToGrid/>
        <w:spacing w:before="225" w:beforeAutospacing="0" w:afterAutospacing="0" w:line="240" w:lineRule="auto"/>
        <w:ind w:firstLine="640" w:firstLineChars="200"/>
        <w:textAlignment w:val="baseline"/>
        <w:rPr>
          <w:rFonts w:hint="default" w:ascii="Times New Roman" w:hAnsi="Times New Roman" w:eastAsia="仿宋_GB2312" w:cs="Times New Roman"/>
          <w:bCs/>
          <w:color w:val="auto"/>
          <w:kern w:val="0"/>
          <w:sz w:val="32"/>
          <w:szCs w:val="32"/>
          <w:highlight w:val="none"/>
          <w:lang w:val="en-US" w:eastAsia="zh-CN" w:bidi="ar-SA"/>
        </w:rPr>
      </w:pPr>
      <w:r>
        <w:rPr>
          <w:rFonts w:hint="eastAsia" w:ascii="Times New Roman" w:hAnsi="Times New Roman" w:eastAsia="仿宋_GB2312" w:cs="Times New Roman"/>
          <w:bCs/>
          <w:color w:val="auto"/>
          <w:kern w:val="0"/>
          <w:sz w:val="32"/>
          <w:szCs w:val="32"/>
          <w:highlight w:val="none"/>
          <w:lang w:val="en-US" w:eastAsia="zh-CN" w:bidi="ar-SA"/>
        </w:rPr>
        <w:t>年初预算为 0万元，支出决算为54.38万元，较年初预算增加54.38万元，决算数大于年初预算数的主要原因是：主要为中央和省级转移支付资金未列入我单位年初预算，故预决算存在此差异。</w:t>
      </w:r>
    </w:p>
    <w:p w14:paraId="0916B3BB">
      <w:pPr>
        <w:pStyle w:val="8"/>
        <w:keepNext w:val="0"/>
        <w:keepLines w:val="0"/>
        <w:pageBreakBefore w:val="0"/>
        <w:widowControl/>
        <w:shd w:val="clear" w:color="auto" w:fill="FFFFFF"/>
        <w:kinsoku/>
        <w:wordWrap/>
        <w:overflowPunct/>
        <w:topLinePunct w:val="0"/>
        <w:bidi w:val="0"/>
        <w:snapToGrid/>
        <w:spacing w:before="225" w:beforeAutospacing="0" w:afterAutospacing="0" w:line="240" w:lineRule="auto"/>
        <w:ind w:firstLine="800"/>
        <w:textAlignment w:val="baseline"/>
        <w:rPr>
          <w:rFonts w:hint="eastAsia" w:ascii="Times New Roman" w:hAnsi="Times New Roman" w:eastAsia="仿宋_GB2312" w:cs="Times New Roman"/>
          <w:bCs/>
          <w:color w:val="auto"/>
          <w:kern w:val="0"/>
          <w:sz w:val="32"/>
          <w:szCs w:val="32"/>
          <w:highlight w:val="none"/>
          <w:lang w:val="en-US" w:eastAsia="zh-CN" w:bidi="ar-SA"/>
        </w:rPr>
      </w:pPr>
      <w:r>
        <w:rPr>
          <w:rFonts w:hint="eastAsia" w:ascii="Times New Roman" w:hAnsi="Times New Roman" w:eastAsia="仿宋_GB2312" w:cs="Times New Roman"/>
          <w:bCs/>
          <w:color w:val="auto"/>
          <w:kern w:val="0"/>
          <w:sz w:val="32"/>
          <w:szCs w:val="32"/>
          <w:highlight w:val="none"/>
          <w:lang w:val="en-US" w:eastAsia="zh-CN" w:bidi="ar-SA"/>
        </w:rPr>
        <w:t>4、公共安全支出（类）公安（款）执法办案（项）。</w:t>
      </w:r>
    </w:p>
    <w:p w14:paraId="646E70D7">
      <w:pPr>
        <w:pStyle w:val="8"/>
        <w:keepNext w:val="0"/>
        <w:keepLines w:val="0"/>
        <w:pageBreakBefore w:val="0"/>
        <w:widowControl/>
        <w:shd w:val="clear" w:color="auto" w:fill="FFFFFF"/>
        <w:kinsoku/>
        <w:wordWrap/>
        <w:overflowPunct/>
        <w:topLinePunct w:val="0"/>
        <w:bidi w:val="0"/>
        <w:snapToGrid/>
        <w:spacing w:before="225" w:beforeAutospacing="0" w:afterAutospacing="0" w:line="240" w:lineRule="auto"/>
        <w:ind w:firstLine="800"/>
        <w:textAlignment w:val="baseline"/>
        <w:rPr>
          <w:rFonts w:hint="default" w:ascii="Times New Roman" w:hAnsi="Times New Roman" w:eastAsia="仿宋_GB2312" w:cs="Times New Roman"/>
          <w:bCs/>
          <w:color w:val="auto"/>
          <w:kern w:val="0"/>
          <w:sz w:val="32"/>
          <w:szCs w:val="32"/>
          <w:highlight w:val="none"/>
          <w:lang w:val="en-US" w:eastAsia="zh-CN" w:bidi="ar-SA"/>
        </w:rPr>
      </w:pPr>
      <w:r>
        <w:rPr>
          <w:rFonts w:hint="eastAsia" w:ascii="Times New Roman" w:hAnsi="Times New Roman" w:eastAsia="仿宋_GB2312" w:cs="Times New Roman"/>
          <w:bCs/>
          <w:color w:val="auto"/>
          <w:kern w:val="0"/>
          <w:sz w:val="32"/>
          <w:szCs w:val="32"/>
          <w:highlight w:val="none"/>
          <w:lang w:val="en-US" w:eastAsia="zh-CN" w:bidi="ar-SA"/>
        </w:rPr>
        <w:t>年初预算为0万元，支出决算为506.5万元，较年初预算增加506.5万元，决算数大于年初预算数的主要原因是：主要为中央和省级转移支付资金、上级专款全省公安机关二代证与出入境证照业务工作经费未列入我单位年初预算，故预决算存在此差异。</w:t>
      </w:r>
    </w:p>
    <w:p w14:paraId="2E0CD807">
      <w:pPr>
        <w:pStyle w:val="8"/>
        <w:keepNext w:val="0"/>
        <w:keepLines w:val="0"/>
        <w:pageBreakBefore w:val="0"/>
        <w:widowControl/>
        <w:shd w:val="clear" w:color="auto" w:fill="FFFFFF"/>
        <w:kinsoku/>
        <w:wordWrap/>
        <w:overflowPunct/>
        <w:topLinePunct w:val="0"/>
        <w:bidi w:val="0"/>
        <w:snapToGrid/>
        <w:spacing w:before="225" w:beforeAutospacing="0" w:afterAutospacing="0" w:line="240" w:lineRule="auto"/>
        <w:ind w:firstLine="800"/>
        <w:textAlignment w:val="baseline"/>
        <w:rPr>
          <w:rFonts w:ascii="Times New Roman" w:hAnsi="Times New Roman" w:eastAsia="仿宋_GB2312" w:cs="Times New Roman"/>
          <w:bCs/>
          <w:color w:val="auto"/>
          <w:kern w:val="0"/>
          <w:sz w:val="32"/>
          <w:szCs w:val="32"/>
          <w:highlight w:val="none"/>
          <w:lang w:val="en-US" w:eastAsia="zh-CN" w:bidi="ar-SA"/>
        </w:rPr>
      </w:pPr>
      <w:r>
        <w:rPr>
          <w:rFonts w:hint="eastAsia" w:ascii="Times New Roman" w:hAnsi="Times New Roman" w:eastAsia="仿宋_GB2312" w:cs="Times New Roman"/>
          <w:bCs/>
          <w:color w:val="auto"/>
          <w:kern w:val="0"/>
          <w:sz w:val="32"/>
          <w:szCs w:val="32"/>
          <w:highlight w:val="none"/>
          <w:lang w:val="en-US" w:eastAsia="zh-CN" w:bidi="ar-SA"/>
        </w:rPr>
        <w:t>5、公共安全支出（类）公安（款）</w:t>
      </w:r>
      <w:r>
        <w:rPr>
          <w:rFonts w:ascii="Times New Roman" w:hAnsi="Times New Roman" w:eastAsia="仿宋_GB2312" w:cs="Times New Roman"/>
          <w:bCs/>
          <w:color w:val="auto"/>
          <w:kern w:val="0"/>
          <w:sz w:val="32"/>
          <w:szCs w:val="32"/>
          <w:highlight w:val="none"/>
          <w:lang w:val="en-US" w:eastAsia="zh-CN" w:bidi="ar-SA"/>
        </w:rPr>
        <w:t> </w:t>
      </w:r>
      <w:r>
        <w:rPr>
          <w:rFonts w:hint="eastAsia" w:ascii="Times New Roman" w:hAnsi="Times New Roman" w:eastAsia="仿宋_GB2312" w:cs="Times New Roman"/>
          <w:bCs/>
          <w:color w:val="auto"/>
          <w:kern w:val="0"/>
          <w:sz w:val="32"/>
          <w:szCs w:val="32"/>
          <w:highlight w:val="none"/>
          <w:lang w:val="en-US" w:eastAsia="zh-CN" w:bidi="ar-SA"/>
        </w:rPr>
        <w:t>其他公安支出（项）。</w:t>
      </w:r>
    </w:p>
    <w:p w14:paraId="154C0912">
      <w:pPr>
        <w:pStyle w:val="8"/>
        <w:keepNext w:val="0"/>
        <w:keepLines w:val="0"/>
        <w:pageBreakBefore w:val="0"/>
        <w:widowControl/>
        <w:shd w:val="clear" w:color="auto" w:fill="FFFFFF"/>
        <w:kinsoku/>
        <w:wordWrap/>
        <w:overflowPunct/>
        <w:topLinePunct w:val="0"/>
        <w:bidi w:val="0"/>
        <w:snapToGrid/>
        <w:spacing w:before="225" w:beforeAutospacing="0" w:afterAutospacing="0" w:line="240" w:lineRule="auto"/>
        <w:ind w:firstLine="800"/>
        <w:textAlignment w:val="baseline"/>
        <w:rPr>
          <w:rFonts w:hint="default" w:ascii="Times New Roman" w:hAnsi="Times New Roman" w:eastAsia="仿宋_GB2312" w:cs="Times New Roman"/>
          <w:bCs/>
          <w:color w:val="auto"/>
          <w:kern w:val="0"/>
          <w:sz w:val="32"/>
          <w:szCs w:val="32"/>
          <w:highlight w:val="none"/>
          <w:lang w:val="en-US" w:eastAsia="zh-CN" w:bidi="ar-SA"/>
        </w:rPr>
      </w:pPr>
      <w:r>
        <w:rPr>
          <w:rFonts w:hint="eastAsia" w:ascii="Times New Roman" w:hAnsi="Times New Roman" w:eastAsia="仿宋_GB2312" w:cs="Times New Roman"/>
          <w:bCs/>
          <w:color w:val="auto"/>
          <w:kern w:val="0"/>
          <w:sz w:val="32"/>
          <w:szCs w:val="32"/>
          <w:highlight w:val="none"/>
          <w:lang w:val="en-US" w:eastAsia="zh-CN" w:bidi="ar-SA"/>
        </w:rPr>
        <w:t>年初预算为5088.7万元，支出决算为5435.84万元，完成年初预算的106.82%，决算数大于年初预算数的主要原因是：因为年初预算非税返还比例为15%，年终调整至84%，故有此差异。</w:t>
      </w:r>
    </w:p>
    <w:p w14:paraId="2E3C386F">
      <w:pPr>
        <w:pStyle w:val="8"/>
        <w:keepNext w:val="0"/>
        <w:keepLines w:val="0"/>
        <w:pageBreakBefore w:val="0"/>
        <w:widowControl/>
        <w:shd w:val="clear" w:color="auto" w:fill="FFFFFF"/>
        <w:kinsoku/>
        <w:wordWrap/>
        <w:overflowPunct/>
        <w:topLinePunct w:val="0"/>
        <w:bidi w:val="0"/>
        <w:snapToGrid/>
        <w:spacing w:before="225" w:beforeAutospacing="0" w:afterAutospacing="0" w:line="240" w:lineRule="auto"/>
        <w:ind w:left="319" w:leftChars="152" w:firstLine="320" w:firstLineChars="100"/>
        <w:textAlignment w:val="baseline"/>
        <w:rPr>
          <w:rFonts w:hint="eastAsia" w:ascii="Times New Roman" w:hAnsi="Times New Roman" w:eastAsia="仿宋_GB2312" w:cs="Times New Roman"/>
          <w:bCs/>
          <w:color w:val="auto"/>
          <w:kern w:val="0"/>
          <w:sz w:val="32"/>
          <w:szCs w:val="32"/>
          <w:highlight w:val="none"/>
          <w:lang w:val="en-US" w:eastAsia="zh-CN" w:bidi="ar-SA"/>
        </w:rPr>
      </w:pPr>
      <w:r>
        <w:rPr>
          <w:rFonts w:hint="eastAsia" w:ascii="Times New Roman" w:hAnsi="Times New Roman" w:eastAsia="仿宋_GB2312" w:cs="Times New Roman"/>
          <w:bCs/>
          <w:color w:val="auto"/>
          <w:kern w:val="0"/>
          <w:sz w:val="32"/>
          <w:szCs w:val="32"/>
          <w:highlight w:val="none"/>
          <w:lang w:val="en-US" w:eastAsia="zh-CN" w:bidi="ar-SA"/>
        </w:rPr>
        <w:t>6、公共安全支出（类）其他公共安全支出（款）其他公共安全支出（项）。</w:t>
      </w:r>
    </w:p>
    <w:p w14:paraId="68BD98D5">
      <w:pPr>
        <w:pStyle w:val="8"/>
        <w:keepNext w:val="0"/>
        <w:keepLines w:val="0"/>
        <w:pageBreakBefore w:val="0"/>
        <w:widowControl/>
        <w:shd w:val="clear" w:color="auto" w:fill="FFFFFF"/>
        <w:kinsoku/>
        <w:wordWrap/>
        <w:overflowPunct/>
        <w:topLinePunct w:val="0"/>
        <w:bidi w:val="0"/>
        <w:snapToGrid/>
        <w:spacing w:before="225" w:beforeAutospacing="0" w:afterAutospacing="0" w:line="240" w:lineRule="auto"/>
        <w:ind w:firstLine="640" w:firstLineChars="200"/>
        <w:textAlignment w:val="baseline"/>
        <w:rPr>
          <w:rFonts w:hint="default" w:ascii="Times New Roman" w:hAnsi="Times New Roman" w:eastAsia="仿宋_GB2312" w:cs="Times New Roman"/>
          <w:bCs/>
          <w:color w:val="auto"/>
          <w:kern w:val="0"/>
          <w:sz w:val="32"/>
          <w:szCs w:val="32"/>
          <w:highlight w:val="none"/>
          <w:lang w:val="en-US" w:eastAsia="zh-CN" w:bidi="ar-SA"/>
        </w:rPr>
      </w:pPr>
      <w:r>
        <w:rPr>
          <w:rFonts w:hint="eastAsia" w:ascii="Times New Roman" w:hAnsi="Times New Roman" w:eastAsia="仿宋_GB2312" w:cs="Times New Roman"/>
          <w:bCs/>
          <w:color w:val="auto"/>
          <w:kern w:val="0"/>
          <w:sz w:val="32"/>
          <w:szCs w:val="32"/>
          <w:highlight w:val="none"/>
          <w:lang w:val="en-US" w:eastAsia="zh-CN" w:bidi="ar-SA"/>
        </w:rPr>
        <w:t>年初预算为0万元，支出决算为111.6万元，较年初预算增加111.6万元，决算数大于年初预算数的主要原因是：本年度拘留所羁押人员给养费及扫黑除恶专项均未列入我单位年初预算，为年中调整，故预决算存在此差异。</w:t>
      </w:r>
    </w:p>
    <w:p w14:paraId="73F25333">
      <w:pPr>
        <w:pStyle w:val="8"/>
        <w:keepNext w:val="0"/>
        <w:keepLines w:val="0"/>
        <w:pageBreakBefore w:val="0"/>
        <w:widowControl/>
        <w:shd w:val="clear" w:color="auto" w:fill="FFFFFF"/>
        <w:kinsoku/>
        <w:wordWrap/>
        <w:overflowPunct/>
        <w:topLinePunct w:val="0"/>
        <w:bidi w:val="0"/>
        <w:snapToGrid/>
        <w:spacing w:before="225" w:beforeAutospacing="0" w:afterAutospacing="0" w:line="240" w:lineRule="auto"/>
        <w:ind w:firstLine="800"/>
        <w:textAlignment w:val="baseline"/>
        <w:rPr>
          <w:rFonts w:ascii="Times New Roman" w:hAnsi="Times New Roman" w:eastAsia="仿宋_GB2312" w:cs="Times New Roman"/>
          <w:bCs/>
          <w:color w:val="auto"/>
          <w:kern w:val="0"/>
          <w:sz w:val="32"/>
          <w:szCs w:val="32"/>
          <w:highlight w:val="none"/>
          <w:lang w:val="en-US" w:eastAsia="zh-CN" w:bidi="ar-SA"/>
        </w:rPr>
      </w:pPr>
      <w:r>
        <w:rPr>
          <w:rFonts w:hint="eastAsia" w:ascii="Times New Roman" w:hAnsi="Times New Roman" w:eastAsia="仿宋_GB2312" w:cs="Times New Roman"/>
          <w:bCs/>
          <w:color w:val="auto"/>
          <w:kern w:val="0"/>
          <w:sz w:val="32"/>
          <w:szCs w:val="32"/>
          <w:highlight w:val="none"/>
          <w:lang w:val="en-US" w:eastAsia="zh-CN" w:bidi="ar-SA"/>
        </w:rPr>
        <w:t>8、社会保障和就业支出（类）行政事业单位养老支出（款）机关事业单位养老保险缴费支出（项）。</w:t>
      </w:r>
    </w:p>
    <w:p w14:paraId="187091ED">
      <w:pPr>
        <w:pStyle w:val="8"/>
        <w:keepNext w:val="0"/>
        <w:keepLines w:val="0"/>
        <w:pageBreakBefore w:val="0"/>
        <w:widowControl/>
        <w:shd w:val="clear" w:color="auto" w:fill="FFFFFF"/>
        <w:kinsoku/>
        <w:wordWrap/>
        <w:overflowPunct/>
        <w:topLinePunct w:val="0"/>
        <w:bidi w:val="0"/>
        <w:snapToGrid/>
        <w:spacing w:before="225" w:beforeAutospacing="0" w:afterAutospacing="0" w:line="240" w:lineRule="auto"/>
        <w:ind w:firstLine="800"/>
        <w:textAlignment w:val="baseline"/>
        <w:rPr>
          <w:rFonts w:hint="default" w:ascii="Times New Roman" w:hAnsi="Times New Roman" w:eastAsia="仿宋_GB2312" w:cs="Times New Roman"/>
          <w:bCs/>
          <w:color w:val="auto"/>
          <w:kern w:val="0"/>
          <w:sz w:val="32"/>
          <w:szCs w:val="32"/>
          <w:highlight w:val="none"/>
          <w:lang w:val="en-US" w:eastAsia="zh-CN" w:bidi="ar-SA"/>
        </w:rPr>
      </w:pPr>
      <w:r>
        <w:rPr>
          <w:rFonts w:hint="eastAsia" w:ascii="Times New Roman" w:hAnsi="Times New Roman" w:eastAsia="仿宋_GB2312" w:cs="Times New Roman"/>
          <w:bCs/>
          <w:color w:val="auto"/>
          <w:kern w:val="0"/>
          <w:sz w:val="32"/>
          <w:szCs w:val="32"/>
          <w:highlight w:val="none"/>
          <w:lang w:val="en-US" w:eastAsia="zh-CN" w:bidi="ar-SA"/>
        </w:rPr>
        <w:t>年初预算为777.75万元，支出决算为787.48万元，完成年初预算的101.25%，决算数大于年初预算数的主要原因是：全额单位基本养老保险缴费9.72万元未列入我单位年初预算，为年中调整，故预决算存在此差异。</w:t>
      </w:r>
    </w:p>
    <w:p w14:paraId="6AC56F14">
      <w:pPr>
        <w:pStyle w:val="8"/>
        <w:keepNext w:val="0"/>
        <w:keepLines w:val="0"/>
        <w:pageBreakBefore w:val="0"/>
        <w:widowControl/>
        <w:shd w:val="clear" w:color="auto" w:fill="FFFFFF"/>
        <w:kinsoku/>
        <w:wordWrap/>
        <w:overflowPunct/>
        <w:topLinePunct w:val="0"/>
        <w:bidi w:val="0"/>
        <w:snapToGrid/>
        <w:spacing w:before="225" w:beforeAutospacing="0" w:afterAutospacing="0" w:line="240" w:lineRule="auto"/>
        <w:ind w:firstLine="800"/>
        <w:textAlignment w:val="baseline"/>
        <w:rPr>
          <w:rFonts w:ascii="Times New Roman" w:hAnsi="Times New Roman" w:eastAsia="仿宋_GB2312" w:cs="Times New Roman"/>
          <w:bCs/>
          <w:color w:val="auto"/>
          <w:kern w:val="0"/>
          <w:sz w:val="32"/>
          <w:szCs w:val="32"/>
          <w:highlight w:val="none"/>
          <w:lang w:val="en-US" w:eastAsia="zh-CN" w:bidi="ar-SA"/>
        </w:rPr>
      </w:pPr>
      <w:r>
        <w:rPr>
          <w:rFonts w:ascii="Times New Roman" w:hAnsi="Times New Roman" w:eastAsia="仿宋_GB2312" w:cs="Times New Roman"/>
          <w:bCs/>
          <w:color w:val="auto"/>
          <w:kern w:val="0"/>
          <w:sz w:val="32"/>
          <w:szCs w:val="32"/>
          <w:highlight w:val="none"/>
          <w:lang w:val="en-US" w:eastAsia="zh-CN" w:bidi="ar-SA"/>
        </w:rPr>
        <w:t>1</w:t>
      </w:r>
      <w:r>
        <w:rPr>
          <w:rFonts w:hint="eastAsia" w:ascii="Times New Roman" w:hAnsi="Times New Roman" w:eastAsia="仿宋_GB2312" w:cs="Times New Roman"/>
          <w:bCs/>
          <w:color w:val="auto"/>
          <w:kern w:val="0"/>
          <w:sz w:val="32"/>
          <w:szCs w:val="32"/>
          <w:highlight w:val="none"/>
          <w:lang w:val="en-US" w:eastAsia="zh-CN" w:bidi="ar-SA"/>
        </w:rPr>
        <w:t>0、卫生健康支出（类）行政事业单位医疗（款）</w:t>
      </w:r>
      <w:r>
        <w:rPr>
          <w:rFonts w:ascii="Times New Roman" w:hAnsi="Times New Roman" w:eastAsia="仿宋_GB2312" w:cs="Times New Roman"/>
          <w:bCs/>
          <w:color w:val="auto"/>
          <w:kern w:val="0"/>
          <w:sz w:val="32"/>
          <w:szCs w:val="32"/>
          <w:highlight w:val="none"/>
          <w:lang w:val="en-US" w:eastAsia="zh-CN" w:bidi="ar-SA"/>
        </w:rPr>
        <w:t> </w:t>
      </w:r>
      <w:r>
        <w:rPr>
          <w:rFonts w:hint="eastAsia" w:ascii="Times New Roman" w:hAnsi="Times New Roman" w:eastAsia="仿宋_GB2312" w:cs="Times New Roman"/>
          <w:bCs/>
          <w:color w:val="auto"/>
          <w:kern w:val="0"/>
          <w:sz w:val="32"/>
          <w:szCs w:val="32"/>
          <w:highlight w:val="none"/>
          <w:lang w:val="en-US" w:eastAsia="zh-CN" w:bidi="ar-SA"/>
        </w:rPr>
        <w:t>行政单位医疗（项）。</w:t>
      </w:r>
    </w:p>
    <w:p w14:paraId="3489232E">
      <w:pPr>
        <w:pStyle w:val="8"/>
        <w:keepNext w:val="0"/>
        <w:keepLines w:val="0"/>
        <w:pageBreakBefore w:val="0"/>
        <w:widowControl/>
        <w:shd w:val="clear" w:color="auto" w:fill="FFFFFF"/>
        <w:kinsoku/>
        <w:wordWrap/>
        <w:overflowPunct/>
        <w:topLinePunct w:val="0"/>
        <w:bidi w:val="0"/>
        <w:snapToGrid/>
        <w:spacing w:before="225" w:beforeAutospacing="0" w:afterAutospacing="0" w:line="240" w:lineRule="auto"/>
        <w:ind w:firstLine="800"/>
        <w:textAlignment w:val="baseline"/>
        <w:rPr>
          <w:color w:val="auto"/>
          <w:highlight w:val="none"/>
        </w:rPr>
      </w:pPr>
      <w:r>
        <w:rPr>
          <w:rFonts w:hint="eastAsia" w:ascii="Times New Roman" w:hAnsi="Times New Roman" w:eastAsia="仿宋_GB2312" w:cs="Times New Roman"/>
          <w:bCs/>
          <w:color w:val="auto"/>
          <w:kern w:val="0"/>
          <w:sz w:val="32"/>
          <w:szCs w:val="32"/>
          <w:highlight w:val="none"/>
          <w:lang w:val="en-US" w:eastAsia="zh-CN" w:bidi="ar-SA"/>
        </w:rPr>
        <w:t>年初预算为321.97万元，支出决算为262.56万元，完成年初预算的81.55%，决算数小于年初预算数的主要原因是：年初预算按年度工作任务测算编制，实际开支据实列支，厉行节约，形成该项差异</w:t>
      </w:r>
      <w:r>
        <w:rPr>
          <w:color w:val="auto"/>
          <w:highlight w:val="none"/>
        </w:rPr>
        <w:t>。</w:t>
      </w:r>
    </w:p>
    <w:p w14:paraId="2DFEA739">
      <w:pPr>
        <w:pStyle w:val="8"/>
        <w:keepNext w:val="0"/>
        <w:keepLines w:val="0"/>
        <w:pageBreakBefore w:val="0"/>
        <w:widowControl/>
        <w:shd w:val="clear" w:color="auto" w:fill="FFFFFF"/>
        <w:kinsoku/>
        <w:wordWrap/>
        <w:overflowPunct/>
        <w:topLinePunct w:val="0"/>
        <w:bidi w:val="0"/>
        <w:snapToGrid/>
        <w:spacing w:before="225" w:beforeAutospacing="0" w:afterAutospacing="0" w:line="240" w:lineRule="auto"/>
        <w:ind w:firstLine="800"/>
        <w:textAlignment w:val="baseline"/>
        <w:rPr>
          <w:rFonts w:ascii="Times New Roman" w:hAnsi="Times New Roman" w:eastAsia="仿宋_GB2312" w:cs="Times New Roman"/>
          <w:bCs/>
          <w:color w:val="auto"/>
          <w:kern w:val="0"/>
          <w:sz w:val="32"/>
          <w:szCs w:val="32"/>
          <w:highlight w:val="none"/>
          <w:lang w:val="en-US" w:eastAsia="zh-CN" w:bidi="ar-SA"/>
        </w:rPr>
      </w:pPr>
      <w:r>
        <w:rPr>
          <w:rFonts w:ascii="Times New Roman" w:hAnsi="Times New Roman" w:eastAsia="仿宋_GB2312" w:cs="Times New Roman"/>
          <w:bCs/>
          <w:color w:val="auto"/>
          <w:kern w:val="0"/>
          <w:sz w:val="32"/>
          <w:szCs w:val="32"/>
          <w:highlight w:val="none"/>
          <w:lang w:val="en-US" w:eastAsia="zh-CN" w:bidi="ar-SA"/>
        </w:rPr>
        <w:t>1</w:t>
      </w:r>
      <w:r>
        <w:rPr>
          <w:rFonts w:hint="eastAsia" w:ascii="Times New Roman" w:hAnsi="Times New Roman" w:eastAsia="仿宋_GB2312" w:cs="Times New Roman"/>
          <w:bCs/>
          <w:color w:val="auto"/>
          <w:kern w:val="0"/>
          <w:sz w:val="32"/>
          <w:szCs w:val="32"/>
          <w:highlight w:val="none"/>
          <w:lang w:val="en-US" w:eastAsia="zh-CN" w:bidi="ar-SA"/>
        </w:rPr>
        <w:t>2、住房保障支出（类）住房改革支出（款）</w:t>
      </w:r>
      <w:r>
        <w:rPr>
          <w:rFonts w:ascii="Times New Roman" w:hAnsi="Times New Roman" w:eastAsia="仿宋_GB2312" w:cs="Times New Roman"/>
          <w:bCs/>
          <w:color w:val="auto"/>
          <w:kern w:val="0"/>
          <w:sz w:val="32"/>
          <w:szCs w:val="32"/>
          <w:highlight w:val="none"/>
          <w:lang w:val="en-US" w:eastAsia="zh-CN" w:bidi="ar-SA"/>
        </w:rPr>
        <w:t> </w:t>
      </w:r>
      <w:r>
        <w:rPr>
          <w:rFonts w:hint="eastAsia" w:ascii="Times New Roman" w:hAnsi="Times New Roman" w:eastAsia="仿宋_GB2312" w:cs="Times New Roman"/>
          <w:bCs/>
          <w:color w:val="auto"/>
          <w:kern w:val="0"/>
          <w:sz w:val="32"/>
          <w:szCs w:val="32"/>
          <w:highlight w:val="none"/>
          <w:lang w:val="en-US" w:eastAsia="zh-CN" w:bidi="ar-SA"/>
        </w:rPr>
        <w:t>住房公积金（项）。</w:t>
      </w:r>
    </w:p>
    <w:p w14:paraId="7A6319B5">
      <w:pPr>
        <w:pStyle w:val="8"/>
        <w:keepNext w:val="0"/>
        <w:keepLines w:val="0"/>
        <w:pageBreakBefore w:val="0"/>
        <w:widowControl/>
        <w:shd w:val="clear" w:color="auto" w:fill="FFFFFF"/>
        <w:kinsoku/>
        <w:wordWrap/>
        <w:overflowPunct/>
        <w:topLinePunct w:val="0"/>
        <w:bidi w:val="0"/>
        <w:snapToGrid/>
        <w:spacing w:before="225" w:beforeAutospacing="0" w:afterAutospacing="0" w:line="240" w:lineRule="auto"/>
        <w:ind w:firstLine="640" w:firstLineChars="200"/>
        <w:textAlignment w:val="baseline"/>
        <w:rPr>
          <w:color w:val="auto"/>
          <w:highlight w:val="none"/>
        </w:rPr>
      </w:pPr>
      <w:r>
        <w:rPr>
          <w:rFonts w:hint="eastAsia" w:ascii="Times New Roman" w:hAnsi="Times New Roman" w:eastAsia="仿宋_GB2312" w:cs="Times New Roman"/>
          <w:bCs/>
          <w:color w:val="auto"/>
          <w:kern w:val="0"/>
          <w:sz w:val="32"/>
          <w:szCs w:val="32"/>
          <w:highlight w:val="none"/>
          <w:lang w:val="en-US" w:eastAsia="zh-CN" w:bidi="ar-SA"/>
        </w:rPr>
        <w:t>年初预算为714.38万元，支出决算为702.4万元，完成年初预算的98.32%，决算数大于年初预算数的主要原因是：年初预算按年度工作任务测算编制，实际开支据实列支，厉行节约，形成该项差异</w:t>
      </w:r>
      <w:r>
        <w:rPr>
          <w:color w:val="auto"/>
          <w:highlight w:val="none"/>
        </w:rPr>
        <w:t>。</w:t>
      </w:r>
    </w:p>
    <w:p w14:paraId="22582934">
      <w:pPr>
        <w:keepNext w:val="0"/>
        <w:keepLines w:val="0"/>
        <w:widowControl/>
        <w:suppressLineNumbers w:val="0"/>
        <w:ind w:firstLine="640" w:firstLineChars="200"/>
        <w:jc w:val="left"/>
        <w:rPr>
          <w:rFonts w:hint="eastAsia" w:ascii="Times New Roman" w:hAnsi="Times New Roman" w:eastAsia="仿宋_GB2312" w:cs="Times New Roman"/>
          <w:bCs/>
          <w:color w:val="auto"/>
          <w:kern w:val="0"/>
          <w:sz w:val="32"/>
          <w:szCs w:val="32"/>
          <w:highlight w:val="none"/>
          <w:lang w:val="en-US" w:eastAsia="zh-CN" w:bidi="ar-SA"/>
        </w:rPr>
      </w:pPr>
      <w:r>
        <w:rPr>
          <w:rFonts w:hint="eastAsia" w:ascii="Times New Roman" w:hAnsi="Times New Roman" w:eastAsia="仿宋_GB2312" w:cs="Times New Roman"/>
          <w:bCs/>
          <w:color w:val="auto"/>
          <w:kern w:val="0"/>
          <w:sz w:val="32"/>
          <w:szCs w:val="32"/>
          <w:highlight w:val="none"/>
          <w:lang w:val="en-US" w:eastAsia="zh-CN" w:bidi="ar-SA"/>
        </w:rPr>
        <w:t>按照支出功能分类，公共安全支出方面支出规模最大、占财政拨款支出总额比重最高，主要是公共安全支出（类）公安（款）行政运行、其他公安支出两大科目。2025年度决算数分别为7822.5万元、5435.84万元，分别占财政拨款支出总额的48.77%、33.89%，合计占比82.66%。其中，公安行政运行支出主要用于单位日常公用运转及民警、退休人员待遇保障，涵盖民警基本工资、绩效奖金、年度考核奖、十三月工资等人员薪酬，以及遗属生活补助、退休费、离退休人员专项生活补助等，全力保障公安队伍稳定和机构常态化运转。其他公安支出主要用于辅警、驻村辅警、高铁站保安等警务人员经费，公安办案业务、拘留所运转、办公运维等日常履职保障，春节特防期维稳等专项工作及公安信息化建设，全力保障辖区公安执法办案、治安维稳、基层建设等公共安全工作有序开展。</w:t>
      </w:r>
    </w:p>
    <w:p w14:paraId="7D0D9E8E">
      <w:pPr>
        <w:pStyle w:val="14"/>
        <w:overflowPunct w:val="0"/>
        <w:autoSpaceDE/>
        <w:autoSpaceDN/>
        <w:spacing w:line="600" w:lineRule="exact"/>
        <w:ind w:firstLine="640" w:firstLineChars="200"/>
        <w:jc w:val="both"/>
        <w:rPr>
          <w:rFonts w:ascii="Times New Roman" w:hAnsi="Times New Roman" w:cs="Times New Roman"/>
          <w:bCs/>
          <w:color w:val="auto"/>
          <w:sz w:val="32"/>
          <w:szCs w:val="32"/>
          <w:highlight w:val="none"/>
        </w:rPr>
      </w:pPr>
      <w:r>
        <w:rPr>
          <w:rFonts w:ascii="Times New Roman" w:hAnsi="Times New Roman" w:cs="Times New Roman"/>
          <w:bCs/>
          <w:color w:val="auto"/>
          <w:sz w:val="32"/>
          <w:szCs w:val="32"/>
          <w:highlight w:val="none"/>
        </w:rPr>
        <w:t>六、一般公共预算财政拨款基本支出决算情况说明</w:t>
      </w:r>
    </w:p>
    <w:p w14:paraId="6FD4EFC2">
      <w:pPr>
        <w:pStyle w:val="14"/>
        <w:ind w:firstLine="640" w:firstLineChars="200"/>
        <w:rPr>
          <w:rFonts w:hint="eastAsia" w:ascii="Times New Roman" w:hAnsi="Times New Roman" w:eastAsia="仿宋_GB2312" w:cs="Times New Roman"/>
          <w:bCs/>
          <w:color w:val="auto"/>
          <w:kern w:val="0"/>
          <w:sz w:val="32"/>
          <w:szCs w:val="32"/>
          <w:highlight w:val="none"/>
          <w:lang w:val="en-US" w:eastAsia="zh-CN" w:bidi="ar-SA"/>
        </w:rPr>
      </w:pPr>
      <w:r>
        <w:rPr>
          <w:rFonts w:hint="eastAsia" w:ascii="Times New Roman" w:hAnsi="Times New Roman" w:eastAsia="仿宋_GB2312" w:cs="Times New Roman"/>
          <w:bCs/>
          <w:color w:val="auto"/>
          <w:kern w:val="0"/>
          <w:sz w:val="32"/>
          <w:szCs w:val="32"/>
          <w:highlight w:val="none"/>
          <w:lang w:val="en-US" w:eastAsia="zh-CN" w:bidi="ar-SA"/>
        </w:rPr>
        <w:t>2025年度财政拨款基本支出10634.84万元，其中：</w:t>
      </w:r>
    </w:p>
    <w:p w14:paraId="47F1C902">
      <w:pPr>
        <w:pStyle w:val="14"/>
        <w:ind w:firstLine="640" w:firstLineChars="200"/>
        <w:rPr>
          <w:rFonts w:hint="eastAsia" w:ascii="Times New Roman" w:hAnsi="Times New Roman" w:eastAsia="仿宋_GB2312" w:cs="Times New Roman"/>
          <w:bCs/>
          <w:color w:val="auto"/>
          <w:kern w:val="0"/>
          <w:sz w:val="32"/>
          <w:szCs w:val="32"/>
          <w:highlight w:val="none"/>
          <w:lang w:val="en-US" w:eastAsia="zh-CN" w:bidi="ar-SA"/>
        </w:rPr>
      </w:pPr>
      <w:r>
        <w:rPr>
          <w:rFonts w:hint="eastAsia" w:ascii="Times New Roman" w:hAnsi="Times New Roman" w:eastAsia="仿宋_GB2312" w:cs="Times New Roman"/>
          <w:bCs/>
          <w:color w:val="auto"/>
          <w:kern w:val="0"/>
          <w:sz w:val="32"/>
          <w:szCs w:val="32"/>
          <w:highlight w:val="none"/>
          <w:lang w:val="en-US" w:eastAsia="zh-CN" w:bidi="ar-SA"/>
        </w:rPr>
        <w:t>人员经费9240.33万元，占基本支出的86.89</w:t>
      </w:r>
      <w:r>
        <w:rPr>
          <w:rFonts w:ascii="Times New Roman" w:hAnsi="Times New Roman" w:eastAsia="仿宋_GB2312" w:cs="Times New Roman"/>
          <w:bCs/>
          <w:color w:val="auto"/>
          <w:kern w:val="0"/>
          <w:sz w:val="32"/>
          <w:szCs w:val="32"/>
          <w:highlight w:val="none"/>
          <w:lang w:val="en-US" w:eastAsia="zh-CN" w:bidi="ar-SA"/>
        </w:rPr>
        <w:t>%,</w:t>
      </w:r>
      <w:r>
        <w:rPr>
          <w:rFonts w:hint="eastAsia" w:ascii="Times New Roman" w:hAnsi="Times New Roman" w:eastAsia="仿宋_GB2312" w:cs="Times New Roman"/>
          <w:bCs/>
          <w:color w:val="auto"/>
          <w:kern w:val="0"/>
          <w:sz w:val="32"/>
          <w:szCs w:val="32"/>
          <w:highlight w:val="none"/>
          <w:lang w:val="en-US" w:eastAsia="zh-CN" w:bidi="ar-SA"/>
        </w:rPr>
        <w:t>主要包括基本工资、津贴补贴、奖金、伙食补助费、机关事业单位基本养老保险缴费、职工基本医疗保险缴费、其他社会保障缴费、住房公积金、其他工资福利支出、离休费、抚恤金、生活补助、奖励金、其他对个人和家庭的补助等；</w:t>
      </w:r>
    </w:p>
    <w:p w14:paraId="660E493F">
      <w:pPr>
        <w:pStyle w:val="14"/>
        <w:ind w:firstLine="640" w:firstLineChars="200"/>
        <w:rPr>
          <w:rFonts w:ascii="Times New Roman" w:hAnsi="Times New Roman" w:eastAsia="仿宋_GB2312" w:cs="Times New Roman"/>
          <w:bCs/>
          <w:color w:val="auto"/>
          <w:kern w:val="0"/>
          <w:sz w:val="32"/>
          <w:szCs w:val="32"/>
          <w:highlight w:val="none"/>
          <w:lang w:val="en-US" w:eastAsia="zh-CN" w:bidi="ar-SA"/>
        </w:rPr>
      </w:pPr>
      <w:r>
        <w:rPr>
          <w:rFonts w:hint="eastAsia" w:ascii="Times New Roman" w:hAnsi="Times New Roman" w:eastAsia="仿宋_GB2312" w:cs="Times New Roman"/>
          <w:bCs/>
          <w:color w:val="auto"/>
          <w:kern w:val="0"/>
          <w:sz w:val="32"/>
          <w:szCs w:val="32"/>
          <w:highlight w:val="none"/>
          <w:lang w:val="en-US" w:eastAsia="zh-CN" w:bidi="ar-SA"/>
        </w:rPr>
        <w:t>公用经费1394.51万元，占基本支出的13.11</w:t>
      </w:r>
      <w:r>
        <w:rPr>
          <w:rFonts w:ascii="Times New Roman" w:hAnsi="Times New Roman" w:eastAsia="仿宋_GB2312" w:cs="Times New Roman"/>
          <w:bCs/>
          <w:color w:val="auto"/>
          <w:kern w:val="0"/>
          <w:sz w:val="32"/>
          <w:szCs w:val="32"/>
          <w:highlight w:val="none"/>
          <w:lang w:val="en-US" w:eastAsia="zh-CN" w:bidi="ar-SA"/>
        </w:rPr>
        <w:t>%</w:t>
      </w:r>
      <w:r>
        <w:rPr>
          <w:rFonts w:hint="eastAsia" w:ascii="Times New Roman" w:hAnsi="Times New Roman" w:eastAsia="仿宋_GB2312" w:cs="Times New Roman"/>
          <w:bCs/>
          <w:color w:val="auto"/>
          <w:kern w:val="0"/>
          <w:sz w:val="32"/>
          <w:szCs w:val="32"/>
          <w:highlight w:val="none"/>
          <w:lang w:val="en-US" w:eastAsia="zh-CN" w:bidi="ar-SA"/>
        </w:rPr>
        <w:t>，主要包括办公费、印刷费、水费、电费、邮电费、差旅费、维修（护）费、租赁费、培训费、专用材料费、专用燃料费、劳务费等。</w:t>
      </w:r>
    </w:p>
    <w:p w14:paraId="6A6C5F45">
      <w:pPr>
        <w:pStyle w:val="14"/>
        <w:overflowPunct w:val="0"/>
        <w:autoSpaceDE/>
        <w:autoSpaceDN/>
        <w:spacing w:line="600" w:lineRule="exact"/>
        <w:ind w:firstLine="640" w:firstLineChars="200"/>
        <w:jc w:val="both"/>
        <w:rPr>
          <w:rFonts w:ascii="Times New Roman" w:hAnsi="Times New Roman" w:cs="Times New Roman"/>
          <w:bCs/>
          <w:color w:val="auto"/>
          <w:sz w:val="32"/>
          <w:szCs w:val="32"/>
          <w:highlight w:val="none"/>
        </w:rPr>
      </w:pPr>
      <w:r>
        <w:rPr>
          <w:rFonts w:ascii="Times New Roman" w:hAnsi="Times New Roman" w:cs="Times New Roman"/>
          <w:bCs/>
          <w:color w:val="auto"/>
          <w:sz w:val="32"/>
          <w:szCs w:val="32"/>
          <w:highlight w:val="none"/>
        </w:rPr>
        <w:t>七、财政拨款“三公”经费支出决算情况说明</w:t>
      </w:r>
    </w:p>
    <w:p w14:paraId="4292BD63">
      <w:pPr>
        <w:pStyle w:val="14"/>
        <w:overflowPunct w:val="0"/>
        <w:autoSpaceDE/>
        <w:autoSpaceDN/>
        <w:spacing w:line="600" w:lineRule="exact"/>
        <w:ind w:firstLine="640" w:firstLineChars="200"/>
        <w:jc w:val="both"/>
        <w:rPr>
          <w:rFonts w:ascii="Times New Roman" w:hAnsi="Times New Roman" w:eastAsia="楷体_GB2312" w:cs="Times New Roman"/>
          <w:b/>
          <w:color w:val="auto"/>
          <w:sz w:val="32"/>
          <w:szCs w:val="32"/>
          <w:highlight w:val="none"/>
        </w:rPr>
      </w:pPr>
      <w:r>
        <w:rPr>
          <w:rFonts w:ascii="Times New Roman" w:hAnsi="Times New Roman" w:eastAsia="楷体_GB2312" w:cs="Times New Roman"/>
          <w:b/>
          <w:color w:val="auto"/>
          <w:sz w:val="32"/>
          <w:szCs w:val="32"/>
          <w:highlight w:val="none"/>
        </w:rPr>
        <w:t>（一）“三公”经费财政拨款支出决算总体情况说明</w:t>
      </w:r>
    </w:p>
    <w:p w14:paraId="15ED5CE4">
      <w:pPr>
        <w:pStyle w:val="14"/>
        <w:overflowPunct w:val="0"/>
        <w:autoSpaceDE/>
        <w:autoSpaceDN/>
        <w:spacing w:line="600" w:lineRule="exact"/>
        <w:ind w:firstLine="640" w:firstLineChars="200"/>
        <w:jc w:val="both"/>
        <w:rPr>
          <w:rFonts w:hint="eastAsia" w:ascii="Times New Roman" w:hAnsi="Times New Roman" w:eastAsia="仿宋_GB2312" w:cs="Times New Roman"/>
          <w:bCs/>
          <w:color w:val="auto"/>
          <w:kern w:val="0"/>
          <w:sz w:val="32"/>
          <w:szCs w:val="32"/>
          <w:highlight w:val="none"/>
          <w:lang w:val="en-US" w:eastAsia="zh-CN" w:bidi="ar-SA"/>
        </w:rPr>
      </w:pPr>
      <w:r>
        <w:rPr>
          <w:rFonts w:hint="eastAsia" w:ascii="Times New Roman" w:hAnsi="Times New Roman" w:eastAsia="仿宋_GB2312" w:cs="Times New Roman"/>
          <w:bCs/>
          <w:color w:val="auto"/>
          <w:kern w:val="0"/>
          <w:sz w:val="32"/>
          <w:szCs w:val="32"/>
          <w:highlight w:val="none"/>
          <w:lang w:val="en-US" w:eastAsia="zh-CN" w:bidi="ar-SA"/>
        </w:rPr>
        <w:t>2025</w:t>
      </w:r>
      <w:r>
        <w:rPr>
          <w:rFonts w:ascii="Times New Roman" w:hAnsi="Times New Roman" w:eastAsia="仿宋_GB2312" w:cs="Times New Roman"/>
          <w:bCs/>
          <w:color w:val="auto"/>
          <w:kern w:val="0"/>
          <w:sz w:val="32"/>
          <w:szCs w:val="32"/>
          <w:highlight w:val="none"/>
          <w:lang w:val="en-US" w:eastAsia="zh-CN" w:bidi="ar-SA"/>
        </w:rPr>
        <w:t>年度“三公”经费财政拨款支出预算为</w:t>
      </w:r>
      <w:r>
        <w:rPr>
          <w:rFonts w:hint="eastAsia" w:ascii="Times New Roman" w:hAnsi="Times New Roman" w:eastAsia="仿宋_GB2312" w:cs="Times New Roman"/>
          <w:bCs/>
          <w:color w:val="auto"/>
          <w:kern w:val="0"/>
          <w:sz w:val="32"/>
          <w:szCs w:val="32"/>
          <w:highlight w:val="none"/>
          <w:lang w:val="en-US" w:eastAsia="zh-CN" w:bidi="ar-SA"/>
        </w:rPr>
        <w:t>545.67</w:t>
      </w:r>
      <w:r>
        <w:rPr>
          <w:rFonts w:ascii="Times New Roman" w:hAnsi="Times New Roman" w:eastAsia="仿宋_GB2312" w:cs="Times New Roman"/>
          <w:bCs/>
          <w:color w:val="auto"/>
          <w:kern w:val="0"/>
          <w:sz w:val="32"/>
          <w:szCs w:val="32"/>
          <w:highlight w:val="none"/>
          <w:lang w:val="en-US" w:eastAsia="zh-CN" w:bidi="ar-SA"/>
        </w:rPr>
        <w:t>万元，支出决算为</w:t>
      </w:r>
      <w:r>
        <w:rPr>
          <w:rFonts w:hint="eastAsia" w:ascii="Times New Roman" w:hAnsi="Times New Roman" w:eastAsia="仿宋_GB2312" w:cs="Times New Roman"/>
          <w:bCs/>
          <w:color w:val="auto"/>
          <w:kern w:val="0"/>
          <w:sz w:val="32"/>
          <w:szCs w:val="32"/>
          <w:highlight w:val="none"/>
          <w:lang w:val="en-US" w:eastAsia="zh-CN" w:bidi="ar-SA"/>
        </w:rPr>
        <w:t>545.67</w:t>
      </w:r>
      <w:r>
        <w:rPr>
          <w:rFonts w:ascii="Times New Roman" w:hAnsi="Times New Roman" w:eastAsia="仿宋_GB2312" w:cs="Times New Roman"/>
          <w:bCs/>
          <w:color w:val="auto"/>
          <w:kern w:val="0"/>
          <w:sz w:val="32"/>
          <w:szCs w:val="32"/>
          <w:highlight w:val="none"/>
          <w:lang w:val="en-US" w:eastAsia="zh-CN" w:bidi="ar-SA"/>
        </w:rPr>
        <w:t>万元，完成预算的</w:t>
      </w:r>
      <w:r>
        <w:rPr>
          <w:rFonts w:hint="eastAsia" w:ascii="Times New Roman" w:hAnsi="Times New Roman" w:eastAsia="仿宋_GB2312" w:cs="Times New Roman"/>
          <w:bCs/>
          <w:color w:val="auto"/>
          <w:kern w:val="0"/>
          <w:sz w:val="32"/>
          <w:szCs w:val="32"/>
          <w:highlight w:val="none"/>
          <w:lang w:val="en-US" w:eastAsia="zh-CN" w:bidi="ar-SA"/>
        </w:rPr>
        <w:t>100</w:t>
      </w:r>
      <w:r>
        <w:rPr>
          <w:rFonts w:ascii="Times New Roman" w:hAnsi="Times New Roman" w:eastAsia="仿宋_GB2312" w:cs="Times New Roman"/>
          <w:bCs/>
          <w:color w:val="auto"/>
          <w:kern w:val="0"/>
          <w:sz w:val="32"/>
          <w:szCs w:val="32"/>
          <w:highlight w:val="none"/>
          <w:lang w:val="en-US" w:eastAsia="zh-CN" w:bidi="ar-SA"/>
        </w:rPr>
        <w:t>%；与上年相比</w:t>
      </w:r>
      <w:r>
        <w:rPr>
          <w:rFonts w:hint="eastAsia" w:ascii="Times New Roman" w:hAnsi="Times New Roman" w:eastAsia="仿宋_GB2312" w:cs="Times New Roman"/>
          <w:bCs/>
          <w:color w:val="auto"/>
          <w:kern w:val="0"/>
          <w:sz w:val="32"/>
          <w:szCs w:val="32"/>
          <w:highlight w:val="none"/>
          <w:lang w:val="en-US" w:eastAsia="zh-CN" w:bidi="ar-SA"/>
        </w:rPr>
        <w:t>减少0.87</w:t>
      </w:r>
      <w:r>
        <w:rPr>
          <w:rFonts w:ascii="Times New Roman" w:hAnsi="Times New Roman" w:eastAsia="仿宋_GB2312" w:cs="Times New Roman"/>
          <w:bCs/>
          <w:color w:val="auto"/>
          <w:kern w:val="0"/>
          <w:sz w:val="32"/>
          <w:szCs w:val="32"/>
          <w:highlight w:val="none"/>
          <w:lang w:val="en-US" w:eastAsia="zh-CN" w:bidi="ar-SA"/>
        </w:rPr>
        <w:t>万元，</w:t>
      </w:r>
      <w:r>
        <w:rPr>
          <w:rFonts w:hint="eastAsia" w:ascii="Times New Roman" w:hAnsi="Times New Roman" w:eastAsia="仿宋_GB2312" w:cs="Times New Roman"/>
          <w:bCs/>
          <w:color w:val="auto"/>
          <w:kern w:val="0"/>
          <w:sz w:val="32"/>
          <w:szCs w:val="32"/>
          <w:highlight w:val="none"/>
          <w:lang w:val="en-US" w:eastAsia="zh-CN" w:bidi="ar-SA"/>
        </w:rPr>
        <w:t>减少0.16</w:t>
      </w:r>
      <w:r>
        <w:rPr>
          <w:rFonts w:ascii="Times New Roman" w:hAnsi="Times New Roman" w:eastAsia="仿宋_GB2312" w:cs="Times New Roman"/>
          <w:bCs/>
          <w:color w:val="auto"/>
          <w:kern w:val="0"/>
          <w:sz w:val="32"/>
          <w:szCs w:val="32"/>
          <w:highlight w:val="none"/>
          <w:lang w:val="en-US" w:eastAsia="zh-CN" w:bidi="ar-SA"/>
        </w:rPr>
        <w:t>%。</w:t>
      </w:r>
      <w:r>
        <w:rPr>
          <w:rFonts w:hint="eastAsia" w:ascii="Times New Roman" w:hAnsi="Times New Roman" w:eastAsia="仿宋_GB2312" w:cs="Times New Roman"/>
          <w:bCs/>
          <w:color w:val="auto"/>
          <w:kern w:val="0"/>
          <w:sz w:val="32"/>
          <w:szCs w:val="32"/>
          <w:highlight w:val="none"/>
          <w:lang w:val="en-US" w:eastAsia="zh-CN" w:bidi="ar-SA"/>
        </w:rPr>
        <w:t>预决算一致。</w:t>
      </w:r>
    </w:p>
    <w:p w14:paraId="29F935A2">
      <w:pPr>
        <w:pStyle w:val="14"/>
        <w:overflowPunct w:val="0"/>
        <w:autoSpaceDE/>
        <w:autoSpaceDN/>
        <w:spacing w:line="600" w:lineRule="exact"/>
        <w:ind w:firstLine="640" w:firstLineChars="200"/>
        <w:jc w:val="both"/>
        <w:rPr>
          <w:rFonts w:ascii="Times New Roman" w:hAnsi="Times New Roman" w:eastAsia="楷体_GB2312" w:cs="Times New Roman"/>
          <w:b/>
          <w:color w:val="auto"/>
          <w:sz w:val="32"/>
          <w:szCs w:val="32"/>
          <w:highlight w:val="none"/>
        </w:rPr>
      </w:pPr>
      <w:r>
        <w:rPr>
          <w:rFonts w:ascii="Times New Roman" w:hAnsi="Times New Roman" w:eastAsia="楷体_GB2312" w:cs="Times New Roman"/>
          <w:b/>
          <w:color w:val="auto"/>
          <w:sz w:val="32"/>
          <w:szCs w:val="32"/>
          <w:highlight w:val="none"/>
        </w:rPr>
        <w:t>（二）“三公”经费财政拨款支出决算具体情况说明</w:t>
      </w:r>
    </w:p>
    <w:p w14:paraId="6C22344C">
      <w:pPr>
        <w:pStyle w:val="8"/>
        <w:widowControl/>
        <w:shd w:val="clear" w:color="auto" w:fill="FFFFFF"/>
        <w:spacing w:before="225" w:beforeAutospacing="0" w:afterAutospacing="0" w:line="600" w:lineRule="exact"/>
        <w:ind w:firstLine="800"/>
        <w:textAlignment w:val="baseline"/>
        <w:rPr>
          <w:rFonts w:hint="eastAsia" w:ascii="Times New Roman" w:hAnsi="Times New Roman" w:eastAsia="仿宋_GB2312" w:cs="Times New Roman"/>
          <w:bCs/>
          <w:color w:val="auto"/>
          <w:kern w:val="0"/>
          <w:sz w:val="32"/>
          <w:szCs w:val="32"/>
          <w:highlight w:val="none"/>
          <w:lang w:val="en-US" w:eastAsia="zh-CN" w:bidi="ar-SA"/>
        </w:rPr>
      </w:pPr>
      <w:r>
        <w:rPr>
          <w:rFonts w:ascii="Times New Roman" w:hAnsi="Times New Roman" w:eastAsia="仿宋_GB2312" w:cs="Times New Roman"/>
          <w:bCs/>
          <w:color w:val="auto"/>
          <w:kern w:val="0"/>
          <w:sz w:val="32"/>
          <w:szCs w:val="32"/>
          <w:highlight w:val="none"/>
          <w:lang w:val="en-US" w:eastAsia="zh-CN" w:bidi="ar-SA"/>
        </w:rPr>
        <w:t>1.</w:t>
      </w:r>
      <w:r>
        <w:rPr>
          <w:rFonts w:hint="eastAsia" w:ascii="Times New Roman" w:hAnsi="Times New Roman" w:eastAsia="仿宋_GB2312" w:cs="Times New Roman"/>
          <w:bCs/>
          <w:color w:val="auto"/>
          <w:kern w:val="0"/>
          <w:sz w:val="32"/>
          <w:szCs w:val="32"/>
          <w:highlight w:val="none"/>
          <w:lang w:val="en-US" w:eastAsia="zh-CN" w:bidi="ar-SA"/>
        </w:rPr>
        <w:t>因公出国（境）费支出预算为0万元，支出决算为0万元，决算数与年初预算数一致，与上年相比持平，主要原因为我单位一直无此项开支。</w:t>
      </w:r>
    </w:p>
    <w:p w14:paraId="47B17A54">
      <w:pPr>
        <w:pStyle w:val="8"/>
        <w:widowControl/>
        <w:shd w:val="clear" w:color="auto" w:fill="FFFFFF"/>
        <w:spacing w:before="225" w:beforeAutospacing="0" w:afterAutospacing="0" w:line="600" w:lineRule="exact"/>
        <w:ind w:firstLine="800"/>
        <w:textAlignment w:val="baseline"/>
        <w:rPr>
          <w:rFonts w:hint="eastAsia" w:ascii="Times New Roman" w:hAnsi="Times New Roman" w:eastAsia="仿宋_GB2312" w:cs="Times New Roman"/>
          <w:bCs/>
          <w:color w:val="auto"/>
          <w:kern w:val="0"/>
          <w:sz w:val="32"/>
          <w:szCs w:val="32"/>
          <w:highlight w:val="none"/>
          <w:lang w:val="en-US" w:eastAsia="zh-CN" w:bidi="ar-SA"/>
        </w:rPr>
      </w:pPr>
      <w:r>
        <w:rPr>
          <w:rFonts w:hint="eastAsia" w:ascii="Times New Roman" w:hAnsi="Times New Roman" w:eastAsia="仿宋_GB2312" w:cs="Times New Roman"/>
          <w:bCs/>
          <w:color w:val="auto"/>
          <w:kern w:val="0"/>
          <w:sz w:val="32"/>
          <w:szCs w:val="32"/>
          <w:highlight w:val="none"/>
          <w:lang w:val="en-US" w:eastAsia="zh-CN" w:bidi="ar-SA"/>
        </w:rPr>
        <w:t>2025年度安排因公出国（境）费支出决算为0万元，全年安排因公出国（境）团组0个，累计0人次。</w:t>
      </w:r>
    </w:p>
    <w:p w14:paraId="7B1C81BB">
      <w:pPr>
        <w:pStyle w:val="14"/>
        <w:overflowPunct w:val="0"/>
        <w:autoSpaceDE/>
        <w:autoSpaceDN/>
        <w:spacing w:line="600" w:lineRule="exact"/>
        <w:ind w:firstLine="640" w:firstLineChars="200"/>
        <w:jc w:val="both"/>
        <w:rPr>
          <w:rFonts w:ascii="Times New Roman" w:hAnsi="Times New Roman" w:eastAsia="仿宋_GB2312" w:cs="Times New Roman"/>
          <w:bCs/>
          <w:color w:val="auto"/>
          <w:kern w:val="0"/>
          <w:sz w:val="32"/>
          <w:szCs w:val="32"/>
          <w:highlight w:val="none"/>
          <w:lang w:val="en-US" w:eastAsia="zh-CN" w:bidi="ar-SA"/>
        </w:rPr>
      </w:pPr>
      <w:r>
        <w:rPr>
          <w:rFonts w:ascii="Times New Roman" w:hAnsi="Times New Roman" w:eastAsia="仿宋_GB2312" w:cs="Times New Roman"/>
          <w:bCs/>
          <w:color w:val="auto"/>
          <w:kern w:val="0"/>
          <w:sz w:val="32"/>
          <w:szCs w:val="32"/>
          <w:highlight w:val="none"/>
          <w:lang w:val="en-US" w:eastAsia="zh-CN" w:bidi="ar-SA"/>
        </w:rPr>
        <w:t>2.公务用车购置费及运行维护费支出预算为</w:t>
      </w:r>
      <w:r>
        <w:rPr>
          <w:rFonts w:hint="eastAsia" w:ascii="Times New Roman" w:hAnsi="Times New Roman" w:eastAsia="仿宋_GB2312" w:cs="Times New Roman"/>
          <w:bCs/>
          <w:color w:val="auto"/>
          <w:kern w:val="0"/>
          <w:sz w:val="32"/>
          <w:szCs w:val="32"/>
          <w:highlight w:val="none"/>
          <w:lang w:val="en-US" w:eastAsia="zh-CN" w:bidi="ar-SA"/>
        </w:rPr>
        <w:t>545.67</w:t>
      </w:r>
      <w:r>
        <w:rPr>
          <w:rFonts w:ascii="Times New Roman" w:hAnsi="Times New Roman" w:eastAsia="仿宋_GB2312" w:cs="Times New Roman"/>
          <w:bCs/>
          <w:color w:val="auto"/>
          <w:kern w:val="0"/>
          <w:sz w:val="32"/>
          <w:szCs w:val="32"/>
          <w:highlight w:val="none"/>
          <w:lang w:val="en-US" w:eastAsia="zh-CN" w:bidi="ar-SA"/>
        </w:rPr>
        <w:t>万元，支出决算为</w:t>
      </w:r>
      <w:r>
        <w:rPr>
          <w:rFonts w:hint="eastAsia" w:ascii="Times New Roman" w:hAnsi="Times New Roman" w:eastAsia="仿宋_GB2312" w:cs="Times New Roman"/>
          <w:bCs/>
          <w:color w:val="auto"/>
          <w:kern w:val="0"/>
          <w:sz w:val="32"/>
          <w:szCs w:val="32"/>
          <w:highlight w:val="none"/>
          <w:lang w:val="en-US" w:eastAsia="zh-CN" w:bidi="ar-SA"/>
        </w:rPr>
        <w:t>545.67</w:t>
      </w:r>
      <w:r>
        <w:rPr>
          <w:rFonts w:ascii="Times New Roman" w:hAnsi="Times New Roman" w:eastAsia="仿宋_GB2312" w:cs="Times New Roman"/>
          <w:bCs/>
          <w:color w:val="auto"/>
          <w:kern w:val="0"/>
          <w:sz w:val="32"/>
          <w:szCs w:val="32"/>
          <w:highlight w:val="none"/>
          <w:lang w:val="en-US" w:eastAsia="zh-CN" w:bidi="ar-SA"/>
        </w:rPr>
        <w:t>万元，完成预算的</w:t>
      </w:r>
      <w:r>
        <w:rPr>
          <w:rFonts w:hint="eastAsia" w:ascii="Times New Roman" w:hAnsi="Times New Roman" w:eastAsia="仿宋_GB2312" w:cs="Times New Roman"/>
          <w:bCs/>
          <w:color w:val="auto"/>
          <w:kern w:val="0"/>
          <w:sz w:val="32"/>
          <w:szCs w:val="32"/>
          <w:highlight w:val="none"/>
          <w:lang w:val="en-US" w:eastAsia="zh-CN" w:bidi="ar-SA"/>
        </w:rPr>
        <w:t>100</w:t>
      </w:r>
      <w:r>
        <w:rPr>
          <w:rFonts w:ascii="Times New Roman" w:hAnsi="Times New Roman" w:eastAsia="仿宋_GB2312" w:cs="Times New Roman"/>
          <w:bCs/>
          <w:color w:val="auto"/>
          <w:kern w:val="0"/>
          <w:sz w:val="32"/>
          <w:szCs w:val="32"/>
          <w:highlight w:val="none"/>
          <w:lang w:val="en-US" w:eastAsia="zh-CN" w:bidi="ar-SA"/>
        </w:rPr>
        <w:t>%；与上年相比</w:t>
      </w:r>
      <w:r>
        <w:rPr>
          <w:rFonts w:hint="eastAsia" w:ascii="Times New Roman" w:hAnsi="Times New Roman" w:eastAsia="仿宋_GB2312" w:cs="Times New Roman"/>
          <w:bCs/>
          <w:color w:val="auto"/>
          <w:kern w:val="0"/>
          <w:sz w:val="32"/>
          <w:szCs w:val="32"/>
          <w:highlight w:val="none"/>
          <w:lang w:val="en-US" w:eastAsia="zh-CN" w:bidi="ar-SA"/>
        </w:rPr>
        <w:t>减少0.87</w:t>
      </w:r>
      <w:r>
        <w:rPr>
          <w:rFonts w:ascii="Times New Roman" w:hAnsi="Times New Roman" w:eastAsia="仿宋_GB2312" w:cs="Times New Roman"/>
          <w:bCs/>
          <w:color w:val="auto"/>
          <w:kern w:val="0"/>
          <w:sz w:val="32"/>
          <w:szCs w:val="32"/>
          <w:highlight w:val="none"/>
          <w:lang w:val="en-US" w:eastAsia="zh-CN" w:bidi="ar-SA"/>
        </w:rPr>
        <w:t>万元，</w:t>
      </w:r>
      <w:r>
        <w:rPr>
          <w:rFonts w:hint="eastAsia" w:ascii="Times New Roman" w:hAnsi="Times New Roman" w:eastAsia="仿宋_GB2312" w:cs="Times New Roman"/>
          <w:bCs/>
          <w:color w:val="auto"/>
          <w:kern w:val="0"/>
          <w:sz w:val="32"/>
          <w:szCs w:val="32"/>
          <w:highlight w:val="none"/>
          <w:lang w:val="en-US" w:eastAsia="zh-CN" w:bidi="ar-SA"/>
        </w:rPr>
        <w:t>减少0.16</w:t>
      </w:r>
      <w:r>
        <w:rPr>
          <w:rFonts w:ascii="Times New Roman" w:hAnsi="Times New Roman" w:eastAsia="仿宋_GB2312" w:cs="Times New Roman"/>
          <w:bCs/>
          <w:color w:val="auto"/>
          <w:kern w:val="0"/>
          <w:sz w:val="32"/>
          <w:szCs w:val="32"/>
          <w:highlight w:val="none"/>
          <w:lang w:val="en-US" w:eastAsia="zh-CN" w:bidi="ar-SA"/>
        </w:rPr>
        <w:t>%。其中：</w:t>
      </w:r>
    </w:p>
    <w:p w14:paraId="0D1BFC5B">
      <w:pPr>
        <w:pStyle w:val="14"/>
        <w:overflowPunct w:val="0"/>
        <w:autoSpaceDE/>
        <w:autoSpaceDN/>
        <w:spacing w:line="600" w:lineRule="exact"/>
        <w:ind w:firstLine="640" w:firstLineChars="200"/>
        <w:jc w:val="both"/>
        <w:rPr>
          <w:rFonts w:hint="eastAsia" w:ascii="Times New Roman" w:hAnsi="Times New Roman" w:eastAsia="仿宋_GB2312" w:cs="Times New Roman"/>
          <w:bCs/>
          <w:color w:val="auto"/>
          <w:kern w:val="0"/>
          <w:sz w:val="32"/>
          <w:szCs w:val="32"/>
          <w:highlight w:val="none"/>
          <w:lang w:val="en-US" w:eastAsia="zh-CN" w:bidi="ar-SA"/>
        </w:rPr>
      </w:pPr>
      <w:r>
        <w:rPr>
          <w:rFonts w:ascii="Times New Roman" w:hAnsi="Times New Roman" w:eastAsia="仿宋_GB2312" w:cs="Times New Roman"/>
          <w:bCs/>
          <w:color w:val="auto"/>
          <w:kern w:val="0"/>
          <w:sz w:val="32"/>
          <w:szCs w:val="32"/>
          <w:highlight w:val="none"/>
          <w:lang w:val="en-US" w:eastAsia="zh-CN" w:bidi="ar-SA"/>
        </w:rPr>
        <w:t>公务用车购置费支出预算为</w:t>
      </w:r>
      <w:r>
        <w:rPr>
          <w:rFonts w:hint="eastAsia" w:ascii="Times New Roman" w:hAnsi="Times New Roman" w:eastAsia="仿宋_GB2312" w:cs="Times New Roman"/>
          <w:bCs/>
          <w:color w:val="auto"/>
          <w:kern w:val="0"/>
          <w:sz w:val="32"/>
          <w:szCs w:val="32"/>
          <w:highlight w:val="none"/>
          <w:lang w:val="en-US" w:eastAsia="zh-CN" w:bidi="ar-SA"/>
        </w:rPr>
        <w:t>245.67</w:t>
      </w:r>
      <w:r>
        <w:rPr>
          <w:rFonts w:ascii="Times New Roman" w:hAnsi="Times New Roman" w:eastAsia="仿宋_GB2312" w:cs="Times New Roman"/>
          <w:bCs/>
          <w:color w:val="auto"/>
          <w:kern w:val="0"/>
          <w:sz w:val="32"/>
          <w:szCs w:val="32"/>
          <w:highlight w:val="none"/>
          <w:lang w:val="en-US" w:eastAsia="zh-CN" w:bidi="ar-SA"/>
        </w:rPr>
        <w:t>万元，支出决算为</w:t>
      </w:r>
      <w:r>
        <w:rPr>
          <w:rFonts w:hint="eastAsia" w:ascii="Times New Roman" w:hAnsi="Times New Roman" w:eastAsia="仿宋_GB2312" w:cs="Times New Roman"/>
          <w:bCs/>
          <w:color w:val="auto"/>
          <w:kern w:val="0"/>
          <w:sz w:val="32"/>
          <w:szCs w:val="32"/>
          <w:highlight w:val="none"/>
          <w:lang w:val="en-US" w:eastAsia="zh-CN" w:bidi="ar-SA"/>
        </w:rPr>
        <w:t>245.67</w:t>
      </w:r>
      <w:r>
        <w:rPr>
          <w:rFonts w:ascii="Times New Roman" w:hAnsi="Times New Roman" w:eastAsia="仿宋_GB2312" w:cs="Times New Roman"/>
          <w:bCs/>
          <w:color w:val="auto"/>
          <w:kern w:val="0"/>
          <w:sz w:val="32"/>
          <w:szCs w:val="32"/>
          <w:highlight w:val="none"/>
          <w:lang w:val="en-US" w:eastAsia="zh-CN" w:bidi="ar-SA"/>
        </w:rPr>
        <w:t>万元，完成预算的</w:t>
      </w:r>
      <w:r>
        <w:rPr>
          <w:rFonts w:hint="eastAsia" w:ascii="Times New Roman" w:hAnsi="Times New Roman" w:eastAsia="仿宋_GB2312" w:cs="Times New Roman"/>
          <w:bCs/>
          <w:color w:val="auto"/>
          <w:kern w:val="0"/>
          <w:sz w:val="32"/>
          <w:szCs w:val="32"/>
          <w:highlight w:val="none"/>
          <w:lang w:val="en-US" w:eastAsia="zh-CN" w:bidi="ar-SA"/>
        </w:rPr>
        <w:t>100</w:t>
      </w:r>
      <w:r>
        <w:rPr>
          <w:rFonts w:ascii="Times New Roman" w:hAnsi="Times New Roman" w:eastAsia="仿宋_GB2312" w:cs="Times New Roman"/>
          <w:bCs/>
          <w:color w:val="auto"/>
          <w:kern w:val="0"/>
          <w:sz w:val="32"/>
          <w:szCs w:val="32"/>
          <w:highlight w:val="none"/>
          <w:lang w:val="en-US" w:eastAsia="zh-CN" w:bidi="ar-SA"/>
        </w:rPr>
        <w:t>%；与上年相比增加</w:t>
      </w:r>
      <w:r>
        <w:rPr>
          <w:rFonts w:hint="eastAsia" w:ascii="Times New Roman" w:hAnsi="Times New Roman" w:eastAsia="仿宋_GB2312" w:cs="Times New Roman"/>
          <w:bCs/>
          <w:color w:val="auto"/>
          <w:kern w:val="0"/>
          <w:sz w:val="32"/>
          <w:szCs w:val="32"/>
          <w:highlight w:val="none"/>
          <w:lang w:val="en-US" w:eastAsia="zh-CN" w:bidi="ar-SA"/>
        </w:rPr>
        <w:t>39.13万元</w:t>
      </w:r>
      <w:r>
        <w:rPr>
          <w:rFonts w:ascii="Times New Roman" w:hAnsi="Times New Roman" w:eastAsia="仿宋_GB2312" w:cs="Times New Roman"/>
          <w:bCs/>
          <w:color w:val="auto"/>
          <w:kern w:val="0"/>
          <w:sz w:val="32"/>
          <w:szCs w:val="32"/>
          <w:highlight w:val="none"/>
          <w:lang w:val="en-US" w:eastAsia="zh-CN" w:bidi="ar-SA"/>
        </w:rPr>
        <w:t>。</w:t>
      </w:r>
      <w:r>
        <w:rPr>
          <w:rFonts w:hint="eastAsia" w:ascii="Times New Roman" w:hAnsi="Times New Roman" w:eastAsia="仿宋_GB2312" w:cs="Times New Roman"/>
          <w:bCs/>
          <w:color w:val="auto"/>
          <w:kern w:val="0"/>
          <w:sz w:val="32"/>
          <w:szCs w:val="32"/>
          <w:highlight w:val="none"/>
          <w:lang w:val="en-US" w:eastAsia="zh-CN" w:bidi="ar-SA"/>
        </w:rPr>
        <w:t>预决算一致。</w:t>
      </w:r>
      <w:r>
        <w:rPr>
          <w:rFonts w:ascii="Times New Roman" w:hAnsi="Times New Roman" w:eastAsia="仿宋_GB2312" w:cs="Times New Roman"/>
          <w:bCs/>
          <w:color w:val="auto"/>
          <w:kern w:val="0"/>
          <w:sz w:val="32"/>
          <w:szCs w:val="32"/>
          <w:highlight w:val="none"/>
          <w:lang w:val="en-US" w:eastAsia="zh-CN" w:bidi="ar-SA"/>
        </w:rPr>
        <w:t>决算数大于上年数的主要原因是</w:t>
      </w:r>
      <w:r>
        <w:rPr>
          <w:rFonts w:hint="eastAsia" w:ascii="Times New Roman" w:hAnsi="Times New Roman" w:eastAsia="仿宋_GB2312" w:cs="Times New Roman"/>
          <w:bCs/>
          <w:color w:val="auto"/>
          <w:kern w:val="0"/>
          <w:sz w:val="32"/>
          <w:szCs w:val="32"/>
          <w:highlight w:val="none"/>
          <w:lang w:val="en-US" w:eastAsia="zh-CN" w:bidi="ar-SA"/>
        </w:rPr>
        <w:t>本年因基层执勤执法车辆以旧换新，购置十台执勤执法车辆。</w:t>
      </w:r>
    </w:p>
    <w:p w14:paraId="6E58C746">
      <w:pPr>
        <w:keepNext w:val="0"/>
        <w:keepLines w:val="0"/>
        <w:widowControl/>
        <w:suppressLineNumbers w:val="0"/>
        <w:ind w:firstLine="640" w:firstLineChars="200"/>
        <w:jc w:val="left"/>
        <w:rPr>
          <w:rFonts w:hint="default"/>
          <w:color w:val="auto"/>
          <w:highlight w:val="none"/>
          <w:lang w:val="en-US" w:eastAsia="zh-CN"/>
        </w:rPr>
      </w:pPr>
      <w:r>
        <w:rPr>
          <w:rFonts w:ascii="Times New Roman" w:hAnsi="Times New Roman" w:eastAsia="仿宋_GB2312" w:cs="Times New Roman"/>
          <w:bCs/>
          <w:color w:val="auto"/>
          <w:kern w:val="0"/>
          <w:sz w:val="32"/>
          <w:szCs w:val="32"/>
          <w:highlight w:val="none"/>
          <w:lang w:val="en-US" w:eastAsia="zh-CN" w:bidi="ar-SA"/>
        </w:rPr>
        <w:t>公务用车运行维护费支出预算为</w:t>
      </w:r>
      <w:r>
        <w:rPr>
          <w:rFonts w:hint="eastAsia" w:ascii="Times New Roman" w:hAnsi="Times New Roman" w:eastAsia="仿宋_GB2312" w:cs="Times New Roman"/>
          <w:bCs/>
          <w:color w:val="auto"/>
          <w:kern w:val="0"/>
          <w:sz w:val="32"/>
          <w:szCs w:val="32"/>
          <w:highlight w:val="none"/>
          <w:lang w:val="en-US" w:eastAsia="zh-CN" w:bidi="ar-SA"/>
        </w:rPr>
        <w:t>300</w:t>
      </w:r>
      <w:r>
        <w:rPr>
          <w:rFonts w:ascii="Times New Roman" w:hAnsi="Times New Roman" w:eastAsia="仿宋_GB2312" w:cs="Times New Roman"/>
          <w:bCs/>
          <w:color w:val="auto"/>
          <w:kern w:val="0"/>
          <w:sz w:val="32"/>
          <w:szCs w:val="32"/>
          <w:highlight w:val="none"/>
          <w:lang w:val="en-US" w:eastAsia="zh-CN" w:bidi="ar-SA"/>
        </w:rPr>
        <w:t>万元，支出决算为</w:t>
      </w:r>
      <w:r>
        <w:rPr>
          <w:rFonts w:hint="eastAsia" w:ascii="Times New Roman" w:hAnsi="Times New Roman" w:eastAsia="仿宋_GB2312" w:cs="Times New Roman"/>
          <w:bCs/>
          <w:color w:val="auto"/>
          <w:kern w:val="0"/>
          <w:sz w:val="32"/>
          <w:szCs w:val="32"/>
          <w:highlight w:val="none"/>
          <w:lang w:val="en-US" w:eastAsia="zh-CN" w:bidi="ar-SA"/>
        </w:rPr>
        <w:t>300</w:t>
      </w:r>
      <w:r>
        <w:rPr>
          <w:rFonts w:ascii="Times New Roman" w:hAnsi="Times New Roman" w:eastAsia="仿宋_GB2312" w:cs="Times New Roman"/>
          <w:bCs/>
          <w:color w:val="auto"/>
          <w:kern w:val="0"/>
          <w:sz w:val="32"/>
          <w:szCs w:val="32"/>
          <w:highlight w:val="none"/>
          <w:lang w:val="en-US" w:eastAsia="zh-CN" w:bidi="ar-SA"/>
        </w:rPr>
        <w:t>万元，主要是</w:t>
      </w:r>
      <w:r>
        <w:rPr>
          <w:rFonts w:hint="eastAsia" w:ascii="Times New Roman" w:hAnsi="Times New Roman" w:eastAsia="仿宋_GB2312" w:cs="Times New Roman"/>
          <w:bCs/>
          <w:color w:val="auto"/>
          <w:kern w:val="0"/>
          <w:sz w:val="32"/>
          <w:szCs w:val="32"/>
          <w:highlight w:val="none"/>
          <w:lang w:val="en-US" w:eastAsia="zh-CN" w:bidi="ar-SA"/>
        </w:rPr>
        <w:t>用于执勤执法车辆日常汽油费及运行费等</w:t>
      </w:r>
      <w:r>
        <w:rPr>
          <w:rFonts w:ascii="Times New Roman" w:hAnsi="Times New Roman" w:eastAsia="仿宋_GB2312" w:cs="Times New Roman"/>
          <w:bCs/>
          <w:color w:val="auto"/>
          <w:kern w:val="0"/>
          <w:sz w:val="32"/>
          <w:szCs w:val="32"/>
          <w:highlight w:val="none"/>
          <w:lang w:val="en-US" w:eastAsia="zh-CN" w:bidi="ar-SA"/>
        </w:rPr>
        <w:t>支出，完成预算的</w:t>
      </w:r>
      <w:r>
        <w:rPr>
          <w:rFonts w:hint="eastAsia" w:ascii="Times New Roman" w:hAnsi="Times New Roman" w:eastAsia="仿宋_GB2312" w:cs="Times New Roman"/>
          <w:bCs/>
          <w:color w:val="auto"/>
          <w:kern w:val="0"/>
          <w:sz w:val="32"/>
          <w:szCs w:val="32"/>
          <w:highlight w:val="none"/>
          <w:lang w:val="en-US" w:eastAsia="zh-CN" w:bidi="ar-SA"/>
        </w:rPr>
        <w:t>100</w:t>
      </w:r>
      <w:r>
        <w:rPr>
          <w:rFonts w:ascii="Times New Roman" w:hAnsi="Times New Roman" w:eastAsia="仿宋_GB2312" w:cs="Times New Roman"/>
          <w:bCs/>
          <w:color w:val="auto"/>
          <w:kern w:val="0"/>
          <w:sz w:val="32"/>
          <w:szCs w:val="32"/>
          <w:highlight w:val="none"/>
          <w:lang w:val="en-US" w:eastAsia="zh-CN" w:bidi="ar-SA"/>
        </w:rPr>
        <w:t>%；与上年相比</w:t>
      </w:r>
      <w:r>
        <w:rPr>
          <w:rFonts w:hint="eastAsia" w:ascii="Times New Roman" w:hAnsi="Times New Roman" w:eastAsia="仿宋_GB2312" w:cs="Times New Roman"/>
          <w:bCs/>
          <w:color w:val="auto"/>
          <w:kern w:val="0"/>
          <w:sz w:val="32"/>
          <w:szCs w:val="32"/>
          <w:highlight w:val="none"/>
          <w:lang w:val="en-US" w:eastAsia="zh-CN" w:bidi="ar-SA"/>
        </w:rPr>
        <w:t>减少40</w:t>
      </w:r>
      <w:r>
        <w:rPr>
          <w:rFonts w:ascii="Times New Roman" w:hAnsi="Times New Roman" w:eastAsia="仿宋_GB2312" w:cs="Times New Roman"/>
          <w:bCs/>
          <w:color w:val="auto"/>
          <w:kern w:val="0"/>
          <w:sz w:val="32"/>
          <w:szCs w:val="32"/>
          <w:highlight w:val="none"/>
          <w:lang w:val="en-US" w:eastAsia="zh-CN" w:bidi="ar-SA"/>
        </w:rPr>
        <w:t>万元，</w:t>
      </w:r>
      <w:r>
        <w:rPr>
          <w:rFonts w:hint="eastAsia" w:ascii="Times New Roman" w:hAnsi="Times New Roman" w:eastAsia="仿宋_GB2312" w:cs="Times New Roman"/>
          <w:bCs/>
          <w:color w:val="auto"/>
          <w:kern w:val="0"/>
          <w:sz w:val="32"/>
          <w:szCs w:val="32"/>
          <w:highlight w:val="none"/>
          <w:lang w:val="en-US" w:eastAsia="zh-CN" w:bidi="ar-SA"/>
        </w:rPr>
        <w:t>减少11.76</w:t>
      </w:r>
      <w:r>
        <w:rPr>
          <w:rFonts w:ascii="Times New Roman" w:hAnsi="Times New Roman" w:eastAsia="仿宋_GB2312" w:cs="Times New Roman"/>
          <w:bCs/>
          <w:color w:val="auto"/>
          <w:kern w:val="0"/>
          <w:sz w:val="32"/>
          <w:szCs w:val="32"/>
          <w:highlight w:val="none"/>
          <w:lang w:val="en-US" w:eastAsia="zh-CN" w:bidi="ar-SA"/>
        </w:rPr>
        <w:t>%。</w:t>
      </w:r>
      <w:r>
        <w:rPr>
          <w:rFonts w:hint="eastAsia" w:ascii="Times New Roman" w:hAnsi="Times New Roman" w:eastAsia="仿宋_GB2312" w:cs="Times New Roman"/>
          <w:bCs/>
          <w:color w:val="auto"/>
          <w:kern w:val="0"/>
          <w:sz w:val="32"/>
          <w:szCs w:val="32"/>
          <w:highlight w:val="none"/>
          <w:lang w:val="en-US" w:eastAsia="zh-CN" w:bidi="ar-SA"/>
        </w:rPr>
        <w:t>预决算一致。决算数小于上年数的主要原因是主要是我单位严格落实厉行节约要求，节约高效统筹经费开支。</w:t>
      </w:r>
      <w:r>
        <w:rPr>
          <w:rFonts w:ascii="Times New Roman" w:hAnsi="Times New Roman" w:eastAsia="仿宋_GB2312" w:cs="Times New Roman"/>
          <w:bCs/>
          <w:color w:val="auto"/>
          <w:kern w:val="0"/>
          <w:sz w:val="32"/>
          <w:szCs w:val="32"/>
          <w:highlight w:val="none"/>
          <w:lang w:val="en-US" w:eastAsia="zh-CN" w:bidi="ar-SA"/>
        </w:rPr>
        <w:t>截</w:t>
      </w:r>
      <w:r>
        <w:rPr>
          <w:rFonts w:hint="eastAsia" w:ascii="Times New Roman" w:hAnsi="Times New Roman" w:eastAsia="仿宋_GB2312" w:cs="Times New Roman"/>
          <w:bCs/>
          <w:color w:val="auto"/>
          <w:kern w:val="0"/>
          <w:sz w:val="32"/>
          <w:szCs w:val="32"/>
          <w:highlight w:val="none"/>
          <w:lang w:val="en-US" w:eastAsia="zh-CN" w:bidi="ar-SA"/>
        </w:rPr>
        <w:t>至</w:t>
      </w:r>
      <w:bookmarkStart w:id="0" w:name="_GoBack"/>
      <w:bookmarkEnd w:id="0"/>
      <w:r>
        <w:rPr>
          <w:rFonts w:hint="eastAsia" w:ascii="Times New Roman" w:hAnsi="Times New Roman" w:eastAsia="仿宋_GB2312" w:cs="Times New Roman"/>
          <w:bCs/>
          <w:color w:val="auto"/>
          <w:kern w:val="0"/>
          <w:sz w:val="32"/>
          <w:szCs w:val="32"/>
          <w:highlight w:val="none"/>
          <w:lang w:val="en-US" w:eastAsia="zh-CN" w:bidi="ar-SA"/>
        </w:rPr>
        <w:t>2025</w:t>
      </w:r>
      <w:r>
        <w:rPr>
          <w:rFonts w:ascii="Times New Roman" w:hAnsi="Times New Roman" w:eastAsia="仿宋_GB2312" w:cs="Times New Roman"/>
          <w:bCs/>
          <w:color w:val="auto"/>
          <w:kern w:val="0"/>
          <w:sz w:val="32"/>
          <w:szCs w:val="32"/>
          <w:highlight w:val="none"/>
          <w:lang w:val="en-US" w:eastAsia="zh-CN" w:bidi="ar-SA"/>
        </w:rPr>
        <w:t>年12月31日，我单位开支财政拨款的公务用车保有量为</w:t>
      </w:r>
      <w:r>
        <w:rPr>
          <w:rFonts w:hint="eastAsia" w:ascii="Times New Roman" w:hAnsi="Times New Roman" w:eastAsia="仿宋_GB2312" w:cs="Times New Roman"/>
          <w:bCs/>
          <w:color w:val="auto"/>
          <w:kern w:val="0"/>
          <w:sz w:val="32"/>
          <w:szCs w:val="32"/>
          <w:highlight w:val="none"/>
          <w:lang w:val="en-US" w:eastAsia="zh-CN" w:bidi="ar-SA"/>
        </w:rPr>
        <w:t>73</w:t>
      </w:r>
      <w:r>
        <w:rPr>
          <w:rFonts w:ascii="Times New Roman" w:hAnsi="Times New Roman" w:eastAsia="仿宋_GB2312" w:cs="Times New Roman"/>
          <w:bCs/>
          <w:color w:val="auto"/>
          <w:kern w:val="0"/>
          <w:sz w:val="32"/>
          <w:szCs w:val="32"/>
          <w:highlight w:val="none"/>
          <w:lang w:val="en-US" w:eastAsia="zh-CN" w:bidi="ar-SA"/>
        </w:rPr>
        <w:t>辆。</w:t>
      </w:r>
    </w:p>
    <w:p w14:paraId="08802788">
      <w:pPr>
        <w:pStyle w:val="8"/>
        <w:widowControl/>
        <w:shd w:val="clear" w:color="auto" w:fill="FFFFFF"/>
        <w:spacing w:before="225" w:beforeAutospacing="0" w:afterAutospacing="0" w:line="600" w:lineRule="exact"/>
        <w:ind w:firstLine="800"/>
        <w:textAlignment w:val="baseline"/>
        <w:rPr>
          <w:rFonts w:hint="eastAsia" w:ascii="Times New Roman" w:hAnsi="Times New Roman" w:eastAsia="仿宋_GB2312" w:cs="Times New Roman"/>
          <w:bCs/>
          <w:color w:val="auto"/>
          <w:kern w:val="0"/>
          <w:sz w:val="32"/>
          <w:szCs w:val="32"/>
          <w:highlight w:val="none"/>
          <w:lang w:val="en-US" w:eastAsia="zh-CN" w:bidi="ar-SA"/>
        </w:rPr>
      </w:pPr>
      <w:r>
        <w:rPr>
          <w:rFonts w:ascii="Times New Roman" w:hAnsi="Times New Roman" w:eastAsia="仿宋_GB2312" w:cs="Times New Roman"/>
          <w:bCs/>
          <w:color w:val="auto"/>
          <w:kern w:val="0"/>
          <w:sz w:val="32"/>
          <w:szCs w:val="32"/>
          <w:highlight w:val="none"/>
          <w:lang w:val="en-US" w:eastAsia="zh-CN" w:bidi="ar-SA"/>
        </w:rPr>
        <w:t>3.公务接待费支出预算为</w:t>
      </w:r>
      <w:r>
        <w:rPr>
          <w:rFonts w:hint="eastAsia" w:ascii="Times New Roman" w:hAnsi="Times New Roman" w:eastAsia="仿宋_GB2312" w:cs="Times New Roman"/>
          <w:bCs/>
          <w:color w:val="auto"/>
          <w:kern w:val="0"/>
          <w:sz w:val="32"/>
          <w:szCs w:val="32"/>
          <w:highlight w:val="none"/>
          <w:lang w:val="en-US" w:eastAsia="zh-CN" w:bidi="ar-SA"/>
        </w:rPr>
        <w:t>0</w:t>
      </w:r>
      <w:r>
        <w:rPr>
          <w:rFonts w:ascii="Times New Roman" w:hAnsi="Times New Roman" w:eastAsia="仿宋_GB2312" w:cs="Times New Roman"/>
          <w:bCs/>
          <w:color w:val="auto"/>
          <w:kern w:val="0"/>
          <w:sz w:val="32"/>
          <w:szCs w:val="32"/>
          <w:highlight w:val="none"/>
          <w:lang w:val="en-US" w:eastAsia="zh-CN" w:bidi="ar-SA"/>
        </w:rPr>
        <w:t>万元，</w:t>
      </w:r>
      <w:r>
        <w:rPr>
          <w:rFonts w:hint="eastAsia" w:ascii="Times New Roman" w:hAnsi="Times New Roman" w:eastAsia="仿宋_GB2312" w:cs="Times New Roman"/>
          <w:bCs/>
          <w:color w:val="auto"/>
          <w:kern w:val="0"/>
          <w:sz w:val="32"/>
          <w:szCs w:val="32"/>
          <w:highlight w:val="none"/>
          <w:lang w:val="en-US" w:eastAsia="zh-CN" w:bidi="ar-SA"/>
        </w:rPr>
        <w:t>支出决算为0万元，决算数与年初预算数一致，与上年相比持平，主要原因为我单位本年无此项开支。</w:t>
      </w:r>
    </w:p>
    <w:p w14:paraId="61D2675E">
      <w:pPr>
        <w:pStyle w:val="8"/>
        <w:widowControl/>
        <w:shd w:val="clear" w:color="auto" w:fill="FFFFFF"/>
        <w:spacing w:before="225" w:beforeAutospacing="0" w:afterAutospacing="0" w:line="600" w:lineRule="exact"/>
        <w:ind w:firstLine="800"/>
        <w:textAlignment w:val="baseline"/>
        <w:rPr>
          <w:rFonts w:hint="eastAsia" w:ascii="Times New Roman" w:hAnsi="Times New Roman" w:eastAsia="仿宋_GB2312" w:cs="Times New Roman"/>
          <w:bCs/>
          <w:color w:val="auto"/>
          <w:kern w:val="0"/>
          <w:sz w:val="32"/>
          <w:szCs w:val="32"/>
          <w:highlight w:val="none"/>
          <w:lang w:val="en-US" w:eastAsia="zh-CN" w:bidi="ar-SA"/>
        </w:rPr>
      </w:pPr>
      <w:r>
        <w:rPr>
          <w:rFonts w:hint="eastAsia" w:ascii="Times New Roman" w:hAnsi="Times New Roman" w:eastAsia="仿宋_GB2312" w:cs="Times New Roman"/>
          <w:bCs/>
          <w:color w:val="auto"/>
          <w:kern w:val="0"/>
          <w:sz w:val="32"/>
          <w:szCs w:val="32"/>
          <w:highlight w:val="none"/>
          <w:lang w:val="en-US" w:eastAsia="zh-CN" w:bidi="ar-SA"/>
        </w:rPr>
        <w:t>公务接待费支出决算为0万元，全年共接待来访团组0个、来宾0人次。</w:t>
      </w:r>
    </w:p>
    <w:p w14:paraId="2DB633FF">
      <w:pPr>
        <w:pStyle w:val="14"/>
        <w:overflowPunct w:val="0"/>
        <w:autoSpaceDE/>
        <w:autoSpaceDN/>
        <w:spacing w:line="600" w:lineRule="exact"/>
        <w:ind w:firstLine="640" w:firstLineChars="200"/>
        <w:jc w:val="both"/>
        <w:rPr>
          <w:rFonts w:ascii="Times New Roman" w:hAnsi="Times New Roman" w:cs="Times New Roman"/>
          <w:bCs/>
          <w:color w:val="auto"/>
          <w:sz w:val="32"/>
          <w:szCs w:val="32"/>
          <w:highlight w:val="none"/>
        </w:rPr>
      </w:pPr>
      <w:r>
        <w:rPr>
          <w:rFonts w:ascii="Times New Roman" w:hAnsi="Times New Roman" w:cs="Times New Roman"/>
          <w:bCs/>
          <w:color w:val="auto"/>
          <w:sz w:val="32"/>
          <w:szCs w:val="32"/>
          <w:highlight w:val="none"/>
        </w:rPr>
        <w:t>八、政府性基金预算收入支出决算情况</w:t>
      </w:r>
    </w:p>
    <w:p w14:paraId="0857B6DA">
      <w:pPr>
        <w:pStyle w:val="14"/>
        <w:overflowPunct w:val="0"/>
        <w:autoSpaceDE/>
        <w:autoSpaceDN/>
        <w:spacing w:line="600" w:lineRule="exact"/>
        <w:ind w:firstLine="640" w:firstLineChars="200"/>
        <w:jc w:val="both"/>
        <w:rPr>
          <w:rFonts w:hint="eastAsia" w:ascii="Times New Roman" w:hAnsi="Times New Roman" w:eastAsia="仿宋_GB2312" w:cs="Times New Roman"/>
          <w:bCs/>
          <w:color w:val="auto"/>
          <w:kern w:val="0"/>
          <w:sz w:val="32"/>
          <w:szCs w:val="32"/>
          <w:highlight w:val="none"/>
          <w:lang w:val="en-US" w:eastAsia="zh-CN" w:bidi="ar-SA"/>
        </w:rPr>
      </w:pPr>
      <w:r>
        <w:rPr>
          <w:rFonts w:hint="eastAsia" w:ascii="Times New Roman" w:hAnsi="Times New Roman" w:eastAsia="仿宋_GB2312" w:cs="Times New Roman"/>
          <w:bCs/>
          <w:color w:val="auto"/>
          <w:kern w:val="0"/>
          <w:sz w:val="32"/>
          <w:szCs w:val="32"/>
          <w:highlight w:val="none"/>
          <w:lang w:val="en-US" w:eastAsia="zh-CN" w:bidi="ar-SA"/>
        </w:rPr>
        <w:t>本单位无政府性基金收支。</w:t>
      </w:r>
    </w:p>
    <w:p w14:paraId="6CE37954">
      <w:pPr>
        <w:pStyle w:val="14"/>
        <w:ind w:firstLine="640" w:firstLineChars="200"/>
        <w:rPr>
          <w:rFonts w:hint="eastAsia" w:hAnsi="黑体"/>
          <w:b/>
          <w:color w:val="auto"/>
          <w:sz w:val="32"/>
          <w:szCs w:val="32"/>
          <w:highlight w:val="none"/>
          <w:lang w:val="en-US" w:eastAsia="zh-CN"/>
        </w:rPr>
      </w:pPr>
      <w:r>
        <w:rPr>
          <w:rFonts w:hint="eastAsia" w:hAnsi="黑体"/>
          <w:b/>
          <w:color w:val="auto"/>
          <w:sz w:val="32"/>
          <w:szCs w:val="32"/>
          <w:highlight w:val="none"/>
          <w:lang w:val="en-US" w:eastAsia="zh-CN"/>
        </w:rPr>
        <w:t>九、国有资本经营预算财政拨款支出</w:t>
      </w:r>
      <w:r>
        <w:rPr>
          <w:rFonts w:hint="eastAsia" w:hAnsi="黑体"/>
          <w:b/>
          <w:color w:val="auto"/>
          <w:sz w:val="32"/>
          <w:szCs w:val="32"/>
          <w:highlight w:val="none"/>
        </w:rPr>
        <w:t>决算情况</w:t>
      </w:r>
      <w:r>
        <w:rPr>
          <w:rFonts w:hint="eastAsia" w:hAnsi="黑体"/>
          <w:b/>
          <w:color w:val="auto"/>
          <w:sz w:val="32"/>
          <w:szCs w:val="32"/>
          <w:highlight w:val="none"/>
          <w:lang w:val="en-US" w:eastAsia="zh-CN"/>
        </w:rPr>
        <w:t>说明</w:t>
      </w:r>
    </w:p>
    <w:p w14:paraId="7C859BB5">
      <w:pPr>
        <w:pStyle w:val="14"/>
        <w:overflowPunct w:val="0"/>
        <w:autoSpaceDE/>
        <w:autoSpaceDN/>
        <w:spacing w:line="600" w:lineRule="exact"/>
        <w:ind w:firstLine="640" w:firstLineChars="200"/>
        <w:jc w:val="both"/>
        <w:rPr>
          <w:rFonts w:hint="eastAsia" w:ascii="Times New Roman" w:hAnsi="Times New Roman" w:eastAsia="仿宋_GB2312" w:cs="Times New Roman"/>
          <w:bCs/>
          <w:color w:val="auto"/>
          <w:kern w:val="0"/>
          <w:sz w:val="32"/>
          <w:szCs w:val="32"/>
          <w:highlight w:val="none"/>
          <w:lang w:val="en-US" w:eastAsia="zh-CN" w:bidi="ar-SA"/>
        </w:rPr>
      </w:pPr>
      <w:r>
        <w:rPr>
          <w:rFonts w:hint="eastAsia" w:ascii="Times New Roman" w:hAnsi="Times New Roman" w:eastAsia="仿宋_GB2312" w:cs="Times New Roman"/>
          <w:bCs/>
          <w:color w:val="auto"/>
          <w:kern w:val="0"/>
          <w:sz w:val="32"/>
          <w:szCs w:val="32"/>
          <w:highlight w:val="none"/>
          <w:lang w:val="en-US" w:eastAsia="zh-CN" w:bidi="ar-SA"/>
        </w:rPr>
        <w:t>本单位无国有资本经营预算财政拨款支出。</w:t>
      </w:r>
    </w:p>
    <w:p w14:paraId="1327BBBC">
      <w:pPr>
        <w:pStyle w:val="14"/>
        <w:overflowPunct w:val="0"/>
        <w:autoSpaceDE/>
        <w:autoSpaceDN/>
        <w:spacing w:line="600" w:lineRule="exact"/>
        <w:ind w:firstLine="640" w:firstLineChars="200"/>
        <w:jc w:val="both"/>
        <w:rPr>
          <w:rFonts w:ascii="Times New Roman" w:hAnsi="Times New Roman" w:cs="Times New Roman"/>
          <w:bCs/>
          <w:color w:val="auto"/>
          <w:sz w:val="32"/>
          <w:szCs w:val="32"/>
          <w:highlight w:val="none"/>
        </w:rPr>
      </w:pPr>
      <w:r>
        <w:rPr>
          <w:rFonts w:hint="eastAsia" w:ascii="Times New Roman" w:hAnsi="Times New Roman" w:cs="Times New Roman"/>
          <w:bCs/>
          <w:color w:val="auto"/>
          <w:sz w:val="32"/>
          <w:szCs w:val="32"/>
          <w:highlight w:val="none"/>
          <w:lang w:eastAsia="zh-CN"/>
        </w:rPr>
        <w:t>十</w:t>
      </w:r>
      <w:r>
        <w:rPr>
          <w:rFonts w:ascii="Times New Roman" w:hAnsi="Times New Roman" w:cs="Times New Roman"/>
          <w:bCs/>
          <w:color w:val="auto"/>
          <w:sz w:val="32"/>
          <w:szCs w:val="32"/>
          <w:highlight w:val="none"/>
        </w:rPr>
        <w:t>、关于机关运行经费支出说明</w:t>
      </w:r>
    </w:p>
    <w:p w14:paraId="4F43F6E2">
      <w:pPr>
        <w:snapToGrid w:val="0"/>
        <w:spacing w:line="520" w:lineRule="exact"/>
        <w:ind w:firstLine="640" w:firstLineChars="200"/>
        <w:jc w:val="both"/>
        <w:rPr>
          <w:rFonts w:hint="eastAsia" w:ascii="宋体" w:hAnsi="宋体" w:eastAsia="宋体"/>
          <w:color w:val="auto"/>
          <w:sz w:val="32"/>
          <w:szCs w:val="32"/>
          <w:highlight w:val="none"/>
          <w:lang w:val="en-US" w:eastAsia="zh-CN"/>
        </w:rPr>
      </w:pPr>
      <w:r>
        <w:rPr>
          <w:rFonts w:ascii="Times New Roman" w:hAnsi="Times New Roman" w:eastAsia="仿宋_GB2312" w:cs="Times New Roman"/>
          <w:color w:val="auto"/>
          <w:sz w:val="32"/>
          <w:szCs w:val="32"/>
          <w:highlight w:val="none"/>
        </w:rPr>
        <w:t>本部门</w:t>
      </w:r>
      <w:r>
        <w:rPr>
          <w:rFonts w:hint="eastAsia" w:ascii="Times New Roman" w:hAnsi="Times New Roman" w:eastAsia="仿宋_GB2312" w:cs="Times New Roman"/>
          <w:color w:val="auto"/>
          <w:sz w:val="32"/>
          <w:szCs w:val="32"/>
          <w:highlight w:val="none"/>
          <w:lang w:eastAsia="zh-CN"/>
        </w:rPr>
        <w:t>2025</w:t>
      </w:r>
      <w:r>
        <w:rPr>
          <w:rFonts w:ascii="Times New Roman" w:hAnsi="Times New Roman" w:eastAsia="仿宋_GB2312" w:cs="Times New Roman"/>
          <w:color w:val="auto"/>
          <w:sz w:val="32"/>
          <w:szCs w:val="32"/>
          <w:highlight w:val="none"/>
        </w:rPr>
        <w:t>年度机关运行经费支出</w:t>
      </w:r>
      <w:r>
        <w:rPr>
          <w:rFonts w:hint="eastAsia" w:ascii="Times New Roman" w:hAnsi="Times New Roman" w:eastAsia="仿宋_GB2312" w:cs="Times New Roman"/>
          <w:color w:val="auto"/>
          <w:sz w:val="32"/>
          <w:szCs w:val="32"/>
          <w:highlight w:val="none"/>
        </w:rPr>
        <w:t>1345.02</w:t>
      </w:r>
      <w:r>
        <w:rPr>
          <w:rFonts w:ascii="Times New Roman" w:hAnsi="Times New Roman" w:eastAsia="仿宋_GB2312" w:cs="Times New Roman"/>
          <w:color w:val="auto"/>
          <w:sz w:val="32"/>
          <w:szCs w:val="32"/>
          <w:highlight w:val="none"/>
        </w:rPr>
        <w:t>万元，</w:t>
      </w:r>
      <w:r>
        <w:rPr>
          <w:rFonts w:hint="eastAsia" w:ascii="宋体" w:hAnsi="宋体" w:eastAsia="宋体"/>
          <w:color w:val="auto"/>
          <w:sz w:val="32"/>
          <w:szCs w:val="32"/>
          <w:highlight w:val="none"/>
        </w:rPr>
        <w:t>比上年决算数</w:t>
      </w:r>
      <w:r>
        <w:rPr>
          <w:rFonts w:hint="eastAsia" w:ascii="宋体" w:hAnsi="宋体" w:eastAsia="宋体"/>
          <w:color w:val="auto"/>
          <w:sz w:val="32"/>
          <w:szCs w:val="32"/>
          <w:highlight w:val="none"/>
          <w:lang w:eastAsia="zh-CN"/>
        </w:rPr>
        <w:t>减少</w:t>
      </w:r>
      <w:r>
        <w:rPr>
          <w:rFonts w:hint="eastAsia" w:ascii="宋体" w:hAnsi="宋体" w:eastAsia="宋体"/>
          <w:color w:val="auto"/>
          <w:sz w:val="32"/>
          <w:szCs w:val="32"/>
          <w:highlight w:val="none"/>
          <w:lang w:val="en-US" w:eastAsia="zh-CN"/>
        </w:rPr>
        <w:t>55.81</w:t>
      </w:r>
      <w:r>
        <w:rPr>
          <w:rFonts w:hint="eastAsia" w:ascii="宋体" w:hAnsi="宋体" w:eastAsia="宋体"/>
          <w:color w:val="auto"/>
          <w:sz w:val="32"/>
          <w:szCs w:val="32"/>
          <w:highlight w:val="none"/>
        </w:rPr>
        <w:t>万元，</w:t>
      </w:r>
      <w:r>
        <w:rPr>
          <w:rFonts w:hint="eastAsia" w:ascii="宋体" w:hAnsi="宋体" w:eastAsia="宋体"/>
          <w:color w:val="auto"/>
          <w:sz w:val="32"/>
          <w:szCs w:val="32"/>
          <w:highlight w:val="none"/>
          <w:lang w:eastAsia="zh-CN"/>
        </w:rPr>
        <w:t>减少</w:t>
      </w:r>
      <w:r>
        <w:rPr>
          <w:rFonts w:hint="eastAsia" w:ascii="宋体" w:hAnsi="宋体" w:eastAsia="宋体"/>
          <w:color w:val="auto"/>
          <w:sz w:val="32"/>
          <w:szCs w:val="32"/>
          <w:highlight w:val="none"/>
          <w:lang w:val="en-US" w:eastAsia="zh-CN"/>
        </w:rPr>
        <w:t>3.98</w:t>
      </w:r>
      <w:r>
        <w:rPr>
          <w:rFonts w:ascii="宋体" w:hAnsi="宋体" w:eastAsia="宋体"/>
          <w:color w:val="auto"/>
          <w:sz w:val="32"/>
          <w:szCs w:val="32"/>
          <w:highlight w:val="none"/>
        </w:rPr>
        <w:t>%</w:t>
      </w:r>
      <w:r>
        <w:rPr>
          <w:rFonts w:hint="eastAsia" w:ascii="宋体" w:hAnsi="宋体" w:eastAsia="宋体"/>
          <w:color w:val="auto"/>
          <w:sz w:val="32"/>
          <w:szCs w:val="32"/>
          <w:highlight w:val="none"/>
        </w:rPr>
        <w:t>。主要原因是：</w:t>
      </w:r>
      <w:r>
        <w:rPr>
          <w:rFonts w:hint="eastAsia" w:ascii="宋体" w:hAnsi="宋体" w:eastAsia="宋体"/>
          <w:color w:val="auto"/>
          <w:sz w:val="32"/>
          <w:szCs w:val="32"/>
          <w:highlight w:val="none"/>
          <w:lang w:val="en-US" w:eastAsia="zh-CN"/>
        </w:rPr>
        <w:t>我单位严格落实厉行节约要求，节约高效统筹经费开支。</w:t>
      </w:r>
    </w:p>
    <w:p w14:paraId="4B22507D">
      <w:pPr>
        <w:pStyle w:val="14"/>
        <w:overflowPunct w:val="0"/>
        <w:autoSpaceDE/>
        <w:autoSpaceDN/>
        <w:spacing w:line="600" w:lineRule="exact"/>
        <w:ind w:firstLine="640" w:firstLineChars="200"/>
        <w:jc w:val="both"/>
        <w:rPr>
          <w:rFonts w:ascii="Times New Roman" w:hAnsi="Times New Roman" w:cs="Times New Roman"/>
          <w:bCs/>
          <w:color w:val="auto"/>
          <w:sz w:val="32"/>
          <w:szCs w:val="32"/>
          <w:highlight w:val="none"/>
        </w:rPr>
      </w:pPr>
      <w:r>
        <w:rPr>
          <w:rFonts w:ascii="Times New Roman" w:hAnsi="Times New Roman" w:cs="Times New Roman"/>
          <w:bCs/>
          <w:color w:val="auto"/>
          <w:sz w:val="32"/>
          <w:szCs w:val="32"/>
          <w:highlight w:val="none"/>
        </w:rPr>
        <w:t>十</w:t>
      </w:r>
      <w:r>
        <w:rPr>
          <w:rFonts w:hint="eastAsia" w:ascii="Times New Roman" w:hAnsi="Times New Roman" w:cs="Times New Roman"/>
          <w:bCs/>
          <w:color w:val="auto"/>
          <w:sz w:val="32"/>
          <w:szCs w:val="32"/>
          <w:highlight w:val="none"/>
          <w:lang w:eastAsia="zh-CN"/>
        </w:rPr>
        <w:t>一</w:t>
      </w:r>
      <w:r>
        <w:rPr>
          <w:rFonts w:ascii="Times New Roman" w:hAnsi="Times New Roman" w:cs="Times New Roman"/>
          <w:bCs/>
          <w:color w:val="auto"/>
          <w:sz w:val="32"/>
          <w:szCs w:val="32"/>
          <w:highlight w:val="none"/>
        </w:rPr>
        <w:t>、一般性支出情况说明</w:t>
      </w:r>
    </w:p>
    <w:p w14:paraId="17F79696">
      <w:pPr>
        <w:pStyle w:val="14"/>
        <w:overflowPunct w:val="0"/>
        <w:autoSpaceDE/>
        <w:autoSpaceDN/>
        <w:spacing w:line="600" w:lineRule="exact"/>
        <w:ind w:firstLine="640" w:firstLineChars="200"/>
        <w:jc w:val="both"/>
        <w:rPr>
          <w:rFonts w:hint="eastAsia" w:ascii="宋体" w:hAnsi="宋体" w:cs="仿宋_GB2312" w:eastAsiaTheme="minorEastAsia"/>
          <w:color w:val="auto"/>
          <w:kern w:val="2"/>
          <w:sz w:val="32"/>
          <w:szCs w:val="32"/>
          <w:highlight w:val="none"/>
          <w:lang w:val="en-US" w:eastAsia="zh-CN" w:bidi="ar-SA"/>
        </w:rPr>
      </w:pPr>
      <w:r>
        <w:rPr>
          <w:rFonts w:hint="eastAsia" w:ascii="宋体" w:hAnsi="宋体" w:cs="仿宋_GB2312" w:eastAsiaTheme="minorEastAsia"/>
          <w:color w:val="auto"/>
          <w:kern w:val="2"/>
          <w:sz w:val="32"/>
          <w:szCs w:val="32"/>
          <w:highlight w:val="none"/>
          <w:lang w:val="en-US" w:eastAsia="zh-CN" w:bidi="ar-SA"/>
        </w:rPr>
        <w:t>2025年本部门无会议费开支；未举办节庆、晚会、论坛、赛事等活动；全年开支培训费17.72万元，用于分局民警执法资格考试培训、各类公安业务培训等。（因部分培训内容涉密，不予具体公开培训内容）</w:t>
      </w:r>
    </w:p>
    <w:p w14:paraId="3EA88C83">
      <w:pPr>
        <w:pStyle w:val="14"/>
        <w:overflowPunct w:val="0"/>
        <w:autoSpaceDE/>
        <w:autoSpaceDN/>
        <w:spacing w:line="600" w:lineRule="exact"/>
        <w:ind w:firstLine="640" w:firstLineChars="200"/>
        <w:jc w:val="both"/>
        <w:rPr>
          <w:rFonts w:ascii="Times New Roman" w:hAnsi="Times New Roman" w:cs="Times New Roman"/>
          <w:bCs/>
          <w:color w:val="auto"/>
          <w:sz w:val="32"/>
          <w:szCs w:val="32"/>
          <w:highlight w:val="none"/>
        </w:rPr>
      </w:pPr>
      <w:r>
        <w:rPr>
          <w:rFonts w:ascii="Times New Roman" w:hAnsi="Times New Roman" w:cs="Times New Roman"/>
          <w:bCs/>
          <w:color w:val="auto"/>
          <w:sz w:val="32"/>
          <w:szCs w:val="32"/>
          <w:highlight w:val="none"/>
        </w:rPr>
        <w:t>十</w:t>
      </w:r>
      <w:r>
        <w:rPr>
          <w:rFonts w:hint="eastAsia" w:ascii="Times New Roman" w:hAnsi="Times New Roman" w:cs="Times New Roman"/>
          <w:bCs/>
          <w:color w:val="auto"/>
          <w:sz w:val="32"/>
          <w:szCs w:val="32"/>
          <w:highlight w:val="none"/>
          <w:lang w:eastAsia="zh-CN"/>
        </w:rPr>
        <w:t>二</w:t>
      </w:r>
      <w:r>
        <w:rPr>
          <w:rFonts w:ascii="Times New Roman" w:hAnsi="Times New Roman" w:cs="Times New Roman"/>
          <w:bCs/>
          <w:color w:val="auto"/>
          <w:sz w:val="32"/>
          <w:szCs w:val="32"/>
          <w:highlight w:val="none"/>
        </w:rPr>
        <w:t>、关于政府采购支出说明</w:t>
      </w:r>
    </w:p>
    <w:p w14:paraId="4296EF6E">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rPr>
        <w:t>本部门</w:t>
      </w:r>
      <w:r>
        <w:rPr>
          <w:rFonts w:hint="eastAsia" w:ascii="Times New Roman" w:hAnsi="Times New Roman" w:eastAsia="仿宋_GB2312" w:cs="Times New Roman"/>
          <w:color w:val="auto"/>
          <w:sz w:val="32"/>
          <w:szCs w:val="32"/>
          <w:highlight w:val="none"/>
          <w:lang w:eastAsia="zh-CN"/>
        </w:rPr>
        <w:t>2025</w:t>
      </w:r>
      <w:r>
        <w:rPr>
          <w:rFonts w:ascii="Times New Roman" w:hAnsi="Times New Roman" w:eastAsia="仿宋_GB2312" w:cs="Times New Roman"/>
          <w:color w:val="auto"/>
          <w:sz w:val="32"/>
          <w:szCs w:val="32"/>
          <w:highlight w:val="none"/>
        </w:rPr>
        <w:t>年度政府采购支出总额</w:t>
      </w:r>
      <w:r>
        <w:rPr>
          <w:rFonts w:hint="eastAsia" w:ascii="宋体" w:hAnsi="宋体" w:cs="宋体"/>
          <w:color w:val="auto"/>
          <w:sz w:val="30"/>
          <w:szCs w:val="30"/>
          <w:highlight w:val="none"/>
          <w:lang w:val="en-US" w:eastAsia="zh-CN"/>
        </w:rPr>
        <w:t>513.34</w:t>
      </w:r>
      <w:r>
        <w:rPr>
          <w:rFonts w:ascii="Times New Roman" w:hAnsi="Times New Roman" w:eastAsia="仿宋_GB2312" w:cs="Times New Roman"/>
          <w:color w:val="auto"/>
          <w:sz w:val="32"/>
          <w:szCs w:val="32"/>
          <w:highlight w:val="none"/>
        </w:rPr>
        <w:t>万元，其中：政府采购货物支出</w:t>
      </w:r>
      <w:r>
        <w:rPr>
          <w:rFonts w:hint="eastAsia" w:ascii="宋体" w:hAnsi="宋体" w:cs="宋体"/>
          <w:color w:val="auto"/>
          <w:sz w:val="30"/>
          <w:szCs w:val="30"/>
          <w:highlight w:val="none"/>
          <w:lang w:val="en-US" w:eastAsia="zh-CN"/>
        </w:rPr>
        <w:t>361.34</w:t>
      </w:r>
      <w:r>
        <w:rPr>
          <w:rFonts w:ascii="Times New Roman" w:hAnsi="Times New Roman" w:eastAsia="仿宋_GB2312" w:cs="Times New Roman"/>
          <w:color w:val="auto"/>
          <w:sz w:val="32"/>
          <w:szCs w:val="32"/>
          <w:highlight w:val="none"/>
        </w:rPr>
        <w:t>万元、政府采购工程支出</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万元、政府采购服务支出</w:t>
      </w:r>
      <w:r>
        <w:rPr>
          <w:rFonts w:hint="eastAsia" w:ascii="宋体" w:hAnsi="宋体" w:cs="宋体"/>
          <w:color w:val="auto"/>
          <w:sz w:val="30"/>
          <w:szCs w:val="30"/>
          <w:highlight w:val="none"/>
          <w:lang w:val="en-US" w:eastAsia="zh-CN"/>
        </w:rPr>
        <w:t>152</w:t>
      </w:r>
      <w:r>
        <w:rPr>
          <w:rFonts w:ascii="Times New Roman" w:hAnsi="Times New Roman" w:eastAsia="仿宋_GB2312" w:cs="Times New Roman"/>
          <w:color w:val="auto"/>
          <w:sz w:val="32"/>
          <w:szCs w:val="32"/>
          <w:highlight w:val="none"/>
        </w:rPr>
        <w:t>万元。授予中小企业合同金额</w:t>
      </w:r>
      <w:r>
        <w:rPr>
          <w:rFonts w:hint="eastAsia" w:ascii="宋体" w:hAnsi="宋体" w:cs="宋体"/>
          <w:color w:val="auto"/>
          <w:sz w:val="30"/>
          <w:szCs w:val="30"/>
          <w:highlight w:val="none"/>
          <w:lang w:val="en-US" w:eastAsia="zh-CN"/>
        </w:rPr>
        <w:t>513.34</w:t>
      </w:r>
      <w:r>
        <w:rPr>
          <w:rFonts w:ascii="Times New Roman" w:hAnsi="Times New Roman" w:eastAsia="仿宋_GB2312" w:cs="Times New Roman"/>
          <w:color w:val="auto"/>
          <w:sz w:val="32"/>
          <w:szCs w:val="32"/>
          <w:highlight w:val="none"/>
        </w:rPr>
        <w:t>万元，占政府采购支出总额的</w:t>
      </w:r>
      <w:r>
        <w:rPr>
          <w:rFonts w:hint="eastAsia" w:ascii="Times New Roman" w:hAnsi="Times New Roman" w:eastAsia="仿宋_GB2312" w:cs="Times New Roman"/>
          <w:color w:val="auto"/>
          <w:sz w:val="32"/>
          <w:szCs w:val="32"/>
          <w:highlight w:val="none"/>
          <w:lang w:val="en-US" w:eastAsia="zh-CN"/>
        </w:rPr>
        <w:t>100</w:t>
      </w:r>
      <w:r>
        <w:rPr>
          <w:rFonts w:ascii="Times New Roman" w:hAnsi="Times New Roman" w:eastAsia="仿宋_GB2312" w:cs="Times New Roman"/>
          <w:color w:val="auto"/>
          <w:sz w:val="32"/>
          <w:szCs w:val="32"/>
          <w:highlight w:val="none"/>
        </w:rPr>
        <w:t>%，其中：授予小微企业合同金额</w:t>
      </w:r>
      <w:r>
        <w:rPr>
          <w:rFonts w:hint="eastAsia" w:ascii="宋体" w:hAnsi="宋体" w:cs="宋体"/>
          <w:color w:val="auto"/>
          <w:sz w:val="30"/>
          <w:szCs w:val="30"/>
          <w:highlight w:val="none"/>
          <w:lang w:val="en-US" w:eastAsia="zh-CN"/>
        </w:rPr>
        <w:t>513.34</w:t>
      </w:r>
      <w:r>
        <w:rPr>
          <w:rFonts w:ascii="Times New Roman" w:hAnsi="Times New Roman" w:eastAsia="仿宋_GB2312" w:cs="Times New Roman"/>
          <w:color w:val="auto"/>
          <w:sz w:val="32"/>
          <w:szCs w:val="32"/>
          <w:highlight w:val="none"/>
        </w:rPr>
        <w:t>万元，占授予中小企业合同金额的</w:t>
      </w:r>
      <w:r>
        <w:rPr>
          <w:rFonts w:hint="eastAsia" w:ascii="Times New Roman" w:hAnsi="Times New Roman" w:eastAsia="仿宋_GB2312" w:cs="Times New Roman"/>
          <w:color w:val="auto"/>
          <w:sz w:val="32"/>
          <w:szCs w:val="32"/>
          <w:highlight w:val="none"/>
          <w:lang w:val="en-US" w:eastAsia="zh-CN"/>
        </w:rPr>
        <w:t>100</w:t>
      </w:r>
      <w:r>
        <w:rPr>
          <w:rFonts w:ascii="Times New Roman" w:hAnsi="Times New Roman" w:eastAsia="仿宋_GB2312" w:cs="Times New Roman"/>
          <w:color w:val="auto"/>
          <w:sz w:val="32"/>
          <w:szCs w:val="32"/>
          <w:highlight w:val="none"/>
        </w:rPr>
        <w:t>%。货物采购授予中小企业合同金额占货物支出金额的</w:t>
      </w:r>
      <w:r>
        <w:rPr>
          <w:rFonts w:hint="eastAsia" w:ascii="Times New Roman" w:hAnsi="Times New Roman" w:eastAsia="仿宋_GB2312" w:cs="Times New Roman"/>
          <w:color w:val="auto"/>
          <w:sz w:val="32"/>
          <w:szCs w:val="32"/>
          <w:highlight w:val="none"/>
          <w:lang w:val="en-US" w:eastAsia="zh-CN"/>
        </w:rPr>
        <w:t>100</w:t>
      </w:r>
      <w:r>
        <w:rPr>
          <w:rFonts w:ascii="Times New Roman" w:hAnsi="Times New Roman" w:eastAsia="仿宋_GB2312" w:cs="Times New Roman"/>
          <w:color w:val="auto"/>
          <w:sz w:val="32"/>
          <w:szCs w:val="32"/>
          <w:highlight w:val="none"/>
        </w:rPr>
        <w:t>%，服务采购授予中小企业合同金额占服务支出金额的</w:t>
      </w:r>
      <w:r>
        <w:rPr>
          <w:rFonts w:hint="eastAsia" w:ascii="Times New Roman" w:hAnsi="Times New Roman" w:eastAsia="仿宋_GB2312" w:cs="Times New Roman"/>
          <w:color w:val="auto"/>
          <w:sz w:val="32"/>
          <w:szCs w:val="32"/>
          <w:highlight w:val="none"/>
          <w:lang w:val="en-US" w:eastAsia="zh-CN"/>
        </w:rPr>
        <w:t>100</w:t>
      </w:r>
      <w:r>
        <w:rPr>
          <w:rFonts w:ascii="Times New Roman" w:hAnsi="Times New Roman" w:eastAsia="仿宋_GB2312" w:cs="Times New Roman"/>
          <w:color w:val="auto"/>
          <w:sz w:val="32"/>
          <w:szCs w:val="32"/>
          <w:highlight w:val="none"/>
        </w:rPr>
        <w:t>%。</w:t>
      </w:r>
    </w:p>
    <w:p w14:paraId="6A93F414">
      <w:pPr>
        <w:pStyle w:val="14"/>
        <w:overflowPunct w:val="0"/>
        <w:autoSpaceDE/>
        <w:autoSpaceDN/>
        <w:spacing w:line="600" w:lineRule="exact"/>
        <w:ind w:firstLine="640" w:firstLineChars="200"/>
        <w:jc w:val="both"/>
        <w:rPr>
          <w:rFonts w:ascii="Times New Roman" w:hAnsi="Times New Roman" w:cs="Times New Roman"/>
          <w:bCs/>
          <w:color w:val="auto"/>
          <w:sz w:val="32"/>
          <w:szCs w:val="32"/>
          <w:highlight w:val="none"/>
        </w:rPr>
      </w:pPr>
      <w:r>
        <w:rPr>
          <w:rFonts w:ascii="Times New Roman" w:hAnsi="Times New Roman" w:cs="Times New Roman"/>
          <w:bCs/>
          <w:color w:val="auto"/>
          <w:sz w:val="32"/>
          <w:szCs w:val="32"/>
          <w:highlight w:val="none"/>
        </w:rPr>
        <w:t>十</w:t>
      </w:r>
      <w:r>
        <w:rPr>
          <w:rFonts w:hint="eastAsia" w:ascii="Times New Roman" w:hAnsi="Times New Roman" w:cs="Times New Roman"/>
          <w:bCs/>
          <w:color w:val="auto"/>
          <w:sz w:val="32"/>
          <w:szCs w:val="32"/>
          <w:highlight w:val="none"/>
          <w:lang w:eastAsia="zh-CN"/>
        </w:rPr>
        <w:t>三</w:t>
      </w:r>
      <w:r>
        <w:rPr>
          <w:rFonts w:ascii="Times New Roman" w:hAnsi="Times New Roman" w:cs="Times New Roman"/>
          <w:bCs/>
          <w:color w:val="auto"/>
          <w:sz w:val="32"/>
          <w:szCs w:val="32"/>
          <w:highlight w:val="none"/>
        </w:rPr>
        <w:t>、关于国有资产占用情况说明</w:t>
      </w:r>
    </w:p>
    <w:p w14:paraId="23FF2FFD">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rPr>
        <w:t>截至</w:t>
      </w:r>
      <w:r>
        <w:rPr>
          <w:rFonts w:hint="eastAsia" w:ascii="Times New Roman" w:hAnsi="Times New Roman" w:eastAsia="仿宋_GB2312" w:cs="Times New Roman"/>
          <w:color w:val="auto"/>
          <w:sz w:val="32"/>
          <w:szCs w:val="32"/>
          <w:highlight w:val="none"/>
          <w:lang w:eastAsia="zh-CN"/>
        </w:rPr>
        <w:t>2025</w:t>
      </w:r>
      <w:r>
        <w:rPr>
          <w:rFonts w:ascii="Times New Roman" w:hAnsi="Times New Roman" w:eastAsia="仿宋_GB2312" w:cs="Times New Roman"/>
          <w:color w:val="auto"/>
          <w:sz w:val="32"/>
          <w:szCs w:val="32"/>
          <w:highlight w:val="none"/>
        </w:rPr>
        <w:t>年12月31日，单位共有车辆</w:t>
      </w:r>
      <w:r>
        <w:rPr>
          <w:rFonts w:hint="eastAsia" w:ascii="Times New Roman" w:hAnsi="Times New Roman" w:eastAsia="仿宋_GB2312" w:cs="Times New Roman"/>
          <w:color w:val="auto"/>
          <w:sz w:val="32"/>
          <w:szCs w:val="32"/>
          <w:highlight w:val="none"/>
          <w:lang w:val="en-US" w:eastAsia="zh-CN"/>
        </w:rPr>
        <w:t>73</w:t>
      </w:r>
      <w:r>
        <w:rPr>
          <w:rFonts w:ascii="Times New Roman" w:hAnsi="Times New Roman" w:eastAsia="仿宋_GB2312" w:cs="Times New Roman"/>
          <w:color w:val="auto"/>
          <w:sz w:val="32"/>
          <w:szCs w:val="32"/>
          <w:highlight w:val="none"/>
        </w:rPr>
        <w:t>辆，其中，</w:t>
      </w:r>
      <w:r>
        <w:rPr>
          <w:rFonts w:hint="eastAsia" w:ascii="Times New Roman" w:hAnsi="Times New Roman" w:eastAsia="仿宋_GB2312" w:cs="Times New Roman"/>
          <w:color w:val="auto"/>
          <w:sz w:val="32"/>
          <w:szCs w:val="32"/>
          <w:highlight w:val="none"/>
        </w:rPr>
        <w:t>执法执勤用车</w:t>
      </w:r>
      <w:r>
        <w:rPr>
          <w:rFonts w:hint="eastAsia" w:ascii="Times New Roman" w:hAnsi="Times New Roman" w:eastAsia="仿宋_GB2312" w:cs="Times New Roman"/>
          <w:color w:val="auto"/>
          <w:sz w:val="32"/>
          <w:szCs w:val="32"/>
          <w:highlight w:val="none"/>
          <w:lang w:val="en-US" w:eastAsia="zh-CN"/>
        </w:rPr>
        <w:t>71</w:t>
      </w:r>
      <w:r>
        <w:rPr>
          <w:rFonts w:hint="eastAsia" w:ascii="Times New Roman" w:hAnsi="Times New Roman" w:eastAsia="仿宋_GB2312" w:cs="Times New Roman"/>
          <w:color w:val="auto"/>
          <w:sz w:val="32"/>
          <w:szCs w:val="32"/>
          <w:highlight w:val="none"/>
        </w:rPr>
        <w:t>辆</w:t>
      </w:r>
      <w:r>
        <w:rPr>
          <w:rFonts w:hint="eastAsia" w:ascii="Times New Roman" w:hAnsi="Times New Roman" w:eastAsia="仿宋_GB2312" w:cs="Times New Roman"/>
          <w:color w:val="auto"/>
          <w:sz w:val="32"/>
          <w:szCs w:val="32"/>
          <w:highlight w:val="none"/>
          <w:lang w:eastAsia="zh-CN"/>
        </w:rPr>
        <w:t>、特种专业技术用车</w:t>
      </w:r>
      <w:r>
        <w:rPr>
          <w:rFonts w:hint="eastAsia" w:ascii="Times New Roman" w:hAnsi="Times New Roman" w:eastAsia="仿宋_GB2312" w:cs="Times New Roman"/>
          <w:color w:val="auto"/>
          <w:sz w:val="32"/>
          <w:szCs w:val="32"/>
          <w:highlight w:val="none"/>
          <w:lang w:val="en-US" w:eastAsia="zh-CN"/>
        </w:rPr>
        <w:t>2辆</w:t>
      </w:r>
      <w:r>
        <w:rPr>
          <w:rFonts w:hint="eastAsia" w:ascii="Times New Roman" w:hAnsi="Times New Roman" w:eastAsia="仿宋_GB2312" w:cs="Times New Roman"/>
          <w:color w:val="auto"/>
          <w:sz w:val="32"/>
          <w:szCs w:val="32"/>
          <w:highlight w:val="none"/>
        </w:rPr>
        <w:t>；单位价值</w:t>
      </w:r>
      <w:r>
        <w:rPr>
          <w:rFonts w:ascii="Times New Roman" w:hAnsi="Times New Roman" w:eastAsia="仿宋_GB2312" w:cs="Times New Roman"/>
          <w:color w:val="auto"/>
          <w:sz w:val="32"/>
          <w:szCs w:val="32"/>
          <w:highlight w:val="none"/>
        </w:rPr>
        <w:t>100</w:t>
      </w:r>
      <w:r>
        <w:rPr>
          <w:rFonts w:hint="eastAsia" w:ascii="Times New Roman" w:hAnsi="Times New Roman" w:eastAsia="仿宋_GB2312" w:cs="Times New Roman"/>
          <w:color w:val="auto"/>
          <w:sz w:val="32"/>
          <w:szCs w:val="32"/>
          <w:highlight w:val="none"/>
        </w:rPr>
        <w:t>万元以上设备</w:t>
      </w:r>
      <w:r>
        <w:rPr>
          <w:rFonts w:hint="eastAsia" w:ascii="Times New Roman" w:hAnsi="Times New Roman" w:eastAsia="仿宋_GB2312" w:cs="Times New Roman"/>
          <w:color w:val="auto"/>
          <w:sz w:val="32"/>
          <w:szCs w:val="32"/>
          <w:highlight w:val="none"/>
          <w:lang w:eastAsia="zh-CN"/>
        </w:rPr>
        <w:t>（不含车辆）</w:t>
      </w:r>
      <w:r>
        <w:rPr>
          <w:rFonts w:ascii="Times New Roman" w:hAnsi="Times New Roman" w:eastAsia="仿宋_GB2312" w:cs="Times New Roman"/>
          <w:color w:val="auto"/>
          <w:sz w:val="32"/>
          <w:szCs w:val="32"/>
          <w:highlight w:val="none"/>
        </w:rPr>
        <w:t>0</w:t>
      </w:r>
      <w:r>
        <w:rPr>
          <w:rFonts w:hint="eastAsia" w:ascii="Times New Roman" w:hAnsi="Times New Roman" w:eastAsia="仿宋_GB2312" w:cs="Times New Roman"/>
          <w:color w:val="auto"/>
          <w:sz w:val="32"/>
          <w:szCs w:val="32"/>
          <w:highlight w:val="none"/>
        </w:rPr>
        <w:t>台（套）。</w:t>
      </w:r>
    </w:p>
    <w:p w14:paraId="1B81D8FD">
      <w:pPr>
        <w:pStyle w:val="14"/>
        <w:overflowPunct w:val="0"/>
        <w:autoSpaceDE/>
        <w:autoSpaceDN/>
        <w:spacing w:line="600" w:lineRule="exact"/>
        <w:ind w:firstLine="640" w:firstLineChars="200"/>
        <w:jc w:val="both"/>
        <w:rPr>
          <w:rFonts w:ascii="Times New Roman" w:hAnsi="Times New Roman" w:cs="Times New Roman"/>
          <w:bCs/>
          <w:color w:val="auto"/>
          <w:sz w:val="32"/>
          <w:szCs w:val="32"/>
          <w:highlight w:val="none"/>
        </w:rPr>
      </w:pPr>
      <w:r>
        <w:rPr>
          <w:rFonts w:ascii="Times New Roman" w:hAnsi="Times New Roman" w:cs="Times New Roman"/>
          <w:bCs/>
          <w:color w:val="auto"/>
          <w:sz w:val="32"/>
          <w:szCs w:val="32"/>
          <w:highlight w:val="none"/>
        </w:rPr>
        <w:t>十</w:t>
      </w:r>
      <w:r>
        <w:rPr>
          <w:rFonts w:hint="eastAsia" w:ascii="Times New Roman" w:hAnsi="Times New Roman" w:cs="Times New Roman"/>
          <w:bCs/>
          <w:color w:val="auto"/>
          <w:sz w:val="32"/>
          <w:szCs w:val="32"/>
          <w:highlight w:val="none"/>
          <w:lang w:eastAsia="zh-CN"/>
        </w:rPr>
        <w:t>四</w:t>
      </w:r>
      <w:r>
        <w:rPr>
          <w:rFonts w:ascii="Times New Roman" w:hAnsi="Times New Roman" w:cs="Times New Roman"/>
          <w:bCs/>
          <w:color w:val="auto"/>
          <w:sz w:val="32"/>
          <w:szCs w:val="32"/>
          <w:highlight w:val="none"/>
        </w:rPr>
        <w:t>、关于</w:t>
      </w:r>
      <w:r>
        <w:rPr>
          <w:rFonts w:hint="eastAsia" w:ascii="Times New Roman" w:hAnsi="Times New Roman" w:eastAsia="仿宋_GB2312" w:cs="Times New Roman"/>
          <w:color w:val="auto"/>
          <w:sz w:val="32"/>
          <w:szCs w:val="32"/>
          <w:highlight w:val="none"/>
          <w:lang w:eastAsia="zh-CN"/>
        </w:rPr>
        <w:t>2025</w:t>
      </w:r>
      <w:r>
        <w:rPr>
          <w:rFonts w:ascii="Times New Roman" w:hAnsi="Times New Roman" w:cs="Times New Roman"/>
          <w:bCs/>
          <w:color w:val="auto"/>
          <w:sz w:val="32"/>
          <w:szCs w:val="32"/>
          <w:highlight w:val="none"/>
        </w:rPr>
        <w:t>年度预算绩效情况的说明</w:t>
      </w:r>
    </w:p>
    <w:p w14:paraId="06B156D9">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ascii="Times New Roman" w:hAnsi="Times New Roman" w:cs="Times New Roman"/>
          <w:color w:val="auto"/>
          <w:sz w:val="72"/>
          <w:szCs w:val="72"/>
          <w:highlight w:val="none"/>
        </w:rPr>
      </w:pPr>
      <w:r>
        <w:rPr>
          <w:rFonts w:hint="eastAsia" w:ascii="Times New Roman" w:hAnsi="Times New Roman" w:eastAsia="仿宋_GB2312" w:cs="Times New Roman"/>
          <w:color w:val="auto"/>
          <w:sz w:val="32"/>
          <w:szCs w:val="32"/>
          <w:highlight w:val="none"/>
          <w:lang w:val="en-US" w:eastAsia="zh-CN"/>
        </w:rPr>
        <w:t>我单位高度重视预算绩效管理工作，本年度工作推进顺利、成效显著。严格按照政策要求和规范流程，我们全面完成了2025年度绩效评价工作。评价内容系统覆盖预算执行进度、总体目标实现情况和各项绩效指标的实际完成质量。整个过程科学规范，评价结果客观准确，所有自评材料均已按规定在我单位官网公开，主动接受社会监督。绩效评价结果已切实应用于下年度预算安排和政策优化，与资金分配直接挂钩，并用于提升项目管理、完善政策措施、督促落实整改，持续提高资金使用效益，实现了全流程闭环管理。（绩效自评报告见附件）</w:t>
      </w:r>
    </w:p>
    <w:p w14:paraId="0C2C796B">
      <w:pPr>
        <w:pStyle w:val="14"/>
        <w:spacing w:line="360" w:lineRule="auto"/>
        <w:jc w:val="center"/>
        <w:rPr>
          <w:rFonts w:ascii="Times New Roman" w:hAnsi="Times New Roman" w:eastAsia="方正小标宋_GBK" w:cs="Times New Roman"/>
          <w:color w:val="auto"/>
          <w:sz w:val="52"/>
          <w:szCs w:val="52"/>
          <w:highlight w:val="none"/>
        </w:rPr>
      </w:pPr>
    </w:p>
    <w:p w14:paraId="689A6E6E">
      <w:pPr>
        <w:pStyle w:val="14"/>
        <w:spacing w:line="360" w:lineRule="auto"/>
        <w:jc w:val="center"/>
        <w:rPr>
          <w:rFonts w:ascii="Times New Roman" w:hAnsi="Times New Roman" w:eastAsia="方正小标宋_GBK" w:cs="Times New Roman"/>
          <w:color w:val="auto"/>
          <w:sz w:val="52"/>
          <w:szCs w:val="52"/>
          <w:highlight w:val="none"/>
        </w:rPr>
      </w:pPr>
    </w:p>
    <w:p w14:paraId="3EB79F3D">
      <w:pPr>
        <w:pStyle w:val="14"/>
        <w:spacing w:line="360" w:lineRule="auto"/>
        <w:jc w:val="center"/>
        <w:rPr>
          <w:rFonts w:ascii="Times New Roman" w:hAnsi="Times New Roman" w:eastAsia="方正小标宋_GBK" w:cs="Times New Roman"/>
          <w:color w:val="auto"/>
          <w:sz w:val="52"/>
          <w:szCs w:val="52"/>
          <w:highlight w:val="none"/>
        </w:rPr>
      </w:pPr>
    </w:p>
    <w:p w14:paraId="1C3199F1">
      <w:pPr>
        <w:pStyle w:val="14"/>
        <w:spacing w:line="360" w:lineRule="auto"/>
        <w:jc w:val="center"/>
        <w:rPr>
          <w:rFonts w:ascii="Times New Roman" w:hAnsi="Times New Roman" w:eastAsia="方正小标宋_GBK" w:cs="Times New Roman"/>
          <w:color w:val="auto"/>
          <w:sz w:val="52"/>
          <w:szCs w:val="52"/>
          <w:highlight w:val="none"/>
        </w:rPr>
      </w:pPr>
    </w:p>
    <w:p w14:paraId="1F30B721">
      <w:pPr>
        <w:pStyle w:val="14"/>
        <w:spacing w:line="360" w:lineRule="auto"/>
        <w:jc w:val="center"/>
        <w:rPr>
          <w:rFonts w:ascii="Times New Roman" w:hAnsi="Times New Roman" w:eastAsia="方正小标宋_GBK" w:cs="Times New Roman"/>
          <w:color w:val="auto"/>
          <w:sz w:val="52"/>
          <w:szCs w:val="52"/>
          <w:highlight w:val="none"/>
        </w:rPr>
      </w:pPr>
    </w:p>
    <w:p w14:paraId="6819964B">
      <w:pPr>
        <w:pStyle w:val="14"/>
        <w:spacing w:line="360" w:lineRule="auto"/>
        <w:jc w:val="center"/>
        <w:rPr>
          <w:rFonts w:ascii="Times New Roman" w:hAnsi="Times New Roman" w:eastAsia="方正小标宋_GBK" w:cs="Times New Roman"/>
          <w:color w:val="auto"/>
          <w:sz w:val="52"/>
          <w:szCs w:val="52"/>
          <w:highlight w:val="none"/>
        </w:rPr>
      </w:pPr>
    </w:p>
    <w:p w14:paraId="79D5526D">
      <w:pPr>
        <w:pStyle w:val="14"/>
        <w:spacing w:line="360" w:lineRule="auto"/>
        <w:jc w:val="center"/>
        <w:rPr>
          <w:rFonts w:ascii="Times New Roman" w:hAnsi="Times New Roman" w:eastAsia="方正小标宋_GBK" w:cs="Times New Roman"/>
          <w:color w:val="auto"/>
          <w:sz w:val="52"/>
          <w:szCs w:val="52"/>
          <w:highlight w:val="none"/>
        </w:rPr>
      </w:pPr>
      <w:r>
        <w:rPr>
          <w:rFonts w:ascii="Times New Roman" w:hAnsi="Times New Roman" w:eastAsia="方正小标宋_GBK" w:cs="Times New Roman"/>
          <w:color w:val="auto"/>
          <w:sz w:val="52"/>
          <w:szCs w:val="52"/>
          <w:highlight w:val="none"/>
        </w:rPr>
        <w:t>第四部分    名词解释</w:t>
      </w:r>
    </w:p>
    <w:p w14:paraId="6AD9AC47">
      <w:pPr>
        <w:widowControl/>
        <w:jc w:val="left"/>
        <w:rPr>
          <w:rFonts w:ascii="Times New Roman" w:hAnsi="Times New Roman" w:cs="Times New Roman"/>
          <w:color w:val="auto"/>
          <w:kern w:val="0"/>
          <w:sz w:val="32"/>
          <w:szCs w:val="32"/>
          <w:highlight w:val="none"/>
        </w:rPr>
      </w:pPr>
    </w:p>
    <w:p w14:paraId="3A99CAF9">
      <w:pPr>
        <w:widowControl/>
        <w:shd w:val="clear" w:color="auto" w:fill="FFFFFF"/>
        <w:spacing w:before="225" w:line="600" w:lineRule="exact"/>
        <w:ind w:firstLine="640"/>
        <w:jc w:val="left"/>
        <w:textAlignment w:val="baseline"/>
        <w:rPr>
          <w:rFonts w:ascii="仿宋" w:hAnsi="仿宋" w:eastAsia="仿宋" w:cs="仿宋"/>
          <w:color w:val="auto"/>
          <w:sz w:val="30"/>
          <w:szCs w:val="30"/>
          <w:highlight w:val="none"/>
        </w:rPr>
      </w:pPr>
      <w:r>
        <w:rPr>
          <w:rFonts w:hint="eastAsia" w:ascii="仿宋" w:hAnsi="仿宋" w:eastAsia="仿宋" w:cs="仿宋"/>
          <w:b/>
          <w:bCs/>
          <w:color w:val="auto"/>
          <w:kern w:val="0"/>
          <w:sz w:val="30"/>
          <w:szCs w:val="30"/>
          <w:highlight w:val="none"/>
          <w:shd w:val="clear" w:color="auto" w:fill="FFFFFF"/>
        </w:rPr>
        <w:t>一、机关运行经费：</w:t>
      </w:r>
      <w:r>
        <w:rPr>
          <w:rFonts w:hint="eastAsia" w:ascii="仿宋" w:hAnsi="仿宋" w:eastAsia="仿宋" w:cs="仿宋"/>
          <w:color w:val="auto"/>
          <w:kern w:val="0"/>
          <w:sz w:val="30"/>
          <w:szCs w:val="30"/>
          <w:highlight w:val="none"/>
          <w:shd w:val="clear" w:color="auto" w:fill="FFFFFF"/>
        </w:rPr>
        <w:t>为保障行政单位（包括参照公务员法管理的事业单位）运行，用一般公共预算拨款安排，用于购买货物和服务的各项资金，包括办公及印刷费、邮电费、差旅费、会议费、福利费、日常维修费、办公用房水电费、办公用房取暖费、办公用房物业管理费、公务用车运行维护费以及其他费用，即为行政单位和参照公务员法管理事业单位一般公共预算财政拨款基本支出中的公用经费支出。</w:t>
      </w:r>
    </w:p>
    <w:p w14:paraId="3BB0A91C">
      <w:pPr>
        <w:widowControl/>
        <w:shd w:val="clear" w:color="auto" w:fill="FFFFFF"/>
        <w:spacing w:before="225" w:line="600" w:lineRule="exact"/>
        <w:ind w:firstLine="640"/>
        <w:jc w:val="left"/>
        <w:textAlignment w:val="baseline"/>
        <w:rPr>
          <w:rFonts w:ascii="仿宋" w:hAnsi="仿宋" w:eastAsia="仿宋" w:cs="仿宋"/>
          <w:color w:val="auto"/>
          <w:kern w:val="0"/>
          <w:sz w:val="30"/>
          <w:szCs w:val="30"/>
          <w:highlight w:val="none"/>
          <w:shd w:val="clear" w:color="auto" w:fill="FFFFFF"/>
        </w:rPr>
      </w:pPr>
      <w:r>
        <w:rPr>
          <w:rFonts w:hint="eastAsia" w:ascii="仿宋" w:hAnsi="仿宋" w:eastAsia="仿宋" w:cs="仿宋"/>
          <w:b/>
          <w:bCs/>
          <w:color w:val="auto"/>
          <w:kern w:val="0"/>
          <w:sz w:val="30"/>
          <w:szCs w:val="30"/>
          <w:highlight w:val="none"/>
          <w:shd w:val="clear" w:color="auto" w:fill="FFFFFF"/>
        </w:rPr>
        <w:t>二、“三公”经费：</w:t>
      </w:r>
      <w:r>
        <w:rPr>
          <w:rFonts w:hint="eastAsia" w:ascii="仿宋" w:hAnsi="仿宋" w:eastAsia="仿宋" w:cs="仿宋"/>
          <w:color w:val="auto"/>
          <w:kern w:val="0"/>
          <w:sz w:val="30"/>
          <w:szCs w:val="30"/>
          <w:highlight w:val="none"/>
          <w:shd w:val="clear" w:color="auto" w:fill="FFFFFF"/>
        </w:rPr>
        <w:t>纳入财政预算管理的“三公</w:t>
      </w:r>
      <w:r>
        <w:rPr>
          <w:rFonts w:hint="eastAsia" w:ascii="仿宋" w:hAnsi="仿宋" w:eastAsia="仿宋" w:cs="仿宋"/>
          <w:color w:val="auto"/>
          <w:kern w:val="0"/>
          <w:sz w:val="30"/>
          <w:szCs w:val="30"/>
          <w:highlight w:val="none"/>
          <w:shd w:val="clear" w:color="auto" w:fill="FFFFFF"/>
          <w:lang w:eastAsia="zh-CN"/>
        </w:rPr>
        <w:t>”</w:t>
      </w:r>
      <w:r>
        <w:rPr>
          <w:rFonts w:hint="eastAsia" w:ascii="仿宋" w:hAnsi="仿宋" w:eastAsia="仿宋" w:cs="仿宋"/>
          <w:color w:val="auto"/>
          <w:kern w:val="0"/>
          <w:sz w:val="30"/>
          <w:szCs w:val="30"/>
          <w:highlight w:val="none"/>
          <w:shd w:val="clear" w:color="auto" w:fill="FFFFFF"/>
        </w:rPr>
        <w:t>经费，是指用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食宿费等支出。</w:t>
      </w:r>
    </w:p>
    <w:p w14:paraId="5B7CD773">
      <w:pPr>
        <w:rPr>
          <w:rFonts w:hint="eastAsia" w:ascii="方正小标宋_GBK" w:hAnsi="方正小标宋_GBK" w:eastAsia="方正小标宋_GBK" w:cs="方正小标宋_GBK"/>
          <w:color w:val="auto"/>
          <w:sz w:val="72"/>
          <w:szCs w:val="72"/>
          <w:highlight w:val="none"/>
        </w:rPr>
      </w:pPr>
    </w:p>
    <w:p w14:paraId="72F2B628">
      <w:pPr>
        <w:rPr>
          <w:rFonts w:hint="eastAsia" w:ascii="方正小标宋_GBK" w:hAnsi="方正小标宋_GBK" w:eastAsia="方正小标宋_GBK" w:cs="方正小标宋_GBK"/>
          <w:color w:val="auto"/>
          <w:sz w:val="72"/>
          <w:szCs w:val="72"/>
          <w:highlight w:val="none"/>
        </w:rPr>
      </w:pPr>
    </w:p>
    <w:p w14:paraId="7A8EE7E1">
      <w:pPr>
        <w:pStyle w:val="14"/>
        <w:jc w:val="center"/>
        <w:rPr>
          <w:rFonts w:ascii="Times New Roman" w:hAnsi="Times New Roman" w:cs="Times New Roman"/>
          <w:color w:val="auto"/>
          <w:sz w:val="72"/>
          <w:szCs w:val="72"/>
          <w:highlight w:val="none"/>
        </w:rPr>
      </w:pPr>
    </w:p>
    <w:p w14:paraId="38C9F284">
      <w:pPr>
        <w:pStyle w:val="14"/>
        <w:spacing w:line="360" w:lineRule="auto"/>
        <w:jc w:val="center"/>
        <w:rPr>
          <w:rFonts w:ascii="Times New Roman" w:hAnsi="Times New Roman" w:eastAsia="方正小标宋_GBK" w:cs="Times New Roman"/>
          <w:color w:val="auto"/>
          <w:sz w:val="52"/>
          <w:szCs w:val="52"/>
          <w:highlight w:val="none"/>
        </w:rPr>
      </w:pPr>
      <w:r>
        <w:rPr>
          <w:rFonts w:ascii="Times New Roman" w:hAnsi="Times New Roman" w:eastAsia="方正小标宋_GBK" w:cs="Times New Roman"/>
          <w:color w:val="auto"/>
          <w:sz w:val="52"/>
          <w:szCs w:val="52"/>
          <w:highlight w:val="none"/>
        </w:rPr>
        <w:t>第五部分   附 件</w:t>
      </w:r>
    </w:p>
    <w:p w14:paraId="6B796115">
      <w:pPr>
        <w:rPr>
          <w:rFonts w:ascii="Times New Roman" w:hAnsi="Times New Roman" w:cs="Times New Roman"/>
          <w:color w:val="auto"/>
          <w:sz w:val="72"/>
          <w:szCs w:val="72"/>
          <w:highlight w:val="none"/>
        </w:rPr>
      </w:pPr>
    </w:p>
    <w:p w14:paraId="3E6F497C">
      <w:pPr>
        <w:pStyle w:val="14"/>
        <w:keepNext w:val="0"/>
        <w:keepLines w:val="0"/>
        <w:pageBreakBefore w:val="0"/>
        <w:widowControl w:val="0"/>
        <w:kinsoku/>
        <w:wordWrap/>
        <w:overflowPunct/>
        <w:topLinePunct w:val="0"/>
        <w:bidi w:val="0"/>
        <w:snapToGrid/>
        <w:spacing w:line="600" w:lineRule="exact"/>
        <w:ind w:firstLine="640" w:firstLineChars="200"/>
        <w:jc w:val="left"/>
        <w:textAlignment w:val="auto"/>
        <w:rPr>
          <w:rFonts w:hint="eastAsia" w:ascii="Times New Roman" w:hAnsi="Times New Roman" w:eastAsia="仿宋_GB2312"/>
          <w:color w:val="auto"/>
          <w:sz w:val="32"/>
          <w:szCs w:val="32"/>
          <w:highlight w:val="none"/>
          <w:lang w:val="en-US" w:eastAsia="zh-CN"/>
        </w:rPr>
      </w:pPr>
      <w:r>
        <w:rPr>
          <w:rFonts w:hint="eastAsia" w:ascii="楷体" w:hAnsi="楷体" w:eastAsia="楷体" w:cs="楷体"/>
          <w:b/>
          <w:bCs/>
          <w:color w:val="auto"/>
          <w:sz w:val="32"/>
          <w:szCs w:val="32"/>
          <w:highlight w:val="none"/>
          <w:lang w:eastAsia="zh-CN"/>
        </w:rPr>
        <w:t>一、</w:t>
      </w:r>
      <w:r>
        <w:rPr>
          <w:rFonts w:hint="eastAsia" w:ascii="Times New Roman" w:hAnsi="Times New Roman" w:eastAsia="仿宋_GB2312"/>
          <w:color w:val="auto"/>
          <w:sz w:val="32"/>
          <w:szCs w:val="32"/>
          <w:highlight w:val="none"/>
          <w:lang w:val="en-US" w:eastAsia="zh-CN"/>
        </w:rPr>
        <w:t>2025年度部门整体支出绩效自评报告</w:t>
      </w:r>
    </w:p>
    <w:p w14:paraId="7CD965AA">
      <w:pPr>
        <w:pStyle w:val="14"/>
        <w:keepNext w:val="0"/>
        <w:keepLines w:val="0"/>
        <w:pageBreakBefore w:val="0"/>
        <w:widowControl w:val="0"/>
        <w:kinsoku/>
        <w:wordWrap/>
        <w:overflowPunct/>
        <w:topLinePunct w:val="0"/>
        <w:bidi w:val="0"/>
        <w:snapToGrid/>
        <w:spacing w:line="600" w:lineRule="exact"/>
        <w:ind w:firstLine="640" w:firstLineChars="200"/>
        <w:jc w:val="left"/>
        <w:textAlignment w:val="auto"/>
        <w:rPr>
          <w:rFonts w:hint="eastAsia" w:ascii="Times New Roman" w:hAnsi="Times New Roman" w:eastAsia="仿宋_GB2312"/>
          <w:color w:val="auto"/>
          <w:sz w:val="32"/>
          <w:szCs w:val="32"/>
          <w:highlight w:val="none"/>
          <w:lang w:val="en-US" w:eastAsia="zh-CN"/>
        </w:rPr>
      </w:pPr>
      <w:r>
        <w:rPr>
          <w:rFonts w:hint="eastAsia" w:ascii="楷体" w:hAnsi="楷体" w:eastAsia="楷体" w:cs="楷体"/>
          <w:b/>
          <w:bCs/>
          <w:color w:val="auto"/>
          <w:sz w:val="32"/>
          <w:szCs w:val="32"/>
          <w:highlight w:val="none"/>
          <w:lang w:eastAsia="zh-CN"/>
        </w:rPr>
        <w:t>二、</w:t>
      </w:r>
      <w:r>
        <w:rPr>
          <w:rFonts w:hint="eastAsia" w:ascii="Times New Roman" w:hAnsi="Times New Roman" w:eastAsia="仿宋_GB2312"/>
          <w:color w:val="auto"/>
          <w:sz w:val="32"/>
          <w:szCs w:val="32"/>
          <w:highlight w:val="none"/>
          <w:lang w:val="en-US" w:eastAsia="zh-CN"/>
        </w:rPr>
        <w:t>2025年度部门专项支出绩效自评报告</w:t>
      </w:r>
    </w:p>
    <w:p w14:paraId="3132D046">
      <w:pPr>
        <w:pStyle w:val="14"/>
        <w:keepNext w:val="0"/>
        <w:keepLines w:val="0"/>
        <w:pageBreakBefore w:val="0"/>
        <w:widowControl w:val="0"/>
        <w:kinsoku/>
        <w:wordWrap/>
        <w:overflowPunct/>
        <w:topLinePunct w:val="0"/>
        <w:bidi w:val="0"/>
        <w:snapToGrid/>
        <w:spacing w:line="600" w:lineRule="exact"/>
        <w:ind w:firstLine="640" w:firstLineChars="200"/>
        <w:jc w:val="left"/>
        <w:textAlignment w:val="auto"/>
        <w:rPr>
          <w:rFonts w:hint="default" w:ascii="Times New Roman" w:hAnsi="Times New Roman" w:eastAsia="仿宋_GB2312"/>
          <w:color w:val="auto"/>
          <w:sz w:val="32"/>
          <w:szCs w:val="32"/>
          <w:highlight w:val="none"/>
          <w:lang w:val="en-US" w:eastAsia="zh-CN"/>
        </w:rPr>
      </w:pPr>
      <w:r>
        <w:rPr>
          <w:rFonts w:hint="eastAsia" w:ascii="Times New Roman" w:hAnsi="Times New Roman" w:eastAsia="仿宋_GB2312"/>
          <w:color w:val="auto"/>
          <w:sz w:val="32"/>
          <w:szCs w:val="32"/>
          <w:highlight w:val="none"/>
          <w:lang w:val="en-US" w:eastAsia="zh-CN"/>
        </w:rPr>
        <w:t>三、2025年度部门决算公开表</w:t>
      </w:r>
    </w:p>
    <w:p w14:paraId="65B65B0A">
      <w:pPr>
        <w:pStyle w:val="14"/>
        <w:spacing w:line="600" w:lineRule="exact"/>
        <w:ind w:firstLine="640" w:firstLineChars="200"/>
        <w:rPr>
          <w:rFonts w:ascii="Times New Roman" w:hAnsi="Times New Roman" w:eastAsia="仿宋_GB2312" w:cs="Times New Roman"/>
          <w:color w:val="auto"/>
          <w:sz w:val="32"/>
          <w:szCs w:val="32"/>
          <w:highlight w:val="none"/>
        </w:rPr>
      </w:pPr>
    </w:p>
    <w:p w14:paraId="0CC8B54F">
      <w:pPr>
        <w:pStyle w:val="14"/>
        <w:jc w:val="center"/>
        <w:rPr>
          <w:rFonts w:ascii="Times New Roman" w:hAnsi="Times New Roman" w:cs="Times New Roman"/>
          <w:color w:val="auto"/>
          <w:sz w:val="72"/>
          <w:szCs w:val="72"/>
          <w:highlight w:val="none"/>
        </w:rPr>
      </w:pPr>
    </w:p>
    <w:p w14:paraId="22A4825E">
      <w:pPr>
        <w:pStyle w:val="14"/>
        <w:jc w:val="center"/>
        <w:rPr>
          <w:rFonts w:ascii="Times New Roman" w:hAnsi="Times New Roman" w:cs="Times New Roman"/>
          <w:color w:val="auto"/>
          <w:sz w:val="72"/>
          <w:szCs w:val="72"/>
          <w:highlight w:val="none"/>
        </w:rPr>
      </w:pPr>
    </w:p>
    <w:p w14:paraId="3E36A930">
      <w:pPr>
        <w:pStyle w:val="14"/>
        <w:jc w:val="center"/>
        <w:rPr>
          <w:rFonts w:ascii="Times New Roman" w:hAnsi="Times New Roman" w:cs="Times New Roman"/>
          <w:color w:val="auto"/>
          <w:sz w:val="72"/>
          <w:szCs w:val="72"/>
          <w:highlight w:val="none"/>
        </w:rPr>
      </w:pPr>
    </w:p>
    <w:p w14:paraId="2F23717A">
      <w:pPr>
        <w:pStyle w:val="14"/>
        <w:jc w:val="center"/>
        <w:rPr>
          <w:rFonts w:ascii="Times New Roman" w:hAnsi="Times New Roman" w:cs="Times New Roman"/>
          <w:color w:val="auto"/>
          <w:sz w:val="72"/>
          <w:szCs w:val="72"/>
          <w:highlight w:val="none"/>
        </w:rPr>
      </w:pPr>
    </w:p>
    <w:p w14:paraId="25800B28">
      <w:pPr>
        <w:jc w:val="left"/>
        <w:rPr>
          <w:rFonts w:ascii="Times New Roman" w:hAnsi="Times New Roman" w:cs="Times New Roman"/>
          <w:color w:val="auto"/>
          <w:kern w:val="0"/>
          <w:sz w:val="32"/>
          <w:szCs w:val="32"/>
          <w:highlight w:val="none"/>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小标宋_GBK">
    <w:panose1 w:val="02000000000000000000"/>
    <w:charset w:val="86"/>
    <w:family w:val="script"/>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E7949B">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4B331A">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C197D3">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8C2CA2">
                          <w:pPr>
                            <w:pStyle w:val="5"/>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7D8C2CA2">
                    <w:pPr>
                      <w:pStyle w:val="5"/>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B6587E"/>
    <w:multiLevelType w:val="singleLevel"/>
    <w:tmpl w:val="FFB6587E"/>
    <w:lvl w:ilvl="0" w:tentative="0">
      <w:start w:val="3"/>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VhNGZkYjc0YjgxYjJkMGNhOTQzOWY5ZmNjM2RlMWYifQ=="/>
  </w:docVars>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099E"/>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10F3B4F"/>
    <w:rsid w:val="02924A37"/>
    <w:rsid w:val="033124A2"/>
    <w:rsid w:val="06AE0FE1"/>
    <w:rsid w:val="07177C01"/>
    <w:rsid w:val="072145DC"/>
    <w:rsid w:val="07481B68"/>
    <w:rsid w:val="087E25F9"/>
    <w:rsid w:val="08F84E04"/>
    <w:rsid w:val="093B3FFD"/>
    <w:rsid w:val="09E15A70"/>
    <w:rsid w:val="09EF563E"/>
    <w:rsid w:val="0AFC3A37"/>
    <w:rsid w:val="0BC124B6"/>
    <w:rsid w:val="0C446F8E"/>
    <w:rsid w:val="0C8156A7"/>
    <w:rsid w:val="0DCD726B"/>
    <w:rsid w:val="0DDE4FD5"/>
    <w:rsid w:val="0EDC703A"/>
    <w:rsid w:val="0EED6E0A"/>
    <w:rsid w:val="0F143AB4"/>
    <w:rsid w:val="0F147C21"/>
    <w:rsid w:val="103D6EAA"/>
    <w:rsid w:val="13173AA0"/>
    <w:rsid w:val="131B2827"/>
    <w:rsid w:val="13BF6371"/>
    <w:rsid w:val="1432607A"/>
    <w:rsid w:val="14976965"/>
    <w:rsid w:val="152579CF"/>
    <w:rsid w:val="159266A5"/>
    <w:rsid w:val="15D522F4"/>
    <w:rsid w:val="15F80BFE"/>
    <w:rsid w:val="16753FFC"/>
    <w:rsid w:val="16CD208A"/>
    <w:rsid w:val="17B05F7A"/>
    <w:rsid w:val="181A3DB0"/>
    <w:rsid w:val="187327BD"/>
    <w:rsid w:val="18B20495"/>
    <w:rsid w:val="18BFD806"/>
    <w:rsid w:val="19DC4392"/>
    <w:rsid w:val="1AE23C2A"/>
    <w:rsid w:val="1B293607"/>
    <w:rsid w:val="1D32538B"/>
    <w:rsid w:val="1D97DEFF"/>
    <w:rsid w:val="1DAA6C81"/>
    <w:rsid w:val="1DFF72E5"/>
    <w:rsid w:val="1E85149C"/>
    <w:rsid w:val="1E890F8D"/>
    <w:rsid w:val="1E9B6CFD"/>
    <w:rsid w:val="1EFC6F07"/>
    <w:rsid w:val="1F7BAEC4"/>
    <w:rsid w:val="1FB7D3CC"/>
    <w:rsid w:val="1FFBB19A"/>
    <w:rsid w:val="20124FB2"/>
    <w:rsid w:val="23627FFE"/>
    <w:rsid w:val="24044C11"/>
    <w:rsid w:val="25B2317F"/>
    <w:rsid w:val="25DD571A"/>
    <w:rsid w:val="25FC46A0"/>
    <w:rsid w:val="261C6242"/>
    <w:rsid w:val="27895B59"/>
    <w:rsid w:val="279B588D"/>
    <w:rsid w:val="29194CBB"/>
    <w:rsid w:val="292024ED"/>
    <w:rsid w:val="294066EC"/>
    <w:rsid w:val="2B321298"/>
    <w:rsid w:val="2C11436F"/>
    <w:rsid w:val="2C882884"/>
    <w:rsid w:val="2CF72DFA"/>
    <w:rsid w:val="2D8F7C42"/>
    <w:rsid w:val="2DC154FE"/>
    <w:rsid w:val="2DC36F76"/>
    <w:rsid w:val="2EC80C7F"/>
    <w:rsid w:val="2F2820CA"/>
    <w:rsid w:val="2F535122"/>
    <w:rsid w:val="2FDF85B8"/>
    <w:rsid w:val="2FFFECDB"/>
    <w:rsid w:val="2FFFEE04"/>
    <w:rsid w:val="301A44E0"/>
    <w:rsid w:val="31BF54B8"/>
    <w:rsid w:val="31E51AE5"/>
    <w:rsid w:val="31F80D43"/>
    <w:rsid w:val="32257B03"/>
    <w:rsid w:val="328E2276"/>
    <w:rsid w:val="32F347CF"/>
    <w:rsid w:val="333E1EEE"/>
    <w:rsid w:val="336E20A7"/>
    <w:rsid w:val="337D2012"/>
    <w:rsid w:val="344C0A63"/>
    <w:rsid w:val="34DF85B0"/>
    <w:rsid w:val="34F03193"/>
    <w:rsid w:val="35C83CF1"/>
    <w:rsid w:val="36160F00"/>
    <w:rsid w:val="368F0CB2"/>
    <w:rsid w:val="369FAF42"/>
    <w:rsid w:val="3751D106"/>
    <w:rsid w:val="37AC319E"/>
    <w:rsid w:val="37DE4CD8"/>
    <w:rsid w:val="37EB1C69"/>
    <w:rsid w:val="38575800"/>
    <w:rsid w:val="387C7014"/>
    <w:rsid w:val="38F17A02"/>
    <w:rsid w:val="391A58BC"/>
    <w:rsid w:val="39D26C72"/>
    <w:rsid w:val="3ABFA601"/>
    <w:rsid w:val="3B8F36BC"/>
    <w:rsid w:val="3BF7CA54"/>
    <w:rsid w:val="3C786C21"/>
    <w:rsid w:val="3E3A773C"/>
    <w:rsid w:val="3ECA02C5"/>
    <w:rsid w:val="3F1F6A6D"/>
    <w:rsid w:val="3FBC48C2"/>
    <w:rsid w:val="3FFA9E9C"/>
    <w:rsid w:val="429E7307"/>
    <w:rsid w:val="42D201CB"/>
    <w:rsid w:val="4429413D"/>
    <w:rsid w:val="453D1570"/>
    <w:rsid w:val="47DC7D8E"/>
    <w:rsid w:val="47F0626B"/>
    <w:rsid w:val="47FC4A94"/>
    <w:rsid w:val="485A1120"/>
    <w:rsid w:val="491FF225"/>
    <w:rsid w:val="4A9A1CA8"/>
    <w:rsid w:val="4AAA7A11"/>
    <w:rsid w:val="4B121D62"/>
    <w:rsid w:val="4B434555"/>
    <w:rsid w:val="4B4F7533"/>
    <w:rsid w:val="4B700C5B"/>
    <w:rsid w:val="4CF82CB6"/>
    <w:rsid w:val="4ECE5F70"/>
    <w:rsid w:val="4F2F5572"/>
    <w:rsid w:val="4F4345B8"/>
    <w:rsid w:val="4F55AC9C"/>
    <w:rsid w:val="4FFD214C"/>
    <w:rsid w:val="51166C3E"/>
    <w:rsid w:val="52EA7778"/>
    <w:rsid w:val="53A5521A"/>
    <w:rsid w:val="53D0673A"/>
    <w:rsid w:val="54DE2FC8"/>
    <w:rsid w:val="55DB4F23"/>
    <w:rsid w:val="55EF737B"/>
    <w:rsid w:val="55F62501"/>
    <w:rsid w:val="566A0555"/>
    <w:rsid w:val="56835CE6"/>
    <w:rsid w:val="5777D4F5"/>
    <w:rsid w:val="57EB9D28"/>
    <w:rsid w:val="57ED3D1C"/>
    <w:rsid w:val="57FE7E5D"/>
    <w:rsid w:val="59DD8326"/>
    <w:rsid w:val="5A660C42"/>
    <w:rsid w:val="5B896465"/>
    <w:rsid w:val="5BA150F9"/>
    <w:rsid w:val="5BA364E3"/>
    <w:rsid w:val="5BAC35E9"/>
    <w:rsid w:val="5D3C16A8"/>
    <w:rsid w:val="5DEF592A"/>
    <w:rsid w:val="5E3B3DBD"/>
    <w:rsid w:val="5EA762EA"/>
    <w:rsid w:val="5EC34F6F"/>
    <w:rsid w:val="5EFD415C"/>
    <w:rsid w:val="5F0E0117"/>
    <w:rsid w:val="5FC6BB1E"/>
    <w:rsid w:val="5FF720F1"/>
    <w:rsid w:val="5FFD8222"/>
    <w:rsid w:val="5FFFC4F4"/>
    <w:rsid w:val="600D4872"/>
    <w:rsid w:val="604F09E7"/>
    <w:rsid w:val="60A170F3"/>
    <w:rsid w:val="60B81E3B"/>
    <w:rsid w:val="619739EC"/>
    <w:rsid w:val="62B86D17"/>
    <w:rsid w:val="62BC7559"/>
    <w:rsid w:val="62D24417"/>
    <w:rsid w:val="62E47B0C"/>
    <w:rsid w:val="62E87C0A"/>
    <w:rsid w:val="63522EC7"/>
    <w:rsid w:val="63EC69E9"/>
    <w:rsid w:val="643D0D5F"/>
    <w:rsid w:val="64626908"/>
    <w:rsid w:val="64C64FF0"/>
    <w:rsid w:val="65ED6CD8"/>
    <w:rsid w:val="66475777"/>
    <w:rsid w:val="67206C39"/>
    <w:rsid w:val="67370F2E"/>
    <w:rsid w:val="67395F4D"/>
    <w:rsid w:val="678C0773"/>
    <w:rsid w:val="67BF0D43"/>
    <w:rsid w:val="67FF5C0B"/>
    <w:rsid w:val="685E5C6B"/>
    <w:rsid w:val="6A9E17EE"/>
    <w:rsid w:val="6BF74E56"/>
    <w:rsid w:val="6CFD5E49"/>
    <w:rsid w:val="6D3B5153"/>
    <w:rsid w:val="6DB061FF"/>
    <w:rsid w:val="6DF66946"/>
    <w:rsid w:val="6DF7E348"/>
    <w:rsid w:val="6E102103"/>
    <w:rsid w:val="6E9C129B"/>
    <w:rsid w:val="6EEFF756"/>
    <w:rsid w:val="6EFC0924"/>
    <w:rsid w:val="6EFFA70C"/>
    <w:rsid w:val="6FAC19B2"/>
    <w:rsid w:val="6FB74722"/>
    <w:rsid w:val="6FBFBA9C"/>
    <w:rsid w:val="6FDF3AEB"/>
    <w:rsid w:val="6FEF5D43"/>
    <w:rsid w:val="6FEF8B7E"/>
    <w:rsid w:val="6FF5A021"/>
    <w:rsid w:val="6FFB68C3"/>
    <w:rsid w:val="6FFF3B91"/>
    <w:rsid w:val="70234260"/>
    <w:rsid w:val="70497875"/>
    <w:rsid w:val="70664980"/>
    <w:rsid w:val="71A6591B"/>
    <w:rsid w:val="71B892F3"/>
    <w:rsid w:val="72F603BB"/>
    <w:rsid w:val="737D59BA"/>
    <w:rsid w:val="73E7DDAD"/>
    <w:rsid w:val="73F7B471"/>
    <w:rsid w:val="73FF032A"/>
    <w:rsid w:val="752A1C3D"/>
    <w:rsid w:val="753453A3"/>
    <w:rsid w:val="75A153E9"/>
    <w:rsid w:val="75EE0C4D"/>
    <w:rsid w:val="761A519B"/>
    <w:rsid w:val="766C3C49"/>
    <w:rsid w:val="76FF7EAE"/>
    <w:rsid w:val="77050DB0"/>
    <w:rsid w:val="77130CFA"/>
    <w:rsid w:val="777AF645"/>
    <w:rsid w:val="77C37683"/>
    <w:rsid w:val="786B1948"/>
    <w:rsid w:val="795A1158"/>
    <w:rsid w:val="79D19834"/>
    <w:rsid w:val="79FF515B"/>
    <w:rsid w:val="7A0E347B"/>
    <w:rsid w:val="7A487B1A"/>
    <w:rsid w:val="7B54E3F8"/>
    <w:rsid w:val="7B5FCC0D"/>
    <w:rsid w:val="7B7D34E5"/>
    <w:rsid w:val="7B94F93B"/>
    <w:rsid w:val="7BEFB6F6"/>
    <w:rsid w:val="7BFA3D97"/>
    <w:rsid w:val="7BFD92D0"/>
    <w:rsid w:val="7D232736"/>
    <w:rsid w:val="7D4708BD"/>
    <w:rsid w:val="7D4BE260"/>
    <w:rsid w:val="7D7D46E7"/>
    <w:rsid w:val="7D8E070A"/>
    <w:rsid w:val="7DBFE891"/>
    <w:rsid w:val="7DED4327"/>
    <w:rsid w:val="7DF133B8"/>
    <w:rsid w:val="7DF7BC8E"/>
    <w:rsid w:val="7DFF19F9"/>
    <w:rsid w:val="7E2C6B63"/>
    <w:rsid w:val="7E2E3E52"/>
    <w:rsid w:val="7E9D6BCF"/>
    <w:rsid w:val="7E9E1962"/>
    <w:rsid w:val="7E9F11B4"/>
    <w:rsid w:val="7EEE8275"/>
    <w:rsid w:val="7EFF7B3D"/>
    <w:rsid w:val="7F37EC1E"/>
    <w:rsid w:val="7F3DAF86"/>
    <w:rsid w:val="7F659828"/>
    <w:rsid w:val="7F7DCD9D"/>
    <w:rsid w:val="7F970A6F"/>
    <w:rsid w:val="7FBD001D"/>
    <w:rsid w:val="7FC1FFF3"/>
    <w:rsid w:val="7FC69637"/>
    <w:rsid w:val="7FDF8620"/>
    <w:rsid w:val="7FE8C8F7"/>
    <w:rsid w:val="7FEE021F"/>
    <w:rsid w:val="7FEF579C"/>
    <w:rsid w:val="7FF41839"/>
    <w:rsid w:val="7FFB242F"/>
    <w:rsid w:val="7FFD9665"/>
    <w:rsid w:val="7FFDB408"/>
    <w:rsid w:val="7FFE4EEB"/>
    <w:rsid w:val="7FFF3BF7"/>
    <w:rsid w:val="81FB6736"/>
    <w:rsid w:val="8DAF3796"/>
    <w:rsid w:val="943B9FB3"/>
    <w:rsid w:val="95FB2B98"/>
    <w:rsid w:val="9A639BC2"/>
    <w:rsid w:val="9EEF17CA"/>
    <w:rsid w:val="9FF7D786"/>
    <w:rsid w:val="A7FF3D26"/>
    <w:rsid w:val="ABBFB23D"/>
    <w:rsid w:val="ADE58549"/>
    <w:rsid w:val="ADFF1B0F"/>
    <w:rsid w:val="AF3F127F"/>
    <w:rsid w:val="AF7FA568"/>
    <w:rsid w:val="B46B9693"/>
    <w:rsid w:val="B5E392E7"/>
    <w:rsid w:val="B6E48405"/>
    <w:rsid w:val="BB5620AF"/>
    <w:rsid w:val="BBE3567D"/>
    <w:rsid w:val="BBFD56A6"/>
    <w:rsid w:val="BDF209F2"/>
    <w:rsid w:val="BE6F0B50"/>
    <w:rsid w:val="BF770DFC"/>
    <w:rsid w:val="BFB9F630"/>
    <w:rsid w:val="BFBF60C9"/>
    <w:rsid w:val="BFF4A25F"/>
    <w:rsid w:val="C3B4DA5A"/>
    <w:rsid w:val="C4FF3CB8"/>
    <w:rsid w:val="C7F9E195"/>
    <w:rsid w:val="CBFF70E0"/>
    <w:rsid w:val="CDB639CB"/>
    <w:rsid w:val="CFDFF888"/>
    <w:rsid w:val="CFF50B82"/>
    <w:rsid w:val="CFFFAD89"/>
    <w:rsid w:val="D77BECAB"/>
    <w:rsid w:val="D78ECD51"/>
    <w:rsid w:val="D7FF573B"/>
    <w:rsid w:val="D9EFE604"/>
    <w:rsid w:val="D9FDF0E6"/>
    <w:rsid w:val="DA7DF32F"/>
    <w:rsid w:val="DB7AA05E"/>
    <w:rsid w:val="DBF5FB2E"/>
    <w:rsid w:val="DDD59529"/>
    <w:rsid w:val="DDFA0081"/>
    <w:rsid w:val="DE66B10C"/>
    <w:rsid w:val="DED6D5DE"/>
    <w:rsid w:val="DFDE6CB9"/>
    <w:rsid w:val="DFF6C665"/>
    <w:rsid w:val="DFFE359E"/>
    <w:rsid w:val="DFFE4FFD"/>
    <w:rsid w:val="E1EFF8D9"/>
    <w:rsid w:val="E3FE961D"/>
    <w:rsid w:val="E69FF956"/>
    <w:rsid w:val="E7FBBA2C"/>
    <w:rsid w:val="E9E91168"/>
    <w:rsid w:val="EBBF5EBD"/>
    <w:rsid w:val="EBD26B99"/>
    <w:rsid w:val="EE3F3FA9"/>
    <w:rsid w:val="EEABED75"/>
    <w:rsid w:val="EEF77A44"/>
    <w:rsid w:val="EFB1F90E"/>
    <w:rsid w:val="F16A7215"/>
    <w:rsid w:val="F1FE9D48"/>
    <w:rsid w:val="F3FBAABC"/>
    <w:rsid w:val="F56FDF51"/>
    <w:rsid w:val="F6219503"/>
    <w:rsid w:val="F6B69F17"/>
    <w:rsid w:val="F75B8CD6"/>
    <w:rsid w:val="F75F7991"/>
    <w:rsid w:val="F7773DCE"/>
    <w:rsid w:val="F77F1D61"/>
    <w:rsid w:val="F7FED3A9"/>
    <w:rsid w:val="F7FF663D"/>
    <w:rsid w:val="F8C9DB26"/>
    <w:rsid w:val="F97E8EAE"/>
    <w:rsid w:val="F9AF2F51"/>
    <w:rsid w:val="FADF7423"/>
    <w:rsid w:val="FB1DCB8E"/>
    <w:rsid w:val="FB36E1A6"/>
    <w:rsid w:val="FB3BE134"/>
    <w:rsid w:val="FBBF94F3"/>
    <w:rsid w:val="FBE53C83"/>
    <w:rsid w:val="FBFB121E"/>
    <w:rsid w:val="FBFE9391"/>
    <w:rsid w:val="FBFF06EA"/>
    <w:rsid w:val="FBFF2B37"/>
    <w:rsid w:val="FCFF4275"/>
    <w:rsid w:val="FD1E9A3B"/>
    <w:rsid w:val="FD7DFEBE"/>
    <w:rsid w:val="FD7FEEEA"/>
    <w:rsid w:val="FD9F7158"/>
    <w:rsid w:val="FDA42D22"/>
    <w:rsid w:val="FDBFB2F7"/>
    <w:rsid w:val="FDDBE6D9"/>
    <w:rsid w:val="FDFBDEC3"/>
    <w:rsid w:val="FDFFB577"/>
    <w:rsid w:val="FDFFC26C"/>
    <w:rsid w:val="FE7F00B0"/>
    <w:rsid w:val="FE9EA87B"/>
    <w:rsid w:val="FED9713B"/>
    <w:rsid w:val="FEEA50FE"/>
    <w:rsid w:val="FEFFAD7C"/>
    <w:rsid w:val="FF7744A4"/>
    <w:rsid w:val="FF7A539A"/>
    <w:rsid w:val="FF7BD7D9"/>
    <w:rsid w:val="FF7D47A9"/>
    <w:rsid w:val="FF7DCF6D"/>
    <w:rsid w:val="FF7E29B4"/>
    <w:rsid w:val="FFBD5741"/>
    <w:rsid w:val="FFBF639F"/>
    <w:rsid w:val="FFCB6D7A"/>
    <w:rsid w:val="FFCE92F5"/>
    <w:rsid w:val="FFCF21CB"/>
    <w:rsid w:val="FFDB1B0A"/>
    <w:rsid w:val="FFDB6D6D"/>
    <w:rsid w:val="FFDC4589"/>
    <w:rsid w:val="FFDD0CC0"/>
    <w:rsid w:val="FFF74B21"/>
    <w:rsid w:val="FFFB5064"/>
    <w:rsid w:val="FFFE0E31"/>
    <w:rsid w:val="FFFE6DD6"/>
    <w:rsid w:val="FFFEF5BA"/>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3">
    <w:name w:val="Body Text First Indent 2"/>
    <w:basedOn w:val="2"/>
    <w:next w:val="1"/>
    <w:unhideWhenUsed/>
    <w:qFormat/>
    <w:uiPriority w:val="99"/>
    <w:pPr>
      <w:ind w:firstLine="420" w:firstLineChars="200"/>
    </w:pPr>
  </w:style>
  <w:style w:type="paragraph" w:styleId="4">
    <w:name w:val="Balloon Text"/>
    <w:basedOn w:val="1"/>
    <w:link w:val="16"/>
    <w:semiHidden/>
    <w:unhideWhenUsed/>
    <w:qFormat/>
    <w:uiPriority w:val="99"/>
    <w:rPr>
      <w:sz w:val="18"/>
      <w:szCs w:val="18"/>
    </w:rPr>
  </w:style>
  <w:style w:type="paragraph" w:styleId="5">
    <w:name w:val="footer"/>
    <w:basedOn w:val="1"/>
    <w:link w:val="13"/>
    <w:unhideWhenUsed/>
    <w:qFormat/>
    <w:uiPriority w:val="99"/>
    <w:pPr>
      <w:tabs>
        <w:tab w:val="center" w:pos="4153"/>
        <w:tab w:val="right" w:pos="8306"/>
      </w:tabs>
      <w:snapToGrid w:val="0"/>
      <w:jc w:val="left"/>
    </w:pPr>
    <w:rPr>
      <w:sz w:val="18"/>
      <w:szCs w:val="18"/>
    </w:rPr>
  </w:style>
  <w:style w:type="paragraph" w:styleId="6">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footnote text"/>
    <w:basedOn w:val="1"/>
    <w:next w:val="3"/>
    <w:semiHidden/>
    <w:qFormat/>
    <w:uiPriority w:val="0"/>
    <w:pPr>
      <w:snapToGrid w:val="0"/>
      <w:jc w:val="left"/>
    </w:pPr>
    <w:rPr>
      <w:sz w:val="18"/>
      <w:szCs w:val="18"/>
    </w:rPr>
  </w:style>
  <w:style w:type="paragraph" w:styleId="8">
    <w:name w:val="Normal (Web)"/>
    <w:basedOn w:val="1"/>
    <w:qFormat/>
    <w:uiPriority w:val="99"/>
    <w:pPr>
      <w:spacing w:beforeAutospacing="1" w:afterAutospacing="1"/>
      <w:jc w:val="left"/>
    </w:pPr>
    <w:rPr>
      <w:kern w:val="0"/>
      <w:sz w:val="24"/>
    </w:rPr>
  </w:style>
  <w:style w:type="character" w:styleId="11">
    <w:name w:val="Strong"/>
    <w:basedOn w:val="10"/>
    <w:qFormat/>
    <w:uiPriority w:val="22"/>
    <w:rPr>
      <w:b/>
    </w:rPr>
  </w:style>
  <w:style w:type="character" w:customStyle="1" w:styleId="12">
    <w:name w:val="页眉 Char"/>
    <w:basedOn w:val="10"/>
    <w:link w:val="6"/>
    <w:qFormat/>
    <w:uiPriority w:val="99"/>
    <w:rPr>
      <w:sz w:val="18"/>
      <w:szCs w:val="18"/>
    </w:rPr>
  </w:style>
  <w:style w:type="character" w:customStyle="1" w:styleId="13">
    <w:name w:val="页脚 Char"/>
    <w:basedOn w:val="10"/>
    <w:link w:val="5"/>
    <w:qFormat/>
    <w:uiPriority w:val="99"/>
    <w:rPr>
      <w:sz w:val="18"/>
      <w:szCs w:val="18"/>
    </w:rPr>
  </w:style>
  <w:style w:type="paragraph" w:customStyle="1" w:styleId="14">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5">
    <w:name w:val="List Paragraph"/>
    <w:basedOn w:val="1"/>
    <w:qFormat/>
    <w:uiPriority w:val="34"/>
    <w:pPr>
      <w:ind w:firstLine="420" w:firstLineChars="200"/>
    </w:pPr>
  </w:style>
  <w:style w:type="character" w:customStyle="1" w:styleId="16">
    <w:name w:val="批注框文本 Char"/>
    <w:basedOn w:val="10"/>
    <w:link w:val="4"/>
    <w:semiHidden/>
    <w:qFormat/>
    <w:uiPriority w:val="99"/>
    <w:rPr>
      <w:sz w:val="18"/>
      <w:szCs w:val="18"/>
    </w:rPr>
  </w:style>
  <w:style w:type="character" w:customStyle="1" w:styleId="17">
    <w:name w:val="font01"/>
    <w:basedOn w:val="10"/>
    <w:qFormat/>
    <w:uiPriority w:val="0"/>
    <w:rPr>
      <w:rFonts w:hint="eastAsia" w:ascii="宋体" w:hAnsi="宋体" w:eastAsia="宋体" w:cs="宋体"/>
      <w:color w:val="000000"/>
      <w:sz w:val="22"/>
      <w:szCs w:val="22"/>
      <w:u w:val="none"/>
    </w:rPr>
  </w:style>
  <w:style w:type="character" w:customStyle="1" w:styleId="18">
    <w:name w:val="font21"/>
    <w:basedOn w:val="10"/>
    <w:qFormat/>
    <w:uiPriority w:val="0"/>
    <w:rPr>
      <w:rFonts w:hint="eastAsia" w:ascii="宋体" w:hAnsi="宋体" w:eastAsia="宋体" w:cs="宋体"/>
      <w:color w:val="000000"/>
      <w:sz w:val="24"/>
      <w:szCs w:val="24"/>
      <w:u w:val="none"/>
    </w:rPr>
  </w:style>
  <w:style w:type="character" w:customStyle="1" w:styleId="19">
    <w:name w:val="font11"/>
    <w:basedOn w:val="10"/>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18</Pages>
  <Words>5384</Words>
  <Characters>6129</Characters>
  <Lines>69</Lines>
  <Paragraphs>19</Paragraphs>
  <TotalTime>7</TotalTime>
  <ScaleCrop>false</ScaleCrop>
  <LinksUpToDate>false</LinksUpToDate>
  <CharactersWithSpaces>6166</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2025-08-20T18:17:00Z</dcterms:created>
  <dc:creator>李航 null</dc:creator>
  <cp:lastModifiedBy>A梦</cp:lastModifiedBy>
  <cp:lastPrinted>2026-09-18T08:58:00Z</cp:lastPrinted>
  <dcterms:modified xsi:type="dcterms:W3CDTF">2026-10-15T11:19:14Z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BB7B6AA21D207914D6FDA268992A22D6</vt:lpwstr>
  </property>
</Properties>
</file>