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A1271">
      <w:pPr>
        <w:pStyle w:val="11"/>
        <w:jc w:val="center"/>
        <w:rPr>
          <w:rFonts w:ascii="仿宋" w:hAnsi="仿宋" w:eastAsia="仿宋" w:cs="仿宋"/>
          <w:color w:val="auto"/>
          <w:sz w:val="56"/>
          <w:szCs w:val="56"/>
          <w:highlight w:val="none"/>
        </w:rPr>
      </w:pPr>
    </w:p>
    <w:p w14:paraId="4422F5B0">
      <w:pPr>
        <w:pStyle w:val="11"/>
        <w:jc w:val="center"/>
        <w:rPr>
          <w:rFonts w:ascii="仿宋" w:hAnsi="仿宋" w:eastAsia="仿宋" w:cs="仿宋"/>
          <w:color w:val="auto"/>
          <w:sz w:val="56"/>
          <w:szCs w:val="56"/>
          <w:highlight w:val="none"/>
        </w:rPr>
      </w:pPr>
    </w:p>
    <w:p w14:paraId="6FDFF367">
      <w:pPr>
        <w:pStyle w:val="11"/>
        <w:jc w:val="center"/>
        <w:rPr>
          <w:rFonts w:ascii="仿宋" w:hAnsi="仿宋" w:eastAsia="仿宋" w:cs="仿宋"/>
          <w:color w:val="auto"/>
          <w:sz w:val="84"/>
          <w:szCs w:val="84"/>
          <w:highlight w:val="none"/>
        </w:rPr>
      </w:pPr>
    </w:p>
    <w:p w14:paraId="7B1F3718">
      <w:pPr>
        <w:pStyle w:val="11"/>
        <w:jc w:val="center"/>
        <w:rPr>
          <w:rFonts w:ascii="仿宋" w:hAnsi="仿宋" w:eastAsia="仿宋" w:cs="仿宋"/>
          <w:color w:val="auto"/>
          <w:sz w:val="84"/>
          <w:szCs w:val="84"/>
          <w:highlight w:val="none"/>
        </w:rPr>
      </w:pPr>
    </w:p>
    <w:p w14:paraId="5228F2B8">
      <w:pPr>
        <w:pStyle w:val="11"/>
        <w:jc w:val="center"/>
        <w:rPr>
          <w:rFonts w:hAnsi="黑体"/>
          <w:b/>
          <w:color w:val="auto"/>
          <w:sz w:val="84"/>
          <w:szCs w:val="84"/>
          <w:highlight w:val="none"/>
        </w:rPr>
      </w:pPr>
      <w:r>
        <w:rPr>
          <w:rFonts w:hint="eastAsia" w:hAnsi="黑体"/>
          <w:b/>
          <w:color w:val="auto"/>
          <w:sz w:val="84"/>
          <w:szCs w:val="84"/>
          <w:highlight w:val="none"/>
        </w:rPr>
        <w:t>2022年度</w:t>
      </w:r>
    </w:p>
    <w:p w14:paraId="4B948792">
      <w:pPr>
        <w:pStyle w:val="11"/>
        <w:jc w:val="center"/>
        <w:rPr>
          <w:rFonts w:hAnsi="黑体"/>
          <w:b/>
          <w:color w:val="auto"/>
          <w:sz w:val="84"/>
          <w:szCs w:val="84"/>
          <w:highlight w:val="none"/>
        </w:rPr>
      </w:pPr>
      <w:r>
        <w:rPr>
          <w:rFonts w:hint="eastAsia" w:hAnsi="黑体"/>
          <w:b/>
          <w:color w:val="auto"/>
          <w:sz w:val="84"/>
          <w:szCs w:val="84"/>
          <w:highlight w:val="none"/>
        </w:rPr>
        <w:t>怀化市公安局鹤城分局</w:t>
      </w:r>
    </w:p>
    <w:p w14:paraId="17E9A26D">
      <w:pPr>
        <w:pStyle w:val="11"/>
        <w:jc w:val="center"/>
        <w:rPr>
          <w:rFonts w:hAnsi="黑体"/>
          <w:b/>
          <w:color w:val="auto"/>
          <w:sz w:val="84"/>
          <w:szCs w:val="84"/>
          <w:highlight w:val="none"/>
        </w:rPr>
      </w:pPr>
      <w:r>
        <w:rPr>
          <w:rFonts w:hint="eastAsia" w:hAnsi="黑体"/>
          <w:b/>
          <w:color w:val="auto"/>
          <w:sz w:val="84"/>
          <w:szCs w:val="84"/>
          <w:highlight w:val="none"/>
        </w:rPr>
        <w:t>部门决算</w:t>
      </w:r>
    </w:p>
    <w:p w14:paraId="59F1F931">
      <w:pPr>
        <w:pStyle w:val="11"/>
        <w:jc w:val="center"/>
        <w:rPr>
          <w:rFonts w:ascii="仿宋" w:hAnsi="仿宋" w:eastAsia="仿宋" w:cs="仿宋"/>
          <w:color w:val="auto"/>
          <w:sz w:val="56"/>
          <w:szCs w:val="56"/>
          <w:highlight w:val="none"/>
        </w:rPr>
      </w:pPr>
    </w:p>
    <w:p w14:paraId="5A2E2BA7">
      <w:pPr>
        <w:pStyle w:val="11"/>
        <w:jc w:val="center"/>
        <w:rPr>
          <w:rFonts w:ascii="仿宋" w:hAnsi="仿宋" w:eastAsia="仿宋" w:cs="仿宋"/>
          <w:color w:val="auto"/>
          <w:sz w:val="56"/>
          <w:szCs w:val="56"/>
          <w:highlight w:val="none"/>
        </w:rPr>
      </w:pPr>
    </w:p>
    <w:p w14:paraId="239C4233">
      <w:pPr>
        <w:pStyle w:val="11"/>
        <w:jc w:val="center"/>
        <w:rPr>
          <w:rFonts w:ascii="仿宋" w:hAnsi="仿宋" w:eastAsia="仿宋" w:cs="仿宋"/>
          <w:color w:val="auto"/>
          <w:sz w:val="56"/>
          <w:szCs w:val="56"/>
          <w:highlight w:val="none"/>
        </w:rPr>
      </w:pPr>
    </w:p>
    <w:p w14:paraId="55F8BB2C">
      <w:pPr>
        <w:pStyle w:val="11"/>
        <w:jc w:val="center"/>
        <w:rPr>
          <w:rFonts w:ascii="仿宋" w:hAnsi="仿宋" w:eastAsia="仿宋" w:cs="仿宋"/>
          <w:color w:val="auto"/>
          <w:sz w:val="56"/>
          <w:szCs w:val="56"/>
          <w:highlight w:val="none"/>
        </w:rPr>
      </w:pPr>
    </w:p>
    <w:p w14:paraId="789F2196">
      <w:pPr>
        <w:pStyle w:val="11"/>
        <w:jc w:val="center"/>
        <w:rPr>
          <w:rFonts w:ascii="仿宋" w:hAnsi="仿宋" w:eastAsia="仿宋" w:cs="仿宋"/>
          <w:color w:val="auto"/>
          <w:sz w:val="32"/>
          <w:szCs w:val="32"/>
          <w:highlight w:val="none"/>
        </w:rPr>
      </w:pPr>
    </w:p>
    <w:p w14:paraId="2D1A8688">
      <w:pPr>
        <w:pStyle w:val="11"/>
        <w:jc w:val="center"/>
        <w:rPr>
          <w:rFonts w:ascii="仿宋" w:hAnsi="仿宋" w:eastAsia="仿宋" w:cs="仿宋"/>
          <w:color w:val="auto"/>
          <w:sz w:val="32"/>
          <w:szCs w:val="32"/>
          <w:highlight w:val="none"/>
        </w:rPr>
      </w:pPr>
    </w:p>
    <w:p w14:paraId="47B6F38B">
      <w:pPr>
        <w:pStyle w:val="11"/>
        <w:jc w:val="center"/>
        <w:rPr>
          <w:rFonts w:ascii="仿宋" w:hAnsi="仿宋" w:eastAsia="仿宋" w:cs="仿宋"/>
          <w:color w:val="auto"/>
          <w:sz w:val="32"/>
          <w:szCs w:val="32"/>
          <w:highlight w:val="none"/>
        </w:rPr>
      </w:pPr>
    </w:p>
    <w:p w14:paraId="2F129F42">
      <w:pPr>
        <w:pStyle w:val="11"/>
        <w:jc w:val="center"/>
        <w:rPr>
          <w:rFonts w:ascii="仿宋" w:hAnsi="仿宋" w:eastAsia="仿宋" w:cs="仿宋"/>
          <w:color w:val="auto"/>
          <w:sz w:val="32"/>
          <w:szCs w:val="32"/>
          <w:highlight w:val="none"/>
        </w:rPr>
      </w:pPr>
    </w:p>
    <w:p w14:paraId="43B38D43">
      <w:pPr>
        <w:pStyle w:val="11"/>
        <w:spacing w:line="500" w:lineRule="exact"/>
        <w:rPr>
          <w:rFonts w:hint="eastAsia" w:ascii="仿宋" w:hAnsi="仿宋" w:eastAsia="仿宋" w:cs="仿宋"/>
          <w:color w:val="auto"/>
          <w:sz w:val="32"/>
          <w:szCs w:val="32"/>
          <w:highlight w:val="none"/>
        </w:rPr>
      </w:pPr>
    </w:p>
    <w:p w14:paraId="3D0CCFB0">
      <w:pPr>
        <w:pStyle w:val="11"/>
        <w:spacing w:line="500" w:lineRule="exact"/>
        <w:rPr>
          <w:rFonts w:ascii="仿宋" w:hAnsi="仿宋" w:eastAsia="仿宋" w:cs="仿宋"/>
          <w:b/>
          <w:color w:val="auto"/>
          <w:sz w:val="36"/>
          <w:szCs w:val="28"/>
          <w:highlight w:val="none"/>
        </w:rPr>
      </w:pPr>
    </w:p>
    <w:p w14:paraId="79259A12">
      <w:pPr>
        <w:pStyle w:val="11"/>
        <w:spacing w:line="500" w:lineRule="exact"/>
        <w:jc w:val="center"/>
        <w:rPr>
          <w:rFonts w:ascii="仿宋" w:hAnsi="仿宋" w:eastAsia="仿宋" w:cs="仿宋"/>
          <w:b/>
          <w:color w:val="auto"/>
          <w:sz w:val="36"/>
          <w:szCs w:val="28"/>
          <w:highlight w:val="none"/>
        </w:rPr>
      </w:pPr>
      <w:r>
        <w:rPr>
          <w:rFonts w:hint="eastAsia" w:ascii="仿宋" w:hAnsi="仿宋" w:eastAsia="仿宋" w:cs="仿宋"/>
          <w:b/>
          <w:color w:val="auto"/>
          <w:sz w:val="36"/>
          <w:szCs w:val="28"/>
          <w:highlight w:val="none"/>
        </w:rPr>
        <w:t>目录</w:t>
      </w:r>
    </w:p>
    <w:p w14:paraId="24F62D76">
      <w:pPr>
        <w:pStyle w:val="11"/>
        <w:spacing w:line="44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第一部分 怀化市公安局鹤城分局单位概况</w:t>
      </w:r>
    </w:p>
    <w:p w14:paraId="249DEF72">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一、部门职责</w:t>
      </w:r>
    </w:p>
    <w:p w14:paraId="7900F0B0">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二、机构设置</w:t>
      </w:r>
    </w:p>
    <w:p w14:paraId="67AA6785">
      <w:pPr>
        <w:pStyle w:val="11"/>
        <w:spacing w:line="44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第二部分2022年度部门决算表</w:t>
      </w:r>
    </w:p>
    <w:p w14:paraId="53124FB1">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一、收入支出决算总表</w:t>
      </w:r>
    </w:p>
    <w:p w14:paraId="1F4A7614">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二、收入决算表</w:t>
      </w:r>
    </w:p>
    <w:p w14:paraId="19EC17AE">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三、支出决算表</w:t>
      </w:r>
    </w:p>
    <w:p w14:paraId="3D6DCFC7">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四、财政拨款收入支出决算总表</w:t>
      </w:r>
    </w:p>
    <w:p w14:paraId="49530353">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五、一般公共预算财政拨款支出决算表</w:t>
      </w:r>
    </w:p>
    <w:p w14:paraId="15A40EFB">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六、一般公共预算财政拨款基本支出决算明细表</w:t>
      </w:r>
    </w:p>
    <w:p w14:paraId="4091A4E3">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七、一般公共预算财政拨款“三公”经费支出决算表</w:t>
      </w:r>
    </w:p>
    <w:p w14:paraId="1AB69B56">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八、政府性基金预算财政拨款收入支出决算表</w:t>
      </w:r>
    </w:p>
    <w:p w14:paraId="60E17000">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九、国有资本经营预算财政拨款支出决算表</w:t>
      </w:r>
    </w:p>
    <w:p w14:paraId="1184359A">
      <w:pPr>
        <w:pStyle w:val="11"/>
        <w:spacing w:line="44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第三部分2022年度部门决算情况说明</w:t>
      </w:r>
    </w:p>
    <w:p w14:paraId="5C280838">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一、收入支出决算总体情况说明</w:t>
      </w:r>
    </w:p>
    <w:p w14:paraId="066885BE">
      <w:pPr>
        <w:spacing w:line="440" w:lineRule="exact"/>
        <w:ind w:firstLine="700" w:firstLineChars="25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二、收入决算情况说明</w:t>
      </w:r>
    </w:p>
    <w:p w14:paraId="5607B7B4">
      <w:pPr>
        <w:autoSpaceDE w:val="0"/>
        <w:autoSpaceDN w:val="0"/>
        <w:adjustRightInd w:val="0"/>
        <w:spacing w:line="440" w:lineRule="exact"/>
        <w:ind w:firstLine="700" w:firstLineChars="2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三、支出决算情况说明</w:t>
      </w:r>
    </w:p>
    <w:p w14:paraId="74C9FAA7">
      <w:pPr>
        <w:autoSpaceDE w:val="0"/>
        <w:autoSpaceDN w:val="0"/>
        <w:adjustRightInd w:val="0"/>
        <w:spacing w:line="440" w:lineRule="exact"/>
        <w:ind w:firstLine="700" w:firstLineChars="2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四、财政拨款收入支出决算总体情况说明</w:t>
      </w:r>
    </w:p>
    <w:p w14:paraId="488CB528">
      <w:pPr>
        <w:autoSpaceDE w:val="0"/>
        <w:autoSpaceDN w:val="0"/>
        <w:adjustRightInd w:val="0"/>
        <w:spacing w:line="440" w:lineRule="exact"/>
        <w:ind w:firstLine="700" w:firstLineChars="2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五、一般公共预算财政拨款支出决算情况说明</w:t>
      </w:r>
    </w:p>
    <w:p w14:paraId="6D1DE428">
      <w:pPr>
        <w:autoSpaceDE w:val="0"/>
        <w:autoSpaceDN w:val="0"/>
        <w:adjustRightInd w:val="0"/>
        <w:spacing w:line="440" w:lineRule="exact"/>
        <w:ind w:firstLine="700" w:firstLineChars="2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六、一般公共预算财政拨款基本支出决算情况说明</w:t>
      </w:r>
    </w:p>
    <w:p w14:paraId="6B777DC5">
      <w:pPr>
        <w:autoSpaceDE w:val="0"/>
        <w:autoSpaceDN w:val="0"/>
        <w:adjustRightInd w:val="0"/>
        <w:spacing w:line="440" w:lineRule="exact"/>
        <w:ind w:firstLine="700" w:firstLineChars="2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七、一般公共预算财政拨款“三公”经费支出决算情况说明</w:t>
      </w:r>
    </w:p>
    <w:p w14:paraId="43BA30AF">
      <w:pPr>
        <w:autoSpaceDE w:val="0"/>
        <w:autoSpaceDN w:val="0"/>
        <w:adjustRightInd w:val="0"/>
        <w:spacing w:line="440" w:lineRule="exact"/>
        <w:ind w:firstLine="700" w:firstLineChars="25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八、政府性基金预算收入支出决算情况</w:t>
      </w:r>
    </w:p>
    <w:p w14:paraId="297B93B4">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九、国有资本经营预算财政拨款支出决算情况说明</w:t>
      </w:r>
    </w:p>
    <w:p w14:paraId="4897B427">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十、关于机关运行经费支出说明</w:t>
      </w:r>
    </w:p>
    <w:p w14:paraId="1C9C95E4">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十一、一般性支出情况说明</w:t>
      </w:r>
    </w:p>
    <w:p w14:paraId="7B0B2B04">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十二、关于政府采购支出说明</w:t>
      </w:r>
    </w:p>
    <w:p w14:paraId="7EFC55C3">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十三、关于国有资产占用情况说明</w:t>
      </w:r>
    </w:p>
    <w:p w14:paraId="7DC106AD">
      <w:pPr>
        <w:pStyle w:val="11"/>
        <w:spacing w:line="440" w:lineRule="exact"/>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十四、关于2022年度预算绩效情况的说明</w:t>
      </w:r>
    </w:p>
    <w:p w14:paraId="07D83F5E">
      <w:pPr>
        <w:autoSpaceDE w:val="0"/>
        <w:autoSpaceDN w:val="0"/>
        <w:adjustRightInd w:val="0"/>
        <w:spacing w:line="440" w:lineRule="exact"/>
        <w:jc w:val="lef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第四部分名词解释</w:t>
      </w:r>
    </w:p>
    <w:p w14:paraId="6581D159">
      <w:pPr>
        <w:autoSpaceDE w:val="0"/>
        <w:autoSpaceDN w:val="0"/>
        <w:adjustRightInd w:val="0"/>
        <w:spacing w:line="440" w:lineRule="exact"/>
        <w:jc w:val="lef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第五部分附件</w:t>
      </w:r>
    </w:p>
    <w:p w14:paraId="37D89B64">
      <w:pPr>
        <w:jc w:val="center"/>
        <w:rPr>
          <w:rFonts w:ascii="仿宋" w:hAnsi="仿宋" w:eastAsia="仿宋" w:cs="仿宋"/>
          <w:color w:val="auto"/>
          <w:sz w:val="72"/>
          <w:szCs w:val="72"/>
          <w:highlight w:val="none"/>
        </w:rPr>
      </w:pPr>
    </w:p>
    <w:p w14:paraId="306800D0">
      <w:pPr>
        <w:pStyle w:val="11"/>
        <w:jc w:val="center"/>
        <w:rPr>
          <w:rFonts w:hint="eastAsia" w:hAnsi="黑体"/>
          <w:color w:val="auto"/>
          <w:sz w:val="84"/>
          <w:szCs w:val="84"/>
          <w:highlight w:val="none"/>
        </w:rPr>
      </w:pPr>
    </w:p>
    <w:p w14:paraId="590D76FE">
      <w:pPr>
        <w:pStyle w:val="11"/>
        <w:jc w:val="center"/>
        <w:rPr>
          <w:rFonts w:hint="eastAsia" w:hAnsi="黑体"/>
          <w:color w:val="auto"/>
          <w:sz w:val="84"/>
          <w:szCs w:val="84"/>
          <w:highlight w:val="none"/>
        </w:rPr>
      </w:pPr>
    </w:p>
    <w:p w14:paraId="34690846">
      <w:pPr>
        <w:pStyle w:val="11"/>
        <w:jc w:val="center"/>
        <w:rPr>
          <w:rFonts w:hint="eastAsia" w:hAnsi="黑体"/>
          <w:color w:val="auto"/>
          <w:sz w:val="84"/>
          <w:szCs w:val="84"/>
          <w:highlight w:val="none"/>
        </w:rPr>
      </w:pPr>
    </w:p>
    <w:p w14:paraId="7EF3FA77">
      <w:pPr>
        <w:pStyle w:val="11"/>
        <w:jc w:val="center"/>
        <w:rPr>
          <w:rFonts w:hint="eastAsia" w:hAnsi="黑体"/>
          <w:color w:val="auto"/>
          <w:sz w:val="84"/>
          <w:szCs w:val="84"/>
          <w:highlight w:val="none"/>
        </w:rPr>
      </w:pPr>
    </w:p>
    <w:p w14:paraId="58CEA6B1">
      <w:pPr>
        <w:pStyle w:val="11"/>
        <w:jc w:val="center"/>
        <w:rPr>
          <w:rFonts w:hAnsi="黑体"/>
          <w:color w:val="auto"/>
          <w:sz w:val="84"/>
          <w:szCs w:val="84"/>
          <w:highlight w:val="none"/>
        </w:rPr>
      </w:pPr>
      <w:r>
        <w:rPr>
          <w:rFonts w:hint="eastAsia" w:hAnsi="黑体"/>
          <w:color w:val="auto"/>
          <w:sz w:val="84"/>
          <w:szCs w:val="84"/>
          <w:highlight w:val="none"/>
        </w:rPr>
        <w:t>第一部分</w:t>
      </w:r>
    </w:p>
    <w:p w14:paraId="3DE3B558">
      <w:pPr>
        <w:pStyle w:val="11"/>
        <w:jc w:val="center"/>
        <w:rPr>
          <w:rFonts w:hint="eastAsia" w:hAnsi="黑体"/>
          <w:color w:val="auto"/>
          <w:sz w:val="84"/>
          <w:szCs w:val="84"/>
          <w:highlight w:val="none"/>
        </w:rPr>
      </w:pPr>
      <w:r>
        <w:rPr>
          <w:rFonts w:hint="eastAsia" w:hAnsi="黑体"/>
          <w:color w:val="auto"/>
          <w:sz w:val="84"/>
          <w:szCs w:val="84"/>
          <w:highlight w:val="none"/>
        </w:rPr>
        <w:t>怀化市公安局鹤城分局单位概况</w:t>
      </w:r>
    </w:p>
    <w:p w14:paraId="66C1B54C">
      <w:pPr>
        <w:pStyle w:val="11"/>
        <w:jc w:val="center"/>
        <w:rPr>
          <w:rFonts w:hint="eastAsia" w:hAnsi="黑体"/>
          <w:color w:val="auto"/>
          <w:sz w:val="84"/>
          <w:szCs w:val="84"/>
          <w:highlight w:val="none"/>
        </w:rPr>
      </w:pPr>
    </w:p>
    <w:p w14:paraId="674833BB">
      <w:pPr>
        <w:pStyle w:val="11"/>
        <w:jc w:val="center"/>
        <w:rPr>
          <w:rFonts w:hint="eastAsia" w:hAnsi="黑体"/>
          <w:color w:val="auto"/>
          <w:sz w:val="84"/>
          <w:szCs w:val="84"/>
          <w:highlight w:val="none"/>
        </w:rPr>
      </w:pPr>
    </w:p>
    <w:p w14:paraId="7B96EF9C">
      <w:pPr>
        <w:pStyle w:val="11"/>
        <w:jc w:val="center"/>
        <w:rPr>
          <w:rFonts w:hint="eastAsia" w:hAnsi="黑体"/>
          <w:color w:val="auto"/>
          <w:sz w:val="84"/>
          <w:szCs w:val="84"/>
          <w:highlight w:val="none"/>
        </w:rPr>
      </w:pPr>
    </w:p>
    <w:p w14:paraId="4FD912E4">
      <w:pPr>
        <w:pStyle w:val="11"/>
        <w:jc w:val="center"/>
        <w:rPr>
          <w:rFonts w:hint="eastAsia" w:hAnsi="黑体"/>
          <w:color w:val="auto"/>
          <w:sz w:val="84"/>
          <w:szCs w:val="84"/>
          <w:highlight w:val="none"/>
        </w:rPr>
      </w:pPr>
    </w:p>
    <w:p w14:paraId="10D1C7F1">
      <w:pPr>
        <w:pStyle w:val="11"/>
        <w:jc w:val="center"/>
        <w:rPr>
          <w:rFonts w:hAnsi="黑体"/>
          <w:color w:val="auto"/>
          <w:sz w:val="84"/>
          <w:szCs w:val="84"/>
          <w:highlight w:val="none"/>
        </w:rPr>
      </w:pPr>
    </w:p>
    <w:p w14:paraId="7998BCC6">
      <w:pPr>
        <w:pStyle w:val="12"/>
        <w:numPr>
          <w:ilvl w:val="0"/>
          <w:numId w:val="1"/>
        </w:numPr>
        <w:spacing w:line="600" w:lineRule="exact"/>
        <w:ind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部门职责</w:t>
      </w:r>
    </w:p>
    <w:p w14:paraId="2B048790">
      <w:pPr>
        <w:widowControl/>
        <w:spacing w:line="600" w:lineRule="exact"/>
        <w:ind w:firstLine="640" w:firstLineChars="200"/>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本部门主要职责是：预防、制止和侦查违法犯罪活动；维护社会治安秩序，制止危害社会治安秩序的行为；管理户政、国籍、入境出境事务和外国人在中国境内居留、旅行的有关事务；监督管理计算机信息系统的安全保护工作；指导和监督国家机关、社会团体、企业事业组织和重点建设工程的治安保卫工作，指导治安保卫委员会等群众性组织的治安防范工作；法律、法规规定的其他职责。</w:t>
      </w:r>
    </w:p>
    <w:p w14:paraId="03593552">
      <w:pPr>
        <w:widowControl/>
        <w:spacing w:line="600" w:lineRule="exact"/>
        <w:ind w:firstLine="640" w:firstLineChars="200"/>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二、机构设置及决算单位构成</w:t>
      </w:r>
    </w:p>
    <w:p w14:paraId="30C5B6BF">
      <w:pPr>
        <w:widowControl/>
        <w:spacing w:line="600" w:lineRule="exact"/>
        <w:ind w:firstLine="640" w:firstLineChars="200"/>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一）内设机构设置。怀化市公安局鹤城分局作为一级部门预算单位，内设6个中心，包括：指挥中心、队管中心、防控中心、侦查中心、监管中心、执法管理中心；12个派出所，包括：广场派出所、团结派出所、迎丰派出所、湖天派出所、城中派出所、新园派出所、城东派出所、城南派出所、黄金坳派出所、舞阳派出所（筹备中）、杨村派出所（筹备中）、城北派出所（筹备中）。</w:t>
      </w:r>
    </w:p>
    <w:p w14:paraId="0CF13358">
      <w:pPr>
        <w:widowControl/>
        <w:spacing w:line="600" w:lineRule="exact"/>
        <w:ind w:firstLine="640" w:firstLineChars="200"/>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（二）决算单位构成。怀化市公安局鹤城分局2022年部门决算汇总公开单位构成包括：怀化市公安局鹤城分局本级。</w:t>
      </w:r>
    </w:p>
    <w:p w14:paraId="444416D7">
      <w:pPr>
        <w:widowControl/>
        <w:spacing w:line="600" w:lineRule="exact"/>
        <w:rPr>
          <w:rFonts w:ascii="仿宋" w:hAnsi="仿宋" w:eastAsia="仿宋" w:cs="仿宋"/>
          <w:bCs/>
          <w:color w:val="auto"/>
          <w:kern w:val="0"/>
          <w:sz w:val="32"/>
          <w:szCs w:val="32"/>
          <w:highlight w:val="none"/>
        </w:rPr>
      </w:pPr>
    </w:p>
    <w:p w14:paraId="3CD76E7A">
      <w:pPr>
        <w:jc w:val="center"/>
        <w:rPr>
          <w:rFonts w:ascii="仿宋" w:hAnsi="仿宋" w:eastAsia="仿宋" w:cs="仿宋"/>
          <w:color w:val="auto"/>
          <w:sz w:val="72"/>
          <w:szCs w:val="72"/>
          <w:highlight w:val="none"/>
        </w:rPr>
      </w:pPr>
    </w:p>
    <w:p w14:paraId="69F58BD2">
      <w:pPr>
        <w:jc w:val="center"/>
        <w:rPr>
          <w:rFonts w:ascii="仿宋" w:hAnsi="仿宋" w:eastAsia="仿宋" w:cs="仿宋"/>
          <w:color w:val="auto"/>
          <w:sz w:val="72"/>
          <w:szCs w:val="72"/>
          <w:highlight w:val="none"/>
        </w:rPr>
      </w:pPr>
    </w:p>
    <w:p w14:paraId="624CECFE">
      <w:pPr>
        <w:jc w:val="center"/>
        <w:rPr>
          <w:rFonts w:ascii="仿宋" w:hAnsi="仿宋" w:eastAsia="仿宋" w:cs="仿宋"/>
          <w:color w:val="auto"/>
          <w:sz w:val="72"/>
          <w:szCs w:val="72"/>
          <w:highlight w:val="none"/>
        </w:rPr>
      </w:pPr>
    </w:p>
    <w:p w14:paraId="2C72C4F5">
      <w:pPr>
        <w:jc w:val="center"/>
        <w:rPr>
          <w:rFonts w:ascii="仿宋" w:hAnsi="仿宋" w:eastAsia="仿宋" w:cs="仿宋"/>
          <w:color w:val="auto"/>
          <w:sz w:val="72"/>
          <w:szCs w:val="72"/>
          <w:highlight w:val="none"/>
        </w:rPr>
      </w:pPr>
    </w:p>
    <w:p w14:paraId="5C21EEBE">
      <w:pPr>
        <w:jc w:val="center"/>
        <w:rPr>
          <w:rFonts w:ascii="仿宋" w:hAnsi="仿宋" w:eastAsia="仿宋" w:cs="仿宋"/>
          <w:color w:val="auto"/>
          <w:sz w:val="72"/>
          <w:szCs w:val="72"/>
          <w:highlight w:val="none"/>
        </w:rPr>
      </w:pPr>
    </w:p>
    <w:p w14:paraId="53D0B24F">
      <w:pPr>
        <w:jc w:val="center"/>
        <w:rPr>
          <w:rFonts w:ascii="仿宋" w:hAnsi="仿宋" w:eastAsia="仿宋" w:cs="仿宋"/>
          <w:color w:val="auto"/>
          <w:sz w:val="72"/>
          <w:szCs w:val="72"/>
          <w:highlight w:val="none"/>
        </w:rPr>
      </w:pPr>
    </w:p>
    <w:p w14:paraId="46E41653">
      <w:pPr>
        <w:rPr>
          <w:rFonts w:ascii="仿宋" w:hAnsi="仿宋" w:eastAsia="仿宋" w:cs="仿宋"/>
          <w:color w:val="auto"/>
          <w:sz w:val="72"/>
          <w:szCs w:val="72"/>
          <w:highlight w:val="none"/>
        </w:rPr>
      </w:pPr>
    </w:p>
    <w:p w14:paraId="40F31A8D">
      <w:pPr>
        <w:jc w:val="center"/>
        <w:rPr>
          <w:rFonts w:ascii="仿宋" w:hAnsi="仿宋" w:eastAsia="仿宋" w:cs="仿宋"/>
          <w:color w:val="auto"/>
          <w:sz w:val="72"/>
          <w:szCs w:val="72"/>
          <w:highlight w:val="none"/>
        </w:rPr>
      </w:pPr>
    </w:p>
    <w:p w14:paraId="7EAA4F95">
      <w:pPr>
        <w:jc w:val="center"/>
        <w:rPr>
          <w:rFonts w:ascii="黑体" w:hAnsi="黑体" w:eastAsia="黑体" w:cs="黑体"/>
          <w:b/>
          <w:bCs/>
          <w:color w:val="auto"/>
          <w:kern w:val="0"/>
          <w:sz w:val="84"/>
          <w:szCs w:val="84"/>
          <w:highlight w:val="none"/>
        </w:rPr>
      </w:pPr>
      <w:r>
        <w:rPr>
          <w:rFonts w:hint="eastAsia" w:ascii="黑体" w:hAnsi="黑体" w:eastAsia="黑体" w:cs="黑体"/>
          <w:b/>
          <w:bCs/>
          <w:color w:val="auto"/>
          <w:kern w:val="0"/>
          <w:sz w:val="84"/>
          <w:szCs w:val="84"/>
          <w:highlight w:val="none"/>
        </w:rPr>
        <w:t>第二部分</w:t>
      </w:r>
    </w:p>
    <w:p w14:paraId="0D7E4652">
      <w:pPr>
        <w:jc w:val="center"/>
        <w:rPr>
          <w:rFonts w:ascii="黑体" w:hAnsi="黑体" w:eastAsia="黑体" w:cs="黑体"/>
          <w:b/>
          <w:bCs/>
          <w:color w:val="auto"/>
          <w:kern w:val="0"/>
          <w:sz w:val="84"/>
          <w:szCs w:val="84"/>
          <w:highlight w:val="none"/>
        </w:rPr>
      </w:pPr>
    </w:p>
    <w:p w14:paraId="38F54CA9">
      <w:pPr>
        <w:jc w:val="center"/>
        <w:rPr>
          <w:rFonts w:ascii="黑体" w:hAnsi="黑体" w:eastAsia="黑体" w:cs="黑体"/>
          <w:b/>
          <w:bCs/>
          <w:color w:val="auto"/>
          <w:kern w:val="0"/>
          <w:sz w:val="84"/>
          <w:szCs w:val="84"/>
          <w:highlight w:val="none"/>
        </w:rPr>
      </w:pPr>
      <w:r>
        <w:rPr>
          <w:rFonts w:hint="eastAsia" w:ascii="黑体" w:hAnsi="黑体" w:eastAsia="黑体" w:cs="黑体"/>
          <w:b/>
          <w:bCs/>
          <w:color w:val="auto"/>
          <w:kern w:val="0"/>
          <w:sz w:val="84"/>
          <w:szCs w:val="84"/>
          <w:highlight w:val="none"/>
        </w:rPr>
        <w:t>部门决算表</w:t>
      </w:r>
    </w:p>
    <w:p w14:paraId="75FFF808">
      <w:pPr>
        <w:jc w:val="center"/>
        <w:rPr>
          <w:rFonts w:ascii="仿宋" w:hAnsi="仿宋" w:eastAsia="仿宋" w:cs="仿宋"/>
          <w:color w:val="auto"/>
          <w:sz w:val="72"/>
          <w:szCs w:val="72"/>
          <w:highlight w:val="none"/>
        </w:rPr>
      </w:pPr>
    </w:p>
    <w:p w14:paraId="79AD3CD7">
      <w:pPr>
        <w:jc w:val="center"/>
        <w:rPr>
          <w:rFonts w:ascii="仿宋" w:hAnsi="仿宋" w:eastAsia="仿宋" w:cs="仿宋"/>
          <w:color w:val="auto"/>
          <w:sz w:val="72"/>
          <w:szCs w:val="72"/>
          <w:highlight w:val="none"/>
        </w:rPr>
      </w:pPr>
    </w:p>
    <w:p w14:paraId="67AC0F02">
      <w:pPr>
        <w:pStyle w:val="11"/>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见附件</w:t>
      </w:r>
    </w:p>
    <w:p w14:paraId="1CAF993B">
      <w:pPr>
        <w:pStyle w:val="11"/>
        <w:jc w:val="both"/>
        <w:rPr>
          <w:rFonts w:ascii="仿宋" w:hAnsi="仿宋" w:eastAsia="仿宋" w:cs="仿宋"/>
          <w:color w:val="auto"/>
          <w:sz w:val="36"/>
          <w:szCs w:val="36"/>
          <w:highlight w:val="none"/>
        </w:rPr>
      </w:pPr>
    </w:p>
    <w:p w14:paraId="40AD65EF">
      <w:pPr>
        <w:pStyle w:val="11"/>
        <w:jc w:val="both"/>
        <w:rPr>
          <w:rFonts w:ascii="仿宋" w:hAnsi="仿宋" w:eastAsia="仿宋" w:cs="仿宋"/>
          <w:color w:val="auto"/>
          <w:sz w:val="36"/>
          <w:szCs w:val="36"/>
          <w:highlight w:val="none"/>
        </w:rPr>
      </w:pPr>
    </w:p>
    <w:p w14:paraId="109CD370">
      <w:pPr>
        <w:pStyle w:val="11"/>
        <w:jc w:val="both"/>
        <w:rPr>
          <w:rFonts w:hint="eastAsia" w:ascii="仿宋" w:hAnsi="仿宋" w:eastAsia="仿宋" w:cs="仿宋"/>
          <w:color w:val="auto"/>
          <w:sz w:val="36"/>
          <w:szCs w:val="36"/>
          <w:highlight w:val="none"/>
        </w:rPr>
      </w:pPr>
    </w:p>
    <w:p w14:paraId="280F1004">
      <w:pPr>
        <w:pStyle w:val="11"/>
        <w:jc w:val="both"/>
        <w:rPr>
          <w:rFonts w:hint="eastAsia" w:ascii="仿宋" w:hAnsi="仿宋" w:eastAsia="仿宋" w:cs="仿宋"/>
          <w:color w:val="auto"/>
          <w:sz w:val="36"/>
          <w:szCs w:val="36"/>
          <w:highlight w:val="none"/>
        </w:rPr>
      </w:pPr>
    </w:p>
    <w:p w14:paraId="58C55AED">
      <w:pPr>
        <w:pStyle w:val="11"/>
        <w:jc w:val="both"/>
        <w:rPr>
          <w:rFonts w:hint="eastAsia" w:ascii="仿宋" w:hAnsi="仿宋" w:eastAsia="仿宋" w:cs="仿宋"/>
          <w:color w:val="auto"/>
          <w:sz w:val="36"/>
          <w:szCs w:val="36"/>
          <w:highlight w:val="none"/>
        </w:rPr>
      </w:pPr>
    </w:p>
    <w:p w14:paraId="50E59C03">
      <w:pPr>
        <w:pStyle w:val="11"/>
        <w:jc w:val="both"/>
        <w:rPr>
          <w:rFonts w:hint="eastAsia" w:ascii="仿宋" w:hAnsi="仿宋" w:eastAsia="仿宋" w:cs="仿宋"/>
          <w:color w:val="auto"/>
          <w:sz w:val="36"/>
          <w:szCs w:val="36"/>
          <w:highlight w:val="none"/>
        </w:rPr>
      </w:pPr>
    </w:p>
    <w:p w14:paraId="1AA5E3FE">
      <w:pPr>
        <w:pStyle w:val="11"/>
        <w:jc w:val="both"/>
        <w:rPr>
          <w:rFonts w:hint="eastAsia" w:ascii="仿宋" w:hAnsi="仿宋" w:eastAsia="仿宋" w:cs="仿宋"/>
          <w:color w:val="auto"/>
          <w:sz w:val="36"/>
          <w:szCs w:val="36"/>
          <w:highlight w:val="none"/>
        </w:rPr>
      </w:pPr>
    </w:p>
    <w:p w14:paraId="33A62A85">
      <w:pPr>
        <w:pStyle w:val="11"/>
        <w:jc w:val="both"/>
        <w:rPr>
          <w:rFonts w:ascii="仿宋" w:hAnsi="仿宋" w:eastAsia="仿宋" w:cs="仿宋"/>
          <w:color w:val="auto"/>
          <w:sz w:val="36"/>
          <w:szCs w:val="36"/>
          <w:highlight w:val="none"/>
        </w:rPr>
      </w:pPr>
    </w:p>
    <w:p w14:paraId="0DB87450">
      <w:pPr>
        <w:pStyle w:val="11"/>
        <w:jc w:val="both"/>
        <w:rPr>
          <w:rFonts w:ascii="仿宋" w:hAnsi="仿宋" w:eastAsia="仿宋" w:cs="仿宋"/>
          <w:color w:val="auto"/>
          <w:sz w:val="36"/>
          <w:szCs w:val="36"/>
          <w:highlight w:val="none"/>
        </w:rPr>
      </w:pPr>
    </w:p>
    <w:p w14:paraId="2844ECD2">
      <w:pPr>
        <w:pStyle w:val="11"/>
        <w:jc w:val="center"/>
        <w:rPr>
          <w:rFonts w:hint="eastAsia" w:hAnsi="黑体"/>
          <w:color w:val="auto"/>
          <w:sz w:val="84"/>
          <w:szCs w:val="84"/>
          <w:highlight w:val="none"/>
        </w:rPr>
      </w:pPr>
    </w:p>
    <w:p w14:paraId="1322F6E6">
      <w:pPr>
        <w:pStyle w:val="11"/>
        <w:jc w:val="center"/>
        <w:rPr>
          <w:rFonts w:hint="eastAsia" w:hAnsi="黑体"/>
          <w:color w:val="auto"/>
          <w:sz w:val="84"/>
          <w:szCs w:val="84"/>
          <w:highlight w:val="none"/>
        </w:rPr>
      </w:pPr>
    </w:p>
    <w:p w14:paraId="657A48DB">
      <w:pPr>
        <w:pStyle w:val="11"/>
        <w:jc w:val="center"/>
        <w:rPr>
          <w:rFonts w:hint="eastAsia" w:hAnsi="黑体"/>
          <w:color w:val="auto"/>
          <w:sz w:val="84"/>
          <w:szCs w:val="84"/>
          <w:highlight w:val="none"/>
        </w:rPr>
      </w:pPr>
    </w:p>
    <w:p w14:paraId="547E00FB">
      <w:pPr>
        <w:pStyle w:val="11"/>
        <w:jc w:val="center"/>
        <w:rPr>
          <w:rFonts w:hint="eastAsia" w:hAnsi="黑体"/>
          <w:color w:val="auto"/>
          <w:sz w:val="84"/>
          <w:szCs w:val="84"/>
          <w:highlight w:val="none"/>
        </w:rPr>
      </w:pPr>
      <w:r>
        <w:rPr>
          <w:rFonts w:hint="eastAsia" w:hAnsi="黑体"/>
          <w:color w:val="auto"/>
          <w:sz w:val="84"/>
          <w:szCs w:val="84"/>
          <w:highlight w:val="none"/>
        </w:rPr>
        <w:t>第三部分</w:t>
      </w:r>
    </w:p>
    <w:p w14:paraId="7B2C9B5E">
      <w:pPr>
        <w:pStyle w:val="11"/>
        <w:jc w:val="center"/>
        <w:rPr>
          <w:rFonts w:hAnsi="黑体"/>
          <w:color w:val="auto"/>
          <w:sz w:val="84"/>
          <w:szCs w:val="84"/>
          <w:highlight w:val="none"/>
        </w:rPr>
      </w:pPr>
    </w:p>
    <w:p w14:paraId="5B13C2AB">
      <w:pPr>
        <w:pStyle w:val="11"/>
        <w:jc w:val="center"/>
        <w:rPr>
          <w:rFonts w:hAnsi="黑体"/>
          <w:color w:val="auto"/>
          <w:sz w:val="84"/>
          <w:szCs w:val="84"/>
          <w:highlight w:val="none"/>
        </w:rPr>
      </w:pPr>
      <w:r>
        <w:rPr>
          <w:rFonts w:hint="eastAsia" w:hAnsi="黑体"/>
          <w:color w:val="auto"/>
          <w:sz w:val="84"/>
          <w:szCs w:val="84"/>
          <w:highlight w:val="none"/>
        </w:rPr>
        <w:t>2022年度部门决算情况说明</w:t>
      </w:r>
    </w:p>
    <w:p w14:paraId="1AA24690">
      <w:pPr>
        <w:pStyle w:val="11"/>
        <w:jc w:val="center"/>
        <w:rPr>
          <w:rFonts w:hint="eastAsia" w:hAnsi="黑体"/>
          <w:color w:val="auto"/>
          <w:sz w:val="84"/>
          <w:szCs w:val="84"/>
          <w:highlight w:val="none"/>
        </w:rPr>
      </w:pPr>
    </w:p>
    <w:p w14:paraId="73D1BE8B">
      <w:pPr>
        <w:pStyle w:val="11"/>
        <w:jc w:val="center"/>
        <w:rPr>
          <w:rFonts w:hint="eastAsia" w:hAnsi="黑体"/>
          <w:color w:val="auto"/>
          <w:sz w:val="84"/>
          <w:szCs w:val="84"/>
          <w:highlight w:val="none"/>
        </w:rPr>
      </w:pPr>
    </w:p>
    <w:p w14:paraId="1433C140">
      <w:pPr>
        <w:pStyle w:val="11"/>
        <w:jc w:val="center"/>
        <w:rPr>
          <w:rFonts w:hint="eastAsia" w:hAnsi="黑体"/>
          <w:color w:val="auto"/>
          <w:sz w:val="84"/>
          <w:szCs w:val="84"/>
          <w:highlight w:val="none"/>
        </w:rPr>
      </w:pPr>
    </w:p>
    <w:p w14:paraId="7DB6FAAA">
      <w:pPr>
        <w:pStyle w:val="11"/>
        <w:jc w:val="center"/>
        <w:rPr>
          <w:rFonts w:hint="eastAsia" w:hAnsi="黑体"/>
          <w:color w:val="auto"/>
          <w:sz w:val="84"/>
          <w:szCs w:val="84"/>
          <w:highlight w:val="none"/>
        </w:rPr>
      </w:pPr>
    </w:p>
    <w:p w14:paraId="69E522C4">
      <w:pPr>
        <w:pStyle w:val="11"/>
        <w:jc w:val="center"/>
        <w:rPr>
          <w:rFonts w:hint="eastAsia" w:hAnsi="黑体"/>
          <w:color w:val="auto"/>
          <w:sz w:val="84"/>
          <w:szCs w:val="84"/>
          <w:highlight w:val="none"/>
        </w:rPr>
      </w:pPr>
    </w:p>
    <w:p w14:paraId="5B92DD3A">
      <w:pPr>
        <w:pStyle w:val="11"/>
        <w:jc w:val="center"/>
        <w:rPr>
          <w:rFonts w:hAnsi="黑体"/>
          <w:color w:val="auto"/>
          <w:sz w:val="84"/>
          <w:szCs w:val="84"/>
          <w:highlight w:val="none"/>
        </w:rPr>
      </w:pPr>
    </w:p>
    <w:p w14:paraId="2B808E00">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一、收入支出决算总体情况说明</w:t>
      </w:r>
    </w:p>
    <w:p w14:paraId="312FDEDA">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2022年度收、支总计均为15933.75万元。与上年相比，增加2840.16万元，增长9.78%，主要是因为本年办案业务工作经费及人员经费收支较上年有所增加。</w:t>
      </w:r>
    </w:p>
    <w:p w14:paraId="3CBDAEEF">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二、收入决算情况说明</w:t>
      </w:r>
    </w:p>
    <w:p w14:paraId="5F95316D">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2022年度收入合计15933.75万元，其中：财政拨款收入15824.60万元，占99.31%；其他收入109.15万元，占0.69%。</w:t>
      </w:r>
    </w:p>
    <w:p w14:paraId="77635869">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三、支出决算情况说明</w:t>
      </w:r>
    </w:p>
    <w:p w14:paraId="08408E0A">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2022年度支出合计15933.75万元，其中：基本支出8970.01万元，占56.30%；项目支出6963.74万元，占43.70%。</w:t>
      </w:r>
    </w:p>
    <w:p w14:paraId="711218C7">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四、财政拨款收入支出决算总体情况说明</w:t>
      </w:r>
    </w:p>
    <w:p w14:paraId="708CA8F7">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2022年度财政拨款收、支总计均为15824.6万元，与上年相比，增加2830.16万元,增长9.82%，主要是因为本年办案业务工作经费及人员经费收支较上年有所增加。</w:t>
      </w:r>
    </w:p>
    <w:p w14:paraId="23288B17">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五、一般公共预算财政拨款支出决算情况说明</w:t>
      </w:r>
    </w:p>
    <w:p w14:paraId="11AA9C86">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（一）财政拨款支出决算总体情况</w:t>
      </w:r>
    </w:p>
    <w:p w14:paraId="6E49EB7F">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2022年度财政拨款支出15824.60万元，占本年支出合计的99.31%，与上年相比，财政拨款支出增加1415.08万元，增长9.82%，主要是本年工作经费及人员经费支出较上年有所增加。</w:t>
      </w:r>
    </w:p>
    <w:p w14:paraId="159F87A4">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（二）财政拨款支出决算结构情况</w:t>
      </w:r>
    </w:p>
    <w:p w14:paraId="7CA837F8">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财政拨款支出15824.60万元，主要用于以下方面：公共安全（类）支出14577.10万元，占比92.12%，社会保障和就业（类）支出901.49万元，占比5.70%，卫生健康（类）支出328.42万元，占比2.08%，文化旅游体育与传媒支出17.59万元，占比0.10%。</w:t>
      </w:r>
    </w:p>
    <w:p w14:paraId="039051B4">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（三）财政拨款支出决算具体情况</w:t>
      </w:r>
    </w:p>
    <w:p w14:paraId="0E4F6262">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2022年度财政拨款支出年初预算数为12834.91万元，支出决算数为15824.60万元，完成年初预算的123.29%，其中：</w:t>
      </w:r>
    </w:p>
    <w:p w14:paraId="6DC922D7">
      <w:pPr>
        <w:pStyle w:val="11"/>
        <w:numPr>
          <w:ilvl w:val="0"/>
          <w:numId w:val="2"/>
        </w:num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公共安全支出（类）公安（款）行政运行（项）。</w:t>
      </w:r>
    </w:p>
    <w:p w14:paraId="46B7BB44">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年初预算为9900.68万元，支出决算为10335.87万元，完成年初预算的104.40%，决算数大于年初预算数的主要原因是：该项主要为民警工资、津补贴等，因本年民警工资、津补贴等提标及补发等情况，故预决算存在此差异。     </w:t>
      </w:r>
    </w:p>
    <w:p w14:paraId="11CF4746">
      <w:pPr>
        <w:pStyle w:val="11"/>
        <w:numPr>
          <w:ilvl w:val="0"/>
          <w:numId w:val="2"/>
        </w:num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公共安全支出（类）公安（款）一般行政管理事务（项）。</w:t>
      </w:r>
    </w:p>
    <w:p w14:paraId="4BDD5DC9">
      <w:pPr>
        <w:pStyle w:val="11"/>
        <w:spacing w:line="600" w:lineRule="exact"/>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157.88万元，决算数大于年初预算数的主要原因是：该款项主要为公安上级转移年中追加公安业务及办案专项经费（公安派出所专项经费、禁毒专项经费、长江大保护专项经费、“一村一辅警”专项经费等），故预决算存在此差异。</w:t>
      </w:r>
    </w:p>
    <w:p w14:paraId="25A31284">
      <w:pPr>
        <w:pStyle w:val="11"/>
        <w:numPr>
          <w:ilvl w:val="0"/>
          <w:numId w:val="2"/>
        </w:num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公共安全支出（类）公安（款）执法办案（项）。</w:t>
      </w:r>
    </w:p>
    <w:p w14:paraId="07B8F7A1">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52.69万元，决算数大于年初预算数的主要原因是：该款项主要为中央和省级年中追加公安业务及办案专项经费（出入境证照工本费、反恐专项经费、二代证工本费、雪亮工程业务装备经费等），用于分局公安业务办案专项开支，故预决算存在此差异。</w:t>
      </w:r>
    </w:p>
    <w:p w14:paraId="2FD07D8F">
      <w:pPr>
        <w:pStyle w:val="11"/>
        <w:numPr>
          <w:ilvl w:val="0"/>
          <w:numId w:val="2"/>
        </w:num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公共安全支出（类）公安（款）其他公安支出（项）。            </w:t>
      </w:r>
    </w:p>
    <w:p w14:paraId="16E697BF">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2158.55万元，支出决算为4025.66万元，完成年初预算的186.50%，决算数大于年初预算数的主要原因是：其中扫黑除恶专项100万元、专职驻村辅警经费64万元、上级装备补助经费77万元、人民警察执勤岗位津贴304万元、2021年度绩效考核奖金补发358.5万元、2021年绩效奖金预发915万元，为年中追加，未列入分局年初预算。</w:t>
      </w:r>
    </w:p>
    <w:p w14:paraId="63683D7F">
      <w:pPr>
        <w:pStyle w:val="11"/>
        <w:numPr>
          <w:ilvl w:val="0"/>
          <w:numId w:val="2"/>
        </w:numPr>
        <w:spacing w:line="6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公共安全支出（类）强制隔离戒毒（款）强制隔离戒毒人员生活（项）。</w:t>
      </w:r>
    </w:p>
    <w:p w14:paraId="56992593">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年初预算为0万元，支出决算为5万元，决算数大于年初预算数的主要原因是：该款项主要为年中财政追加第一季度监所给养人员经费，故预决算存在此差异。</w:t>
      </w:r>
    </w:p>
    <w:p w14:paraId="0CD96990">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6、文化旅游体育与传媒支出（类）新闻出版电影（款）其他新闻出版电影支出（项）。</w:t>
      </w:r>
    </w:p>
    <w:p w14:paraId="00004DEF">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年初预算为0万元，支出决算为17.59万元，决算数大于年初预算数的主要原因是：该款项主要为财政年中追加“扫黄打非”有关补助经费，故预决算存在此差异。</w:t>
      </w:r>
    </w:p>
    <w:p w14:paraId="623856C2">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7、社会保障和就业支出（类）行政事业单位养老支出（款）行政单位离退休（项）。</w:t>
      </w:r>
    </w:p>
    <w:p w14:paraId="187B7B1F">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年初预算为0万元，支出决算为131.91万元，决算数大于年初预算数的主要原因是：该款项主要为离退休人员工资及津补贴，因年初未作为我单位预算下达，故预决算存在此差异。</w:t>
      </w:r>
    </w:p>
    <w:p w14:paraId="54656569">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8、社会保障和就业支出（类）行政事业单位养老支出（款）机关事业单位基本养老保险缴费支出（项）。</w:t>
      </w:r>
    </w:p>
    <w:p w14:paraId="5F06B741">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506.57万元，支出决算为596.73万元，完成年初预算的117.80%，决算数大于年初预算数的主要原因是：该款项为机关事业单位养老保险缴费支出，因养老基数调整致单位养老保险缴费增加，故预决算存在此差异。</w:t>
      </w:r>
    </w:p>
    <w:p w14:paraId="42BEC9BF">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9、社会保障和就业支出（类）行政事业单位养老支出（款）其他行政事业单位养老支出（项）。</w:t>
      </w:r>
    </w:p>
    <w:p w14:paraId="0D5DEA95">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年初预算为0万元，支出决算为172.85万元，决算数大于年初预算数的主要原因是：该款项为离退休人员春节一次性生活补助，为社保科年中下达追加预算，故预决算存在此差异。</w:t>
      </w:r>
    </w:p>
    <w:p w14:paraId="7F3BAF6A">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10、卫生健康支出（类）公共卫生（款）突发公共卫生事件应急处理（项）。</w:t>
      </w:r>
    </w:p>
    <w:p w14:paraId="7ACA855B">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年初预算为0万元，支出决算为30万元，决算数大于年初预算数的主要原因是：该款项为财政年中追加抗疫补助资金，故预决算存在此差异。</w:t>
      </w:r>
    </w:p>
    <w:p w14:paraId="357EE86F">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11、卫生健康支出（类）行政事业单位医疗（款）行政单位医疗（项）。</w:t>
      </w:r>
    </w:p>
    <w:p w14:paraId="1A733039">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初预算为269.11万元，支出决算为298.42万元，完成年初预算的110.89%，决算数大于年初预算数的主要原因是：该款项为行政事业单位配套基本医保，因医保基数调整致单位养老保险缴费增加，故预决算存在此差异。</w:t>
      </w:r>
    </w:p>
    <w:p w14:paraId="0CB4AA92">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六、一般公共预算财政拨款基本支出决算情况说明</w:t>
      </w:r>
    </w:p>
    <w:p w14:paraId="283F6B28">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2022年度财政拨款基本支出8960.76万元，其中：</w:t>
      </w:r>
    </w:p>
    <w:p w14:paraId="1EA14DF4">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人员经费7644.15万元，占基本支出的85.31%,主要包括基本工资、津贴补贴、奖金、机关事业单位基本养老保险缴费、职工基本医疗保险缴费、其他社会保障缴费、其他工资福利支出、退休费，抚恤金、生活补助、奖励金、其他对个人和家庭的补助等；</w:t>
      </w:r>
    </w:p>
    <w:p w14:paraId="403CA965">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公用经费1316.61万元，占基本支出的14.69%，主要包括办公费、印刷费、水费、电费、邮电费、差旅费、维修（护）费、租赁费、培训费、公务接待费、专用材料费、专用燃料费、劳务费等。</w:t>
      </w:r>
    </w:p>
    <w:p w14:paraId="370ECF93">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七、一般公共预算财政拨款“三公”经费支出决算情况说明</w:t>
      </w:r>
    </w:p>
    <w:p w14:paraId="2B5FF567">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（一）“三公”经费财政拨款支出决算总体情况说明</w:t>
      </w:r>
    </w:p>
    <w:p w14:paraId="05EC82C5">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2022年度“三公”经费财政拨款支出预算为620.39万元，支出决算为620.39万元，完成预算的100%，决算数与预算数持平的主要原因是</w:t>
      </w:r>
      <w:r>
        <w:rPr>
          <w:rFonts w:hint="eastAsia" w:ascii="仿宋" w:hAnsi="仿宋" w:eastAsia="仿宋" w:cs="仿宋"/>
          <w:color w:val="auto"/>
          <w:sz w:val="32"/>
          <w:szCs w:val="32"/>
          <w:highlight w:val="none"/>
          <w:lang w:val="en-US" w:eastAsia="zh-CN"/>
        </w:rPr>
        <w:t>按预算执行</w:t>
      </w:r>
      <w:r>
        <w:rPr>
          <w:rFonts w:hint="eastAsia" w:ascii="仿宋" w:hAnsi="仿宋" w:eastAsia="仿宋" w:cs="仿宋"/>
          <w:color w:val="auto"/>
          <w:sz w:val="32"/>
          <w:szCs w:val="32"/>
          <w:highlight w:val="none"/>
        </w:rPr>
        <w:t>；与上年相比增加208.72万元，增长50.74%，增长的主要原因是</w:t>
      </w:r>
      <w:r>
        <w:rPr>
          <w:rFonts w:hint="eastAsia" w:ascii="仿宋" w:hAnsi="仿宋" w:eastAsia="仿宋" w:cs="仿宋"/>
          <w:color w:val="auto"/>
          <w:kern w:val="0"/>
          <w:sz w:val="32"/>
          <w:szCs w:val="32"/>
          <w:highlight w:val="none"/>
        </w:rPr>
        <w:t>本年汽油费上涨；本年因疫情、安保任务较重</w:t>
      </w:r>
      <w:r>
        <w:rPr>
          <w:rFonts w:hint="eastAsia" w:ascii="仿宋" w:hAnsi="仿宋" w:eastAsia="仿宋" w:cs="仿宋"/>
          <w:color w:val="auto"/>
          <w:sz w:val="32"/>
          <w:szCs w:val="32"/>
          <w:highlight w:val="none"/>
        </w:rPr>
        <w:t>。其中：</w:t>
      </w:r>
    </w:p>
    <w:p w14:paraId="4EDF10CA">
      <w:pPr>
        <w:pStyle w:val="11"/>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公出国(境)费支出预算为0万元，支出决算为0万元，预算决算金额均为0万元，无法计算完成百分比，主要原因是单位未因公出国（境），与上年相比持平均为0万元，无法计算完成百分比，主要原因是单位未因公出国（境）。</w:t>
      </w:r>
    </w:p>
    <w:p w14:paraId="535F74B4">
      <w:pPr>
        <w:pStyle w:val="11"/>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接待费支出预算为0.71万元，支出决算为0.71万元，完成预算的100%，预决算持平，主要原因为根据本年实际情况对全年预算数按规定程序调整后与决算持平。与上年相比增加0.36万元，增加了102.86%,主要原因为本年公务接待较上年有所增加。</w:t>
      </w:r>
    </w:p>
    <w:p w14:paraId="2DC9CD1B">
      <w:pPr>
        <w:pStyle w:val="11"/>
        <w:spacing w:line="600" w:lineRule="exact"/>
        <w:ind w:firstLine="640" w:firstLineChars="200"/>
        <w:rPr>
          <w:rFonts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公务用车购置费支出预算数281.77万元,支出决算数为281.77万元,完成预算的100%；预决算持平，主要原因为根据本年实际情况对全年预算数按规定程序调整后与决算持平。与上年相比增加148.43万元，增加111.32%,增加的主要原因为基层所队更新执勤执法办案车辆5台，支出金额为133.52万元。根据省厅保障部安排，保障专款配置执勤执法车辆10台，支出金额为148.25万，故本年增长较多。</w:t>
      </w:r>
    </w:p>
    <w:p w14:paraId="38256D99">
      <w:pPr>
        <w:spacing w:line="600" w:lineRule="exact"/>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公车运行维护费支出预算为337.91万元，支出决算为337.91万元，完成预算的100%;预决算持平，主要原因为根据本年实际情况对全年预算数按规定程序调整后与决算持平。与上年相比增加59.93万元，增加21.56%,主要原因为1、本年汽油费上涨；2、本年因疫情、安保任务较重，故车辆运行成本增高。</w:t>
      </w:r>
    </w:p>
    <w:p w14:paraId="593CCF37">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（二）“三公”经费财政拨款支出决算具体情况说明</w:t>
      </w:r>
    </w:p>
    <w:p w14:paraId="0C9D21C6">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2022年度“三公”经费财政拨款支出决算中，公务接待费支出决算0.71万元，占0.11%,因公出国（境）费支出决算0万元，公务用车购置费及运行维护费支出决算619.68万元，占99.89%。其中：</w:t>
      </w:r>
    </w:p>
    <w:p w14:paraId="6EB59691">
      <w:pPr>
        <w:pStyle w:val="2"/>
        <w:tabs>
          <w:tab w:val="left" w:pos="3864"/>
          <w:tab w:val="left" w:pos="6248"/>
          <w:tab w:val="left" w:pos="7386"/>
        </w:tabs>
        <w:overflowPunct w:val="0"/>
        <w:spacing w:before="1" w:line="600" w:lineRule="exact"/>
        <w:ind w:right="420"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1、因公出国（境）费支出决算为0万元，全年安排因公出国（境）团组0个，</w:t>
      </w:r>
      <w:r>
        <w:rPr>
          <w:rFonts w:hint="eastAsia" w:ascii="仿宋" w:hAnsi="仿宋" w:eastAsia="仿宋"/>
          <w:color w:val="auto"/>
          <w:highlight w:val="none"/>
        </w:rPr>
        <w:t>累计</w:t>
      </w:r>
      <w:bookmarkStart w:id="0" w:name="THERR_YGCGJFY_TZRS"/>
      <w:r>
        <w:rPr>
          <w:rFonts w:hint="eastAsia" w:ascii="仿宋" w:hAnsi="仿宋" w:eastAsia="仿宋" w:cs="仿宋"/>
          <w:color w:val="auto"/>
          <w:highlight w:val="none"/>
        </w:rPr>
        <w:t>0</w:t>
      </w:r>
      <w:bookmarkEnd w:id="0"/>
      <w:r>
        <w:rPr>
          <w:rFonts w:hint="eastAsia" w:ascii="仿宋" w:hAnsi="仿宋" w:eastAsia="仿宋" w:cs="仿宋"/>
          <w:color w:val="auto"/>
          <w:highlight w:val="none"/>
        </w:rPr>
        <w:t>人次，主要是</w:t>
      </w:r>
      <w:bookmarkStart w:id="1" w:name="THERR_YGCGJFY_ZYYY"/>
      <w:r>
        <w:rPr>
          <w:rFonts w:hint="eastAsia" w:ascii="仿宋" w:hAnsi="仿宋" w:eastAsia="仿宋" w:cs="仿宋"/>
          <w:color w:val="auto"/>
          <w:highlight w:val="none"/>
        </w:rPr>
        <w:t>2022年我单位没有因公出国（境）费支出</w:t>
      </w:r>
      <w:bookmarkEnd w:id="1"/>
      <w:bookmarkStart w:id="2" w:name="END_THERR_YGCGJFY_AMT"/>
      <w:bookmarkEnd w:id="2"/>
      <w:r>
        <w:rPr>
          <w:rFonts w:hint="eastAsia" w:ascii="仿宋" w:hAnsi="仿宋" w:eastAsia="仿宋" w:cs="仿宋"/>
          <w:color w:val="auto"/>
          <w:highlight w:val="none"/>
        </w:rPr>
        <w:t>。</w:t>
      </w:r>
    </w:p>
    <w:p w14:paraId="3957EF0D">
      <w:pPr>
        <w:pStyle w:val="2"/>
        <w:tabs>
          <w:tab w:val="left" w:pos="3864"/>
          <w:tab w:val="left" w:pos="6248"/>
          <w:tab w:val="left" w:pos="7386"/>
        </w:tabs>
        <w:overflowPunct w:val="0"/>
        <w:spacing w:before="1" w:line="600" w:lineRule="exact"/>
        <w:ind w:right="420"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2、公务接待费支出决算为0.71万元，全年共接待来访团组4个、来宾52人次，主要是省级来鹤进行公安工作检查、异地公安联合办案来鹤城发生的接待支出。</w:t>
      </w:r>
    </w:p>
    <w:p w14:paraId="3F335040">
      <w:pPr>
        <w:pStyle w:val="2"/>
        <w:tabs>
          <w:tab w:val="left" w:pos="3864"/>
          <w:tab w:val="left" w:pos="6248"/>
          <w:tab w:val="left" w:pos="7386"/>
        </w:tabs>
        <w:overflowPunct w:val="0"/>
        <w:spacing w:before="1" w:line="600" w:lineRule="exact"/>
        <w:ind w:right="420" w:firstLine="640" w:firstLineChars="200"/>
        <w:rPr>
          <w:rFonts w:ascii="仿宋" w:hAnsi="仿宋" w:eastAsia="仿宋" w:cs="仿宋"/>
          <w:color w:val="auto"/>
          <w:highlight w:val="none"/>
        </w:rPr>
      </w:pPr>
      <w:r>
        <w:rPr>
          <w:rFonts w:hint="eastAsia" w:ascii="仿宋" w:hAnsi="仿宋" w:eastAsia="仿宋" w:cs="仿宋"/>
          <w:color w:val="auto"/>
          <w:kern w:val="0"/>
          <w:highlight w:val="none"/>
        </w:rPr>
        <w:t>3、公务用车购置费及运行维护费支出决算为619.68万元，其中：公务用车购置费281.77万元，基层所队更新执勤执法办案车辆5台，另</w:t>
      </w:r>
      <w:r>
        <w:rPr>
          <w:rFonts w:hint="eastAsia" w:ascii="仿宋" w:hAnsi="仿宋" w:eastAsia="仿宋" w:cs="仿宋"/>
          <w:color w:val="auto"/>
          <w:highlight w:val="none"/>
        </w:rPr>
        <w:t>根据省厅保障部安排，保障专款配置执勤执法车辆10台</w:t>
      </w:r>
      <w:r>
        <w:rPr>
          <w:rFonts w:hint="eastAsia" w:ascii="仿宋" w:hAnsi="仿宋" w:eastAsia="仿宋" w:cs="仿宋"/>
          <w:color w:val="auto"/>
          <w:kern w:val="0"/>
          <w:highlight w:val="none"/>
        </w:rPr>
        <w:t>。公务用车运行维护费337.91万元，主要是基层所队日常车辆汽油费、维修费等支出，截至2022年12月31日，我单位财政拨款的公务用车保有量为71辆。</w:t>
      </w:r>
    </w:p>
    <w:p w14:paraId="0296D8CF">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八、政府性基金预算收入支出决算情况</w:t>
      </w:r>
    </w:p>
    <w:p w14:paraId="28A8512F">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2022年度本单位无政府性基金收支。</w:t>
      </w:r>
    </w:p>
    <w:p w14:paraId="5A0DE24E">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九、国有资本经营预算财政拨款支出决算情况说明</w:t>
      </w:r>
    </w:p>
    <w:p w14:paraId="7A5D1FB2">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2022年度本单位无国有资本经营预算财政拨款支出。</w:t>
      </w:r>
    </w:p>
    <w:p w14:paraId="0F9D56AD">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十、机关运行经费支出说明</w:t>
      </w:r>
    </w:p>
    <w:p w14:paraId="5415CA0E">
      <w:pPr>
        <w:pStyle w:val="11"/>
        <w:spacing w:line="6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本部门2022年度机关运行经费支出1316.61万元，比上年决算数减少335.68万元，减少20.32%。主要原因是：日常运行开支厉行节约，故本年机关运行费较上年减少。</w:t>
      </w:r>
    </w:p>
    <w:p w14:paraId="0A008632">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十一、一般性支出情况说明</w:t>
      </w:r>
    </w:p>
    <w:p w14:paraId="6A9AAB2A">
      <w:pPr>
        <w:snapToGrid w:val="0"/>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color w:val="auto"/>
          <w:kern w:val="0"/>
          <w:sz w:val="32"/>
          <w:szCs w:val="32"/>
          <w:highlight w:val="none"/>
        </w:rPr>
        <w:t>2022年本部门会议费开支</w:t>
      </w:r>
      <w:r>
        <w:rPr>
          <w:rFonts w:hint="eastAsia" w:ascii="仿宋" w:hAnsi="仿宋" w:eastAsia="仿宋" w:cs="仿宋"/>
          <w:color w:val="auto"/>
          <w:sz w:val="32"/>
          <w:szCs w:val="32"/>
          <w:highlight w:val="none"/>
        </w:rPr>
        <w:t>会议费0.44万元，主要用于湘黔边地区刑侦协作会,</w:t>
      </w:r>
      <w:r>
        <w:rPr>
          <w:rFonts w:hint="eastAsia" w:ascii="仿宋" w:hAnsi="仿宋" w:eastAsia="仿宋" w:cs="仿宋"/>
          <w:color w:val="auto"/>
          <w:kern w:val="0"/>
          <w:sz w:val="32"/>
          <w:szCs w:val="32"/>
          <w:highlight w:val="none"/>
        </w:rPr>
        <w:t>人数115人，内容为刑侦业务协作会；未举办节庆、晚会、论坛、赛事等活动；全年开支培训费</w:t>
      </w:r>
      <w:r>
        <w:rPr>
          <w:rFonts w:hint="eastAsia" w:ascii="仿宋" w:hAnsi="仿宋" w:eastAsia="仿宋" w:cs="仿宋"/>
          <w:color w:val="auto"/>
          <w:sz w:val="32"/>
          <w:szCs w:val="32"/>
          <w:highlight w:val="none"/>
        </w:rPr>
        <w:t>27.23</w:t>
      </w:r>
      <w:r>
        <w:rPr>
          <w:rFonts w:hint="eastAsia" w:ascii="仿宋" w:hAnsi="仿宋" w:eastAsia="仿宋" w:cs="仿宋"/>
          <w:color w:val="auto"/>
          <w:kern w:val="0"/>
          <w:sz w:val="32"/>
          <w:szCs w:val="32"/>
          <w:highlight w:val="none"/>
        </w:rPr>
        <w:t>万元，用于开展民警三项达标培训，人数450人，内容为2022年全警三项达标实战大练兵培训；用于分局巡特警训练培训，人数49人，内容为分局巡特警全年专业训练培训；用于分局辅警警务技能业务培训，人数710人，内容为分局民警进行警务技能业务培训；用于无人机培训，人数2人，内容为无人机理论课程与实践飞行训练培训；用于警犬培训，人数1人，内容为追踪、搜捕专业培训等。</w:t>
      </w:r>
      <w:r>
        <w:rPr>
          <w:rFonts w:hint="eastAsia" w:ascii="仿宋" w:hAnsi="仿宋" w:eastAsia="仿宋" w:cs="仿宋"/>
          <w:color w:val="auto"/>
          <w:sz w:val="32"/>
          <w:szCs w:val="32"/>
          <w:highlight w:val="none"/>
          <w:lang w:val="en-US" w:eastAsia="zh-CN"/>
        </w:rPr>
        <w:t>无举办节庆、晚会、论坛、赛事等</w:t>
      </w:r>
    </w:p>
    <w:p w14:paraId="63558C47">
      <w:pPr>
        <w:pStyle w:val="11"/>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十二、政府采购支出说明</w:t>
      </w:r>
    </w:p>
    <w:p w14:paraId="68153587">
      <w:pPr>
        <w:pStyle w:val="2"/>
        <w:tabs>
          <w:tab w:val="left" w:pos="3864"/>
          <w:tab w:val="left" w:pos="6248"/>
          <w:tab w:val="left" w:pos="7386"/>
        </w:tabs>
        <w:overflowPunct w:val="0"/>
        <w:spacing w:before="1" w:line="360" w:lineRule="auto"/>
        <w:ind w:right="420" w:firstLine="640" w:firstLineChars="200"/>
        <w:rPr>
          <w:rFonts w:ascii="仿宋" w:hAnsi="仿宋" w:eastAsia="仿宋"/>
          <w:color w:val="auto"/>
          <w:highlight w:val="none"/>
        </w:rPr>
      </w:pPr>
      <w:r>
        <w:rPr>
          <w:rFonts w:hint="eastAsia" w:ascii="仿宋" w:hAnsi="仿宋" w:eastAsia="仿宋" w:cs="仿宋"/>
          <w:color w:val="auto"/>
          <w:kern w:val="0"/>
          <w:highlight w:val="none"/>
        </w:rPr>
        <w:t>本部门2022年度政府采购支出总额123万元，其中：政府采购货物支出123万元、政府采购工程支出0万元、政府采购服务支出0万元。授予中小企业合同金额123万元，占政府采购支出总额的100%，其中：授予小微企业合同金额123万元，占政府采购支出总额的100%。</w:t>
      </w:r>
      <w:bookmarkStart w:id="3" w:name="DIS_MARK_GP_BGT_CGHW_AMT"/>
      <w:r>
        <w:rPr>
          <w:rFonts w:hint="eastAsia" w:ascii="仿宋" w:hAnsi="仿宋" w:eastAsia="仿宋" w:cs="仿宋"/>
          <w:color w:val="auto"/>
          <w:highlight w:val="none"/>
        </w:rPr>
        <w:t>货物采购授予中小企业合同金额占货物支出金额的100</w:t>
      </w:r>
      <w:r>
        <w:rPr>
          <w:rFonts w:ascii="仿宋" w:hAnsi="仿宋" w:eastAsia="仿宋" w:cs="仿宋"/>
          <w:color w:val="auto"/>
          <w:highlight w:val="none"/>
        </w:rPr>
        <w:t>%</w:t>
      </w:r>
      <w:r>
        <w:rPr>
          <w:rFonts w:hint="eastAsia" w:ascii="仿宋" w:hAnsi="仿宋" w:eastAsia="仿宋" w:cs="仿宋_GB2312"/>
          <w:color w:val="auto"/>
          <w:highlight w:val="none"/>
          <w:shd w:val="clear" w:color="auto" w:fill="FFFFFF"/>
        </w:rPr>
        <w:t>；</w:t>
      </w:r>
      <w:bookmarkEnd w:id="3"/>
      <w:bookmarkStart w:id="4" w:name="END_GP_BGT_CGHW_AMT"/>
      <w:bookmarkEnd w:id="4"/>
      <w:bookmarkStart w:id="5" w:name="START_GP_BGT_CGGC_AMT"/>
      <w:bookmarkEnd w:id="5"/>
      <w:bookmarkStart w:id="6" w:name="DIS_MARK_GP_BGT_CGHW_AMT_1"/>
      <w:bookmarkEnd w:id="6"/>
      <w:bookmarkStart w:id="7" w:name="END_GP_BGT_CGGC_AMT"/>
      <w:bookmarkEnd w:id="7"/>
      <w:bookmarkStart w:id="8" w:name="DIS_MARK_GP_BGT_CGGC_AMT"/>
      <w:bookmarkEnd w:id="8"/>
      <w:bookmarkStart w:id="9" w:name="START_GP_BGT_CGGC_AMT_1"/>
      <w:bookmarkEnd w:id="9"/>
      <w:bookmarkStart w:id="10" w:name="END_GP_BGT_CGHW_AMT_1"/>
      <w:bookmarkEnd w:id="10"/>
      <w:bookmarkStart w:id="11" w:name="START_GP_BGT_CGHW_AMT_1"/>
      <w:bookmarkEnd w:id="11"/>
      <w:bookmarkStart w:id="12" w:name="DIS_MARK_GP_BGT_CGGC_AMT_1"/>
      <w:r>
        <w:rPr>
          <w:rFonts w:hint="eastAsia" w:ascii="仿宋" w:hAnsi="仿宋" w:eastAsia="仿宋" w:cs="仿宋_GB2312"/>
          <w:color w:val="auto"/>
          <w:highlight w:val="none"/>
        </w:rPr>
        <w:t>由于</w:t>
      </w:r>
      <w:r>
        <w:rPr>
          <w:rFonts w:hint="eastAsia" w:ascii="仿宋" w:hAnsi="仿宋" w:eastAsia="仿宋" w:cs="仿宋"/>
          <w:color w:val="auto"/>
          <w:highlight w:val="none"/>
        </w:rPr>
        <w:t>工程支出金额</w:t>
      </w:r>
      <w:r>
        <w:rPr>
          <w:rFonts w:hint="eastAsia" w:ascii="仿宋" w:hAnsi="仿宋" w:eastAsia="仿宋" w:cs="仿宋_GB2312"/>
          <w:color w:val="auto"/>
          <w:highlight w:val="none"/>
        </w:rPr>
        <w:t>为0</w:t>
      </w:r>
      <w:r>
        <w:rPr>
          <w:rFonts w:hint="eastAsia" w:ascii="仿宋" w:hAnsi="仿宋" w:eastAsia="仿宋" w:cs="仿宋"/>
          <w:color w:val="auto"/>
          <w:highlight w:val="none"/>
        </w:rPr>
        <w:t>万元</w:t>
      </w:r>
      <w:r>
        <w:rPr>
          <w:rFonts w:hint="eastAsia" w:ascii="仿宋" w:hAnsi="仿宋" w:eastAsia="仿宋" w:cs="仿宋_GB2312"/>
          <w:color w:val="auto"/>
          <w:highlight w:val="none"/>
        </w:rPr>
        <w:t>，无法计算</w:t>
      </w:r>
      <w:r>
        <w:rPr>
          <w:rFonts w:hint="eastAsia" w:ascii="仿宋" w:hAnsi="仿宋" w:eastAsia="仿宋" w:cs="仿宋"/>
          <w:color w:val="auto"/>
          <w:highlight w:val="none"/>
        </w:rPr>
        <w:t>工程采购授予中小企业合同金额占工程支出金额的</w:t>
      </w:r>
      <w:r>
        <w:rPr>
          <w:rFonts w:hint="eastAsia" w:ascii="仿宋" w:hAnsi="仿宋" w:eastAsia="仿宋" w:cs="仿宋_GB2312"/>
          <w:color w:val="auto"/>
          <w:highlight w:val="none"/>
        </w:rPr>
        <w:t>百分比</w:t>
      </w:r>
      <w:r>
        <w:rPr>
          <w:rFonts w:hint="eastAsia" w:ascii="仿宋" w:hAnsi="仿宋" w:eastAsia="仿宋" w:cs="仿宋_GB2312"/>
          <w:color w:val="auto"/>
          <w:highlight w:val="none"/>
          <w:shd w:val="clear" w:color="auto" w:fill="FFFFFF"/>
        </w:rPr>
        <w:t>；</w:t>
      </w:r>
      <w:bookmarkEnd w:id="12"/>
      <w:bookmarkStart w:id="13" w:name="START_GP_BGT_CGFW_AMT"/>
      <w:bookmarkEnd w:id="13"/>
      <w:bookmarkStart w:id="14" w:name="END_GP_BGT_CGGC_AMT_1"/>
      <w:bookmarkEnd w:id="14"/>
      <w:bookmarkStart w:id="15" w:name="END_GP_BGT_CGFW_AMT_1"/>
      <w:bookmarkEnd w:id="15"/>
      <w:bookmarkStart w:id="16" w:name="DIS_MARK_GP_BGT_CGFW_AMT_1"/>
      <w:bookmarkEnd w:id="16"/>
      <w:bookmarkStart w:id="17" w:name="END_GP_BGT_CGFW_AMT"/>
      <w:bookmarkEnd w:id="17"/>
      <w:bookmarkStart w:id="18" w:name="START_GP_BGT_CGFW_AMT_1"/>
      <w:bookmarkEnd w:id="18"/>
      <w:r>
        <w:rPr>
          <w:rFonts w:hint="eastAsia" w:ascii="仿宋" w:hAnsi="仿宋" w:eastAsia="仿宋" w:cs="仿宋_GB2312"/>
          <w:color w:val="auto"/>
          <w:highlight w:val="none"/>
        </w:rPr>
        <w:t>由于</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支出金额</w:t>
      </w:r>
      <w:r>
        <w:rPr>
          <w:rFonts w:hint="eastAsia" w:ascii="仿宋" w:hAnsi="仿宋" w:eastAsia="仿宋" w:cs="仿宋_GB2312"/>
          <w:color w:val="auto"/>
          <w:highlight w:val="none"/>
        </w:rPr>
        <w:t>为0</w:t>
      </w:r>
      <w:r>
        <w:rPr>
          <w:rFonts w:hint="eastAsia" w:ascii="仿宋" w:hAnsi="仿宋" w:eastAsia="仿宋" w:cs="仿宋"/>
          <w:color w:val="auto"/>
          <w:highlight w:val="none"/>
        </w:rPr>
        <w:t>万元</w:t>
      </w:r>
      <w:r>
        <w:rPr>
          <w:rFonts w:hint="eastAsia" w:ascii="仿宋" w:hAnsi="仿宋" w:eastAsia="仿宋" w:cs="仿宋_GB2312"/>
          <w:color w:val="auto"/>
          <w:highlight w:val="none"/>
        </w:rPr>
        <w:t>，无法计算</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采购授予中小企业合同金额占</w:t>
      </w:r>
      <w:r>
        <w:rPr>
          <w:rFonts w:hint="eastAsia" w:ascii="仿宋" w:hAnsi="仿宋" w:eastAsia="仿宋" w:cs="仿宋"/>
          <w:color w:val="auto"/>
          <w:highlight w:val="none"/>
          <w:lang w:val="en-US" w:eastAsia="zh-CN"/>
        </w:rPr>
        <w:t>服务</w:t>
      </w:r>
      <w:bookmarkStart w:id="19" w:name="_GoBack"/>
      <w:bookmarkEnd w:id="19"/>
      <w:r>
        <w:rPr>
          <w:rFonts w:hint="eastAsia" w:ascii="仿宋" w:hAnsi="仿宋" w:eastAsia="仿宋" w:cs="仿宋"/>
          <w:color w:val="auto"/>
          <w:highlight w:val="none"/>
        </w:rPr>
        <w:t>支出金额的</w:t>
      </w:r>
      <w:r>
        <w:rPr>
          <w:rFonts w:hint="eastAsia" w:ascii="仿宋" w:hAnsi="仿宋" w:eastAsia="仿宋" w:cs="仿宋_GB2312"/>
          <w:color w:val="auto"/>
          <w:highlight w:val="none"/>
        </w:rPr>
        <w:t>百分比</w:t>
      </w:r>
    </w:p>
    <w:p w14:paraId="69CE1E53">
      <w:pPr>
        <w:pStyle w:val="11"/>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十三、国有资产占用情况说明</w:t>
      </w:r>
    </w:p>
    <w:p w14:paraId="72212157">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color w:val="auto"/>
          <w:sz w:val="32"/>
          <w:szCs w:val="32"/>
          <w:highlight w:val="none"/>
        </w:rPr>
        <w:t>截至2022年12月31日，本单位共有车辆71辆，其中，机要通信用车1辆、执法执勤用车70辆；单位价值50万元以上通用设备0台（套）；单位价值100万元以上专用设备0台（套）。</w:t>
      </w:r>
    </w:p>
    <w:p w14:paraId="190B82FE">
      <w:pPr>
        <w:pStyle w:val="11"/>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十四、关于2022年度预算绩效情况的说明</w:t>
      </w:r>
    </w:p>
    <w:p w14:paraId="50E2C464">
      <w:pPr>
        <w:pStyle w:val="11"/>
        <w:spacing w:line="600" w:lineRule="exact"/>
        <w:ind w:firstLine="640" w:firstLineChars="200"/>
        <w:rPr>
          <w:rFonts w:ascii="仿宋" w:hAnsi="仿宋" w:eastAsia="仿宋" w:cs="仿宋"/>
          <w:b/>
          <w:color w:val="auto"/>
          <w:sz w:val="32"/>
          <w:szCs w:val="32"/>
          <w:highlight w:val="none"/>
        </w:rPr>
      </w:pPr>
      <w:r>
        <w:rPr>
          <w:rFonts w:hint="eastAsia" w:ascii="仿宋" w:hAnsi="仿宋" w:eastAsia="仿宋" w:cs="仿宋"/>
          <w:color w:val="auto"/>
          <w:sz w:val="32"/>
          <w:szCs w:val="32"/>
          <w:highlight w:val="none"/>
        </w:rPr>
        <w:t>分局根据《怀化市财政局关于开展2022年度市级财政资金绩效自评工作的通知》的文件要求，积极组织对2022年度本单位支出进行了整体及专项绩效自评，并完成绩效评价报告。具体绩效评价报告见附件。</w:t>
      </w:r>
    </w:p>
    <w:p w14:paraId="47B878A0">
      <w:pPr>
        <w:pStyle w:val="11"/>
        <w:spacing w:line="600" w:lineRule="exact"/>
        <w:ind w:firstLine="1440" w:firstLineChars="200"/>
        <w:jc w:val="both"/>
        <w:rPr>
          <w:rFonts w:hint="eastAsia" w:ascii="仿宋" w:hAnsi="仿宋" w:eastAsia="仿宋" w:cs="仿宋"/>
          <w:color w:val="auto"/>
          <w:sz w:val="72"/>
          <w:szCs w:val="72"/>
          <w:highlight w:val="none"/>
        </w:rPr>
      </w:pPr>
    </w:p>
    <w:p w14:paraId="3EF8A637">
      <w:pPr>
        <w:pStyle w:val="11"/>
        <w:spacing w:line="600" w:lineRule="exact"/>
        <w:ind w:firstLine="1440" w:firstLineChars="200"/>
        <w:jc w:val="both"/>
        <w:rPr>
          <w:rFonts w:hint="eastAsia" w:ascii="仿宋" w:hAnsi="仿宋" w:eastAsia="仿宋" w:cs="仿宋"/>
          <w:color w:val="auto"/>
          <w:sz w:val="72"/>
          <w:szCs w:val="72"/>
          <w:highlight w:val="none"/>
        </w:rPr>
      </w:pPr>
    </w:p>
    <w:p w14:paraId="353C2292">
      <w:pPr>
        <w:pStyle w:val="11"/>
        <w:spacing w:line="600" w:lineRule="exact"/>
        <w:ind w:firstLine="1440" w:firstLineChars="200"/>
        <w:jc w:val="both"/>
        <w:rPr>
          <w:rFonts w:ascii="仿宋" w:hAnsi="仿宋" w:eastAsia="仿宋" w:cs="仿宋"/>
          <w:color w:val="auto"/>
          <w:sz w:val="72"/>
          <w:szCs w:val="72"/>
          <w:highlight w:val="none"/>
        </w:rPr>
      </w:pPr>
    </w:p>
    <w:p w14:paraId="06F30172">
      <w:pPr>
        <w:pStyle w:val="11"/>
        <w:jc w:val="center"/>
        <w:rPr>
          <w:rFonts w:hint="eastAsia" w:hAnsi="黑体"/>
          <w:color w:val="auto"/>
          <w:sz w:val="84"/>
          <w:szCs w:val="84"/>
          <w:highlight w:val="none"/>
        </w:rPr>
      </w:pPr>
    </w:p>
    <w:p w14:paraId="49B86E2A">
      <w:pPr>
        <w:pStyle w:val="11"/>
        <w:jc w:val="center"/>
        <w:rPr>
          <w:rFonts w:hint="eastAsia" w:hAnsi="黑体"/>
          <w:color w:val="auto"/>
          <w:sz w:val="84"/>
          <w:szCs w:val="84"/>
          <w:highlight w:val="none"/>
        </w:rPr>
      </w:pPr>
    </w:p>
    <w:p w14:paraId="14531644">
      <w:pPr>
        <w:pStyle w:val="11"/>
        <w:jc w:val="center"/>
        <w:rPr>
          <w:rFonts w:hint="eastAsia" w:hAnsi="黑体"/>
          <w:color w:val="auto"/>
          <w:sz w:val="84"/>
          <w:szCs w:val="84"/>
          <w:highlight w:val="none"/>
        </w:rPr>
      </w:pPr>
    </w:p>
    <w:p w14:paraId="25CD5896">
      <w:pPr>
        <w:pStyle w:val="11"/>
        <w:jc w:val="center"/>
        <w:rPr>
          <w:rFonts w:hint="eastAsia" w:hAnsi="黑体"/>
          <w:color w:val="auto"/>
          <w:sz w:val="84"/>
          <w:szCs w:val="84"/>
          <w:highlight w:val="none"/>
        </w:rPr>
      </w:pPr>
    </w:p>
    <w:p w14:paraId="48FEE28E">
      <w:pPr>
        <w:pStyle w:val="11"/>
        <w:jc w:val="center"/>
        <w:rPr>
          <w:rFonts w:hint="eastAsia" w:hAnsi="黑体"/>
          <w:color w:val="auto"/>
          <w:sz w:val="84"/>
          <w:szCs w:val="84"/>
          <w:highlight w:val="none"/>
        </w:rPr>
      </w:pPr>
    </w:p>
    <w:p w14:paraId="2DC88311">
      <w:pPr>
        <w:pStyle w:val="11"/>
        <w:jc w:val="center"/>
        <w:rPr>
          <w:rFonts w:hint="eastAsia" w:hAnsi="黑体"/>
          <w:color w:val="auto"/>
          <w:sz w:val="84"/>
          <w:szCs w:val="84"/>
          <w:highlight w:val="none"/>
        </w:rPr>
      </w:pPr>
    </w:p>
    <w:p w14:paraId="5775FB93">
      <w:pPr>
        <w:pStyle w:val="11"/>
        <w:jc w:val="center"/>
        <w:rPr>
          <w:rFonts w:hint="eastAsia" w:hAnsi="黑体"/>
          <w:color w:val="auto"/>
          <w:sz w:val="84"/>
          <w:szCs w:val="84"/>
          <w:highlight w:val="none"/>
        </w:rPr>
      </w:pPr>
    </w:p>
    <w:p w14:paraId="63FCC3D8">
      <w:pPr>
        <w:pStyle w:val="11"/>
        <w:jc w:val="center"/>
        <w:rPr>
          <w:rFonts w:hint="eastAsia" w:hAnsi="黑体"/>
          <w:color w:val="auto"/>
          <w:sz w:val="84"/>
          <w:szCs w:val="84"/>
          <w:highlight w:val="none"/>
        </w:rPr>
      </w:pPr>
    </w:p>
    <w:p w14:paraId="2940429F">
      <w:pPr>
        <w:pStyle w:val="11"/>
        <w:jc w:val="center"/>
        <w:rPr>
          <w:rFonts w:hAnsi="黑体"/>
          <w:color w:val="auto"/>
          <w:sz w:val="84"/>
          <w:szCs w:val="84"/>
          <w:highlight w:val="none"/>
        </w:rPr>
      </w:pPr>
      <w:r>
        <w:rPr>
          <w:rFonts w:hint="eastAsia" w:hAnsi="黑体"/>
          <w:color w:val="auto"/>
          <w:sz w:val="84"/>
          <w:szCs w:val="84"/>
          <w:highlight w:val="none"/>
        </w:rPr>
        <w:t>第四部分</w:t>
      </w:r>
    </w:p>
    <w:p w14:paraId="1750E1A9">
      <w:pPr>
        <w:jc w:val="center"/>
        <w:rPr>
          <w:rFonts w:ascii="黑体" w:hAnsi="黑体" w:eastAsia="黑体" w:cs="黑体"/>
          <w:color w:val="auto"/>
          <w:kern w:val="0"/>
          <w:sz w:val="84"/>
          <w:szCs w:val="84"/>
          <w:highlight w:val="none"/>
        </w:rPr>
      </w:pPr>
    </w:p>
    <w:p w14:paraId="3E48DCE5">
      <w:pPr>
        <w:jc w:val="center"/>
        <w:rPr>
          <w:rFonts w:ascii="黑体" w:hAnsi="黑体" w:eastAsia="黑体" w:cs="黑体"/>
          <w:color w:val="auto"/>
          <w:kern w:val="0"/>
          <w:sz w:val="84"/>
          <w:szCs w:val="84"/>
          <w:highlight w:val="none"/>
        </w:rPr>
      </w:pPr>
      <w:r>
        <w:rPr>
          <w:rFonts w:hint="eastAsia" w:ascii="黑体" w:hAnsi="黑体" w:eastAsia="黑体" w:cs="黑体"/>
          <w:color w:val="auto"/>
          <w:kern w:val="0"/>
          <w:sz w:val="84"/>
          <w:szCs w:val="84"/>
          <w:highlight w:val="none"/>
        </w:rPr>
        <w:t>名词解释</w:t>
      </w:r>
    </w:p>
    <w:p w14:paraId="218AAAFC">
      <w:pPr>
        <w:widowControl/>
        <w:jc w:val="left"/>
        <w:rPr>
          <w:rFonts w:hint="eastAsia" w:ascii="仿宋" w:hAnsi="仿宋" w:eastAsia="仿宋" w:cs="仿宋"/>
          <w:color w:val="auto"/>
          <w:kern w:val="0"/>
          <w:sz w:val="70"/>
          <w:szCs w:val="70"/>
          <w:highlight w:val="none"/>
        </w:rPr>
      </w:pPr>
    </w:p>
    <w:p w14:paraId="51129ADD">
      <w:pPr>
        <w:widowControl/>
        <w:jc w:val="left"/>
        <w:rPr>
          <w:rFonts w:hint="eastAsia" w:ascii="仿宋" w:hAnsi="仿宋" w:eastAsia="仿宋" w:cs="仿宋"/>
          <w:color w:val="auto"/>
          <w:kern w:val="0"/>
          <w:sz w:val="70"/>
          <w:szCs w:val="70"/>
          <w:highlight w:val="none"/>
        </w:rPr>
      </w:pPr>
    </w:p>
    <w:p w14:paraId="288DA010">
      <w:pPr>
        <w:widowControl/>
        <w:jc w:val="left"/>
        <w:rPr>
          <w:rFonts w:hint="eastAsia" w:ascii="仿宋" w:hAnsi="仿宋" w:eastAsia="仿宋" w:cs="仿宋"/>
          <w:color w:val="auto"/>
          <w:kern w:val="0"/>
          <w:sz w:val="70"/>
          <w:szCs w:val="70"/>
          <w:highlight w:val="none"/>
        </w:rPr>
      </w:pPr>
    </w:p>
    <w:p w14:paraId="7E7F9EE4">
      <w:pPr>
        <w:widowControl/>
        <w:jc w:val="left"/>
        <w:rPr>
          <w:rFonts w:hint="eastAsia" w:ascii="仿宋" w:hAnsi="仿宋" w:eastAsia="仿宋" w:cs="仿宋"/>
          <w:color w:val="auto"/>
          <w:kern w:val="0"/>
          <w:sz w:val="70"/>
          <w:szCs w:val="70"/>
          <w:highlight w:val="none"/>
        </w:rPr>
      </w:pPr>
    </w:p>
    <w:p w14:paraId="0FAFD90B">
      <w:pPr>
        <w:widowControl/>
        <w:jc w:val="left"/>
        <w:rPr>
          <w:rFonts w:hint="eastAsia" w:ascii="仿宋" w:hAnsi="仿宋" w:eastAsia="仿宋" w:cs="仿宋"/>
          <w:color w:val="auto"/>
          <w:kern w:val="0"/>
          <w:sz w:val="70"/>
          <w:szCs w:val="70"/>
          <w:highlight w:val="none"/>
        </w:rPr>
      </w:pPr>
    </w:p>
    <w:p w14:paraId="392712C9">
      <w:pPr>
        <w:widowControl/>
        <w:shd w:val="clear" w:color="auto" w:fill="FFFFFF"/>
        <w:spacing w:before="225" w:line="600" w:lineRule="exact"/>
        <w:ind w:firstLine="640"/>
        <w:jc w:val="left"/>
        <w:textAlignment w:val="baseline"/>
        <w:rPr>
          <w:rFonts w:ascii="仿宋" w:hAnsi="仿宋" w:eastAsia="仿宋" w:cs="仿宋"/>
          <w:color w:val="auto"/>
          <w:sz w:val="30"/>
          <w:szCs w:val="30"/>
          <w:highlight w:val="none"/>
        </w:rPr>
      </w:pPr>
      <w:r>
        <w:rPr>
          <w:rFonts w:hint="eastAsia" w:ascii="仿宋" w:hAnsi="仿宋" w:eastAsia="仿宋" w:cs="仿宋"/>
          <w:b/>
          <w:bCs/>
          <w:color w:val="auto"/>
          <w:kern w:val="0"/>
          <w:sz w:val="30"/>
          <w:szCs w:val="30"/>
          <w:highlight w:val="none"/>
          <w:shd w:val="clear" w:color="auto" w:fill="FFFFFF"/>
        </w:rPr>
        <w:t>一、机关运行经费：</w:t>
      </w:r>
      <w:r>
        <w:rPr>
          <w:rFonts w:hint="eastAsia" w:ascii="仿宋" w:hAnsi="仿宋" w:eastAsia="仿宋" w:cs="仿宋"/>
          <w:color w:val="auto"/>
          <w:kern w:val="0"/>
          <w:sz w:val="30"/>
          <w:szCs w:val="30"/>
          <w:highlight w:val="none"/>
          <w:shd w:val="clear" w:color="auto" w:fill="FFFFFF"/>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4940E772">
      <w:pPr>
        <w:widowControl/>
        <w:shd w:val="clear" w:color="auto" w:fill="FFFFFF"/>
        <w:spacing w:before="225" w:line="600" w:lineRule="exact"/>
        <w:ind w:firstLine="640"/>
        <w:jc w:val="left"/>
        <w:textAlignment w:val="baseline"/>
        <w:rPr>
          <w:rFonts w:ascii="仿宋" w:hAnsi="仿宋" w:eastAsia="仿宋" w:cs="仿宋"/>
          <w:color w:val="auto"/>
          <w:kern w:val="0"/>
          <w:sz w:val="30"/>
          <w:szCs w:val="30"/>
          <w:highlight w:val="none"/>
          <w:shd w:val="clear" w:color="auto" w:fill="FFFFFF"/>
        </w:rPr>
      </w:pPr>
      <w:r>
        <w:rPr>
          <w:rFonts w:hint="eastAsia" w:ascii="仿宋" w:hAnsi="仿宋" w:eastAsia="仿宋" w:cs="仿宋"/>
          <w:b/>
          <w:bCs/>
          <w:color w:val="auto"/>
          <w:kern w:val="0"/>
          <w:sz w:val="30"/>
          <w:szCs w:val="30"/>
          <w:highlight w:val="none"/>
          <w:shd w:val="clear" w:color="auto" w:fill="FFFFFF"/>
        </w:rPr>
        <w:t>二、“三公”经费：</w:t>
      </w:r>
      <w:r>
        <w:rPr>
          <w:rFonts w:hint="eastAsia" w:ascii="仿宋" w:hAnsi="仿宋" w:eastAsia="仿宋" w:cs="仿宋"/>
          <w:color w:val="auto"/>
          <w:kern w:val="0"/>
          <w:sz w:val="30"/>
          <w:szCs w:val="30"/>
          <w:highlight w:val="none"/>
          <w:shd w:val="clear" w:color="auto" w:fill="FFFFFF"/>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D6B878D">
      <w:pPr>
        <w:pStyle w:val="11"/>
        <w:spacing w:line="600" w:lineRule="exact"/>
        <w:jc w:val="center"/>
        <w:rPr>
          <w:rFonts w:ascii="仿宋" w:hAnsi="仿宋" w:eastAsia="仿宋" w:cs="仿宋"/>
          <w:color w:val="auto"/>
          <w:sz w:val="72"/>
          <w:szCs w:val="72"/>
          <w:highlight w:val="none"/>
        </w:rPr>
      </w:pPr>
    </w:p>
    <w:p w14:paraId="248AAEA1">
      <w:pPr>
        <w:pStyle w:val="11"/>
        <w:spacing w:line="600" w:lineRule="exact"/>
        <w:jc w:val="center"/>
        <w:rPr>
          <w:rFonts w:ascii="仿宋" w:hAnsi="仿宋" w:eastAsia="仿宋" w:cs="仿宋"/>
          <w:color w:val="auto"/>
          <w:sz w:val="72"/>
          <w:szCs w:val="72"/>
          <w:highlight w:val="none"/>
        </w:rPr>
      </w:pPr>
    </w:p>
    <w:p w14:paraId="1681B0C0">
      <w:pPr>
        <w:pStyle w:val="11"/>
        <w:spacing w:line="600" w:lineRule="exact"/>
        <w:jc w:val="center"/>
        <w:rPr>
          <w:rFonts w:ascii="仿宋" w:hAnsi="仿宋" w:eastAsia="仿宋" w:cs="仿宋"/>
          <w:color w:val="auto"/>
          <w:sz w:val="72"/>
          <w:szCs w:val="72"/>
          <w:highlight w:val="none"/>
        </w:rPr>
      </w:pPr>
    </w:p>
    <w:p w14:paraId="5722668F">
      <w:pPr>
        <w:pStyle w:val="11"/>
        <w:jc w:val="center"/>
        <w:rPr>
          <w:rFonts w:hint="eastAsia" w:ascii="仿宋" w:hAnsi="仿宋" w:eastAsia="仿宋" w:cs="仿宋"/>
          <w:color w:val="auto"/>
          <w:sz w:val="72"/>
          <w:szCs w:val="72"/>
          <w:highlight w:val="none"/>
        </w:rPr>
      </w:pPr>
    </w:p>
    <w:p w14:paraId="681B8393">
      <w:pPr>
        <w:pStyle w:val="11"/>
        <w:jc w:val="center"/>
        <w:rPr>
          <w:rFonts w:hint="eastAsia" w:ascii="仿宋" w:hAnsi="仿宋" w:eastAsia="仿宋" w:cs="仿宋"/>
          <w:color w:val="auto"/>
          <w:sz w:val="72"/>
          <w:szCs w:val="72"/>
          <w:highlight w:val="none"/>
        </w:rPr>
      </w:pPr>
    </w:p>
    <w:p w14:paraId="18683AB0">
      <w:pPr>
        <w:pStyle w:val="11"/>
        <w:jc w:val="center"/>
        <w:rPr>
          <w:rFonts w:hint="eastAsia" w:ascii="仿宋" w:hAnsi="仿宋" w:eastAsia="仿宋" w:cs="仿宋"/>
          <w:color w:val="auto"/>
          <w:sz w:val="72"/>
          <w:szCs w:val="72"/>
          <w:highlight w:val="none"/>
        </w:rPr>
      </w:pPr>
    </w:p>
    <w:p w14:paraId="313955CD">
      <w:pPr>
        <w:pStyle w:val="11"/>
        <w:jc w:val="center"/>
        <w:rPr>
          <w:rFonts w:hint="eastAsia" w:ascii="仿宋" w:hAnsi="仿宋" w:eastAsia="仿宋" w:cs="仿宋"/>
          <w:color w:val="auto"/>
          <w:sz w:val="72"/>
          <w:szCs w:val="72"/>
          <w:highlight w:val="none"/>
        </w:rPr>
      </w:pPr>
    </w:p>
    <w:p w14:paraId="114D1B24">
      <w:pPr>
        <w:pStyle w:val="11"/>
        <w:jc w:val="center"/>
        <w:rPr>
          <w:rFonts w:hint="eastAsia" w:ascii="仿宋" w:hAnsi="仿宋" w:eastAsia="仿宋" w:cs="仿宋"/>
          <w:color w:val="auto"/>
          <w:sz w:val="72"/>
          <w:szCs w:val="72"/>
          <w:highlight w:val="none"/>
        </w:rPr>
      </w:pPr>
    </w:p>
    <w:p w14:paraId="3480975F">
      <w:pPr>
        <w:pStyle w:val="11"/>
        <w:jc w:val="center"/>
        <w:rPr>
          <w:rFonts w:hint="eastAsia" w:ascii="仿宋" w:hAnsi="仿宋" w:eastAsia="仿宋" w:cs="仿宋"/>
          <w:color w:val="auto"/>
          <w:sz w:val="72"/>
          <w:szCs w:val="72"/>
          <w:highlight w:val="none"/>
        </w:rPr>
      </w:pPr>
    </w:p>
    <w:p w14:paraId="34C0EE1B">
      <w:pPr>
        <w:pStyle w:val="11"/>
        <w:jc w:val="center"/>
        <w:rPr>
          <w:rFonts w:hint="eastAsia" w:ascii="仿宋" w:hAnsi="仿宋" w:eastAsia="仿宋" w:cs="仿宋"/>
          <w:color w:val="auto"/>
          <w:sz w:val="72"/>
          <w:szCs w:val="72"/>
          <w:highlight w:val="none"/>
        </w:rPr>
      </w:pPr>
    </w:p>
    <w:p w14:paraId="6D19E6D0">
      <w:pPr>
        <w:pStyle w:val="11"/>
        <w:jc w:val="center"/>
        <w:rPr>
          <w:rFonts w:hint="eastAsia" w:ascii="仿宋" w:hAnsi="仿宋" w:eastAsia="仿宋" w:cs="仿宋"/>
          <w:color w:val="auto"/>
          <w:sz w:val="72"/>
          <w:szCs w:val="72"/>
          <w:highlight w:val="none"/>
        </w:rPr>
      </w:pPr>
    </w:p>
    <w:p w14:paraId="7DCB8222">
      <w:pPr>
        <w:pStyle w:val="11"/>
        <w:jc w:val="center"/>
        <w:rPr>
          <w:rFonts w:ascii="仿宋" w:hAnsi="仿宋" w:eastAsia="仿宋" w:cs="仿宋"/>
          <w:color w:val="auto"/>
          <w:sz w:val="72"/>
          <w:szCs w:val="72"/>
          <w:highlight w:val="none"/>
        </w:rPr>
      </w:pPr>
    </w:p>
    <w:p w14:paraId="445A69DC">
      <w:pPr>
        <w:pStyle w:val="11"/>
        <w:jc w:val="center"/>
        <w:rPr>
          <w:rFonts w:ascii="仿宋" w:hAnsi="仿宋" w:eastAsia="仿宋" w:cs="仿宋"/>
          <w:color w:val="auto"/>
          <w:sz w:val="72"/>
          <w:szCs w:val="72"/>
          <w:highlight w:val="none"/>
        </w:rPr>
      </w:pPr>
    </w:p>
    <w:p w14:paraId="5DC7831C">
      <w:pPr>
        <w:pStyle w:val="11"/>
        <w:jc w:val="center"/>
        <w:rPr>
          <w:rFonts w:hAnsi="黑体"/>
          <w:color w:val="auto"/>
          <w:sz w:val="84"/>
          <w:szCs w:val="84"/>
          <w:highlight w:val="none"/>
        </w:rPr>
      </w:pPr>
      <w:r>
        <w:rPr>
          <w:rFonts w:hint="eastAsia" w:hAnsi="黑体"/>
          <w:color w:val="auto"/>
          <w:sz w:val="84"/>
          <w:szCs w:val="84"/>
          <w:highlight w:val="none"/>
        </w:rPr>
        <w:t>第五部分</w:t>
      </w:r>
    </w:p>
    <w:p w14:paraId="28B4C635">
      <w:pPr>
        <w:jc w:val="center"/>
        <w:rPr>
          <w:rFonts w:ascii="黑体" w:hAnsi="黑体" w:eastAsia="黑体" w:cs="黑体"/>
          <w:color w:val="auto"/>
          <w:kern w:val="0"/>
          <w:sz w:val="84"/>
          <w:szCs w:val="84"/>
          <w:highlight w:val="none"/>
        </w:rPr>
      </w:pPr>
    </w:p>
    <w:p w14:paraId="19BDC92C">
      <w:pPr>
        <w:jc w:val="center"/>
        <w:rPr>
          <w:rFonts w:ascii="仿宋" w:hAnsi="仿宋" w:eastAsia="仿宋" w:cs="仿宋"/>
          <w:color w:val="auto"/>
          <w:kern w:val="0"/>
          <w:sz w:val="70"/>
          <w:szCs w:val="70"/>
          <w:highlight w:val="none"/>
        </w:rPr>
      </w:pPr>
      <w:r>
        <w:rPr>
          <w:rFonts w:hint="eastAsia" w:ascii="黑体" w:hAnsi="黑体" w:eastAsia="黑体" w:cs="黑体"/>
          <w:color w:val="auto"/>
          <w:kern w:val="0"/>
          <w:sz w:val="84"/>
          <w:szCs w:val="84"/>
          <w:highlight w:val="none"/>
        </w:rPr>
        <w:t>附件</w:t>
      </w:r>
    </w:p>
    <w:p w14:paraId="7F2C9B52">
      <w:pPr>
        <w:widowControl/>
        <w:jc w:val="left"/>
        <w:rPr>
          <w:rFonts w:ascii="仿宋" w:hAnsi="仿宋" w:eastAsia="仿宋" w:cs="仿宋"/>
          <w:color w:val="auto"/>
          <w:kern w:val="0"/>
          <w:sz w:val="70"/>
          <w:szCs w:val="70"/>
          <w:highlight w:val="none"/>
        </w:rPr>
      </w:pPr>
    </w:p>
    <w:p w14:paraId="4F887F02">
      <w:pPr>
        <w:jc w:val="center"/>
        <w:rPr>
          <w:rFonts w:ascii="仿宋" w:hAnsi="仿宋" w:eastAsia="仿宋" w:cs="仿宋"/>
          <w:color w:val="auto"/>
          <w:kern w:val="0"/>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04E58"/>
    <w:multiLevelType w:val="multilevel"/>
    <w:tmpl w:val="4A804E58"/>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DD20A2D"/>
    <w:multiLevelType w:val="multilevel"/>
    <w:tmpl w:val="5DD20A2D"/>
    <w:lvl w:ilvl="0" w:tentative="0">
      <w:start w:val="1"/>
      <w:numFmt w:val="japaneseCounting"/>
      <w:lvlText w:val="%1、"/>
      <w:lvlJc w:val="left"/>
      <w:pPr>
        <w:ind w:left="1520" w:hanging="72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kZmVlZWE1YThmOTUxYzdmMmU4OWMyMmJiMWY5ZTgifQ=="/>
  </w:docVars>
  <w:rsids>
    <w:rsidRoot w:val="004506F9"/>
    <w:rsid w:val="00015EEB"/>
    <w:rsid w:val="0002229B"/>
    <w:rsid w:val="000273BD"/>
    <w:rsid w:val="0003576F"/>
    <w:rsid w:val="00041239"/>
    <w:rsid w:val="000415B7"/>
    <w:rsid w:val="00041E3F"/>
    <w:rsid w:val="00055DAA"/>
    <w:rsid w:val="00061F7B"/>
    <w:rsid w:val="000648F5"/>
    <w:rsid w:val="000658A3"/>
    <w:rsid w:val="00066B97"/>
    <w:rsid w:val="00074155"/>
    <w:rsid w:val="000871DE"/>
    <w:rsid w:val="00087376"/>
    <w:rsid w:val="000873EF"/>
    <w:rsid w:val="000A1CB5"/>
    <w:rsid w:val="000A3F69"/>
    <w:rsid w:val="000D2D23"/>
    <w:rsid w:val="000D766C"/>
    <w:rsid w:val="000F7669"/>
    <w:rsid w:val="00103957"/>
    <w:rsid w:val="00124A1F"/>
    <w:rsid w:val="00150699"/>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44B6F"/>
    <w:rsid w:val="002632DB"/>
    <w:rsid w:val="00264552"/>
    <w:rsid w:val="00264EF9"/>
    <w:rsid w:val="00265724"/>
    <w:rsid w:val="0027426B"/>
    <w:rsid w:val="00286957"/>
    <w:rsid w:val="002B17E8"/>
    <w:rsid w:val="002B262A"/>
    <w:rsid w:val="002C5193"/>
    <w:rsid w:val="002E0A30"/>
    <w:rsid w:val="003015E3"/>
    <w:rsid w:val="00306086"/>
    <w:rsid w:val="003130C4"/>
    <w:rsid w:val="00314608"/>
    <w:rsid w:val="00316C4B"/>
    <w:rsid w:val="0032192B"/>
    <w:rsid w:val="003479BD"/>
    <w:rsid w:val="0037197D"/>
    <w:rsid w:val="003768D5"/>
    <w:rsid w:val="003912EE"/>
    <w:rsid w:val="003B25CF"/>
    <w:rsid w:val="003C4197"/>
    <w:rsid w:val="003C47E6"/>
    <w:rsid w:val="003C4FC2"/>
    <w:rsid w:val="003D4D3C"/>
    <w:rsid w:val="003E2331"/>
    <w:rsid w:val="004164CC"/>
    <w:rsid w:val="00416E61"/>
    <w:rsid w:val="0042790C"/>
    <w:rsid w:val="004506F9"/>
    <w:rsid w:val="00453B8E"/>
    <w:rsid w:val="004717A2"/>
    <w:rsid w:val="00473DF3"/>
    <w:rsid w:val="00485D6D"/>
    <w:rsid w:val="00487911"/>
    <w:rsid w:val="00491741"/>
    <w:rsid w:val="004A24CC"/>
    <w:rsid w:val="004B0CEE"/>
    <w:rsid w:val="00500E5F"/>
    <w:rsid w:val="005122EF"/>
    <w:rsid w:val="0051441A"/>
    <w:rsid w:val="00515702"/>
    <w:rsid w:val="00517C33"/>
    <w:rsid w:val="00517D5F"/>
    <w:rsid w:val="00521AF2"/>
    <w:rsid w:val="00523644"/>
    <w:rsid w:val="00535A3D"/>
    <w:rsid w:val="0054069E"/>
    <w:rsid w:val="00544866"/>
    <w:rsid w:val="005767CC"/>
    <w:rsid w:val="00587426"/>
    <w:rsid w:val="00590D9F"/>
    <w:rsid w:val="00595D26"/>
    <w:rsid w:val="005A74E6"/>
    <w:rsid w:val="005B404E"/>
    <w:rsid w:val="005C1086"/>
    <w:rsid w:val="005D4D55"/>
    <w:rsid w:val="005E2CFB"/>
    <w:rsid w:val="005F2103"/>
    <w:rsid w:val="005F3D1C"/>
    <w:rsid w:val="00610BFB"/>
    <w:rsid w:val="006145F2"/>
    <w:rsid w:val="0061738D"/>
    <w:rsid w:val="0062378F"/>
    <w:rsid w:val="00641842"/>
    <w:rsid w:val="0064609E"/>
    <w:rsid w:val="00651EEC"/>
    <w:rsid w:val="00654DAC"/>
    <w:rsid w:val="00686673"/>
    <w:rsid w:val="0068694D"/>
    <w:rsid w:val="00691E8C"/>
    <w:rsid w:val="006A22C4"/>
    <w:rsid w:val="006A348B"/>
    <w:rsid w:val="006A351B"/>
    <w:rsid w:val="006B0422"/>
    <w:rsid w:val="006C1B53"/>
    <w:rsid w:val="006C4510"/>
    <w:rsid w:val="006C5EC2"/>
    <w:rsid w:val="006D7730"/>
    <w:rsid w:val="006E5284"/>
    <w:rsid w:val="006F3EB5"/>
    <w:rsid w:val="00702E34"/>
    <w:rsid w:val="00704395"/>
    <w:rsid w:val="00710FE7"/>
    <w:rsid w:val="00717621"/>
    <w:rsid w:val="00720FF1"/>
    <w:rsid w:val="00727A53"/>
    <w:rsid w:val="00737C2E"/>
    <w:rsid w:val="00752DE1"/>
    <w:rsid w:val="00787B42"/>
    <w:rsid w:val="007975E1"/>
    <w:rsid w:val="007C4539"/>
    <w:rsid w:val="007E501D"/>
    <w:rsid w:val="007F3657"/>
    <w:rsid w:val="007F5C06"/>
    <w:rsid w:val="00812ED5"/>
    <w:rsid w:val="008277D9"/>
    <w:rsid w:val="0083118F"/>
    <w:rsid w:val="0084478C"/>
    <w:rsid w:val="0086638C"/>
    <w:rsid w:val="00870BE0"/>
    <w:rsid w:val="00896297"/>
    <w:rsid w:val="008A3E8D"/>
    <w:rsid w:val="008E5619"/>
    <w:rsid w:val="008F1D80"/>
    <w:rsid w:val="008F6F28"/>
    <w:rsid w:val="009237C4"/>
    <w:rsid w:val="00944C48"/>
    <w:rsid w:val="00950252"/>
    <w:rsid w:val="00967F5D"/>
    <w:rsid w:val="00994E5D"/>
    <w:rsid w:val="009A0F95"/>
    <w:rsid w:val="009B3ADF"/>
    <w:rsid w:val="009C3B52"/>
    <w:rsid w:val="009D74BD"/>
    <w:rsid w:val="009E6817"/>
    <w:rsid w:val="009E6E9A"/>
    <w:rsid w:val="009F7F68"/>
    <w:rsid w:val="00A01D2B"/>
    <w:rsid w:val="00A02C45"/>
    <w:rsid w:val="00A11575"/>
    <w:rsid w:val="00A16D70"/>
    <w:rsid w:val="00A42218"/>
    <w:rsid w:val="00A500EE"/>
    <w:rsid w:val="00A70249"/>
    <w:rsid w:val="00A70B02"/>
    <w:rsid w:val="00A71D9F"/>
    <w:rsid w:val="00A7741D"/>
    <w:rsid w:val="00A92E9F"/>
    <w:rsid w:val="00AD384E"/>
    <w:rsid w:val="00AE6020"/>
    <w:rsid w:val="00B00C41"/>
    <w:rsid w:val="00B2026C"/>
    <w:rsid w:val="00B33BEA"/>
    <w:rsid w:val="00B57C9F"/>
    <w:rsid w:val="00B63572"/>
    <w:rsid w:val="00B75B6D"/>
    <w:rsid w:val="00B836AD"/>
    <w:rsid w:val="00B845B3"/>
    <w:rsid w:val="00B85D8B"/>
    <w:rsid w:val="00B97202"/>
    <w:rsid w:val="00BB4A40"/>
    <w:rsid w:val="00BD6C3E"/>
    <w:rsid w:val="00BE3674"/>
    <w:rsid w:val="00C10681"/>
    <w:rsid w:val="00C16055"/>
    <w:rsid w:val="00C3049A"/>
    <w:rsid w:val="00C31B1E"/>
    <w:rsid w:val="00C35E73"/>
    <w:rsid w:val="00C713ED"/>
    <w:rsid w:val="00C77645"/>
    <w:rsid w:val="00C97D4C"/>
    <w:rsid w:val="00CA48D1"/>
    <w:rsid w:val="00CE04C3"/>
    <w:rsid w:val="00CE76A0"/>
    <w:rsid w:val="00D148C6"/>
    <w:rsid w:val="00D17A8A"/>
    <w:rsid w:val="00D30449"/>
    <w:rsid w:val="00D37658"/>
    <w:rsid w:val="00D415BA"/>
    <w:rsid w:val="00D63780"/>
    <w:rsid w:val="00D644EE"/>
    <w:rsid w:val="00D72607"/>
    <w:rsid w:val="00D75489"/>
    <w:rsid w:val="00D81079"/>
    <w:rsid w:val="00DC0313"/>
    <w:rsid w:val="00DD06FF"/>
    <w:rsid w:val="00DD5FE9"/>
    <w:rsid w:val="00DF3DE2"/>
    <w:rsid w:val="00E00C7A"/>
    <w:rsid w:val="00E209CF"/>
    <w:rsid w:val="00E37D6C"/>
    <w:rsid w:val="00E501BF"/>
    <w:rsid w:val="00E506C1"/>
    <w:rsid w:val="00E528E2"/>
    <w:rsid w:val="00E55B68"/>
    <w:rsid w:val="00E56953"/>
    <w:rsid w:val="00E67BE6"/>
    <w:rsid w:val="00E8683C"/>
    <w:rsid w:val="00E94A08"/>
    <w:rsid w:val="00EA2B72"/>
    <w:rsid w:val="00EA736C"/>
    <w:rsid w:val="00EB79D4"/>
    <w:rsid w:val="00EC1281"/>
    <w:rsid w:val="00EC5188"/>
    <w:rsid w:val="00EC58B2"/>
    <w:rsid w:val="00ED437F"/>
    <w:rsid w:val="00F04FA6"/>
    <w:rsid w:val="00F27F85"/>
    <w:rsid w:val="00F3269E"/>
    <w:rsid w:val="00F74360"/>
    <w:rsid w:val="00FA4D70"/>
    <w:rsid w:val="00FB462F"/>
    <w:rsid w:val="00FC71D3"/>
    <w:rsid w:val="00FE16FA"/>
    <w:rsid w:val="00FE328A"/>
    <w:rsid w:val="00FE6269"/>
    <w:rsid w:val="00FF5CD6"/>
    <w:rsid w:val="01DC622D"/>
    <w:rsid w:val="02251150"/>
    <w:rsid w:val="02F23728"/>
    <w:rsid w:val="02FA438B"/>
    <w:rsid w:val="04021749"/>
    <w:rsid w:val="043954D3"/>
    <w:rsid w:val="07340DEB"/>
    <w:rsid w:val="07866B35"/>
    <w:rsid w:val="07D93108"/>
    <w:rsid w:val="085705E0"/>
    <w:rsid w:val="094F7CC5"/>
    <w:rsid w:val="0ABD7F9F"/>
    <w:rsid w:val="0C077491"/>
    <w:rsid w:val="0C3703FE"/>
    <w:rsid w:val="0D1A4EA7"/>
    <w:rsid w:val="0DCA3598"/>
    <w:rsid w:val="0ECC307F"/>
    <w:rsid w:val="14302302"/>
    <w:rsid w:val="148F527B"/>
    <w:rsid w:val="16254932"/>
    <w:rsid w:val="16467BBB"/>
    <w:rsid w:val="16EB2510"/>
    <w:rsid w:val="179235CB"/>
    <w:rsid w:val="19165FBB"/>
    <w:rsid w:val="1BFB31F6"/>
    <w:rsid w:val="20CA2B83"/>
    <w:rsid w:val="22411335"/>
    <w:rsid w:val="23523579"/>
    <w:rsid w:val="248F6BD1"/>
    <w:rsid w:val="270D0281"/>
    <w:rsid w:val="272B5001"/>
    <w:rsid w:val="27F130C9"/>
    <w:rsid w:val="27F531EF"/>
    <w:rsid w:val="29993EFC"/>
    <w:rsid w:val="29FD1BBA"/>
    <w:rsid w:val="29FD576B"/>
    <w:rsid w:val="2A21651D"/>
    <w:rsid w:val="2C444A74"/>
    <w:rsid w:val="2E67471B"/>
    <w:rsid w:val="2F1835B3"/>
    <w:rsid w:val="316D3DF6"/>
    <w:rsid w:val="31F76D6E"/>
    <w:rsid w:val="33C16DD5"/>
    <w:rsid w:val="35223149"/>
    <w:rsid w:val="3749748E"/>
    <w:rsid w:val="386E05A6"/>
    <w:rsid w:val="39BF0C5D"/>
    <w:rsid w:val="39E0623C"/>
    <w:rsid w:val="3C1C6B44"/>
    <w:rsid w:val="3C6A3D54"/>
    <w:rsid w:val="3D086E79"/>
    <w:rsid w:val="3E3875B4"/>
    <w:rsid w:val="40420B44"/>
    <w:rsid w:val="41580566"/>
    <w:rsid w:val="419954DB"/>
    <w:rsid w:val="42A62CCC"/>
    <w:rsid w:val="468E4AE3"/>
    <w:rsid w:val="46F43957"/>
    <w:rsid w:val="484D673E"/>
    <w:rsid w:val="49155896"/>
    <w:rsid w:val="4D4330DF"/>
    <w:rsid w:val="4D7A36CB"/>
    <w:rsid w:val="4E72169E"/>
    <w:rsid w:val="508A1E77"/>
    <w:rsid w:val="53071EA5"/>
    <w:rsid w:val="53952785"/>
    <w:rsid w:val="5514798D"/>
    <w:rsid w:val="583743A4"/>
    <w:rsid w:val="59A966D8"/>
    <w:rsid w:val="5B997ADD"/>
    <w:rsid w:val="5C5D2B35"/>
    <w:rsid w:val="5DD46E27"/>
    <w:rsid w:val="5DE66B5A"/>
    <w:rsid w:val="5F5A68BC"/>
    <w:rsid w:val="63307243"/>
    <w:rsid w:val="643C5375"/>
    <w:rsid w:val="660A5ADC"/>
    <w:rsid w:val="66560D21"/>
    <w:rsid w:val="66BE7558"/>
    <w:rsid w:val="67621508"/>
    <w:rsid w:val="696A6892"/>
    <w:rsid w:val="69963065"/>
    <w:rsid w:val="6B2807B2"/>
    <w:rsid w:val="6D013069"/>
    <w:rsid w:val="6E7270D2"/>
    <w:rsid w:val="6FEB3D54"/>
    <w:rsid w:val="70710506"/>
    <w:rsid w:val="71B2527A"/>
    <w:rsid w:val="72541E8D"/>
    <w:rsid w:val="73CF3EC1"/>
    <w:rsid w:val="73D5780F"/>
    <w:rsid w:val="74844CAB"/>
    <w:rsid w:val="76014683"/>
    <w:rsid w:val="762E0C1E"/>
    <w:rsid w:val="76B630D1"/>
    <w:rsid w:val="77985B18"/>
    <w:rsid w:val="79F71A7C"/>
    <w:rsid w:val="7A603AC5"/>
    <w:rsid w:val="7B4E7DC1"/>
    <w:rsid w:val="7BE424D4"/>
    <w:rsid w:val="7CC3658D"/>
    <w:rsid w:val="7D3A273C"/>
    <w:rsid w:val="7E2E4DC0"/>
    <w:rsid w:val="7F8420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alloon Text"/>
    <w:basedOn w:val="1"/>
    <w:link w:val="13"/>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customStyle="1" w:styleId="9">
    <w:name w:val="页眉 Char"/>
    <w:basedOn w:val="8"/>
    <w:link w:val="5"/>
    <w:qFormat/>
    <w:locked/>
    <w:uiPriority w:val="99"/>
    <w:rPr>
      <w:rFonts w:cs="Times New Roman"/>
      <w:sz w:val="18"/>
      <w:szCs w:val="18"/>
    </w:rPr>
  </w:style>
  <w:style w:type="character" w:customStyle="1" w:styleId="10">
    <w:name w:val="页脚 Char"/>
    <w:basedOn w:val="8"/>
    <w:link w:val="4"/>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Char"/>
    <w:basedOn w:val="8"/>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5252</Words>
  <Characters>5856</Characters>
  <Lines>42</Lines>
  <Paragraphs>12</Paragraphs>
  <TotalTime>1</TotalTime>
  <ScaleCrop>false</ScaleCrop>
  <LinksUpToDate>false</LinksUpToDate>
  <CharactersWithSpaces>5874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WPS_1668149522</cp:lastModifiedBy>
  <cp:lastPrinted>2023-09-20T03:14:00Z</cp:lastPrinted>
  <dcterms:modified xsi:type="dcterms:W3CDTF">2024-10-19T05:42:20Z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F432C62E537D47A09E651CFA3B42B0E2_12</vt:lpwstr>
  </property>
</Properties>
</file>