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B989E">
      <w:pPr>
        <w:spacing w:line="480" w:lineRule="auto"/>
        <w:jc w:val="left"/>
        <w:rPr>
          <w:rFonts w:ascii="仿宋" w:hAnsi="仿宋" w:eastAsia="仿宋" w:cs="仿宋"/>
          <w:sz w:val="30"/>
          <w:szCs w:val="30"/>
        </w:rPr>
      </w:pPr>
      <w:r>
        <w:rPr>
          <w:rFonts w:hint="eastAsia" w:ascii="仿宋" w:hAnsi="仿宋" w:eastAsia="仿宋" w:cs="仿宋"/>
          <w:sz w:val="30"/>
          <w:szCs w:val="30"/>
        </w:rPr>
        <w:t>附件5</w:t>
      </w:r>
    </w:p>
    <w:p w14:paraId="49C4392C">
      <w:pPr>
        <w:jc w:val="center"/>
        <w:rPr>
          <w:rFonts w:ascii="Times New Roman" w:hAnsi="Times New Roman" w:eastAsia="方正小标宋_GBK"/>
          <w:sz w:val="52"/>
          <w:szCs w:val="52"/>
        </w:rPr>
      </w:pPr>
    </w:p>
    <w:p w14:paraId="1850E7D4">
      <w:pPr>
        <w:jc w:val="center"/>
        <w:rPr>
          <w:rFonts w:ascii="Times New Roman" w:hAnsi="Times New Roman" w:eastAsia="方正小标宋_GBK"/>
          <w:sz w:val="52"/>
          <w:szCs w:val="52"/>
        </w:rPr>
      </w:pPr>
    </w:p>
    <w:p w14:paraId="3ED115A4">
      <w:pPr>
        <w:jc w:val="center"/>
        <w:rPr>
          <w:rFonts w:ascii="Times New Roman" w:hAnsi="Times New Roman" w:eastAsia="方正小标宋_GBK"/>
          <w:sz w:val="52"/>
          <w:szCs w:val="52"/>
        </w:rPr>
      </w:pPr>
    </w:p>
    <w:p w14:paraId="244D043D">
      <w:pPr>
        <w:jc w:val="center"/>
        <w:rPr>
          <w:rFonts w:ascii="Times New Roman" w:hAnsi="Times New Roman" w:eastAsia="方正小标宋_GBK"/>
          <w:sz w:val="52"/>
          <w:szCs w:val="52"/>
        </w:rPr>
      </w:pPr>
    </w:p>
    <w:p w14:paraId="72875BA0">
      <w:pPr>
        <w:jc w:val="center"/>
        <w:rPr>
          <w:rFonts w:eastAsia="方正小标宋_GBK"/>
          <w:sz w:val="52"/>
          <w:szCs w:val="52"/>
        </w:rPr>
      </w:pPr>
      <w:r>
        <w:rPr>
          <w:rFonts w:ascii="Times New Roman" w:hAnsi="Times New Roman" w:eastAsia="方正小标宋_GBK"/>
          <w:sz w:val="52"/>
          <w:szCs w:val="52"/>
        </w:rPr>
        <w:t>202</w:t>
      </w:r>
      <w:r>
        <w:rPr>
          <w:rFonts w:hint="eastAsia" w:ascii="Times New Roman" w:hAnsi="Times New Roman" w:eastAsia="方正小标宋_GBK"/>
          <w:sz w:val="52"/>
          <w:szCs w:val="52"/>
        </w:rPr>
        <w:t>5年度</w:t>
      </w:r>
      <w:r>
        <w:rPr>
          <w:rFonts w:hint="eastAsia" w:eastAsia="方正小标宋_GBK"/>
          <w:sz w:val="52"/>
          <w:szCs w:val="52"/>
        </w:rPr>
        <w:t>怀化市公安局部门整体支出</w:t>
      </w:r>
    </w:p>
    <w:p w14:paraId="33AEBBF2">
      <w:pPr>
        <w:jc w:val="center"/>
        <w:rPr>
          <w:rFonts w:ascii="Times New Roman" w:hAnsi="Times New Roman" w:eastAsia="方正小标宋_GBK"/>
          <w:sz w:val="52"/>
          <w:szCs w:val="52"/>
        </w:rPr>
      </w:pPr>
      <w:r>
        <w:rPr>
          <w:rFonts w:hint="eastAsia" w:ascii="Times New Roman" w:hAnsi="Times New Roman" w:eastAsia="方正小标宋_GBK"/>
          <w:sz w:val="52"/>
          <w:szCs w:val="52"/>
        </w:rPr>
        <w:t>绩效自评报告</w:t>
      </w:r>
    </w:p>
    <w:p w14:paraId="761E0323">
      <w:pPr>
        <w:rPr>
          <w:rFonts w:ascii="Times New Roman" w:hAnsi="Times New Roman" w:eastAsia="楷体_GB2312"/>
          <w:b/>
          <w:sz w:val="32"/>
          <w:szCs w:val="32"/>
        </w:rPr>
      </w:pPr>
    </w:p>
    <w:p w14:paraId="0F562896">
      <w:pPr>
        <w:jc w:val="center"/>
        <w:rPr>
          <w:rFonts w:ascii="Times New Roman" w:hAnsi="Times New Roman" w:eastAsia="黑体"/>
          <w:sz w:val="32"/>
          <w:szCs w:val="32"/>
        </w:rPr>
      </w:pPr>
    </w:p>
    <w:p w14:paraId="22516105">
      <w:pPr>
        <w:jc w:val="center"/>
        <w:rPr>
          <w:rFonts w:ascii="Times New Roman" w:hAnsi="Times New Roman" w:eastAsia="黑体"/>
          <w:sz w:val="32"/>
          <w:szCs w:val="32"/>
        </w:rPr>
      </w:pPr>
    </w:p>
    <w:p w14:paraId="169D124C">
      <w:pPr>
        <w:jc w:val="center"/>
        <w:rPr>
          <w:rFonts w:ascii="Times New Roman" w:hAnsi="Times New Roman" w:eastAsia="黑体"/>
          <w:sz w:val="32"/>
          <w:szCs w:val="32"/>
        </w:rPr>
      </w:pPr>
    </w:p>
    <w:p w14:paraId="18A6161D">
      <w:pPr>
        <w:jc w:val="center"/>
        <w:rPr>
          <w:rFonts w:ascii="Times New Roman" w:hAnsi="Times New Roman" w:eastAsia="黑体"/>
          <w:sz w:val="32"/>
          <w:szCs w:val="32"/>
        </w:rPr>
      </w:pPr>
    </w:p>
    <w:p w14:paraId="59B21E11">
      <w:pPr>
        <w:jc w:val="center"/>
        <w:rPr>
          <w:rFonts w:ascii="Times New Roman" w:hAnsi="Times New Roman" w:eastAsia="黑体"/>
          <w:sz w:val="32"/>
          <w:szCs w:val="32"/>
        </w:rPr>
      </w:pPr>
    </w:p>
    <w:p w14:paraId="5E5B9336">
      <w:pPr>
        <w:jc w:val="center"/>
        <w:rPr>
          <w:rFonts w:ascii="Times New Roman" w:hAnsi="Times New Roman" w:eastAsia="黑体"/>
          <w:sz w:val="32"/>
          <w:szCs w:val="32"/>
        </w:rPr>
      </w:pPr>
    </w:p>
    <w:p w14:paraId="64C090E6">
      <w:pPr>
        <w:rPr>
          <w:rFonts w:ascii="Times New Roman" w:hAnsi="Times New Roman" w:eastAsia="黑体"/>
          <w:sz w:val="32"/>
          <w:szCs w:val="32"/>
        </w:rPr>
      </w:pPr>
    </w:p>
    <w:p w14:paraId="67B08852">
      <w:pPr>
        <w:rPr>
          <w:rFonts w:ascii="Times New Roman" w:hAnsi="Times New Roman" w:eastAsia="黑体"/>
          <w:sz w:val="32"/>
          <w:szCs w:val="32"/>
        </w:rPr>
      </w:pPr>
    </w:p>
    <w:p w14:paraId="0EA336D6">
      <w:pPr>
        <w:rPr>
          <w:rFonts w:ascii="Times New Roman" w:hAnsi="Times New Roman" w:eastAsia="黑体"/>
          <w:sz w:val="32"/>
          <w:szCs w:val="32"/>
        </w:rPr>
      </w:pPr>
    </w:p>
    <w:p w14:paraId="7DD88B73">
      <w:pPr>
        <w:jc w:val="center"/>
        <w:rPr>
          <w:rFonts w:ascii="Times New Roman" w:hAnsi="Times New Roman" w:eastAsia="黑体"/>
          <w:sz w:val="32"/>
          <w:szCs w:val="32"/>
        </w:rPr>
      </w:pPr>
    </w:p>
    <w:p w14:paraId="0280E9DF">
      <w:pPr>
        <w:spacing w:line="600" w:lineRule="exact"/>
        <w:ind w:firstLine="1920" w:firstLineChars="600"/>
        <w:rPr>
          <w:rFonts w:ascii="Times New Roman" w:hAnsi="Times New Roman" w:eastAsia="仿宋_GB2312"/>
          <w:sz w:val="32"/>
          <w:szCs w:val="32"/>
          <w:u w:val="single"/>
        </w:rPr>
      </w:pPr>
      <w:r>
        <w:rPr>
          <w:rFonts w:hint="eastAsia" w:ascii="Times New Roman" w:hAnsi="Times New Roman" w:eastAsia="仿宋_GB2312"/>
          <w:sz w:val="32"/>
          <w:szCs w:val="32"/>
        </w:rPr>
        <w:t>单位名称（盖章）：</w:t>
      </w:r>
      <w:r>
        <w:rPr>
          <w:rFonts w:hint="eastAsia" w:ascii="Times New Roman" w:hAnsi="Times New Roman" w:eastAsia="仿宋_GB2312"/>
          <w:sz w:val="32"/>
          <w:szCs w:val="32"/>
          <w:u w:val="single"/>
        </w:rPr>
        <w:t xml:space="preserve">  怀化市公安局</w:t>
      </w:r>
      <w:r>
        <w:rPr>
          <w:rFonts w:ascii="Times New Roman" w:hAnsi="Times New Roman" w:eastAsia="仿宋_GB2312"/>
          <w:sz w:val="32"/>
          <w:szCs w:val="32"/>
          <w:u w:val="single"/>
        </w:rPr>
        <w:t xml:space="preserve">  </w:t>
      </w:r>
    </w:p>
    <w:p w14:paraId="4D43AB9F">
      <w:pPr>
        <w:rPr>
          <w:rFonts w:ascii="Times New Roman" w:hAnsi="Times New Roman" w:eastAsia="仿宋_GB2312"/>
          <w:sz w:val="32"/>
          <w:szCs w:val="32"/>
        </w:rPr>
      </w:pPr>
    </w:p>
    <w:p w14:paraId="0ADB33CF">
      <w:pPr>
        <w:pStyle w:val="4"/>
        <w:widowControl/>
        <w:shd w:val="clear" w:color="auto" w:fill="FFFFFF"/>
        <w:spacing w:before="0" w:beforeAutospacing="0" w:after="0" w:afterAutospacing="0" w:line="360" w:lineRule="auto"/>
        <w:rPr>
          <w:rFonts w:ascii="仿宋" w:hAnsi="仿宋" w:eastAsia="仿宋" w:cs="仿宋"/>
          <w:b/>
          <w:bCs/>
          <w:color w:val="3D3D3D"/>
          <w:sz w:val="44"/>
          <w:szCs w:val="44"/>
          <w:shd w:val="clear" w:color="auto" w:fill="FFFFFF"/>
        </w:rPr>
      </w:pPr>
      <w:r>
        <w:rPr>
          <w:rFonts w:hint="eastAsia" w:ascii="仿宋" w:hAnsi="仿宋" w:eastAsia="仿宋" w:cs="仿宋"/>
          <w:color w:val="3D3D3D"/>
          <w:sz w:val="30"/>
          <w:szCs w:val="30"/>
          <w:shd w:val="clear" w:color="auto" w:fill="FFFFFF"/>
        </w:rPr>
        <w:t> </w:t>
      </w:r>
    </w:p>
    <w:p w14:paraId="7EF8384D">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2"/>
          <w:szCs w:val="32"/>
        </w:rPr>
      </w:pPr>
      <w:r>
        <w:rPr>
          <w:rFonts w:hint="eastAsia" w:ascii="仿宋" w:hAnsi="仿宋" w:eastAsia="仿宋" w:cs="仿宋"/>
          <w:b/>
          <w:bCs/>
          <w:color w:val="000000"/>
          <w:sz w:val="32"/>
          <w:szCs w:val="32"/>
        </w:rPr>
        <w:t>一、部门概况</w:t>
      </w:r>
    </w:p>
    <w:p w14:paraId="4DD8FBA1">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2"/>
          <w:szCs w:val="32"/>
        </w:rPr>
      </w:pPr>
      <w:r>
        <w:rPr>
          <w:rFonts w:hint="eastAsia" w:ascii="仿宋" w:hAnsi="仿宋" w:eastAsia="仿宋" w:cs="仿宋"/>
          <w:b/>
          <w:bCs/>
          <w:color w:val="000000"/>
          <w:sz w:val="32"/>
          <w:szCs w:val="32"/>
        </w:rPr>
        <w:t>（一）单位基本情况</w:t>
      </w:r>
    </w:p>
    <w:p w14:paraId="2FC42808">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1、机构设置情况</w:t>
      </w:r>
    </w:p>
    <w:p w14:paraId="1F08D702">
      <w:pPr>
        <w:widowControl/>
        <w:spacing w:line="480" w:lineRule="auto"/>
        <w:ind w:firstLine="750" w:firstLineChars="250"/>
        <w:rPr>
          <w:rFonts w:ascii="仿宋" w:hAnsi="仿宋" w:eastAsia="仿宋" w:cs="仿宋"/>
          <w:color w:val="000000"/>
          <w:kern w:val="0"/>
          <w:sz w:val="30"/>
          <w:szCs w:val="30"/>
        </w:rPr>
      </w:pPr>
      <w:r>
        <w:rPr>
          <w:rFonts w:hint="eastAsia" w:ascii="仿宋" w:hAnsi="仿宋" w:eastAsia="仿宋" w:cs="仿宋"/>
          <w:color w:val="000000"/>
          <w:kern w:val="0"/>
          <w:sz w:val="30"/>
          <w:szCs w:val="30"/>
        </w:rPr>
        <w:t>怀化市公安局作为一级部门预算单位，共设21个内设机构（部、委、支队，不含交管支队、驻局纪检组）。包括：情报指挥中心、督察审计支队、治安管理支队、刑事侦查支队、经济犯罪侦查支队、巡特警支队、禁毒支队等。机构改革前二级机构共</w:t>
      </w:r>
      <w:r>
        <w:rPr>
          <w:rFonts w:ascii="仿宋" w:hAnsi="仿宋" w:eastAsia="仿宋" w:cs="仿宋"/>
          <w:color w:val="000000"/>
          <w:kern w:val="0"/>
          <w:sz w:val="30"/>
          <w:szCs w:val="30"/>
        </w:rPr>
        <w:t>7</w:t>
      </w:r>
      <w:r>
        <w:rPr>
          <w:rFonts w:hint="eastAsia" w:ascii="仿宋" w:hAnsi="仿宋" w:eastAsia="仿宋" w:cs="仿宋"/>
          <w:color w:val="000000"/>
          <w:kern w:val="0"/>
          <w:sz w:val="30"/>
          <w:szCs w:val="30"/>
        </w:rPr>
        <w:t>个，包括：戒毒所、警官培训部、怀化市看守所、鹤城分局、江坪分局、沃溪分局、市森林公安局（二级机构在2025年均为一级预算单位，财务独立核算）。</w:t>
      </w:r>
    </w:p>
    <w:p w14:paraId="5B9C252D">
      <w:pPr>
        <w:pStyle w:val="4"/>
        <w:widowControl/>
        <w:shd w:val="clear" w:color="auto" w:fill="FFFFFF"/>
        <w:spacing w:before="0" w:beforeAutospacing="0" w:after="0" w:afterAutospacing="0" w:line="480" w:lineRule="auto"/>
        <w:ind w:firstLine="789" w:firstLineChars="263"/>
        <w:jc w:val="both"/>
        <w:rPr>
          <w:rFonts w:ascii="仿宋" w:hAnsi="仿宋" w:eastAsia="仿宋" w:cs="仿宋"/>
          <w:color w:val="000000"/>
          <w:sz w:val="30"/>
          <w:szCs w:val="30"/>
        </w:rPr>
      </w:pPr>
      <w:r>
        <w:rPr>
          <w:rFonts w:hint="eastAsia" w:ascii="仿宋" w:hAnsi="仿宋" w:eastAsia="仿宋" w:cs="仿宋"/>
          <w:color w:val="000000"/>
          <w:sz w:val="30"/>
          <w:szCs w:val="30"/>
        </w:rPr>
        <w:t>2、人员编制情况</w:t>
      </w:r>
    </w:p>
    <w:p w14:paraId="573BA3F6">
      <w:pPr>
        <w:pStyle w:val="4"/>
        <w:widowControl/>
        <w:shd w:val="clear" w:color="auto" w:fill="FFFFFF"/>
        <w:spacing w:before="0" w:beforeAutospacing="0" w:after="0" w:afterAutospacing="0" w:line="480" w:lineRule="auto"/>
        <w:ind w:firstLine="789" w:firstLineChars="263"/>
        <w:jc w:val="both"/>
        <w:rPr>
          <w:rFonts w:ascii="仿宋" w:hAnsi="仿宋" w:eastAsia="仿宋" w:cs="仿宋"/>
          <w:color w:val="000000"/>
          <w:sz w:val="30"/>
          <w:szCs w:val="30"/>
        </w:rPr>
      </w:pPr>
      <w:r>
        <w:rPr>
          <w:rFonts w:ascii="仿宋" w:hAnsi="仿宋" w:eastAsia="仿宋" w:cs="仿宋"/>
          <w:color w:val="000000"/>
          <w:sz w:val="30"/>
          <w:szCs w:val="30"/>
        </w:rPr>
        <w:t>202</w:t>
      </w:r>
      <w:r>
        <w:rPr>
          <w:rFonts w:hint="eastAsia" w:ascii="仿宋" w:hAnsi="仿宋" w:eastAsia="仿宋" w:cs="仿宋"/>
          <w:color w:val="000000"/>
          <w:sz w:val="30"/>
          <w:szCs w:val="30"/>
        </w:rPr>
        <w:t>5年末，我单位工资册在职民警</w:t>
      </w:r>
      <w:r>
        <w:rPr>
          <w:rFonts w:ascii="仿宋" w:hAnsi="仿宋" w:eastAsia="仿宋" w:cs="仿宋"/>
          <w:color w:val="000000"/>
          <w:sz w:val="30"/>
          <w:szCs w:val="30"/>
        </w:rPr>
        <w:t>3</w:t>
      </w:r>
      <w:r>
        <w:rPr>
          <w:rFonts w:hint="eastAsia" w:ascii="仿宋" w:hAnsi="仿宋" w:eastAsia="仿宋" w:cs="仿宋"/>
          <w:color w:val="000000"/>
          <w:sz w:val="30"/>
          <w:szCs w:val="30"/>
        </w:rPr>
        <w:t>83人，离退休人员178人（含提前退休人员3人），辅警727人（包含局机关辅警、城市快警、留置看护辅警及收治中心辅警）。</w:t>
      </w:r>
    </w:p>
    <w:p w14:paraId="7D89F614">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3、主要职能职责</w:t>
      </w:r>
    </w:p>
    <w:p w14:paraId="63BDF6D2">
      <w:pPr>
        <w:widowControl/>
        <w:spacing w:line="500" w:lineRule="auto"/>
        <w:ind w:firstLine="588" w:firstLineChars="196"/>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怀化市公安局是怀化市人民政府主管全市公安工作的主要部门，其职责主要包括：按照市委、市政府和上级公安机关的指示，研究部署、组织实施全市公安工作，并督促检查执行情况；研究社会主义市场经济体制下出现的新情况、新问题，制定新措施，推进全市公安工作的改革和发展；承担社会治安、户籍、居民身份证、危险物品、特种行业等管理工作；组织指导出境、入境和外国人在市内居留、旅行的有关管理工作；指导、监督全市公安机关的执法活动；组织、指导全市公安机关的警务督察工作；承办市委、市政府和上级公安机关交办的其他任务等。</w:t>
      </w:r>
    </w:p>
    <w:p w14:paraId="4BD46A60">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（二）单位整体支出规模、使用方向和主要内容、涉及范围</w:t>
      </w:r>
    </w:p>
    <w:p w14:paraId="113F4150">
      <w:pPr>
        <w:pStyle w:val="4"/>
        <w:widowControl/>
        <w:shd w:val="clear" w:color="auto" w:fill="FFFFFF"/>
        <w:spacing w:before="0" w:beforeAutospacing="0" w:after="0" w:afterAutospacing="0" w:line="480" w:lineRule="auto"/>
        <w:ind w:firstLine="750" w:firstLineChars="250"/>
        <w:jc w:val="both"/>
        <w:rPr>
          <w:rFonts w:eastAsia="仿宋_GB2312"/>
          <w:kern w:val="2"/>
          <w:sz w:val="32"/>
          <w:szCs w:val="32"/>
        </w:rPr>
      </w:pPr>
      <w:r>
        <w:rPr>
          <w:rFonts w:hint="eastAsia" w:ascii="仿宋" w:hAnsi="仿宋" w:eastAsia="仿宋" w:cs="仿宋"/>
          <w:color w:val="000000"/>
          <w:sz w:val="30"/>
          <w:szCs w:val="30"/>
        </w:rPr>
        <w:t>我单位年初预算整体支出14638.15万元，主要用于怀化市公安局基本人员开支和各项治安巡逻、办案侦查、禁毒等公安专项工作，因具体内容涉密，依法不予以公开。</w:t>
      </w:r>
      <w:r>
        <w:rPr>
          <w:rFonts w:hint="eastAsia" w:ascii="仿宋" w:hAnsi="仿宋" w:eastAsia="仿宋" w:cs="仿宋"/>
          <w:color w:val="FF99CC"/>
          <w:sz w:val="30"/>
          <w:szCs w:val="30"/>
        </w:rPr>
        <w:t>      </w:t>
      </w:r>
    </w:p>
    <w:p w14:paraId="48EDE506">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二、一般公共预算支出情况</w:t>
      </w:r>
    </w:p>
    <w:p w14:paraId="369615A5">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（一）基本支出</w:t>
      </w:r>
    </w:p>
    <w:p w14:paraId="1FF4183B">
      <w:pPr>
        <w:pStyle w:val="4"/>
        <w:widowControl/>
        <w:shd w:val="clear" w:color="auto" w:fill="FFFFFF"/>
        <w:spacing w:before="0" w:beforeAutospacing="0" w:after="0" w:afterAutospacing="0" w:line="480" w:lineRule="auto"/>
        <w:ind w:firstLine="789" w:firstLineChars="263"/>
        <w:jc w:val="both"/>
        <w:rPr>
          <w:rFonts w:ascii="仿宋" w:hAnsi="仿宋" w:eastAsia="仿宋" w:cs="仿宋"/>
          <w:color w:val="000000"/>
          <w:sz w:val="30"/>
          <w:szCs w:val="30"/>
        </w:rPr>
      </w:pPr>
      <w:r>
        <w:rPr>
          <w:rFonts w:ascii="仿宋" w:hAnsi="仿宋" w:eastAsia="仿宋" w:cs="仿宋"/>
          <w:color w:val="000000"/>
          <w:sz w:val="30"/>
          <w:szCs w:val="30"/>
        </w:rPr>
        <w:t>202</w:t>
      </w:r>
      <w:r>
        <w:rPr>
          <w:rFonts w:hint="eastAsia" w:ascii="仿宋" w:hAnsi="仿宋" w:eastAsia="仿宋" w:cs="仿宋"/>
          <w:color w:val="000000"/>
          <w:sz w:val="30"/>
          <w:szCs w:val="30"/>
        </w:rPr>
        <w:t>5年基本支出9236.77万元，其中人员经费支出7925.37万元（工资福利支出7570.4万元、对个人的家庭的补助354.97万元），公用经费支出1311.41万元（商品和服务支出1300.2万元、其他资本性支出11.21万元）。基本支出系保障我单位机构正常运转、完成日常工作任务而发生的各项支出，包括用于在职和离退休人员基本工资、津贴补贴等人员经费以及办公费、印刷费、水电费、维修费、办公设备购置等日常公用经费。</w:t>
      </w:r>
    </w:p>
    <w:p w14:paraId="2B107938">
      <w:pPr>
        <w:pStyle w:val="4"/>
        <w:widowControl/>
        <w:shd w:val="clear" w:color="auto" w:fill="FFFFFF"/>
        <w:spacing w:before="0" w:beforeAutospacing="0" w:after="0" w:afterAutospacing="0" w:line="480" w:lineRule="auto"/>
        <w:ind w:firstLine="789" w:firstLineChars="263"/>
        <w:jc w:val="both"/>
        <w:rPr>
          <w:rFonts w:ascii="仿宋" w:hAnsi="仿宋" w:eastAsia="仿宋" w:cs="仿宋"/>
          <w:color w:val="000000"/>
          <w:sz w:val="30"/>
          <w:szCs w:val="30"/>
        </w:rPr>
      </w:pPr>
      <w:r>
        <w:rPr>
          <w:rFonts w:ascii="仿宋" w:hAnsi="仿宋" w:eastAsia="仿宋" w:cs="仿宋"/>
          <w:color w:val="000000"/>
          <w:sz w:val="30"/>
          <w:szCs w:val="30"/>
        </w:rPr>
        <w:t>202</w:t>
      </w:r>
      <w:r>
        <w:rPr>
          <w:rFonts w:hint="eastAsia" w:ascii="仿宋" w:hAnsi="仿宋" w:eastAsia="仿宋" w:cs="仿宋"/>
          <w:color w:val="000000"/>
          <w:sz w:val="30"/>
          <w:szCs w:val="30"/>
        </w:rPr>
        <w:t>5年“三公”经费控制数为345</w:t>
      </w:r>
      <w:r>
        <w:rPr>
          <w:rFonts w:ascii="仿宋" w:hAnsi="仿宋" w:eastAsia="仿宋" w:cs="仿宋"/>
          <w:color w:val="000000"/>
          <w:sz w:val="30"/>
          <w:szCs w:val="30"/>
        </w:rPr>
        <w:t>.00</w:t>
      </w:r>
      <w:r>
        <w:rPr>
          <w:rFonts w:hint="eastAsia" w:ascii="仿宋" w:hAnsi="仿宋" w:eastAsia="仿宋" w:cs="仿宋"/>
          <w:color w:val="000000"/>
          <w:sz w:val="30"/>
          <w:szCs w:val="30"/>
        </w:rPr>
        <w:t>万元，其中公务接待费为6</w:t>
      </w:r>
      <w:r>
        <w:rPr>
          <w:rFonts w:ascii="仿宋" w:hAnsi="仿宋" w:eastAsia="仿宋" w:cs="仿宋"/>
          <w:color w:val="000000"/>
          <w:sz w:val="30"/>
          <w:szCs w:val="30"/>
        </w:rPr>
        <w:t>.00</w:t>
      </w:r>
      <w:r>
        <w:rPr>
          <w:rFonts w:hint="eastAsia" w:ascii="仿宋" w:hAnsi="仿宋" w:eastAsia="仿宋" w:cs="仿宋"/>
          <w:color w:val="000000"/>
          <w:sz w:val="30"/>
          <w:szCs w:val="30"/>
        </w:rPr>
        <w:t>万元，公务用车购置及运行维护费339</w:t>
      </w:r>
      <w:r>
        <w:rPr>
          <w:rFonts w:ascii="仿宋" w:hAnsi="仿宋" w:eastAsia="仿宋" w:cs="仿宋"/>
          <w:color w:val="000000"/>
          <w:sz w:val="30"/>
          <w:szCs w:val="30"/>
        </w:rPr>
        <w:t>.00</w:t>
      </w:r>
      <w:r>
        <w:rPr>
          <w:rFonts w:hint="eastAsia" w:ascii="仿宋" w:hAnsi="仿宋" w:eastAsia="仿宋" w:cs="仿宋"/>
          <w:color w:val="000000"/>
          <w:sz w:val="30"/>
          <w:szCs w:val="30"/>
        </w:rPr>
        <w:t>万元。</w:t>
      </w:r>
      <w:r>
        <w:rPr>
          <w:rFonts w:ascii="仿宋" w:hAnsi="仿宋" w:eastAsia="仿宋" w:cs="仿宋"/>
          <w:color w:val="000000"/>
          <w:sz w:val="30"/>
          <w:szCs w:val="30"/>
        </w:rPr>
        <w:t>202</w:t>
      </w:r>
      <w:r>
        <w:rPr>
          <w:rFonts w:hint="eastAsia" w:ascii="仿宋" w:hAnsi="仿宋" w:eastAsia="仿宋" w:cs="仿宋"/>
          <w:color w:val="000000"/>
          <w:sz w:val="30"/>
          <w:szCs w:val="30"/>
        </w:rPr>
        <w:t>5年“三公”经费实际支出合计299.72万元，在年初预算控制数内。</w:t>
      </w:r>
    </w:p>
    <w:p w14:paraId="35570580">
      <w:pPr>
        <w:ind w:firstLine="709"/>
        <w:rPr>
          <w:rFonts w:ascii="仿宋" w:hAnsi="仿宋" w:eastAsia="仿宋" w:cs="仿宋"/>
          <w:color w:val="000000"/>
          <w:sz w:val="30"/>
          <w:szCs w:val="30"/>
        </w:rPr>
      </w:pPr>
      <w:r>
        <w:rPr>
          <w:rFonts w:hint="eastAsia" w:ascii="仿宋" w:hAnsi="仿宋" w:eastAsia="仿宋" w:cs="仿宋"/>
          <w:color w:val="000000"/>
          <w:sz w:val="30"/>
          <w:szCs w:val="30"/>
        </w:rPr>
        <w:t>其中：因公出国（境）费6.86万元，比上年16.8万元减少9.94万元，下降59.17</w:t>
      </w:r>
      <w:r>
        <w:rPr>
          <w:rFonts w:ascii="仿宋" w:hAnsi="仿宋" w:eastAsia="仿宋" w:cs="仿宋"/>
          <w:color w:val="000000"/>
          <w:sz w:val="30"/>
          <w:szCs w:val="30"/>
        </w:rPr>
        <w:t>%</w:t>
      </w:r>
      <w:r>
        <w:rPr>
          <w:rFonts w:hint="eastAsia" w:ascii="仿宋" w:hAnsi="仿宋" w:eastAsia="仿宋" w:cs="仿宋"/>
          <w:color w:val="000000"/>
          <w:sz w:val="30"/>
          <w:szCs w:val="30"/>
        </w:rPr>
        <w:t>，原因是本年度支出为省厅指派我单位民警出国交流访问费用，人数较上年减少，总体费用有所减少。公务接待费支出0.63万元，比上年4.29万元减少3.66万元，下降85.31</w:t>
      </w:r>
      <w:r>
        <w:rPr>
          <w:rFonts w:ascii="仿宋" w:hAnsi="仿宋" w:eastAsia="仿宋" w:cs="仿宋"/>
          <w:color w:val="000000"/>
          <w:sz w:val="30"/>
          <w:szCs w:val="30"/>
        </w:rPr>
        <w:t>%</w:t>
      </w:r>
      <w:r>
        <w:rPr>
          <w:rFonts w:hint="eastAsia" w:ascii="仿宋" w:hAnsi="仿宋" w:eastAsia="仿宋" w:cs="仿宋"/>
          <w:color w:val="000000"/>
          <w:sz w:val="30"/>
          <w:szCs w:val="30"/>
        </w:rPr>
        <w:t>，原因是我单位厉行节约，特别是公务接待费新规出台后，接待费支出大幅下降。公务用车购置费80.61万元，年初预算控制数120万元，上年度无公车购置，本年度购车计划已在预算批复。公务用车运行维护费支出211.62万元，比上年178.78万元增加32.84万元，上升18.37</w:t>
      </w:r>
      <w:r>
        <w:rPr>
          <w:rFonts w:ascii="仿宋" w:hAnsi="仿宋" w:eastAsia="仿宋" w:cs="仿宋"/>
          <w:color w:val="000000"/>
          <w:sz w:val="30"/>
          <w:szCs w:val="30"/>
        </w:rPr>
        <w:t>%</w:t>
      </w:r>
      <w:r>
        <w:rPr>
          <w:rFonts w:hint="eastAsia" w:ascii="仿宋" w:hAnsi="仿宋" w:eastAsia="仿宋" w:cs="仿宋"/>
          <w:color w:val="000000"/>
          <w:sz w:val="30"/>
          <w:szCs w:val="30"/>
        </w:rPr>
        <w:t>，原因是本年度巡逻任务增加，加之车辆老化，维修成本提高，但未超过年初预算控制数。</w:t>
      </w:r>
    </w:p>
    <w:p w14:paraId="73CA281C">
      <w:pPr>
        <w:pStyle w:val="4"/>
        <w:widowControl/>
        <w:shd w:val="clear" w:color="auto" w:fill="FFFFFF"/>
        <w:spacing w:before="0" w:beforeAutospacing="0" w:after="0" w:afterAutospacing="0" w:line="480" w:lineRule="auto"/>
        <w:ind w:firstLine="789" w:firstLineChars="263"/>
        <w:jc w:val="both"/>
        <w:rPr>
          <w:rFonts w:ascii="仿宋" w:hAnsi="仿宋" w:eastAsia="仿宋" w:cs="仿宋"/>
          <w:color w:val="000000"/>
          <w:sz w:val="30"/>
          <w:szCs w:val="30"/>
        </w:rPr>
      </w:pPr>
      <w:r>
        <w:rPr>
          <w:rFonts w:hint="eastAsia" w:ascii="仿宋" w:hAnsi="仿宋" w:eastAsia="仿宋" w:cs="仿宋"/>
          <w:color w:val="000000"/>
          <w:sz w:val="30"/>
          <w:szCs w:val="30"/>
        </w:rPr>
        <w:t>我单位根据《政府会计准则》、《预算法》等相关法律法规制定了单位层面管理制度、业务层面管理制度及内控管理制度，特别就“三公经费”等规范了经费支出流程，制定了公务接待、公务用车、差旅费、办公费等相关实施细则，厉行节约、严控“三公经费”和日常公用经费；接待制度对人员、标准、接待程序都予以规范，用车制度对车辆管理、维修、其他费用支出都进行了明确。同时，按照怀化市财政局要求实行“整体部门预算”、“三公经费”预算、“政府采购”预算公开制度，有效控制了实际支出没有超出预算规模、范围和标准。</w:t>
      </w:r>
      <w:r>
        <w:rPr>
          <w:rFonts w:ascii="仿宋" w:hAnsi="仿宋" w:eastAsia="仿宋" w:cs="仿宋"/>
          <w:color w:val="000000"/>
          <w:sz w:val="30"/>
          <w:szCs w:val="30"/>
        </w:rPr>
        <w:t xml:space="preserve"> </w:t>
      </w:r>
    </w:p>
    <w:p w14:paraId="6323B9A6">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（二）项目支出（因部分项目信息涉密，不予公开说明）</w:t>
      </w:r>
    </w:p>
    <w:p w14:paraId="2F540572">
      <w:pPr>
        <w:pStyle w:val="4"/>
        <w:widowControl/>
        <w:shd w:val="clear" w:color="auto" w:fill="FFFFFF"/>
        <w:spacing w:before="0" w:beforeAutospacing="0" w:after="0" w:afterAutospacing="0" w:line="480" w:lineRule="auto"/>
        <w:ind w:firstLine="640"/>
        <w:jc w:val="both"/>
        <w:rPr>
          <w:rFonts w:ascii="仿宋" w:hAnsi="仿宋" w:eastAsia="仿宋" w:cs="仿宋"/>
          <w:bCs/>
          <w:color w:val="000000"/>
          <w:sz w:val="30"/>
          <w:szCs w:val="30"/>
        </w:rPr>
      </w:pPr>
      <w:r>
        <w:rPr>
          <w:rFonts w:hint="eastAsia" w:ascii="仿宋" w:hAnsi="仿宋" w:eastAsia="仿宋" w:cs="仿宋"/>
          <w:bCs/>
          <w:color w:val="000000"/>
          <w:sz w:val="30"/>
          <w:szCs w:val="30"/>
        </w:rPr>
        <w:t>1、项目资金安排落实、总投入情况</w:t>
      </w:r>
    </w:p>
    <w:p w14:paraId="30790BD3">
      <w:pPr>
        <w:pStyle w:val="4"/>
        <w:widowControl/>
        <w:shd w:val="clear" w:color="auto" w:fill="FFFFFF"/>
        <w:spacing w:before="0" w:beforeAutospacing="0" w:after="0" w:afterAutospacing="0" w:line="480" w:lineRule="auto"/>
        <w:ind w:firstLine="600" w:firstLineChars="200"/>
        <w:rPr>
          <w:rFonts w:ascii="仿宋" w:hAnsi="仿宋" w:eastAsia="仿宋" w:cs="仿宋"/>
          <w:sz w:val="30"/>
          <w:szCs w:val="30"/>
        </w:rPr>
      </w:pPr>
      <w:r>
        <w:rPr>
          <w:rFonts w:hint="eastAsia" w:ascii="仿宋" w:hAnsi="仿宋" w:eastAsia="仿宋" w:cs="仿宋"/>
          <w:kern w:val="2"/>
          <w:sz w:val="30"/>
          <w:szCs w:val="30"/>
        </w:rPr>
        <w:t>2025年度我局专项经费共21项，调整预算总金额</w:t>
      </w:r>
      <w:r>
        <w:rPr>
          <w:rFonts w:hint="eastAsia" w:ascii="仿宋" w:hAnsi="仿宋" w:eastAsia="仿宋" w:cs="仿宋"/>
          <w:sz w:val="30"/>
          <w:szCs w:val="30"/>
        </w:rPr>
        <w:t>6688.65</w:t>
      </w:r>
      <w:r>
        <w:rPr>
          <w:rFonts w:hint="eastAsia" w:ascii="仿宋" w:hAnsi="仿宋" w:eastAsia="仿宋" w:cs="仿宋"/>
          <w:kern w:val="2"/>
          <w:sz w:val="30"/>
          <w:szCs w:val="30"/>
        </w:rPr>
        <w:t>万元，实际收到专项资金</w:t>
      </w:r>
      <w:r>
        <w:rPr>
          <w:rFonts w:hint="eastAsia" w:ascii="仿宋" w:hAnsi="仿宋" w:eastAsia="仿宋" w:cs="仿宋"/>
          <w:sz w:val="30"/>
          <w:szCs w:val="30"/>
        </w:rPr>
        <w:t>6688.65</w:t>
      </w:r>
      <w:r>
        <w:rPr>
          <w:rFonts w:hint="eastAsia" w:ascii="仿宋" w:hAnsi="仿宋" w:eastAsia="仿宋" w:cs="仿宋"/>
          <w:kern w:val="2"/>
          <w:sz w:val="30"/>
          <w:szCs w:val="30"/>
        </w:rPr>
        <w:t>万元,预算资金到位率</w:t>
      </w:r>
      <w:r>
        <w:rPr>
          <w:rFonts w:hint="eastAsia" w:ascii="仿宋" w:hAnsi="仿宋" w:eastAsia="仿宋" w:cs="仿宋"/>
          <w:sz w:val="30"/>
          <w:szCs w:val="30"/>
        </w:rPr>
        <w:t>100</w:t>
      </w:r>
      <w:r>
        <w:rPr>
          <w:rFonts w:hint="eastAsia" w:ascii="仿宋" w:hAnsi="仿宋" w:eastAsia="仿宋" w:cs="仿宋"/>
          <w:kern w:val="2"/>
          <w:sz w:val="30"/>
          <w:szCs w:val="30"/>
        </w:rPr>
        <w:t>%</w:t>
      </w:r>
      <w:r>
        <w:rPr>
          <w:rFonts w:hint="eastAsia" w:ascii="仿宋" w:hAnsi="仿宋" w:eastAsia="仿宋" w:cs="仿宋"/>
          <w:sz w:val="30"/>
          <w:szCs w:val="30"/>
        </w:rPr>
        <w:t>。</w:t>
      </w:r>
    </w:p>
    <w:p w14:paraId="7B2D8F58">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）旅发大会安保装备建设经费706.67万元；</w:t>
      </w:r>
    </w:p>
    <w:p w14:paraId="4911890A">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2</w:t>
      </w:r>
      <w:r>
        <w:rPr>
          <w:rFonts w:hint="eastAsia" w:ascii="仿宋" w:hAnsi="仿宋" w:eastAsia="仿宋" w:cs="仿宋"/>
          <w:color w:val="000000"/>
          <w:sz w:val="30"/>
          <w:szCs w:val="30"/>
        </w:rPr>
        <w:t>）转移支付其他专项资金33万元；</w:t>
      </w:r>
      <w:r>
        <w:rPr>
          <w:rFonts w:ascii="仿宋" w:hAnsi="仿宋" w:eastAsia="仿宋" w:cs="仿宋"/>
          <w:color w:val="000000"/>
          <w:sz w:val="30"/>
          <w:szCs w:val="30"/>
        </w:rPr>
        <w:t xml:space="preserve"> </w:t>
      </w:r>
    </w:p>
    <w:p w14:paraId="105224D6">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（3）特警支队装备建设经费16万元；</w:t>
      </w:r>
    </w:p>
    <w:p w14:paraId="2335A6C6">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（4）警犬繁育及驯养经费20万元；</w:t>
      </w:r>
    </w:p>
    <w:p w14:paraId="4F1BC10A">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（5）上级补助装备经费310万元</w:t>
      </w:r>
      <w:r>
        <w:rPr>
          <w:rFonts w:ascii="仿宋" w:hAnsi="仿宋" w:eastAsia="仿宋" w:cs="仿宋"/>
          <w:color w:val="000000"/>
          <w:sz w:val="30"/>
          <w:szCs w:val="30"/>
        </w:rPr>
        <w:t>;</w:t>
      </w:r>
    </w:p>
    <w:p w14:paraId="461B7B52">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（6）上级补助办案经费860万元</w:t>
      </w:r>
      <w:r>
        <w:rPr>
          <w:rFonts w:ascii="仿宋" w:hAnsi="仿宋" w:eastAsia="仿宋" w:cs="仿宋"/>
          <w:color w:val="000000"/>
          <w:sz w:val="30"/>
          <w:szCs w:val="30"/>
        </w:rPr>
        <w:t>;</w:t>
      </w:r>
    </w:p>
    <w:p w14:paraId="67473514">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（7）武装巡逻车辆运行维护经费45万元；</w:t>
      </w:r>
    </w:p>
    <w:p w14:paraId="79E39504">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（8）打击电话诈骗专项经费90万元；</w:t>
      </w:r>
    </w:p>
    <w:p w14:paraId="2F5E350E">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（9）辅警经费（局机关）793.6万元；</w:t>
      </w:r>
    </w:p>
    <w:p w14:paraId="77C532CB">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0）辅警经费（城市快警）318万元；</w:t>
      </w:r>
    </w:p>
    <w:p w14:paraId="0A85E6E9">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1）辅警经费（留置看护）2678万元；</w:t>
      </w:r>
    </w:p>
    <w:p w14:paraId="48023C4D">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2）天网工程一期运维费358.8万元；</w:t>
      </w:r>
    </w:p>
    <w:p w14:paraId="06C814BA">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3）非税专项追加预算后8.08万元；</w:t>
      </w:r>
    </w:p>
    <w:p w14:paraId="75DA6087">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4）人民警察执勤岗位津贴141.3万元；</w:t>
      </w:r>
    </w:p>
    <w:p w14:paraId="436CFC83">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5）司法救助金17.4万元；</w:t>
      </w:r>
      <w:r>
        <w:rPr>
          <w:rFonts w:ascii="仿宋" w:hAnsi="仿宋" w:eastAsia="仿宋" w:cs="仿宋"/>
          <w:color w:val="000000"/>
          <w:sz w:val="30"/>
          <w:szCs w:val="30"/>
        </w:rPr>
        <w:t xml:space="preserve"> </w:t>
      </w:r>
    </w:p>
    <w:p w14:paraId="3F648472">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（16）人民警察伤亡特殊补助金18万元；</w:t>
      </w:r>
    </w:p>
    <w:p w14:paraId="6A3C6FD3">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（17）建国初期退休干部医疗补助0.8万元；</w:t>
      </w:r>
    </w:p>
    <w:p w14:paraId="4DFD035D">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（18）大病医疗救助2万元；</w:t>
      </w:r>
    </w:p>
    <w:p w14:paraId="1EB6BB5D">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（19）其他专项资金（含3项涉密项目）272万元。</w:t>
      </w:r>
    </w:p>
    <w:p w14:paraId="214BFE70">
      <w:pPr>
        <w:pStyle w:val="4"/>
        <w:widowControl/>
        <w:shd w:val="clear" w:color="auto" w:fill="FFFFFF"/>
        <w:spacing w:before="0" w:beforeAutospacing="0" w:after="0" w:afterAutospacing="0" w:line="480" w:lineRule="auto"/>
        <w:ind w:firstLine="789" w:firstLineChars="263"/>
        <w:jc w:val="both"/>
        <w:rPr>
          <w:rFonts w:ascii="仿宋" w:hAnsi="仿宋" w:eastAsia="仿宋" w:cs="仿宋"/>
          <w:color w:val="000000"/>
          <w:sz w:val="30"/>
          <w:szCs w:val="30"/>
        </w:rPr>
      </w:pPr>
      <w:r>
        <w:rPr>
          <w:rFonts w:hint="eastAsia" w:ascii="仿宋" w:hAnsi="仿宋" w:eastAsia="仿宋" w:cs="仿宋"/>
          <w:color w:val="000000"/>
          <w:sz w:val="30"/>
          <w:szCs w:val="30"/>
        </w:rPr>
        <w:t>2、项目资金实际使用情况</w:t>
      </w:r>
    </w:p>
    <w:p w14:paraId="6F972369">
      <w:pPr>
        <w:pStyle w:val="4"/>
        <w:widowControl/>
        <w:shd w:val="clear" w:color="auto" w:fill="FFFFFF"/>
        <w:spacing w:before="0" w:beforeAutospacing="0" w:after="0" w:afterAutospacing="0" w:line="480" w:lineRule="auto"/>
        <w:ind w:firstLine="789" w:firstLineChars="263"/>
        <w:jc w:val="both"/>
        <w:rPr>
          <w:rFonts w:ascii="仿宋" w:hAnsi="仿宋" w:eastAsia="仿宋" w:cs="仿宋"/>
          <w:color w:val="000000"/>
          <w:sz w:val="30"/>
          <w:szCs w:val="30"/>
        </w:rPr>
      </w:pPr>
      <w:r>
        <w:rPr>
          <w:rFonts w:ascii="仿宋" w:hAnsi="仿宋" w:eastAsia="仿宋" w:cs="仿宋"/>
          <w:color w:val="000000"/>
          <w:sz w:val="30"/>
          <w:szCs w:val="30"/>
        </w:rPr>
        <w:t>202</w:t>
      </w:r>
      <w:r>
        <w:rPr>
          <w:rFonts w:hint="eastAsia" w:ascii="仿宋" w:hAnsi="仿宋" w:eastAsia="仿宋" w:cs="仿宋"/>
          <w:color w:val="000000"/>
          <w:sz w:val="30"/>
          <w:szCs w:val="30"/>
        </w:rPr>
        <w:t>5年专项资金实际支出6688.65万元，</w:t>
      </w:r>
      <w:r>
        <w:rPr>
          <w:rFonts w:hint="eastAsia" w:ascii="仿宋" w:hAnsi="仿宋" w:eastAsia="仿宋" w:cs="仿宋"/>
          <w:sz w:val="30"/>
          <w:szCs w:val="30"/>
        </w:rPr>
        <w:t>预算执行率100%</w:t>
      </w:r>
      <w:r>
        <w:rPr>
          <w:rFonts w:ascii="仿宋" w:hAnsi="仿宋" w:eastAsia="仿宋" w:cs="仿宋"/>
          <w:color w:val="000000"/>
          <w:sz w:val="30"/>
          <w:szCs w:val="30"/>
        </w:rPr>
        <w:t>,</w:t>
      </w:r>
      <w:r>
        <w:rPr>
          <w:rFonts w:hint="eastAsia" w:ascii="仿宋" w:hAnsi="仿宋" w:eastAsia="仿宋" w:cs="仿宋"/>
          <w:color w:val="000000"/>
          <w:sz w:val="30"/>
          <w:szCs w:val="30"/>
        </w:rPr>
        <w:t>其中</w:t>
      </w:r>
      <w:r>
        <w:rPr>
          <w:rFonts w:ascii="仿宋" w:hAnsi="仿宋" w:eastAsia="仿宋" w:cs="仿宋"/>
          <w:color w:val="000000"/>
          <w:sz w:val="30"/>
          <w:szCs w:val="30"/>
        </w:rPr>
        <w:t>:</w:t>
      </w:r>
    </w:p>
    <w:p w14:paraId="72A5E534">
      <w:pPr>
        <w:pStyle w:val="4"/>
        <w:widowControl/>
        <w:shd w:val="clear" w:color="auto" w:fill="FFFFFF"/>
        <w:spacing w:before="0" w:beforeAutospacing="0" w:after="0" w:afterAutospacing="0" w:line="480" w:lineRule="auto"/>
        <w:ind w:firstLine="640"/>
        <w:jc w:val="both"/>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1</w:t>
      </w:r>
      <w:r>
        <w:rPr>
          <w:rFonts w:hint="eastAsia" w:ascii="仿宋" w:hAnsi="仿宋" w:eastAsia="仿宋" w:cs="仿宋"/>
          <w:sz w:val="30"/>
          <w:szCs w:val="30"/>
        </w:rPr>
        <w:t>）旅发大会安保装备建设经费收到706.67万元，实际支出706.67万元，预算执行率</w:t>
      </w:r>
      <w:r>
        <w:rPr>
          <w:rFonts w:ascii="仿宋" w:hAnsi="仿宋" w:eastAsia="仿宋" w:cs="仿宋"/>
          <w:sz w:val="30"/>
          <w:szCs w:val="30"/>
        </w:rPr>
        <w:t>100%</w:t>
      </w:r>
      <w:r>
        <w:rPr>
          <w:rFonts w:hint="eastAsia" w:ascii="仿宋" w:hAnsi="仿宋" w:eastAsia="仿宋" w:cs="仿宋"/>
          <w:sz w:val="30"/>
          <w:szCs w:val="30"/>
        </w:rPr>
        <w:t>；</w:t>
      </w:r>
    </w:p>
    <w:p w14:paraId="45A5EA18">
      <w:pPr>
        <w:pStyle w:val="4"/>
        <w:widowControl/>
        <w:shd w:val="clear" w:color="auto" w:fill="FFFFFF"/>
        <w:spacing w:before="0" w:beforeAutospacing="0" w:after="0" w:afterAutospacing="0" w:line="480" w:lineRule="auto"/>
        <w:ind w:firstLine="640"/>
        <w:jc w:val="both"/>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2</w:t>
      </w:r>
      <w:r>
        <w:rPr>
          <w:rFonts w:hint="eastAsia" w:ascii="仿宋" w:hAnsi="仿宋" w:eastAsia="仿宋" w:cs="仿宋"/>
          <w:sz w:val="30"/>
          <w:szCs w:val="30"/>
        </w:rPr>
        <w:t>）转移支付其他专项资金收到33万元，实际支出33万元，预算执行率</w:t>
      </w:r>
      <w:r>
        <w:rPr>
          <w:rFonts w:ascii="仿宋" w:hAnsi="仿宋" w:eastAsia="仿宋" w:cs="仿宋"/>
          <w:sz w:val="30"/>
          <w:szCs w:val="30"/>
        </w:rPr>
        <w:t>100%</w:t>
      </w:r>
      <w:r>
        <w:rPr>
          <w:rFonts w:hint="eastAsia" w:ascii="仿宋" w:hAnsi="仿宋" w:eastAsia="仿宋" w:cs="仿宋"/>
          <w:sz w:val="30"/>
          <w:szCs w:val="30"/>
        </w:rPr>
        <w:t>；</w:t>
      </w:r>
      <w:r>
        <w:rPr>
          <w:rFonts w:ascii="仿宋" w:hAnsi="仿宋" w:eastAsia="仿宋" w:cs="仿宋"/>
          <w:sz w:val="30"/>
          <w:szCs w:val="30"/>
        </w:rPr>
        <w:t xml:space="preserve"> </w:t>
      </w:r>
    </w:p>
    <w:p w14:paraId="322E4007">
      <w:pPr>
        <w:pStyle w:val="4"/>
        <w:widowControl/>
        <w:shd w:val="clear" w:color="auto" w:fill="FFFFFF"/>
        <w:spacing w:before="0" w:beforeAutospacing="0" w:after="0" w:afterAutospacing="0" w:line="480" w:lineRule="auto"/>
        <w:ind w:firstLine="640"/>
        <w:jc w:val="both"/>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3</w:t>
      </w:r>
      <w:r>
        <w:rPr>
          <w:rFonts w:hint="eastAsia" w:ascii="仿宋" w:hAnsi="仿宋" w:eastAsia="仿宋" w:cs="仿宋"/>
          <w:sz w:val="30"/>
          <w:szCs w:val="30"/>
        </w:rPr>
        <w:t>）特警支队装备建设经费收到16万元，实际支出16万元，预算执行率</w:t>
      </w:r>
      <w:r>
        <w:rPr>
          <w:rFonts w:ascii="仿宋" w:hAnsi="仿宋" w:eastAsia="仿宋" w:cs="仿宋"/>
          <w:sz w:val="30"/>
          <w:szCs w:val="30"/>
        </w:rPr>
        <w:t>100%</w:t>
      </w:r>
      <w:r>
        <w:rPr>
          <w:rFonts w:hint="eastAsia" w:ascii="仿宋" w:hAnsi="仿宋" w:eastAsia="仿宋" w:cs="仿宋"/>
          <w:sz w:val="30"/>
          <w:szCs w:val="30"/>
        </w:rPr>
        <w:t>；</w:t>
      </w:r>
    </w:p>
    <w:p w14:paraId="6508A8C8">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4</w:t>
      </w:r>
      <w:r>
        <w:rPr>
          <w:rFonts w:hint="eastAsia" w:ascii="仿宋" w:hAnsi="仿宋" w:eastAsia="仿宋" w:cs="仿宋"/>
          <w:color w:val="000000"/>
          <w:sz w:val="30"/>
          <w:szCs w:val="30"/>
        </w:rPr>
        <w:t>）警犬繁育及驯养经费收到20万元，实际支出20万元，预算执行率</w:t>
      </w:r>
      <w:r>
        <w:rPr>
          <w:rFonts w:ascii="仿宋" w:hAnsi="仿宋" w:eastAsia="仿宋" w:cs="仿宋"/>
          <w:color w:val="000000"/>
          <w:sz w:val="30"/>
          <w:szCs w:val="30"/>
        </w:rPr>
        <w:t>100%</w:t>
      </w:r>
      <w:r>
        <w:rPr>
          <w:rFonts w:hint="eastAsia" w:ascii="仿宋" w:hAnsi="仿宋" w:eastAsia="仿宋" w:cs="仿宋"/>
          <w:color w:val="000000"/>
          <w:sz w:val="30"/>
          <w:szCs w:val="30"/>
        </w:rPr>
        <w:t>；</w:t>
      </w:r>
    </w:p>
    <w:p w14:paraId="11E53D75">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（5）上级补助装备经费收到310万元，</w:t>
      </w:r>
      <w:r>
        <w:rPr>
          <w:rFonts w:hint="eastAsia" w:ascii="仿宋" w:hAnsi="仿宋" w:eastAsia="仿宋" w:cs="仿宋"/>
          <w:sz w:val="30"/>
          <w:szCs w:val="30"/>
        </w:rPr>
        <w:t>实际支出310万元，预算执行率100</w:t>
      </w:r>
      <w:r>
        <w:rPr>
          <w:rFonts w:ascii="仿宋" w:hAnsi="仿宋" w:eastAsia="仿宋" w:cs="仿宋"/>
          <w:sz w:val="30"/>
          <w:szCs w:val="30"/>
        </w:rPr>
        <w:t>%</w:t>
      </w:r>
      <w:r>
        <w:rPr>
          <w:rFonts w:hint="eastAsia" w:ascii="仿宋" w:hAnsi="仿宋" w:eastAsia="仿宋" w:cs="仿宋"/>
          <w:sz w:val="30"/>
          <w:szCs w:val="30"/>
        </w:rPr>
        <w:t>；</w:t>
      </w:r>
    </w:p>
    <w:p w14:paraId="4C849FAD">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（6）上级补助办案经费收到860万元，实际支出860万元，预算执行率</w:t>
      </w:r>
      <w:r>
        <w:rPr>
          <w:rFonts w:ascii="仿宋" w:hAnsi="仿宋" w:eastAsia="仿宋" w:cs="仿宋"/>
          <w:color w:val="000000"/>
          <w:sz w:val="30"/>
          <w:szCs w:val="30"/>
        </w:rPr>
        <w:t>100%;</w:t>
      </w:r>
    </w:p>
    <w:p w14:paraId="2A1F22E7">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（7）武装巡逻车辆运行维护经费收到45万元，实际支出45万元，预算执行率</w:t>
      </w:r>
      <w:r>
        <w:rPr>
          <w:rFonts w:ascii="仿宋" w:hAnsi="仿宋" w:eastAsia="仿宋" w:cs="仿宋"/>
          <w:color w:val="000000"/>
          <w:sz w:val="30"/>
          <w:szCs w:val="30"/>
        </w:rPr>
        <w:t>100%</w:t>
      </w:r>
      <w:r>
        <w:rPr>
          <w:rFonts w:hint="eastAsia" w:ascii="仿宋" w:hAnsi="仿宋" w:eastAsia="仿宋" w:cs="仿宋"/>
          <w:color w:val="000000"/>
          <w:sz w:val="30"/>
          <w:szCs w:val="30"/>
        </w:rPr>
        <w:t>；</w:t>
      </w:r>
    </w:p>
    <w:p w14:paraId="5FC679A8">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（8）打击电话诈骗专项经费收到90万元，实际支出90万元，预算执行率</w:t>
      </w:r>
      <w:r>
        <w:rPr>
          <w:rFonts w:ascii="仿宋" w:hAnsi="仿宋" w:eastAsia="仿宋" w:cs="仿宋"/>
          <w:color w:val="000000"/>
          <w:sz w:val="30"/>
          <w:szCs w:val="30"/>
        </w:rPr>
        <w:t>100%</w:t>
      </w:r>
      <w:r>
        <w:rPr>
          <w:rFonts w:hint="eastAsia" w:ascii="仿宋" w:hAnsi="仿宋" w:eastAsia="仿宋" w:cs="仿宋"/>
          <w:color w:val="000000"/>
          <w:sz w:val="30"/>
          <w:szCs w:val="30"/>
        </w:rPr>
        <w:t>；</w:t>
      </w:r>
    </w:p>
    <w:p w14:paraId="5B545A75">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（9）辅警经费（局机关）收到793.6万元，实际支出793.6万元，预算执行率</w:t>
      </w:r>
      <w:r>
        <w:rPr>
          <w:rFonts w:ascii="仿宋" w:hAnsi="仿宋" w:eastAsia="仿宋" w:cs="仿宋"/>
          <w:color w:val="000000"/>
          <w:sz w:val="30"/>
          <w:szCs w:val="30"/>
        </w:rPr>
        <w:t>100%</w:t>
      </w:r>
      <w:r>
        <w:rPr>
          <w:rFonts w:hint="eastAsia" w:ascii="仿宋" w:hAnsi="仿宋" w:eastAsia="仿宋" w:cs="仿宋"/>
          <w:color w:val="000000"/>
          <w:sz w:val="30"/>
          <w:szCs w:val="30"/>
        </w:rPr>
        <w:t>；</w:t>
      </w:r>
    </w:p>
    <w:p w14:paraId="3480968D">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0）辅警经费（城市快警）收到318万元，实际支出318万元，预算执行率</w:t>
      </w:r>
      <w:r>
        <w:rPr>
          <w:rFonts w:ascii="仿宋" w:hAnsi="仿宋" w:eastAsia="仿宋" w:cs="仿宋"/>
          <w:color w:val="000000"/>
          <w:sz w:val="30"/>
          <w:szCs w:val="30"/>
        </w:rPr>
        <w:t>100%</w:t>
      </w:r>
      <w:r>
        <w:rPr>
          <w:rFonts w:hint="eastAsia" w:ascii="仿宋" w:hAnsi="仿宋" w:eastAsia="仿宋" w:cs="仿宋"/>
          <w:color w:val="000000"/>
          <w:sz w:val="30"/>
          <w:szCs w:val="30"/>
        </w:rPr>
        <w:t>；</w:t>
      </w:r>
    </w:p>
    <w:p w14:paraId="277AFE85">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1）辅警经费（留置看护）收到2678万元，实际支出2678万元，预算执行率</w:t>
      </w:r>
      <w:r>
        <w:rPr>
          <w:rFonts w:ascii="仿宋" w:hAnsi="仿宋" w:eastAsia="仿宋" w:cs="仿宋"/>
          <w:color w:val="000000"/>
          <w:sz w:val="30"/>
          <w:szCs w:val="30"/>
        </w:rPr>
        <w:t>100%</w:t>
      </w:r>
      <w:r>
        <w:rPr>
          <w:rFonts w:hint="eastAsia" w:ascii="仿宋" w:hAnsi="仿宋" w:eastAsia="仿宋" w:cs="仿宋"/>
          <w:color w:val="000000"/>
          <w:sz w:val="30"/>
          <w:szCs w:val="30"/>
        </w:rPr>
        <w:t>；</w:t>
      </w:r>
    </w:p>
    <w:p w14:paraId="3142BC16">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（12）天网工程一期运维费收到358.8万元，实际支出358.8万元，预算执行率</w:t>
      </w:r>
      <w:r>
        <w:rPr>
          <w:rFonts w:ascii="仿宋" w:hAnsi="仿宋" w:eastAsia="仿宋" w:cs="仿宋"/>
          <w:color w:val="000000"/>
          <w:sz w:val="30"/>
          <w:szCs w:val="30"/>
        </w:rPr>
        <w:t>100%</w:t>
      </w:r>
      <w:r>
        <w:rPr>
          <w:rFonts w:hint="eastAsia" w:ascii="仿宋" w:hAnsi="仿宋" w:eastAsia="仿宋" w:cs="仿宋"/>
          <w:color w:val="000000"/>
          <w:sz w:val="30"/>
          <w:szCs w:val="30"/>
        </w:rPr>
        <w:t>；</w:t>
      </w:r>
    </w:p>
    <w:p w14:paraId="25C4AC4D">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3）非税专项收到8.08万元，实际支出8.08万元，预算执行率</w:t>
      </w:r>
      <w:r>
        <w:rPr>
          <w:rFonts w:hint="eastAsia" w:ascii="仿宋" w:hAnsi="仿宋" w:eastAsia="仿宋" w:cs="仿宋"/>
          <w:sz w:val="30"/>
          <w:szCs w:val="30"/>
        </w:rPr>
        <w:t>100</w:t>
      </w:r>
      <w:r>
        <w:rPr>
          <w:rFonts w:ascii="仿宋" w:hAnsi="仿宋" w:eastAsia="仿宋" w:cs="仿宋"/>
          <w:color w:val="000000"/>
          <w:sz w:val="30"/>
          <w:szCs w:val="30"/>
        </w:rPr>
        <w:t>%</w:t>
      </w:r>
      <w:r>
        <w:rPr>
          <w:rFonts w:hint="eastAsia" w:ascii="仿宋" w:hAnsi="仿宋" w:eastAsia="仿宋" w:cs="仿宋"/>
          <w:color w:val="000000"/>
          <w:sz w:val="30"/>
          <w:szCs w:val="30"/>
        </w:rPr>
        <w:t>；</w:t>
      </w:r>
    </w:p>
    <w:p w14:paraId="20D93144">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4）人民警察执勤岗位津贴收到141.3万元，实际支出141.3万元，预算执行率</w:t>
      </w:r>
      <w:r>
        <w:rPr>
          <w:rFonts w:ascii="仿宋" w:hAnsi="仿宋" w:eastAsia="仿宋" w:cs="仿宋"/>
          <w:color w:val="000000"/>
          <w:sz w:val="30"/>
          <w:szCs w:val="30"/>
        </w:rPr>
        <w:t>100%</w:t>
      </w:r>
      <w:r>
        <w:rPr>
          <w:rFonts w:hint="eastAsia" w:ascii="仿宋" w:hAnsi="仿宋" w:eastAsia="仿宋" w:cs="仿宋"/>
          <w:color w:val="000000"/>
          <w:sz w:val="30"/>
          <w:szCs w:val="30"/>
        </w:rPr>
        <w:t>；</w:t>
      </w:r>
    </w:p>
    <w:p w14:paraId="3FC8CE7F">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5）司法救助金收到17.4万元，实际支出17.4万元，预算执行率</w:t>
      </w:r>
      <w:r>
        <w:rPr>
          <w:rFonts w:hint="eastAsia" w:ascii="仿宋" w:hAnsi="仿宋" w:eastAsia="仿宋" w:cs="仿宋"/>
          <w:sz w:val="30"/>
          <w:szCs w:val="30"/>
        </w:rPr>
        <w:t>100</w:t>
      </w:r>
      <w:r>
        <w:rPr>
          <w:rFonts w:ascii="仿宋" w:hAnsi="仿宋" w:eastAsia="仿宋" w:cs="仿宋"/>
          <w:color w:val="000000"/>
          <w:sz w:val="30"/>
          <w:szCs w:val="30"/>
        </w:rPr>
        <w:t>%</w:t>
      </w:r>
      <w:r>
        <w:rPr>
          <w:rFonts w:hint="eastAsia" w:ascii="仿宋" w:hAnsi="仿宋" w:eastAsia="仿宋" w:cs="仿宋"/>
          <w:color w:val="000000"/>
          <w:sz w:val="30"/>
          <w:szCs w:val="30"/>
        </w:rPr>
        <w:t>；</w:t>
      </w:r>
      <w:r>
        <w:rPr>
          <w:rFonts w:ascii="仿宋" w:hAnsi="仿宋" w:eastAsia="仿宋" w:cs="仿宋"/>
          <w:color w:val="000000"/>
          <w:sz w:val="30"/>
          <w:szCs w:val="30"/>
        </w:rPr>
        <w:t xml:space="preserve"> </w:t>
      </w:r>
    </w:p>
    <w:p w14:paraId="557462B5">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（16）人民警察伤亡特殊补助金收到18</w:t>
      </w:r>
      <w:r>
        <w:rPr>
          <w:rFonts w:ascii="仿宋" w:hAnsi="仿宋" w:eastAsia="仿宋" w:cs="仿宋"/>
          <w:color w:val="000000"/>
          <w:sz w:val="30"/>
          <w:szCs w:val="30"/>
        </w:rPr>
        <w:t>.00</w:t>
      </w:r>
      <w:r>
        <w:rPr>
          <w:rFonts w:hint="eastAsia" w:ascii="仿宋" w:hAnsi="仿宋" w:eastAsia="仿宋" w:cs="仿宋"/>
          <w:color w:val="000000"/>
          <w:sz w:val="30"/>
          <w:szCs w:val="30"/>
        </w:rPr>
        <w:t>万元，实际支出18</w:t>
      </w:r>
      <w:r>
        <w:rPr>
          <w:rFonts w:ascii="仿宋" w:hAnsi="仿宋" w:eastAsia="仿宋" w:cs="仿宋"/>
          <w:color w:val="000000"/>
          <w:sz w:val="30"/>
          <w:szCs w:val="30"/>
        </w:rPr>
        <w:t>.00</w:t>
      </w:r>
      <w:r>
        <w:rPr>
          <w:rFonts w:hint="eastAsia" w:ascii="仿宋" w:hAnsi="仿宋" w:eastAsia="仿宋" w:cs="仿宋"/>
          <w:color w:val="000000"/>
          <w:sz w:val="30"/>
          <w:szCs w:val="30"/>
        </w:rPr>
        <w:t>万元，预算执行率</w:t>
      </w:r>
      <w:r>
        <w:rPr>
          <w:rFonts w:ascii="仿宋" w:hAnsi="仿宋" w:eastAsia="仿宋" w:cs="仿宋"/>
          <w:color w:val="000000"/>
          <w:sz w:val="30"/>
          <w:szCs w:val="30"/>
        </w:rPr>
        <w:t>100%</w:t>
      </w:r>
      <w:r>
        <w:rPr>
          <w:rFonts w:hint="eastAsia" w:ascii="仿宋" w:hAnsi="仿宋" w:eastAsia="仿宋" w:cs="仿宋"/>
          <w:color w:val="000000"/>
          <w:sz w:val="30"/>
          <w:szCs w:val="30"/>
        </w:rPr>
        <w:t>；</w:t>
      </w:r>
    </w:p>
    <w:p w14:paraId="79CA7356">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（17）建国初期退休干部医疗补助收到0.8万元，实际支出0.8万元，预算执行率</w:t>
      </w:r>
      <w:r>
        <w:rPr>
          <w:rFonts w:ascii="仿宋" w:hAnsi="仿宋" w:eastAsia="仿宋" w:cs="仿宋"/>
          <w:color w:val="000000"/>
          <w:sz w:val="30"/>
          <w:szCs w:val="30"/>
        </w:rPr>
        <w:t>100%</w:t>
      </w:r>
      <w:r>
        <w:rPr>
          <w:rFonts w:hint="eastAsia" w:ascii="仿宋" w:hAnsi="仿宋" w:eastAsia="仿宋" w:cs="仿宋"/>
          <w:color w:val="000000"/>
          <w:sz w:val="30"/>
          <w:szCs w:val="30"/>
        </w:rPr>
        <w:t>。</w:t>
      </w:r>
    </w:p>
    <w:p w14:paraId="6B95D672">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（18）大病医疗救助收到2万元，实际支出2万元，预算执行率</w:t>
      </w:r>
      <w:r>
        <w:rPr>
          <w:rFonts w:ascii="仿宋" w:hAnsi="仿宋" w:eastAsia="仿宋" w:cs="仿宋"/>
          <w:color w:val="000000"/>
          <w:sz w:val="30"/>
          <w:szCs w:val="30"/>
        </w:rPr>
        <w:t>100%</w:t>
      </w:r>
      <w:r>
        <w:rPr>
          <w:rFonts w:hint="eastAsia" w:ascii="仿宋" w:hAnsi="仿宋" w:eastAsia="仿宋" w:cs="仿宋"/>
          <w:color w:val="000000"/>
          <w:sz w:val="30"/>
          <w:szCs w:val="30"/>
        </w:rPr>
        <w:t>。</w:t>
      </w:r>
    </w:p>
    <w:p w14:paraId="6330649B">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（19） 其他专项资金（含3项涉密项目）收到272万元，实际支出272万元，预算执行率</w:t>
      </w:r>
      <w:r>
        <w:rPr>
          <w:rFonts w:ascii="仿宋" w:hAnsi="仿宋" w:eastAsia="仿宋" w:cs="仿宋"/>
          <w:color w:val="000000"/>
          <w:sz w:val="30"/>
          <w:szCs w:val="30"/>
        </w:rPr>
        <w:t>100%</w:t>
      </w:r>
      <w:r>
        <w:rPr>
          <w:rFonts w:hint="eastAsia" w:ascii="仿宋" w:hAnsi="仿宋" w:eastAsia="仿宋" w:cs="仿宋"/>
          <w:color w:val="000000"/>
          <w:sz w:val="30"/>
          <w:szCs w:val="30"/>
        </w:rPr>
        <w:t>。</w:t>
      </w:r>
    </w:p>
    <w:p w14:paraId="0D444990">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3、项目资金管理情况分析</w:t>
      </w:r>
    </w:p>
    <w:p w14:paraId="7372A658">
      <w:pPr>
        <w:pStyle w:val="4"/>
        <w:widowControl/>
        <w:shd w:val="clear" w:color="auto" w:fill="FFFFFF"/>
        <w:spacing w:before="0" w:beforeAutospacing="0" w:after="0" w:afterAutospacing="0" w:line="480" w:lineRule="auto"/>
        <w:ind w:firstLine="789" w:firstLineChars="263"/>
        <w:jc w:val="both"/>
        <w:rPr>
          <w:rFonts w:ascii="仿宋" w:hAnsi="仿宋" w:eastAsia="仿宋" w:cs="仿宋"/>
          <w:color w:val="000000"/>
          <w:sz w:val="30"/>
          <w:szCs w:val="30"/>
        </w:rPr>
      </w:pPr>
      <w:r>
        <w:rPr>
          <w:rFonts w:hint="eastAsia" w:ascii="仿宋" w:hAnsi="仿宋" w:eastAsia="仿宋" w:cs="仿宋"/>
          <w:color w:val="000000"/>
          <w:sz w:val="30"/>
          <w:szCs w:val="30"/>
        </w:rPr>
        <w:t>根据专项资金管理的要求，我局制定了多项管理办法，在内控制度中设置了《专项资金管理办法》，并严格按照管理办法执行。一是严格按预算开支，没有超标准、超规模、超范围开支；二是严格开支管理，做到了专款专用，不存在截</w:t>
      </w:r>
      <w:r>
        <w:rPr>
          <w:rFonts w:hint="eastAsia" w:ascii="仿宋" w:hAnsi="仿宋" w:eastAsia="仿宋" w:cs="仿宋"/>
          <w:color w:val="000000"/>
          <w:sz w:val="30"/>
          <w:szCs w:val="30"/>
          <w:lang w:eastAsia="zh-CN"/>
        </w:rPr>
        <w:t>留</w:t>
      </w:r>
      <w:r>
        <w:rPr>
          <w:rFonts w:hint="eastAsia" w:ascii="仿宋" w:hAnsi="仿宋" w:eastAsia="仿宋" w:cs="仿宋"/>
          <w:color w:val="000000"/>
          <w:sz w:val="30"/>
          <w:szCs w:val="30"/>
        </w:rPr>
        <w:t>、挤占、挪用的情况；三是加强内部检查和审计，进行定期或不定期的检查、审计，确保专项资金落实到位。</w:t>
      </w:r>
    </w:p>
    <w:p w14:paraId="078C5348">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三、项目组织实施情况</w:t>
      </w:r>
    </w:p>
    <w:p w14:paraId="13CDD5F3">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（一）项目组织情况</w:t>
      </w:r>
    </w:p>
    <w:p w14:paraId="523BAD44">
      <w:pPr>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 xml:space="preserve"> 2025年我单位申报的政府采购项目共8个，涉及项目预算2128.59万元，中标金额2098.54万元。采购方式为公开招标的有：怀化市公安局低慢小管控及搜排爆安检类装备采购项目、怀化市公安局移动指挥平台、怀化市公安局物业管理服务项目、怀化市机关食堂食材采购项目。采购方式为竞争性谈判的有：怀化市公安局刑侦检案、违法人员DNA建库耗材项目、怀化市公安局执法执勤车辆采购项目、怀化市公安局被装采购项目。采购方式为竞争性磋商的有：怀化市公安局民辅警人身意外保险项目。</w:t>
      </w:r>
    </w:p>
    <w:p w14:paraId="393E3DF7">
      <w:pPr>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此外，2024年开展的怀化市天网工程一期运行维护服务项目按照时间节点运维期间已经进行了验收，因上年项目资金指标财政未予解冻，无法付款，在2025年已支付。2024年开展的怀化市公安局毒品检测鉴定中心实验室建设项目尚未完工，对已完成工程量进行确认。</w:t>
      </w:r>
    </w:p>
    <w:p w14:paraId="22967249">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（二）项目管理情况</w:t>
      </w:r>
    </w:p>
    <w:p w14:paraId="3789420C">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严格按照《怀化市公安局政府采购内部控制制度》、《怀化市公安局基本建设项目内部控制制度》进行管理。</w:t>
      </w:r>
    </w:p>
    <w:p w14:paraId="17BF714A">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其中，政府采购项目接受纪检监察部门的行政监察和审计监督，投资额达到采购限额标准以上的市本级政府投资项目由财政审计部门进行审计，在政府采购限额标准以下的项目，由内部纪检监察及审计部门开展审计，财政部门实施监督。具体按照《怀化市本级政府投资项目审计监督实施办法》执行。</w:t>
      </w:r>
    </w:p>
    <w:p w14:paraId="74FF48D3">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基本建设项目</w:t>
      </w:r>
      <w:r>
        <w:rPr>
          <w:rFonts w:ascii="仿宋" w:hAnsi="仿宋" w:eastAsia="仿宋" w:cs="仿宋"/>
          <w:color w:val="000000"/>
          <w:sz w:val="30"/>
          <w:szCs w:val="30"/>
        </w:rPr>
        <w:t>严格执行建设监理制，充分发挥</w:t>
      </w:r>
      <w:r>
        <w:rPr>
          <w:rFonts w:hint="eastAsia" w:ascii="仿宋" w:hAnsi="仿宋" w:eastAsia="仿宋" w:cs="仿宋"/>
          <w:color w:val="000000"/>
          <w:sz w:val="30"/>
          <w:szCs w:val="30"/>
        </w:rPr>
        <w:t>监理单位</w:t>
      </w:r>
      <w:r>
        <w:rPr>
          <w:rFonts w:ascii="仿宋" w:hAnsi="仿宋" w:eastAsia="仿宋" w:cs="仿宋"/>
          <w:color w:val="000000"/>
          <w:sz w:val="30"/>
          <w:szCs w:val="30"/>
        </w:rPr>
        <w:t>对建设项目变更、进度</w:t>
      </w:r>
      <w:r>
        <w:rPr>
          <w:rFonts w:hint="eastAsia" w:ascii="仿宋" w:hAnsi="仿宋" w:eastAsia="仿宋" w:cs="仿宋"/>
          <w:color w:val="000000"/>
          <w:sz w:val="30"/>
          <w:szCs w:val="30"/>
        </w:rPr>
        <w:t>款</w:t>
      </w:r>
      <w:r>
        <w:rPr>
          <w:rFonts w:ascii="仿宋" w:hAnsi="仿宋" w:eastAsia="仿宋" w:cs="仿宋"/>
          <w:color w:val="000000"/>
          <w:sz w:val="30"/>
          <w:szCs w:val="30"/>
        </w:rPr>
        <w:t>支付、</w:t>
      </w:r>
      <w:r>
        <w:rPr>
          <w:rFonts w:hint="eastAsia" w:ascii="仿宋" w:hAnsi="仿宋" w:eastAsia="仿宋" w:cs="仿宋"/>
          <w:color w:val="000000"/>
          <w:sz w:val="30"/>
          <w:szCs w:val="30"/>
        </w:rPr>
        <w:t>竣工</w:t>
      </w:r>
      <w:r>
        <w:rPr>
          <w:rFonts w:ascii="仿宋" w:hAnsi="仿宋" w:eastAsia="仿宋" w:cs="仿宋"/>
          <w:color w:val="000000"/>
          <w:sz w:val="30"/>
          <w:szCs w:val="30"/>
        </w:rPr>
        <w:t>验收</w:t>
      </w:r>
      <w:r>
        <w:rPr>
          <w:rFonts w:hint="eastAsia" w:ascii="仿宋" w:hAnsi="仿宋" w:eastAsia="仿宋" w:cs="仿宋"/>
          <w:color w:val="000000"/>
          <w:sz w:val="30"/>
          <w:szCs w:val="30"/>
        </w:rPr>
        <w:t>等</w:t>
      </w:r>
      <w:r>
        <w:rPr>
          <w:rFonts w:ascii="仿宋" w:hAnsi="仿宋" w:eastAsia="仿宋" w:cs="仿宋"/>
          <w:color w:val="000000"/>
          <w:sz w:val="30"/>
          <w:szCs w:val="30"/>
        </w:rPr>
        <w:t>环节的监督</w:t>
      </w:r>
      <w:r>
        <w:rPr>
          <w:rFonts w:hint="eastAsia" w:ascii="仿宋" w:hAnsi="仿宋" w:eastAsia="仿宋" w:cs="仿宋"/>
          <w:color w:val="000000"/>
          <w:sz w:val="30"/>
          <w:szCs w:val="30"/>
        </w:rPr>
        <w:t>。局机关党委、法制支队</w:t>
      </w:r>
      <w:r>
        <w:rPr>
          <w:rFonts w:ascii="仿宋" w:hAnsi="仿宋" w:eastAsia="仿宋" w:cs="仿宋"/>
          <w:color w:val="000000"/>
          <w:sz w:val="30"/>
          <w:szCs w:val="30"/>
        </w:rPr>
        <w:t>作为</w:t>
      </w:r>
      <w:r>
        <w:rPr>
          <w:rFonts w:hint="eastAsia" w:ascii="仿宋" w:hAnsi="仿宋" w:eastAsia="仿宋" w:cs="仿宋"/>
          <w:color w:val="000000"/>
          <w:sz w:val="30"/>
          <w:szCs w:val="30"/>
        </w:rPr>
        <w:t>局内部</w:t>
      </w:r>
      <w:r>
        <w:rPr>
          <w:rFonts w:ascii="仿宋" w:hAnsi="仿宋" w:eastAsia="仿宋" w:cs="仿宋"/>
          <w:color w:val="000000"/>
          <w:sz w:val="30"/>
          <w:szCs w:val="30"/>
        </w:rPr>
        <w:t>监督机构</w:t>
      </w:r>
      <w:r>
        <w:rPr>
          <w:rFonts w:hint="eastAsia" w:ascii="仿宋" w:hAnsi="仿宋" w:eastAsia="仿宋" w:cs="仿宋"/>
          <w:color w:val="000000"/>
          <w:sz w:val="30"/>
          <w:szCs w:val="30"/>
        </w:rPr>
        <w:t>，对</w:t>
      </w:r>
      <w:r>
        <w:rPr>
          <w:rFonts w:ascii="仿宋" w:hAnsi="仿宋" w:eastAsia="仿宋" w:cs="仿宋"/>
          <w:color w:val="000000"/>
          <w:sz w:val="30"/>
          <w:szCs w:val="30"/>
        </w:rPr>
        <w:t>建设项目实施内部监督，</w:t>
      </w:r>
      <w:r>
        <w:rPr>
          <w:rFonts w:hint="eastAsia" w:ascii="仿宋" w:hAnsi="仿宋" w:eastAsia="仿宋" w:cs="仿宋"/>
          <w:color w:val="000000"/>
          <w:sz w:val="30"/>
          <w:szCs w:val="30"/>
        </w:rPr>
        <w:t>同时</w:t>
      </w:r>
      <w:r>
        <w:rPr>
          <w:rFonts w:ascii="仿宋" w:hAnsi="仿宋" w:eastAsia="仿宋" w:cs="仿宋"/>
          <w:color w:val="000000"/>
          <w:sz w:val="30"/>
          <w:szCs w:val="30"/>
        </w:rPr>
        <w:t>积极配合</w:t>
      </w:r>
      <w:r>
        <w:rPr>
          <w:rFonts w:hint="eastAsia" w:ascii="仿宋" w:hAnsi="仿宋" w:eastAsia="仿宋" w:cs="仿宋"/>
          <w:color w:val="000000"/>
          <w:sz w:val="30"/>
          <w:szCs w:val="30"/>
        </w:rPr>
        <w:t>有关</w:t>
      </w:r>
      <w:r>
        <w:rPr>
          <w:rFonts w:ascii="仿宋" w:hAnsi="仿宋" w:eastAsia="仿宋" w:cs="仿宋"/>
          <w:color w:val="000000"/>
          <w:sz w:val="30"/>
          <w:szCs w:val="30"/>
        </w:rPr>
        <w:t>部门</w:t>
      </w:r>
      <w:r>
        <w:rPr>
          <w:rFonts w:hint="eastAsia" w:ascii="仿宋" w:hAnsi="仿宋" w:eastAsia="仿宋" w:cs="仿宋"/>
          <w:color w:val="000000"/>
          <w:sz w:val="30"/>
          <w:szCs w:val="30"/>
        </w:rPr>
        <w:t>和上级主管</w:t>
      </w:r>
      <w:r>
        <w:rPr>
          <w:rFonts w:ascii="仿宋" w:hAnsi="仿宋" w:eastAsia="仿宋" w:cs="仿宋"/>
          <w:color w:val="000000"/>
          <w:sz w:val="30"/>
          <w:szCs w:val="30"/>
        </w:rPr>
        <w:t>部门开展的各项</w:t>
      </w:r>
      <w:r>
        <w:rPr>
          <w:rFonts w:hint="eastAsia" w:ascii="仿宋" w:hAnsi="仿宋" w:eastAsia="仿宋" w:cs="仿宋"/>
          <w:color w:val="000000"/>
          <w:sz w:val="30"/>
          <w:szCs w:val="30"/>
        </w:rPr>
        <w:t>监督</w:t>
      </w:r>
      <w:r>
        <w:rPr>
          <w:rFonts w:ascii="仿宋" w:hAnsi="仿宋" w:eastAsia="仿宋" w:cs="仿宋"/>
          <w:color w:val="000000"/>
          <w:sz w:val="30"/>
          <w:szCs w:val="30"/>
        </w:rPr>
        <w:t>检查，</w:t>
      </w:r>
      <w:r>
        <w:rPr>
          <w:rFonts w:hint="eastAsia" w:ascii="仿宋" w:hAnsi="仿宋" w:eastAsia="仿宋" w:cs="仿宋"/>
          <w:color w:val="000000"/>
          <w:sz w:val="30"/>
          <w:szCs w:val="30"/>
        </w:rPr>
        <w:t>自觉</w:t>
      </w:r>
      <w:r>
        <w:rPr>
          <w:rFonts w:ascii="仿宋" w:hAnsi="仿宋" w:eastAsia="仿宋" w:cs="仿宋"/>
          <w:color w:val="000000"/>
          <w:sz w:val="30"/>
          <w:szCs w:val="30"/>
        </w:rPr>
        <w:t>接受政府及社会的监督。</w:t>
      </w:r>
    </w:p>
    <w:p w14:paraId="1E3AA5D4">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四、资产管理情况</w:t>
      </w:r>
    </w:p>
    <w:p w14:paraId="3C917138">
      <w:pPr>
        <w:spacing w:line="480" w:lineRule="auto"/>
        <w:ind w:firstLine="600" w:firstLineChars="200"/>
        <w:rPr>
          <w:rFonts w:ascii="仿宋" w:hAnsi="仿宋" w:eastAsia="仿宋" w:cs="仿宋"/>
          <w:color w:val="000000"/>
          <w:kern w:val="0"/>
          <w:sz w:val="30"/>
          <w:szCs w:val="30"/>
        </w:rPr>
      </w:pPr>
      <w:r>
        <w:rPr>
          <w:rFonts w:ascii="仿宋" w:hAnsi="仿宋" w:eastAsia="仿宋" w:cs="仿宋"/>
          <w:color w:val="000000"/>
          <w:kern w:val="0"/>
          <w:sz w:val="30"/>
          <w:szCs w:val="30"/>
        </w:rPr>
        <w:t>202</w:t>
      </w:r>
      <w:r>
        <w:rPr>
          <w:rFonts w:hint="eastAsia" w:ascii="仿宋" w:hAnsi="仿宋" w:eastAsia="仿宋" w:cs="仿宋"/>
          <w:color w:val="000000"/>
          <w:kern w:val="0"/>
          <w:sz w:val="30"/>
          <w:szCs w:val="30"/>
        </w:rPr>
        <w:t>5</w:t>
      </w:r>
      <w:r>
        <w:rPr>
          <w:rFonts w:ascii="仿宋" w:hAnsi="仿宋" w:eastAsia="仿宋" w:cs="仿宋"/>
          <w:color w:val="000000"/>
          <w:kern w:val="0"/>
          <w:sz w:val="30"/>
          <w:szCs w:val="30"/>
        </w:rPr>
        <w:t>年度我单位配置固定资产</w:t>
      </w:r>
      <w:r>
        <w:rPr>
          <w:rFonts w:hint="eastAsia" w:ascii="仿宋" w:hAnsi="仿宋" w:eastAsia="仿宋" w:cs="仿宋"/>
          <w:color w:val="000000"/>
          <w:kern w:val="0"/>
          <w:sz w:val="30"/>
          <w:szCs w:val="30"/>
        </w:rPr>
        <w:t>1283.55</w:t>
      </w:r>
      <w:r>
        <w:rPr>
          <w:rFonts w:ascii="仿宋" w:hAnsi="仿宋" w:eastAsia="仿宋" w:cs="仿宋"/>
          <w:color w:val="000000"/>
          <w:kern w:val="0"/>
          <w:sz w:val="30"/>
          <w:szCs w:val="30"/>
        </w:rPr>
        <w:t>万元</w:t>
      </w:r>
      <w:r>
        <w:rPr>
          <w:rFonts w:hint="eastAsia" w:ascii="仿宋" w:hAnsi="仿宋" w:eastAsia="仿宋" w:cs="仿宋"/>
          <w:color w:val="000000"/>
          <w:kern w:val="0"/>
          <w:sz w:val="30"/>
          <w:szCs w:val="30"/>
        </w:rPr>
        <w:t>（账面原值，下同），其中，</w:t>
      </w:r>
      <w:r>
        <w:rPr>
          <w:rFonts w:ascii="仿宋" w:hAnsi="仿宋" w:eastAsia="仿宋" w:cs="仿宋"/>
          <w:color w:val="000000"/>
          <w:kern w:val="0"/>
          <w:sz w:val="30"/>
          <w:szCs w:val="30"/>
        </w:rPr>
        <w:t>房屋和构筑物</w:t>
      </w:r>
      <w:r>
        <w:rPr>
          <w:rFonts w:hint="eastAsia" w:ascii="仿宋" w:hAnsi="仿宋" w:eastAsia="仿宋" w:cs="仿宋"/>
          <w:color w:val="000000"/>
          <w:kern w:val="0"/>
          <w:sz w:val="30"/>
          <w:szCs w:val="30"/>
        </w:rPr>
        <w:t>60.58</w:t>
      </w:r>
      <w:r>
        <w:rPr>
          <w:rFonts w:ascii="仿宋" w:hAnsi="仿宋" w:eastAsia="仿宋" w:cs="仿宋"/>
          <w:color w:val="000000"/>
          <w:kern w:val="0"/>
          <w:sz w:val="30"/>
          <w:szCs w:val="30"/>
        </w:rPr>
        <w:t>万元</w:t>
      </w:r>
      <w:r>
        <w:rPr>
          <w:rFonts w:hint="eastAsia" w:ascii="仿宋" w:hAnsi="仿宋" w:eastAsia="仿宋" w:cs="仿宋"/>
          <w:color w:val="000000"/>
          <w:kern w:val="0"/>
          <w:sz w:val="30"/>
          <w:szCs w:val="30"/>
        </w:rPr>
        <w:t>（为芷江机场公安局移交原值60.58万元，补提折旧29.63万元，净值30.95万元）、</w:t>
      </w:r>
      <w:r>
        <w:rPr>
          <w:rFonts w:ascii="仿宋" w:hAnsi="仿宋" w:eastAsia="仿宋" w:cs="仿宋"/>
          <w:color w:val="000000"/>
          <w:kern w:val="0"/>
          <w:sz w:val="30"/>
          <w:szCs w:val="30"/>
        </w:rPr>
        <w:t>设备</w:t>
      </w:r>
      <w:r>
        <w:rPr>
          <w:rFonts w:hint="eastAsia" w:ascii="仿宋" w:hAnsi="仿宋" w:eastAsia="仿宋" w:cs="仿宋"/>
          <w:color w:val="000000"/>
          <w:kern w:val="0"/>
          <w:sz w:val="30"/>
          <w:szCs w:val="30"/>
        </w:rPr>
        <w:t>1213.83</w:t>
      </w:r>
      <w:r>
        <w:rPr>
          <w:rFonts w:ascii="仿宋" w:hAnsi="仿宋" w:eastAsia="仿宋" w:cs="仿宋"/>
          <w:color w:val="000000"/>
          <w:kern w:val="0"/>
          <w:sz w:val="30"/>
          <w:szCs w:val="30"/>
        </w:rPr>
        <w:t>万元</w:t>
      </w:r>
      <w:r>
        <w:rPr>
          <w:rFonts w:hint="eastAsia" w:ascii="仿宋" w:hAnsi="仿宋" w:eastAsia="仿宋" w:cs="仿宋"/>
          <w:color w:val="000000"/>
          <w:kern w:val="0"/>
          <w:sz w:val="30"/>
          <w:szCs w:val="30"/>
        </w:rPr>
        <w:t>（其中市森林公安局</w:t>
      </w:r>
      <w:r>
        <w:rPr>
          <w:rFonts w:ascii="仿宋" w:hAnsi="仿宋" w:eastAsia="仿宋" w:cs="仿宋"/>
          <w:color w:val="000000"/>
          <w:kern w:val="0"/>
          <w:sz w:val="30"/>
          <w:szCs w:val="30"/>
        </w:rPr>
        <w:t>移交</w:t>
      </w:r>
      <w:r>
        <w:rPr>
          <w:rFonts w:hint="eastAsia" w:ascii="仿宋" w:hAnsi="仿宋" w:eastAsia="仿宋" w:cs="仿宋"/>
          <w:color w:val="000000"/>
          <w:kern w:val="0"/>
          <w:sz w:val="30"/>
          <w:szCs w:val="30"/>
        </w:rPr>
        <w:t>的无人机及航空配套设备原值32.51万元，补提折旧14.63万元，净值17.88万元；芷江机场公安局移交设备类固定资产原值66.86万元，补提折旧58.97万元，净值7.89万元）、</w:t>
      </w:r>
      <w:r>
        <w:rPr>
          <w:rFonts w:ascii="仿宋" w:hAnsi="仿宋" w:eastAsia="仿宋" w:cs="仿宋"/>
          <w:color w:val="000000"/>
          <w:kern w:val="0"/>
          <w:sz w:val="30"/>
          <w:szCs w:val="30"/>
        </w:rPr>
        <w:t>家具和用具</w:t>
      </w:r>
      <w:r>
        <w:rPr>
          <w:rFonts w:hint="eastAsia" w:ascii="仿宋" w:hAnsi="仿宋" w:eastAsia="仿宋" w:cs="仿宋"/>
          <w:color w:val="000000"/>
          <w:kern w:val="0"/>
          <w:sz w:val="30"/>
          <w:szCs w:val="30"/>
        </w:rPr>
        <w:t>9.13</w:t>
      </w:r>
      <w:r>
        <w:rPr>
          <w:rFonts w:ascii="仿宋" w:hAnsi="仿宋" w:eastAsia="仿宋" w:cs="仿宋"/>
          <w:color w:val="000000"/>
          <w:kern w:val="0"/>
          <w:sz w:val="30"/>
          <w:szCs w:val="30"/>
        </w:rPr>
        <w:t>万元</w:t>
      </w:r>
      <w:r>
        <w:rPr>
          <w:rFonts w:hint="eastAsia" w:ascii="仿宋" w:hAnsi="仿宋" w:eastAsia="仿宋" w:cs="仿宋"/>
          <w:color w:val="000000"/>
          <w:kern w:val="0"/>
          <w:sz w:val="30"/>
          <w:szCs w:val="30"/>
        </w:rPr>
        <w:t>（其中芷江机场公安局移交家具用具资产原值1.1万元，补提折旧0.55万元，净值0.55万元）。</w:t>
      </w:r>
      <w:r>
        <w:rPr>
          <w:rFonts w:ascii="仿宋" w:hAnsi="仿宋" w:eastAsia="仿宋" w:cs="仿宋"/>
          <w:color w:val="000000"/>
          <w:kern w:val="0"/>
          <w:sz w:val="30"/>
          <w:szCs w:val="30"/>
        </w:rPr>
        <w:t>配置无形资产</w:t>
      </w:r>
      <w:r>
        <w:rPr>
          <w:rFonts w:hint="eastAsia" w:ascii="仿宋" w:hAnsi="仿宋" w:eastAsia="仿宋" w:cs="仿宋"/>
          <w:color w:val="000000"/>
          <w:kern w:val="0"/>
          <w:sz w:val="30"/>
          <w:szCs w:val="30"/>
        </w:rPr>
        <w:t>2.86</w:t>
      </w:r>
      <w:r>
        <w:rPr>
          <w:rFonts w:ascii="仿宋" w:hAnsi="仿宋" w:eastAsia="仿宋" w:cs="仿宋"/>
          <w:color w:val="000000"/>
          <w:kern w:val="0"/>
          <w:sz w:val="30"/>
          <w:szCs w:val="30"/>
        </w:rPr>
        <w:t>万元。报废</w:t>
      </w:r>
      <w:r>
        <w:rPr>
          <w:rFonts w:hint="eastAsia" w:ascii="仿宋" w:hAnsi="仿宋" w:eastAsia="仿宋" w:cs="仿宋"/>
          <w:color w:val="000000"/>
          <w:kern w:val="0"/>
          <w:sz w:val="30"/>
          <w:szCs w:val="30"/>
        </w:rPr>
        <w:t>198.11</w:t>
      </w:r>
      <w:r>
        <w:rPr>
          <w:rFonts w:ascii="仿宋" w:hAnsi="仿宋" w:eastAsia="仿宋" w:cs="仿宋"/>
          <w:color w:val="000000"/>
          <w:kern w:val="0"/>
          <w:sz w:val="30"/>
          <w:szCs w:val="30"/>
        </w:rPr>
        <w:t>万元</w:t>
      </w:r>
      <w:r>
        <w:rPr>
          <w:rFonts w:hint="eastAsia" w:ascii="仿宋" w:hAnsi="仿宋" w:eastAsia="仿宋" w:cs="仿宋"/>
          <w:color w:val="000000"/>
          <w:kern w:val="0"/>
          <w:sz w:val="30"/>
          <w:szCs w:val="30"/>
        </w:rPr>
        <w:t>。</w:t>
      </w:r>
      <w:r>
        <w:rPr>
          <w:rFonts w:asciiTheme="majorHAnsi" w:hAnsiTheme="majorHAnsi"/>
        </w:rPr>
        <w:t xml:space="preserve"> </w:t>
      </w:r>
    </w:p>
    <w:p w14:paraId="64D7D419">
      <w:pPr>
        <w:spacing w:line="480" w:lineRule="auto"/>
        <w:ind w:firstLine="600" w:firstLineChars="200"/>
        <w:rPr>
          <w:rFonts w:ascii="仿宋" w:hAnsi="仿宋" w:eastAsia="仿宋" w:cs="仿宋"/>
          <w:color w:val="000000"/>
          <w:kern w:val="0"/>
          <w:sz w:val="30"/>
          <w:szCs w:val="30"/>
        </w:rPr>
      </w:pPr>
      <w:r>
        <w:rPr>
          <w:rFonts w:hint="eastAsia" w:ascii="仿宋" w:hAnsi="仿宋" w:eastAsia="仿宋" w:cs="仿宋"/>
          <w:sz w:val="30"/>
          <w:szCs w:val="30"/>
        </w:rPr>
        <w:t>根据《行政单位国有资产管理暂行办法》</w:t>
      </w:r>
      <w:r>
        <w:rPr>
          <w:rFonts w:ascii="仿宋" w:hAnsi="仿宋" w:eastAsia="仿宋" w:cs="仿宋"/>
          <w:sz w:val="30"/>
          <w:szCs w:val="30"/>
        </w:rPr>
        <w:t>(</w:t>
      </w:r>
      <w:r>
        <w:rPr>
          <w:rFonts w:hint="eastAsia" w:ascii="仿宋" w:hAnsi="仿宋" w:eastAsia="仿宋" w:cs="仿宋"/>
          <w:sz w:val="30"/>
          <w:szCs w:val="30"/>
        </w:rPr>
        <w:t>财政部令第</w:t>
      </w:r>
      <w:r>
        <w:rPr>
          <w:rFonts w:ascii="仿宋" w:hAnsi="仿宋" w:eastAsia="仿宋" w:cs="仿宋"/>
          <w:sz w:val="30"/>
          <w:szCs w:val="30"/>
        </w:rPr>
        <w:t>35</w:t>
      </w:r>
      <w:r>
        <w:rPr>
          <w:rFonts w:hint="eastAsia" w:ascii="仿宋" w:hAnsi="仿宋" w:eastAsia="仿宋" w:cs="仿宋"/>
          <w:sz w:val="30"/>
          <w:szCs w:val="30"/>
        </w:rPr>
        <w:t>号）的规定，我单位</w:t>
      </w:r>
      <w:r>
        <w:rPr>
          <w:rFonts w:hint="eastAsia" w:ascii="仿宋" w:hAnsi="仿宋" w:eastAsia="仿宋" w:cs="仿宋"/>
          <w:kern w:val="0"/>
          <w:sz w:val="30"/>
          <w:szCs w:val="30"/>
        </w:rPr>
        <w:t>严格遵守市财政局与市机关事务局要求，</w:t>
      </w:r>
      <w:r>
        <w:rPr>
          <w:rFonts w:hint="eastAsia" w:ascii="仿宋" w:hAnsi="仿宋" w:eastAsia="仿宋" w:cs="仿宋"/>
          <w:sz w:val="30"/>
          <w:szCs w:val="30"/>
        </w:rPr>
        <w:t>建立健全</w:t>
      </w:r>
      <w:r>
        <w:rPr>
          <w:rFonts w:hint="eastAsia" w:ascii="仿宋" w:hAnsi="仿宋" w:eastAsia="仿宋" w:cs="仿宋"/>
          <w:kern w:val="0"/>
          <w:sz w:val="30"/>
          <w:szCs w:val="30"/>
        </w:rPr>
        <w:t>《怀化市公安局实物资产内部控制制度》、《怀化市公安局无形资产内部控制制度》等资产管理</w:t>
      </w:r>
      <w:r>
        <w:rPr>
          <w:rFonts w:hint="eastAsia" w:ascii="仿宋" w:hAnsi="仿宋" w:eastAsia="仿宋" w:cs="仿宋"/>
          <w:sz w:val="30"/>
          <w:szCs w:val="30"/>
        </w:rPr>
        <w:t>规章制度，</w:t>
      </w:r>
      <w:r>
        <w:rPr>
          <w:rFonts w:hint="eastAsia" w:ascii="仿宋" w:hAnsi="仿宋" w:eastAsia="仿宋" w:cs="仿宋"/>
          <w:kern w:val="0"/>
          <w:sz w:val="30"/>
          <w:szCs w:val="30"/>
        </w:rPr>
        <w:t>进行日常管理、使用、配置、处置，</w:t>
      </w:r>
      <w:r>
        <w:rPr>
          <w:rFonts w:hint="eastAsia" w:ascii="仿宋" w:hAnsi="仿宋" w:eastAsia="仿宋" w:cs="仿宋"/>
          <w:sz w:val="30"/>
          <w:szCs w:val="30"/>
        </w:rPr>
        <w:t>保障资产管理落实到位。在执行中按规定落实国有资产清查、登记、上报制度，设置固定资产卡片、总账及明细账簿，并定期进行了清查盘点，及时更新国有资产管理系统，并配备专项管理人员，明确责任并履行好职责，进一步加强市局国有资产管理，确保国有资产安全完整有效利用。</w:t>
      </w:r>
    </w:p>
    <w:p w14:paraId="3E78D810">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五、政府性基金预算支出情况</w:t>
      </w:r>
    </w:p>
    <w:p w14:paraId="1DB347FE">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ascii="仿宋" w:hAnsi="仿宋" w:eastAsia="仿宋" w:cs="仿宋"/>
          <w:color w:val="000000"/>
          <w:sz w:val="30"/>
          <w:szCs w:val="30"/>
        </w:rPr>
        <w:t>202</w:t>
      </w:r>
      <w:r>
        <w:rPr>
          <w:rFonts w:hint="eastAsia" w:ascii="仿宋" w:hAnsi="仿宋" w:eastAsia="仿宋" w:cs="仿宋"/>
          <w:color w:val="000000"/>
          <w:sz w:val="30"/>
          <w:szCs w:val="30"/>
        </w:rPr>
        <w:t>5年我单位无政府性基金预算支出。</w:t>
      </w:r>
    </w:p>
    <w:p w14:paraId="54C252BF">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六、国有资本经营预算支出情况</w:t>
      </w:r>
    </w:p>
    <w:p w14:paraId="10834E80">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ascii="仿宋" w:hAnsi="仿宋" w:eastAsia="仿宋" w:cs="仿宋"/>
          <w:color w:val="000000"/>
          <w:sz w:val="30"/>
          <w:szCs w:val="30"/>
        </w:rPr>
        <w:t>202</w:t>
      </w:r>
      <w:r>
        <w:rPr>
          <w:rFonts w:hint="eastAsia" w:ascii="仿宋" w:hAnsi="仿宋" w:eastAsia="仿宋" w:cs="仿宋"/>
          <w:color w:val="000000"/>
          <w:sz w:val="30"/>
          <w:szCs w:val="30"/>
        </w:rPr>
        <w:t>5年我单位无国有资本经营预算支出。</w:t>
      </w:r>
    </w:p>
    <w:p w14:paraId="08C41BF8">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七、社会保险基金预算支出情况</w:t>
      </w:r>
    </w:p>
    <w:p w14:paraId="300EDC0B">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ascii="仿宋" w:hAnsi="仿宋" w:eastAsia="仿宋" w:cs="仿宋"/>
          <w:color w:val="000000"/>
          <w:sz w:val="30"/>
          <w:szCs w:val="30"/>
        </w:rPr>
        <w:t>202</w:t>
      </w:r>
      <w:r>
        <w:rPr>
          <w:rFonts w:hint="eastAsia" w:ascii="仿宋" w:hAnsi="仿宋" w:eastAsia="仿宋" w:cs="仿宋"/>
          <w:color w:val="000000"/>
          <w:sz w:val="30"/>
          <w:szCs w:val="30"/>
        </w:rPr>
        <w:t>5年我单位无社会保险基金预算支出。</w:t>
      </w:r>
    </w:p>
    <w:p w14:paraId="2D100BBF">
      <w:pPr>
        <w:pStyle w:val="4"/>
        <w:widowControl/>
        <w:shd w:val="clear" w:color="auto" w:fill="FFFFFF"/>
        <w:spacing w:before="0" w:beforeAutospacing="0" w:after="0" w:afterAutospacing="0" w:line="480" w:lineRule="auto"/>
        <w:ind w:firstLine="150" w:firstLineChars="50"/>
        <w:jc w:val="both"/>
        <w:rPr>
          <w:rFonts w:ascii="仿宋" w:hAnsi="仿宋" w:eastAsia="仿宋" w:cs="仿宋"/>
          <w:color w:val="000000"/>
          <w:sz w:val="30"/>
          <w:szCs w:val="30"/>
        </w:rPr>
      </w:pPr>
      <w:r>
        <w:rPr>
          <w:rFonts w:ascii="仿宋" w:hAnsi="仿宋" w:eastAsia="仿宋" w:cs="仿宋"/>
          <w:color w:val="000000"/>
          <w:sz w:val="30"/>
          <w:szCs w:val="30"/>
        </w:rPr>
        <w:t xml:space="preserve">   </w:t>
      </w:r>
      <w:r>
        <w:rPr>
          <w:rFonts w:hint="eastAsia" w:ascii="仿宋" w:hAnsi="仿宋" w:eastAsia="仿宋" w:cs="仿宋"/>
          <w:b/>
          <w:bCs/>
          <w:color w:val="000000"/>
          <w:sz w:val="30"/>
          <w:szCs w:val="30"/>
        </w:rPr>
        <w:t>八、部门整体支出绩效情况（因部分项目信息涉密，不予公开说明）</w:t>
      </w:r>
    </w:p>
    <w:p w14:paraId="7B691B5A">
      <w:pPr>
        <w:pStyle w:val="4"/>
        <w:widowControl/>
        <w:shd w:val="clear" w:color="auto" w:fill="FFFFFF"/>
        <w:spacing w:before="0" w:beforeAutospacing="0" w:after="0" w:afterAutospacing="0" w:line="480" w:lineRule="auto"/>
        <w:ind w:firstLine="750" w:firstLineChars="249"/>
        <w:jc w:val="both"/>
        <w:rPr>
          <w:rFonts w:ascii="仿宋" w:hAnsi="仿宋" w:eastAsia="仿宋" w:cs="仿宋"/>
          <w:b/>
          <w:sz w:val="30"/>
          <w:szCs w:val="30"/>
        </w:rPr>
      </w:pPr>
      <w:r>
        <w:rPr>
          <w:rFonts w:hint="eastAsia" w:ascii="仿宋" w:hAnsi="仿宋" w:eastAsia="仿宋" w:cs="仿宋"/>
          <w:b/>
          <w:sz w:val="30"/>
          <w:szCs w:val="30"/>
        </w:rPr>
        <w:t>（一）部门履职情况</w:t>
      </w:r>
    </w:p>
    <w:p w14:paraId="71429A26">
      <w:pPr>
        <w:spacing w:line="480" w:lineRule="auto"/>
        <w:ind w:firstLine="750" w:firstLineChars="250"/>
        <w:rPr>
          <w:rFonts w:ascii="仿宋" w:hAnsi="仿宋" w:eastAsia="仿宋" w:cs="仿宋"/>
          <w:color w:val="000000"/>
          <w:kern w:val="0"/>
          <w:sz w:val="30"/>
          <w:szCs w:val="30"/>
        </w:rPr>
      </w:pPr>
      <w:r>
        <w:rPr>
          <w:rFonts w:ascii="仿宋" w:hAnsi="仿宋" w:eastAsia="仿宋" w:cs="仿宋"/>
          <w:color w:val="000000"/>
          <w:kern w:val="0"/>
          <w:sz w:val="30"/>
          <w:szCs w:val="30"/>
        </w:rPr>
        <w:t>2025年，怀化市公安局在市委市政府和省厅党委的坚强领导下，坚持以习近平新时代中国特色社会主义思想为指导，深入学习贯彻党的二十届二中、三中全会精神和习近平总书记来湘考察调研系列重要讲话指示精神，以贯彻落实全国全省公安工作会议精神为契机，全力维护社会治安大局稳定，全力提升公安机关新质战斗力，近年来各项工作取得新成效</w:t>
      </w:r>
      <w:r>
        <w:rPr>
          <w:rFonts w:hint="eastAsia" w:ascii="仿宋" w:hAnsi="仿宋" w:eastAsia="仿宋" w:cs="仿宋"/>
          <w:color w:val="000000"/>
          <w:kern w:val="0"/>
          <w:sz w:val="30"/>
          <w:szCs w:val="30"/>
        </w:rPr>
        <w:t>：连续4年考核考评进入全省先进，3年民意测评全省第1，连续4年社会治安状况评价全省第1；圆满完成党的二十大、建党百年、建国75周年等重大安保任务，守住了“八个不发生”底线；扫黑除恶、电诈、禁毒等多项打击成效明显；扎实开展</w:t>
      </w:r>
      <w:r>
        <w:rPr>
          <w:rFonts w:hint="eastAsia" w:ascii="仿宋" w:hAnsi="仿宋" w:eastAsia="仿宋" w:cs="仿宋"/>
          <w:color w:val="000000"/>
          <w:kern w:val="0"/>
          <w:sz w:val="30"/>
          <w:szCs w:val="30"/>
          <w:lang w:eastAsia="zh-CN"/>
        </w:rPr>
        <w:t>一</w:t>
      </w:r>
      <w:r>
        <w:rPr>
          <w:rFonts w:hint="eastAsia" w:ascii="仿宋" w:hAnsi="仿宋" w:eastAsia="仿宋" w:cs="仿宋"/>
          <w:color w:val="000000"/>
          <w:kern w:val="0"/>
          <w:sz w:val="30"/>
          <w:szCs w:val="30"/>
        </w:rPr>
        <w:t>系列主题教育，常态开展纪律作风整治，公安队伍持续向好。</w:t>
      </w:r>
    </w:p>
    <w:p w14:paraId="76073499">
      <w:pPr>
        <w:pStyle w:val="4"/>
        <w:widowControl/>
        <w:shd w:val="clear" w:color="auto" w:fill="FFFFFF"/>
        <w:spacing w:before="0" w:beforeAutospacing="0" w:after="0" w:afterAutospacing="0" w:line="480" w:lineRule="auto"/>
        <w:ind w:firstLine="753" w:firstLineChars="250"/>
        <w:jc w:val="both"/>
        <w:rPr>
          <w:rFonts w:ascii="仿宋" w:hAnsi="仿宋" w:eastAsia="仿宋" w:cs="仿宋"/>
          <w:b/>
          <w:sz w:val="30"/>
          <w:szCs w:val="30"/>
        </w:rPr>
      </w:pPr>
      <w:r>
        <w:rPr>
          <w:rFonts w:hint="eastAsia" w:ascii="仿宋" w:hAnsi="仿宋" w:eastAsia="仿宋" w:cs="仿宋"/>
          <w:b/>
          <w:sz w:val="30"/>
          <w:szCs w:val="30"/>
        </w:rPr>
        <w:t>（二）部门整体支出成本（预算）控制、节约情况</w:t>
      </w:r>
    </w:p>
    <w:p w14:paraId="07854F7F">
      <w:pPr>
        <w:pStyle w:val="4"/>
        <w:widowControl/>
        <w:shd w:val="clear" w:color="auto" w:fill="FFFFFF"/>
        <w:spacing w:before="0" w:beforeAutospacing="0" w:after="0" w:afterAutospacing="0" w:line="480" w:lineRule="auto"/>
        <w:ind w:firstLine="640"/>
        <w:jc w:val="both"/>
        <w:rPr>
          <w:rFonts w:ascii="仿宋" w:hAnsi="仿宋" w:eastAsia="仿宋" w:cs="仿宋"/>
          <w:b/>
          <w:bCs/>
          <w:sz w:val="30"/>
          <w:szCs w:val="30"/>
        </w:rPr>
      </w:pPr>
      <w:r>
        <w:rPr>
          <w:rFonts w:hint="eastAsia" w:ascii="仿宋" w:hAnsi="仿宋" w:eastAsia="仿宋" w:cs="仿宋"/>
          <w:sz w:val="30"/>
          <w:szCs w:val="30"/>
        </w:rPr>
        <w:t>本年预算配置控制较好，财政供养人员控制在预算编制以内，编制内在职人员控制率100</w:t>
      </w:r>
      <w:r>
        <w:rPr>
          <w:rFonts w:ascii="仿宋" w:hAnsi="仿宋" w:eastAsia="仿宋" w:cs="仿宋"/>
          <w:sz w:val="30"/>
          <w:szCs w:val="30"/>
        </w:rPr>
        <w:t>%</w:t>
      </w:r>
      <w:r>
        <w:rPr>
          <w:rFonts w:hint="eastAsia" w:ascii="仿宋" w:hAnsi="仿宋" w:eastAsia="仿宋" w:cs="仿宋"/>
          <w:sz w:val="30"/>
          <w:szCs w:val="30"/>
        </w:rPr>
        <w:t>。</w:t>
      </w:r>
    </w:p>
    <w:p w14:paraId="5ED3A0ED">
      <w:pPr>
        <w:pStyle w:val="4"/>
        <w:widowControl/>
        <w:shd w:val="clear" w:color="auto" w:fill="FFFFFF"/>
        <w:spacing w:before="0" w:beforeAutospacing="0" w:after="0" w:afterAutospacing="0" w:line="480" w:lineRule="auto"/>
        <w:ind w:firstLine="640"/>
        <w:jc w:val="both"/>
        <w:rPr>
          <w:rFonts w:ascii="仿宋" w:hAnsi="仿宋" w:eastAsia="仿宋" w:cs="仿宋"/>
          <w:sz w:val="30"/>
          <w:szCs w:val="30"/>
        </w:rPr>
      </w:pPr>
      <w:r>
        <w:rPr>
          <w:rFonts w:hint="eastAsia" w:ascii="仿宋" w:hAnsi="仿宋" w:eastAsia="仿宋" w:cs="仿宋"/>
          <w:sz w:val="30"/>
          <w:szCs w:val="30"/>
        </w:rPr>
        <w:t>基本支出严格按预算执行，支出总额控制在全年预算数以内，与年初预算数存在差额。人员经费年初预算数6635.90万元，实际支出7925.37万元，预算支出控制率119.43</w:t>
      </w:r>
      <w:r>
        <w:rPr>
          <w:rFonts w:ascii="仿宋" w:hAnsi="仿宋" w:eastAsia="仿宋" w:cs="仿宋"/>
          <w:sz w:val="30"/>
          <w:szCs w:val="30"/>
        </w:rPr>
        <w:t>%</w:t>
      </w:r>
      <w:r>
        <w:rPr>
          <w:rFonts w:hint="eastAsia" w:ascii="仿宋" w:hAnsi="仿宋" w:eastAsia="仿宋" w:cs="仿宋"/>
          <w:sz w:val="30"/>
          <w:szCs w:val="30"/>
        </w:rPr>
        <w:t>，主要因为本年度发放了2024年及2025年的绩效奖预发，人员工资晋级晋档后有所上升，社保基数增加等；日常公用经费年初预算数1463.96万元，实际支出1311.41万元，预算支出控制率89.58</w:t>
      </w:r>
      <w:r>
        <w:rPr>
          <w:rFonts w:ascii="仿宋" w:hAnsi="仿宋" w:eastAsia="仿宋" w:cs="仿宋"/>
          <w:sz w:val="30"/>
          <w:szCs w:val="30"/>
        </w:rPr>
        <w:t>%</w:t>
      </w:r>
      <w:r>
        <w:rPr>
          <w:rFonts w:hint="eastAsia" w:ascii="仿宋" w:hAnsi="仿宋" w:eastAsia="仿宋" w:cs="仿宋"/>
          <w:sz w:val="30"/>
          <w:szCs w:val="30"/>
        </w:rPr>
        <w:t>，主要因为预决算统计口径不一致，决算公用经费含工会经费、福利费、离退休人员公用经费、车补等，决算为压减后支出。其中</w:t>
      </w:r>
      <w:r>
        <w:rPr>
          <w:rFonts w:ascii="仿宋" w:hAnsi="仿宋" w:eastAsia="仿宋" w:cs="仿宋"/>
          <w:sz w:val="30"/>
          <w:szCs w:val="30"/>
        </w:rPr>
        <w:t>202</w:t>
      </w:r>
      <w:r>
        <w:rPr>
          <w:rFonts w:hint="eastAsia" w:ascii="仿宋" w:hAnsi="仿宋" w:eastAsia="仿宋" w:cs="仿宋"/>
          <w:sz w:val="30"/>
          <w:szCs w:val="30"/>
        </w:rPr>
        <w:t>5年“三公”经费控制数为345万元，其中公务接待费控制数为6万元，公务用车购置及运行维护费控制数为339万元。</w:t>
      </w:r>
      <w:r>
        <w:rPr>
          <w:rFonts w:ascii="仿宋" w:hAnsi="仿宋" w:eastAsia="仿宋" w:cs="仿宋"/>
          <w:sz w:val="30"/>
          <w:szCs w:val="30"/>
        </w:rPr>
        <w:t xml:space="preserve"> 202</w:t>
      </w:r>
      <w:r>
        <w:rPr>
          <w:rFonts w:hint="eastAsia" w:ascii="仿宋" w:hAnsi="仿宋" w:eastAsia="仿宋" w:cs="仿宋"/>
          <w:sz w:val="30"/>
          <w:szCs w:val="30"/>
        </w:rPr>
        <w:t>5年“三公”经费实际支出合计299.72万元，较</w:t>
      </w:r>
      <w:r>
        <w:rPr>
          <w:rFonts w:ascii="仿宋" w:hAnsi="仿宋" w:eastAsia="仿宋" w:cs="仿宋"/>
          <w:sz w:val="30"/>
          <w:szCs w:val="30"/>
        </w:rPr>
        <w:t>202</w:t>
      </w:r>
      <w:r>
        <w:rPr>
          <w:rFonts w:hint="eastAsia" w:ascii="仿宋" w:hAnsi="仿宋" w:eastAsia="仿宋" w:cs="仿宋"/>
          <w:sz w:val="30"/>
          <w:szCs w:val="30"/>
        </w:rPr>
        <w:t>5年控制数345</w:t>
      </w:r>
      <w:r>
        <w:rPr>
          <w:rFonts w:ascii="仿宋" w:hAnsi="仿宋" w:eastAsia="仿宋" w:cs="仿宋"/>
          <w:sz w:val="30"/>
          <w:szCs w:val="30"/>
        </w:rPr>
        <w:t>.00</w:t>
      </w:r>
      <w:r>
        <w:rPr>
          <w:rFonts w:hint="eastAsia" w:ascii="仿宋" w:hAnsi="仿宋" w:eastAsia="仿宋" w:cs="仿宋"/>
          <w:sz w:val="30"/>
          <w:szCs w:val="30"/>
        </w:rPr>
        <w:t>万元减少45.08万元，降幅13.12</w:t>
      </w:r>
      <w:r>
        <w:rPr>
          <w:rFonts w:ascii="仿宋" w:hAnsi="仿宋" w:eastAsia="仿宋" w:cs="仿宋"/>
          <w:sz w:val="30"/>
          <w:szCs w:val="30"/>
        </w:rPr>
        <w:t>%</w:t>
      </w:r>
      <w:r>
        <w:rPr>
          <w:rFonts w:hint="eastAsia" w:ascii="仿宋" w:hAnsi="仿宋" w:eastAsia="仿宋" w:cs="仿宋"/>
          <w:sz w:val="30"/>
          <w:szCs w:val="30"/>
        </w:rPr>
        <w:t>。</w:t>
      </w:r>
    </w:p>
    <w:p w14:paraId="4D4C09C5">
      <w:pPr>
        <w:pStyle w:val="4"/>
        <w:widowControl/>
        <w:shd w:val="clear" w:color="auto" w:fill="FFFFFF"/>
        <w:spacing w:before="0" w:beforeAutospacing="0" w:after="0" w:afterAutospacing="0" w:line="480" w:lineRule="auto"/>
        <w:ind w:firstLine="640"/>
        <w:jc w:val="both"/>
        <w:rPr>
          <w:rFonts w:ascii="仿宋" w:hAnsi="仿宋" w:eastAsia="仿宋" w:cs="仿宋"/>
          <w:sz w:val="30"/>
          <w:szCs w:val="30"/>
        </w:rPr>
      </w:pPr>
      <w:r>
        <w:rPr>
          <w:rFonts w:hint="eastAsia" w:ascii="仿宋" w:hAnsi="仿宋" w:eastAsia="仿宋" w:cs="仿宋"/>
          <w:sz w:val="30"/>
          <w:szCs w:val="30"/>
        </w:rPr>
        <w:t>此外，项目支出总体上严格按预算执行，支出总额控制在预算总额的一定范围内。</w:t>
      </w:r>
    </w:p>
    <w:p w14:paraId="04C3571D">
      <w:pPr>
        <w:pStyle w:val="4"/>
        <w:widowControl/>
        <w:shd w:val="clear" w:color="auto" w:fill="FFFFFF"/>
        <w:spacing w:before="0" w:beforeAutospacing="0" w:after="0" w:afterAutospacing="0" w:line="480" w:lineRule="auto"/>
        <w:ind w:firstLine="750" w:firstLineChars="249"/>
        <w:jc w:val="both"/>
        <w:rPr>
          <w:rFonts w:ascii="仿宋" w:hAnsi="仿宋" w:eastAsia="仿宋" w:cs="仿宋"/>
          <w:b/>
          <w:sz w:val="30"/>
          <w:szCs w:val="30"/>
        </w:rPr>
      </w:pPr>
      <w:r>
        <w:rPr>
          <w:rFonts w:hint="eastAsia" w:ascii="仿宋" w:hAnsi="仿宋" w:eastAsia="仿宋" w:cs="仿宋"/>
          <w:b/>
          <w:sz w:val="30"/>
          <w:szCs w:val="30"/>
        </w:rPr>
        <w:t>（三）部门专项组织实施情况</w:t>
      </w:r>
    </w:p>
    <w:p w14:paraId="4D5411D6">
      <w:pPr>
        <w:pStyle w:val="4"/>
        <w:widowControl/>
        <w:shd w:val="clear" w:color="auto" w:fill="FFFFFF"/>
        <w:spacing w:before="0" w:beforeAutospacing="0" w:after="0" w:afterAutospacing="0" w:line="480" w:lineRule="auto"/>
        <w:ind w:firstLine="640"/>
        <w:jc w:val="both"/>
        <w:rPr>
          <w:rFonts w:ascii="仿宋" w:hAnsi="仿宋" w:eastAsia="仿宋" w:cs="仿宋"/>
          <w:sz w:val="30"/>
          <w:szCs w:val="30"/>
        </w:rPr>
      </w:pPr>
      <w:r>
        <w:rPr>
          <w:rFonts w:hint="eastAsia" w:ascii="仿宋" w:hAnsi="仿宋" w:eastAsia="仿宋" w:cs="仿宋"/>
          <w:sz w:val="30"/>
          <w:szCs w:val="30"/>
        </w:rPr>
        <w:t>1、专项组织情况</w:t>
      </w:r>
    </w:p>
    <w:p w14:paraId="33BEF925">
      <w:pPr>
        <w:pStyle w:val="4"/>
        <w:widowControl/>
        <w:shd w:val="clear" w:color="auto" w:fill="FFFFFF"/>
        <w:spacing w:before="0" w:beforeAutospacing="0" w:after="0" w:afterAutospacing="0" w:line="480" w:lineRule="auto"/>
        <w:ind w:firstLine="640"/>
        <w:jc w:val="both"/>
        <w:rPr>
          <w:rFonts w:ascii="仿宋" w:hAnsi="仿宋" w:eastAsia="仿宋" w:cs="仿宋"/>
          <w:sz w:val="30"/>
          <w:szCs w:val="30"/>
        </w:rPr>
      </w:pPr>
      <w:r>
        <w:rPr>
          <w:rFonts w:hint="eastAsia" w:ascii="仿宋" w:hAnsi="仿宋" w:eastAsia="仿宋" w:cs="仿宋"/>
          <w:sz w:val="30"/>
          <w:szCs w:val="30"/>
        </w:rPr>
        <w:t>局相关对口部门在上年年中会同警务保障部对下年度专项资金的收入和支出作出预算，并上报财政，获得相关部门的预算批复。专项资金的使用也由对口部门和财务部门根据《专项资金管理制度》进行管理。</w:t>
      </w:r>
    </w:p>
    <w:p w14:paraId="7DD782A5">
      <w:pPr>
        <w:pStyle w:val="4"/>
        <w:widowControl/>
        <w:shd w:val="clear" w:color="auto" w:fill="FFFFFF"/>
        <w:spacing w:before="0" w:beforeAutospacing="0" w:after="0" w:afterAutospacing="0" w:line="480" w:lineRule="auto"/>
        <w:ind w:firstLine="640"/>
        <w:jc w:val="both"/>
        <w:rPr>
          <w:rFonts w:ascii="仿宋" w:hAnsi="仿宋" w:eastAsia="仿宋" w:cs="仿宋"/>
          <w:sz w:val="30"/>
          <w:szCs w:val="30"/>
        </w:rPr>
      </w:pPr>
      <w:r>
        <w:rPr>
          <w:rFonts w:hint="eastAsia" w:ascii="仿宋" w:hAnsi="仿宋" w:eastAsia="仿宋" w:cs="仿宋"/>
          <w:sz w:val="30"/>
          <w:szCs w:val="30"/>
        </w:rPr>
        <w:t>2、专项管理情况</w:t>
      </w:r>
    </w:p>
    <w:p w14:paraId="3100EAF7">
      <w:pPr>
        <w:pStyle w:val="4"/>
        <w:widowControl/>
        <w:shd w:val="clear" w:color="auto" w:fill="FFFFFF"/>
        <w:spacing w:before="0" w:beforeAutospacing="0" w:after="0" w:afterAutospacing="0" w:line="480" w:lineRule="auto"/>
        <w:ind w:firstLine="640"/>
        <w:jc w:val="both"/>
        <w:rPr>
          <w:rFonts w:ascii="仿宋" w:hAnsi="仿宋" w:eastAsia="仿宋" w:cs="仿宋"/>
          <w:sz w:val="30"/>
          <w:szCs w:val="30"/>
        </w:rPr>
      </w:pPr>
      <w:r>
        <w:rPr>
          <w:rFonts w:hint="eastAsia" w:ascii="仿宋" w:hAnsi="仿宋" w:eastAsia="仿宋" w:cs="仿宋"/>
          <w:sz w:val="30"/>
          <w:szCs w:val="30"/>
        </w:rPr>
        <w:t>根据专项资金管理的要求，我局制定了多项管理办法，并严格按照管理办法执行。一是严格按预算开支，没有超标准、超规模、超范围开支；二是严格开支管理，做到了专款专用，不存在截</w:t>
      </w:r>
      <w:r>
        <w:rPr>
          <w:rFonts w:hint="eastAsia" w:ascii="仿宋" w:hAnsi="仿宋" w:eastAsia="仿宋" w:cs="仿宋"/>
          <w:sz w:val="30"/>
          <w:szCs w:val="30"/>
          <w:lang w:eastAsia="zh-CN"/>
        </w:rPr>
        <w:t>留</w:t>
      </w:r>
      <w:bookmarkStart w:id="0" w:name="_GoBack"/>
      <w:bookmarkEnd w:id="0"/>
      <w:r>
        <w:rPr>
          <w:rFonts w:hint="eastAsia" w:ascii="仿宋" w:hAnsi="仿宋" w:eastAsia="仿宋" w:cs="仿宋"/>
          <w:sz w:val="30"/>
          <w:szCs w:val="30"/>
        </w:rPr>
        <w:t>、挤占、挪用的情况；三是加强内部检查和审计，进行定期或不定期的检查、审计，确保专项资金落实到位。</w:t>
      </w:r>
    </w:p>
    <w:p w14:paraId="4010FB46">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九、存在的问题及原因分析</w:t>
      </w:r>
    </w:p>
    <w:p w14:paraId="2EDBF93A">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（一）公安工作经费需求量较大，年初预算保障较低</w:t>
      </w:r>
    </w:p>
    <w:p w14:paraId="204BCA1D">
      <w:pPr>
        <w:pStyle w:val="4"/>
        <w:widowControl/>
        <w:shd w:val="clear" w:color="auto" w:fill="FFFFFF"/>
        <w:spacing w:before="0" w:beforeAutospacing="0" w:after="0" w:afterAutospacing="0" w:line="480" w:lineRule="auto"/>
        <w:jc w:val="both"/>
        <w:rPr>
          <w:rFonts w:ascii="仿宋" w:hAnsi="仿宋" w:eastAsia="仿宋" w:cs="仿宋"/>
          <w:color w:val="000000"/>
          <w:sz w:val="30"/>
          <w:szCs w:val="30"/>
        </w:rPr>
      </w:pPr>
      <w:r>
        <w:rPr>
          <w:rFonts w:ascii="仿宋" w:hAnsi="仿宋" w:eastAsia="仿宋" w:cs="仿宋"/>
          <w:color w:val="000000"/>
          <w:sz w:val="30"/>
          <w:szCs w:val="30"/>
        </w:rPr>
        <w:t xml:space="preserve">    </w:t>
      </w:r>
      <w:r>
        <w:rPr>
          <w:rFonts w:hint="eastAsia" w:ascii="仿宋" w:hAnsi="仿宋" w:eastAsia="仿宋" w:cs="仿宋"/>
          <w:color w:val="000000"/>
          <w:sz w:val="30"/>
          <w:szCs w:val="30"/>
        </w:rPr>
        <w:t>由于近年来财政对公用经费及专项资金的逐年压减，加上维稳安保任务逐年增加，专项工作要求高，使得我局在日常运转、办案业务、信息化建设、基本建设等方面都捉襟见肘，且存在大量资金缺口。而单位每年的非税收入弹性较大，无法及时弥补经费不足，导致较多工作无法正常有序开展。</w:t>
      </w:r>
    </w:p>
    <w:p w14:paraId="59E7CFA1">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（二）公安信息化建设繁多，增加了经费支出</w:t>
      </w:r>
    </w:p>
    <w:p w14:paraId="4CEEA12E">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随着当前社会形势发展，信息化社会办案必须依靠科技手段。装备和技术手段的配备直接影响到全市公安工作，公安信息化建设及装备购置项目投入大，没有专门资金保障，经费十分紧张。且专项经费中装备经费所占比重小，保障不足，无法在短期内投入较多的经费，改善科技装备，故难以满足现代公安工作的需要。</w:t>
      </w:r>
    </w:p>
    <w:p w14:paraId="77DC35A5">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十、下一步改进措施</w:t>
      </w:r>
    </w:p>
    <w:p w14:paraId="07E2E8FF">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（一）科学合理编制预算，严格执行预算</w:t>
      </w:r>
    </w:p>
    <w:p w14:paraId="2DE61150">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对预算事项充分论证，加强业务学习，并结合上一年度预算执行情况和本年度预算收支变化因素，科学、合理地编</w:t>
      </w:r>
      <w:r>
        <w:rPr>
          <w:rFonts w:hint="eastAsia" w:ascii="仿宋" w:hAnsi="仿宋" w:eastAsia="仿宋" w:cs="仿宋"/>
          <w:color w:val="000000"/>
          <w:sz w:val="30"/>
          <w:szCs w:val="30"/>
          <w:lang w:eastAsia="zh-CN"/>
        </w:rPr>
        <w:t>制</w:t>
      </w:r>
      <w:r>
        <w:rPr>
          <w:rFonts w:hint="eastAsia" w:ascii="仿宋" w:hAnsi="仿宋" w:eastAsia="仿宋" w:cs="仿宋"/>
          <w:color w:val="000000"/>
          <w:sz w:val="30"/>
          <w:szCs w:val="30"/>
        </w:rPr>
        <w:t>预算草案，将预算编制内容全面化、明细化。</w:t>
      </w:r>
    </w:p>
    <w:p w14:paraId="27BD4238">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（二）采取得力措施减缩开支，向节约要保障</w:t>
      </w:r>
    </w:p>
    <w:p w14:paraId="42DE0903">
      <w:pPr>
        <w:pStyle w:val="4"/>
        <w:widowControl/>
        <w:shd w:val="clear" w:color="auto" w:fill="FFFFFF"/>
        <w:spacing w:before="0" w:beforeAutospacing="0" w:after="0" w:afterAutospacing="0" w:line="480" w:lineRule="auto"/>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一是制定具体可行、科学合理的预算计划，围绕年度公安中心工</w:t>
      </w:r>
    </w:p>
    <w:p w14:paraId="76A23F93">
      <w:pPr>
        <w:pStyle w:val="4"/>
        <w:widowControl/>
        <w:shd w:val="clear" w:color="auto" w:fill="FFFFFF"/>
        <w:spacing w:before="0" w:beforeAutospacing="0" w:after="0" w:afterAutospacing="0" w:line="480" w:lineRule="auto"/>
        <w:jc w:val="both"/>
        <w:rPr>
          <w:rFonts w:ascii="仿宋" w:hAnsi="仿宋" w:eastAsia="仿宋" w:cs="仿宋"/>
          <w:color w:val="000000"/>
          <w:sz w:val="30"/>
          <w:szCs w:val="30"/>
        </w:rPr>
      </w:pPr>
      <w:r>
        <w:rPr>
          <w:rFonts w:hint="eastAsia" w:ascii="仿宋" w:hAnsi="仿宋" w:eastAsia="仿宋" w:cs="仿宋"/>
          <w:color w:val="000000"/>
          <w:sz w:val="30"/>
          <w:szCs w:val="30"/>
        </w:rPr>
        <w:t>作，结合本单位实际支出情况，本着节约原则进行合理安排，严格核定各项支出指标。二是压缩一般性开支，严格“三公经费”管理，设备采购严格落实政府采购手续，缓解经费不足的压力。</w:t>
      </w:r>
    </w:p>
    <w:p w14:paraId="1BB61052">
      <w:pPr>
        <w:pStyle w:val="4"/>
        <w:widowControl/>
        <w:shd w:val="clear" w:color="auto" w:fill="FFFFFF"/>
        <w:spacing w:before="0" w:beforeAutospacing="0" w:after="0" w:afterAutospacing="0" w:line="480" w:lineRule="auto"/>
        <w:ind w:firstLine="640"/>
        <w:jc w:val="both"/>
        <w:rPr>
          <w:rFonts w:ascii="仿宋" w:hAnsi="仿宋" w:eastAsia="仿宋" w:cs="仿宋"/>
          <w:b/>
          <w:bCs/>
          <w:color w:val="000000"/>
          <w:sz w:val="30"/>
          <w:szCs w:val="30"/>
        </w:rPr>
      </w:pPr>
      <w:r>
        <w:rPr>
          <w:rFonts w:hint="eastAsia" w:ascii="仿宋" w:hAnsi="仿宋" w:eastAsia="仿宋" w:cs="仿宋"/>
          <w:b/>
          <w:bCs/>
          <w:color w:val="000000"/>
          <w:sz w:val="30"/>
          <w:szCs w:val="30"/>
        </w:rPr>
        <w:t>十一、绩效自评结果拟应用和公开情况</w:t>
      </w:r>
    </w:p>
    <w:p w14:paraId="4831B912">
      <w:pPr>
        <w:pStyle w:val="4"/>
        <w:widowControl/>
        <w:shd w:val="clear" w:color="auto" w:fill="FFFFFF"/>
        <w:spacing w:before="0" w:beforeAutospacing="0" w:after="0" w:afterAutospacing="0" w:line="480" w:lineRule="auto"/>
        <w:ind w:firstLine="640"/>
        <w:jc w:val="both"/>
        <w:rPr>
          <w:rFonts w:ascii="仿宋" w:hAnsi="仿宋" w:eastAsia="仿宋" w:cs="仿宋"/>
          <w:bCs/>
          <w:color w:val="000000"/>
          <w:sz w:val="30"/>
          <w:szCs w:val="30"/>
        </w:rPr>
      </w:pPr>
      <w:r>
        <w:rPr>
          <w:rFonts w:hint="eastAsia" w:ascii="仿宋" w:hAnsi="仿宋" w:eastAsia="仿宋" w:cs="仿宋"/>
          <w:bCs/>
          <w:color w:val="000000"/>
          <w:sz w:val="30"/>
          <w:szCs w:val="30"/>
        </w:rPr>
        <w:t>严格按照《怀化市财政局关于开展2025年度市级预算部门绩效自评和部门评价的通知》怀财绩〔2026〕36号文件要求，开展单位绩效自评工作并与日常工作相适应，于2026年6月30日将绩效自评报告公开在怀化市公安局门户网站。</w:t>
      </w:r>
      <w:r>
        <w:rPr>
          <w:rFonts w:ascii="仿宋" w:hAnsi="仿宋" w:eastAsia="仿宋" w:cs="仿宋"/>
          <w:bCs/>
          <w:color w:val="000000"/>
          <w:sz w:val="30"/>
          <w:szCs w:val="30"/>
        </w:rPr>
        <w:t xml:space="preserve"> </w:t>
      </w:r>
    </w:p>
    <w:p w14:paraId="7B7ECBC3">
      <w:pPr>
        <w:pStyle w:val="4"/>
        <w:widowControl/>
        <w:shd w:val="clear" w:color="auto" w:fill="FFFFFF"/>
        <w:spacing w:before="0" w:beforeAutospacing="0" w:after="0" w:afterAutospacing="0" w:line="480" w:lineRule="auto"/>
        <w:ind w:firstLine="602" w:firstLineChars="200"/>
        <w:jc w:val="both"/>
        <w:rPr>
          <w:rFonts w:ascii="仿宋" w:hAnsi="仿宋" w:eastAsia="仿宋" w:cs="仿宋"/>
          <w:b/>
          <w:bCs/>
          <w:color w:val="000000"/>
          <w:sz w:val="30"/>
          <w:szCs w:val="30"/>
        </w:rPr>
      </w:pPr>
      <w:r>
        <w:rPr>
          <w:rFonts w:hint="eastAsia" w:ascii="仿宋" w:hAnsi="仿宋" w:eastAsia="仿宋" w:cs="仿宋"/>
          <w:b/>
          <w:bCs/>
          <w:color w:val="000000"/>
          <w:sz w:val="30"/>
          <w:szCs w:val="30"/>
        </w:rPr>
        <w:t>十二、其他需要说明的情况</w:t>
      </w:r>
    </w:p>
    <w:p w14:paraId="5C75DF89">
      <w:pPr>
        <w:pStyle w:val="4"/>
        <w:widowControl/>
        <w:shd w:val="clear" w:color="auto" w:fill="FFFFFF"/>
        <w:spacing w:before="0" w:beforeAutospacing="0" w:after="0" w:afterAutospacing="0" w:line="480" w:lineRule="auto"/>
        <w:ind w:firstLine="600" w:firstLineChars="200"/>
        <w:jc w:val="both"/>
        <w:rPr>
          <w:rFonts w:ascii="仿宋" w:hAnsi="仿宋" w:eastAsia="仿宋" w:cs="仿宋"/>
          <w:color w:val="000000"/>
          <w:sz w:val="30"/>
          <w:szCs w:val="30"/>
        </w:rPr>
      </w:pPr>
      <w:r>
        <w:rPr>
          <w:rFonts w:hint="eastAsia" w:ascii="仿宋" w:hAnsi="仿宋" w:eastAsia="仿宋" w:cs="仿宋"/>
          <w:bCs/>
          <w:color w:val="000000"/>
          <w:sz w:val="30"/>
          <w:szCs w:val="30"/>
        </w:rPr>
        <w:t>无</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altName w:val="Noto Sans Syriac Eastern"/>
    <w:panose1 w:val="02040503050406030204"/>
    <w:charset w:val="00"/>
    <w:family w:val="roman"/>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E6CD2">
    <w:pPr>
      <w:pStyle w:val="2"/>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0C42F93C">
                <w:pPr>
                  <w:pStyle w:val="2"/>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31448">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7C666">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CFC40">
    <w:pPr>
      <w:pStyle w:val="3"/>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0F57E">
    <w:pPr>
      <w:pStyle w:val="3"/>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E3C56">
    <w:pPr>
      <w:pStyle w:val="3"/>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VkODg5NzMzNzBjOWQ1MjdhM2NiYmJhMjkzNzc1NmQifQ=="/>
  </w:docVars>
  <w:rsids>
    <w:rsidRoot w:val="007D7DAD"/>
    <w:rsid w:val="00001321"/>
    <w:rsid w:val="0000208F"/>
    <w:rsid w:val="00020603"/>
    <w:rsid w:val="00020C35"/>
    <w:rsid w:val="000361F9"/>
    <w:rsid w:val="000419B1"/>
    <w:rsid w:val="000454AB"/>
    <w:rsid w:val="000455BA"/>
    <w:rsid w:val="00046525"/>
    <w:rsid w:val="00047D0C"/>
    <w:rsid w:val="00055595"/>
    <w:rsid w:val="00066A2A"/>
    <w:rsid w:val="0006768C"/>
    <w:rsid w:val="00071617"/>
    <w:rsid w:val="00071EB7"/>
    <w:rsid w:val="00076D82"/>
    <w:rsid w:val="00083FE5"/>
    <w:rsid w:val="0009162F"/>
    <w:rsid w:val="000947D2"/>
    <w:rsid w:val="000A3E6B"/>
    <w:rsid w:val="000A46FE"/>
    <w:rsid w:val="000C11BC"/>
    <w:rsid w:val="000C474F"/>
    <w:rsid w:val="000C5EE0"/>
    <w:rsid w:val="000D628C"/>
    <w:rsid w:val="000D7CBF"/>
    <w:rsid w:val="000E6E8B"/>
    <w:rsid w:val="000E7F0A"/>
    <w:rsid w:val="000F099D"/>
    <w:rsid w:val="000F0DA8"/>
    <w:rsid w:val="000F0E0F"/>
    <w:rsid w:val="000F4828"/>
    <w:rsid w:val="000F4F91"/>
    <w:rsid w:val="001034CD"/>
    <w:rsid w:val="00104237"/>
    <w:rsid w:val="001115F7"/>
    <w:rsid w:val="00120D23"/>
    <w:rsid w:val="00125C49"/>
    <w:rsid w:val="001270CA"/>
    <w:rsid w:val="001356AC"/>
    <w:rsid w:val="0014300B"/>
    <w:rsid w:val="001528E9"/>
    <w:rsid w:val="00152C16"/>
    <w:rsid w:val="00161B90"/>
    <w:rsid w:val="00173AF0"/>
    <w:rsid w:val="0018125D"/>
    <w:rsid w:val="00181373"/>
    <w:rsid w:val="00182BD0"/>
    <w:rsid w:val="00182E0E"/>
    <w:rsid w:val="0018325C"/>
    <w:rsid w:val="00185136"/>
    <w:rsid w:val="001928D5"/>
    <w:rsid w:val="00192BB0"/>
    <w:rsid w:val="00194AAC"/>
    <w:rsid w:val="00196535"/>
    <w:rsid w:val="001A0EE3"/>
    <w:rsid w:val="001B4130"/>
    <w:rsid w:val="001B48E4"/>
    <w:rsid w:val="001B53FE"/>
    <w:rsid w:val="001B5A44"/>
    <w:rsid w:val="001B5EA1"/>
    <w:rsid w:val="001C1E2C"/>
    <w:rsid w:val="001D079F"/>
    <w:rsid w:val="001D1A3C"/>
    <w:rsid w:val="001D1C4D"/>
    <w:rsid w:val="001D4BE7"/>
    <w:rsid w:val="001D6533"/>
    <w:rsid w:val="001E1569"/>
    <w:rsid w:val="001E6A2D"/>
    <w:rsid w:val="001F2871"/>
    <w:rsid w:val="00200B51"/>
    <w:rsid w:val="002017F2"/>
    <w:rsid w:val="0021089A"/>
    <w:rsid w:val="002114B3"/>
    <w:rsid w:val="00227626"/>
    <w:rsid w:val="0023247D"/>
    <w:rsid w:val="00237F9E"/>
    <w:rsid w:val="0024282F"/>
    <w:rsid w:val="00250455"/>
    <w:rsid w:val="0025281B"/>
    <w:rsid w:val="00261AC3"/>
    <w:rsid w:val="00272219"/>
    <w:rsid w:val="00284A8B"/>
    <w:rsid w:val="002850D1"/>
    <w:rsid w:val="002875FF"/>
    <w:rsid w:val="002938DA"/>
    <w:rsid w:val="00294ECF"/>
    <w:rsid w:val="00297035"/>
    <w:rsid w:val="002A0392"/>
    <w:rsid w:val="002A7854"/>
    <w:rsid w:val="002B11E1"/>
    <w:rsid w:val="002B1DB5"/>
    <w:rsid w:val="002B6AE7"/>
    <w:rsid w:val="002C02E1"/>
    <w:rsid w:val="002C2662"/>
    <w:rsid w:val="002C3EB2"/>
    <w:rsid w:val="002C594F"/>
    <w:rsid w:val="002D0733"/>
    <w:rsid w:val="002D3B7C"/>
    <w:rsid w:val="002D51A0"/>
    <w:rsid w:val="002D5719"/>
    <w:rsid w:val="002E68AA"/>
    <w:rsid w:val="002E713C"/>
    <w:rsid w:val="002F2A22"/>
    <w:rsid w:val="002F55BD"/>
    <w:rsid w:val="00301EAB"/>
    <w:rsid w:val="00304349"/>
    <w:rsid w:val="00305A7F"/>
    <w:rsid w:val="0031461C"/>
    <w:rsid w:val="0031583A"/>
    <w:rsid w:val="003219A6"/>
    <w:rsid w:val="00324608"/>
    <w:rsid w:val="00327BCB"/>
    <w:rsid w:val="003310E4"/>
    <w:rsid w:val="00334C63"/>
    <w:rsid w:val="00337270"/>
    <w:rsid w:val="0033733B"/>
    <w:rsid w:val="00342502"/>
    <w:rsid w:val="003426A4"/>
    <w:rsid w:val="0034412D"/>
    <w:rsid w:val="00350254"/>
    <w:rsid w:val="00353B36"/>
    <w:rsid w:val="0035437D"/>
    <w:rsid w:val="003629C0"/>
    <w:rsid w:val="00363215"/>
    <w:rsid w:val="00363F6F"/>
    <w:rsid w:val="00364233"/>
    <w:rsid w:val="0037460A"/>
    <w:rsid w:val="003761FF"/>
    <w:rsid w:val="003769F2"/>
    <w:rsid w:val="00376E0E"/>
    <w:rsid w:val="003808C4"/>
    <w:rsid w:val="00380EB4"/>
    <w:rsid w:val="00381C92"/>
    <w:rsid w:val="003831CB"/>
    <w:rsid w:val="003860AC"/>
    <w:rsid w:val="003A10A5"/>
    <w:rsid w:val="003A4637"/>
    <w:rsid w:val="003A506B"/>
    <w:rsid w:val="003A7B05"/>
    <w:rsid w:val="003B11A3"/>
    <w:rsid w:val="003B24D0"/>
    <w:rsid w:val="003C3FAE"/>
    <w:rsid w:val="003E4912"/>
    <w:rsid w:val="003E49B8"/>
    <w:rsid w:val="003E4D8B"/>
    <w:rsid w:val="003E60F5"/>
    <w:rsid w:val="003F062B"/>
    <w:rsid w:val="003F100B"/>
    <w:rsid w:val="003F57C2"/>
    <w:rsid w:val="003F7AB9"/>
    <w:rsid w:val="00404E6C"/>
    <w:rsid w:val="00405706"/>
    <w:rsid w:val="00405E42"/>
    <w:rsid w:val="00406547"/>
    <w:rsid w:val="004201D5"/>
    <w:rsid w:val="0042102E"/>
    <w:rsid w:val="00423761"/>
    <w:rsid w:val="00424061"/>
    <w:rsid w:val="0042733B"/>
    <w:rsid w:val="00432778"/>
    <w:rsid w:val="00442FAF"/>
    <w:rsid w:val="0044387D"/>
    <w:rsid w:val="00446287"/>
    <w:rsid w:val="00455FC1"/>
    <w:rsid w:val="00460A6E"/>
    <w:rsid w:val="00460C62"/>
    <w:rsid w:val="00462D1A"/>
    <w:rsid w:val="00467990"/>
    <w:rsid w:val="00471337"/>
    <w:rsid w:val="004755E7"/>
    <w:rsid w:val="004805B3"/>
    <w:rsid w:val="004833CB"/>
    <w:rsid w:val="0048610D"/>
    <w:rsid w:val="00487F75"/>
    <w:rsid w:val="0049287E"/>
    <w:rsid w:val="004A1CCB"/>
    <w:rsid w:val="004A36C7"/>
    <w:rsid w:val="004A539F"/>
    <w:rsid w:val="004A67C1"/>
    <w:rsid w:val="004B0231"/>
    <w:rsid w:val="004B429D"/>
    <w:rsid w:val="004B4C6B"/>
    <w:rsid w:val="004C1CA9"/>
    <w:rsid w:val="004C39D3"/>
    <w:rsid w:val="004C77A3"/>
    <w:rsid w:val="004D47D5"/>
    <w:rsid w:val="004D7B01"/>
    <w:rsid w:val="004E0D69"/>
    <w:rsid w:val="004E2022"/>
    <w:rsid w:val="004E5D7F"/>
    <w:rsid w:val="004E7507"/>
    <w:rsid w:val="004F0511"/>
    <w:rsid w:val="004F1554"/>
    <w:rsid w:val="004F1831"/>
    <w:rsid w:val="005036FC"/>
    <w:rsid w:val="00504B9B"/>
    <w:rsid w:val="00507B69"/>
    <w:rsid w:val="005146EA"/>
    <w:rsid w:val="0051737A"/>
    <w:rsid w:val="0052672E"/>
    <w:rsid w:val="00535C67"/>
    <w:rsid w:val="00537341"/>
    <w:rsid w:val="00537BA3"/>
    <w:rsid w:val="005410CF"/>
    <w:rsid w:val="005435C1"/>
    <w:rsid w:val="00545415"/>
    <w:rsid w:val="00545B76"/>
    <w:rsid w:val="00545C40"/>
    <w:rsid w:val="00554C8F"/>
    <w:rsid w:val="00562A77"/>
    <w:rsid w:val="00567403"/>
    <w:rsid w:val="005768D8"/>
    <w:rsid w:val="00576B27"/>
    <w:rsid w:val="0059524D"/>
    <w:rsid w:val="005967E7"/>
    <w:rsid w:val="00597DCB"/>
    <w:rsid w:val="005A268D"/>
    <w:rsid w:val="005C0542"/>
    <w:rsid w:val="005C1421"/>
    <w:rsid w:val="005C2641"/>
    <w:rsid w:val="005C285C"/>
    <w:rsid w:val="005C5F2C"/>
    <w:rsid w:val="005C794A"/>
    <w:rsid w:val="005D3A8C"/>
    <w:rsid w:val="005E045C"/>
    <w:rsid w:val="005E1FC4"/>
    <w:rsid w:val="005E2CDD"/>
    <w:rsid w:val="005E54DA"/>
    <w:rsid w:val="005E5C46"/>
    <w:rsid w:val="005E730A"/>
    <w:rsid w:val="005F1877"/>
    <w:rsid w:val="005F3EBE"/>
    <w:rsid w:val="005F5A99"/>
    <w:rsid w:val="00606548"/>
    <w:rsid w:val="00610175"/>
    <w:rsid w:val="006242E4"/>
    <w:rsid w:val="006369FA"/>
    <w:rsid w:val="00636F2D"/>
    <w:rsid w:val="00641E0A"/>
    <w:rsid w:val="0064302C"/>
    <w:rsid w:val="006448E3"/>
    <w:rsid w:val="00650434"/>
    <w:rsid w:val="00654622"/>
    <w:rsid w:val="00661B69"/>
    <w:rsid w:val="00663471"/>
    <w:rsid w:val="00664F1F"/>
    <w:rsid w:val="00671192"/>
    <w:rsid w:val="00672DE3"/>
    <w:rsid w:val="006842EB"/>
    <w:rsid w:val="00684B02"/>
    <w:rsid w:val="00684FB2"/>
    <w:rsid w:val="00687F84"/>
    <w:rsid w:val="00691BAD"/>
    <w:rsid w:val="006924CA"/>
    <w:rsid w:val="00694C77"/>
    <w:rsid w:val="006A27B2"/>
    <w:rsid w:val="006B0285"/>
    <w:rsid w:val="006B0630"/>
    <w:rsid w:val="006C035A"/>
    <w:rsid w:val="006C50C2"/>
    <w:rsid w:val="006C7A3F"/>
    <w:rsid w:val="006D5F40"/>
    <w:rsid w:val="006E38AE"/>
    <w:rsid w:val="006F0A9D"/>
    <w:rsid w:val="006F6E10"/>
    <w:rsid w:val="00706D8D"/>
    <w:rsid w:val="0070779E"/>
    <w:rsid w:val="0071101B"/>
    <w:rsid w:val="00716A99"/>
    <w:rsid w:val="00722720"/>
    <w:rsid w:val="007257C4"/>
    <w:rsid w:val="007267AC"/>
    <w:rsid w:val="00730E00"/>
    <w:rsid w:val="00733DCC"/>
    <w:rsid w:val="00736826"/>
    <w:rsid w:val="007452ED"/>
    <w:rsid w:val="00746238"/>
    <w:rsid w:val="00751018"/>
    <w:rsid w:val="00756779"/>
    <w:rsid w:val="0075734B"/>
    <w:rsid w:val="00761781"/>
    <w:rsid w:val="00775779"/>
    <w:rsid w:val="00777F19"/>
    <w:rsid w:val="00781549"/>
    <w:rsid w:val="00784F74"/>
    <w:rsid w:val="007851B7"/>
    <w:rsid w:val="007917AF"/>
    <w:rsid w:val="00793C19"/>
    <w:rsid w:val="0079639E"/>
    <w:rsid w:val="007A1363"/>
    <w:rsid w:val="007A36CB"/>
    <w:rsid w:val="007A5C04"/>
    <w:rsid w:val="007A5D28"/>
    <w:rsid w:val="007B025C"/>
    <w:rsid w:val="007B392C"/>
    <w:rsid w:val="007B62BC"/>
    <w:rsid w:val="007B76A9"/>
    <w:rsid w:val="007C2403"/>
    <w:rsid w:val="007C5EA3"/>
    <w:rsid w:val="007C7E1B"/>
    <w:rsid w:val="007D1D3F"/>
    <w:rsid w:val="007D7DAD"/>
    <w:rsid w:val="007E7635"/>
    <w:rsid w:val="007E7B98"/>
    <w:rsid w:val="007F36A0"/>
    <w:rsid w:val="007F3AA7"/>
    <w:rsid w:val="00800D3C"/>
    <w:rsid w:val="00800E78"/>
    <w:rsid w:val="008037CD"/>
    <w:rsid w:val="00804FF5"/>
    <w:rsid w:val="008058DD"/>
    <w:rsid w:val="00806374"/>
    <w:rsid w:val="00806A22"/>
    <w:rsid w:val="008112C0"/>
    <w:rsid w:val="00812EBA"/>
    <w:rsid w:val="00813EE1"/>
    <w:rsid w:val="0082555F"/>
    <w:rsid w:val="00836D0E"/>
    <w:rsid w:val="00842362"/>
    <w:rsid w:val="00844A1E"/>
    <w:rsid w:val="00846692"/>
    <w:rsid w:val="008504FB"/>
    <w:rsid w:val="00853E84"/>
    <w:rsid w:val="00854D36"/>
    <w:rsid w:val="00861301"/>
    <w:rsid w:val="0086292C"/>
    <w:rsid w:val="0086754E"/>
    <w:rsid w:val="008700E4"/>
    <w:rsid w:val="00875088"/>
    <w:rsid w:val="008823F5"/>
    <w:rsid w:val="00885B39"/>
    <w:rsid w:val="00887980"/>
    <w:rsid w:val="008908BC"/>
    <w:rsid w:val="00892E7C"/>
    <w:rsid w:val="00895268"/>
    <w:rsid w:val="008A29D2"/>
    <w:rsid w:val="008C60AE"/>
    <w:rsid w:val="008D094F"/>
    <w:rsid w:val="008D1E5C"/>
    <w:rsid w:val="008D21DC"/>
    <w:rsid w:val="008D249D"/>
    <w:rsid w:val="008D5BCA"/>
    <w:rsid w:val="008E0EF6"/>
    <w:rsid w:val="008E56D3"/>
    <w:rsid w:val="008F14B5"/>
    <w:rsid w:val="008F1E28"/>
    <w:rsid w:val="008F31B8"/>
    <w:rsid w:val="008F3EAC"/>
    <w:rsid w:val="008F4DAD"/>
    <w:rsid w:val="008F6199"/>
    <w:rsid w:val="008F636A"/>
    <w:rsid w:val="009168CE"/>
    <w:rsid w:val="00916E38"/>
    <w:rsid w:val="00917389"/>
    <w:rsid w:val="00921369"/>
    <w:rsid w:val="0092241D"/>
    <w:rsid w:val="009347FB"/>
    <w:rsid w:val="009371CF"/>
    <w:rsid w:val="009409AE"/>
    <w:rsid w:val="009417CB"/>
    <w:rsid w:val="00947EDA"/>
    <w:rsid w:val="00955046"/>
    <w:rsid w:val="0096752E"/>
    <w:rsid w:val="009716BD"/>
    <w:rsid w:val="009774F3"/>
    <w:rsid w:val="00980C63"/>
    <w:rsid w:val="0098239F"/>
    <w:rsid w:val="009825CD"/>
    <w:rsid w:val="00984933"/>
    <w:rsid w:val="009B392E"/>
    <w:rsid w:val="009B7349"/>
    <w:rsid w:val="009B77D1"/>
    <w:rsid w:val="009C1FD5"/>
    <w:rsid w:val="009D0528"/>
    <w:rsid w:val="009D0663"/>
    <w:rsid w:val="009D5364"/>
    <w:rsid w:val="009D5CEE"/>
    <w:rsid w:val="009E6997"/>
    <w:rsid w:val="00A05C68"/>
    <w:rsid w:val="00A07819"/>
    <w:rsid w:val="00A110B8"/>
    <w:rsid w:val="00A13EFE"/>
    <w:rsid w:val="00A221D8"/>
    <w:rsid w:val="00A229DA"/>
    <w:rsid w:val="00A23E1C"/>
    <w:rsid w:val="00A27471"/>
    <w:rsid w:val="00A32281"/>
    <w:rsid w:val="00A322C6"/>
    <w:rsid w:val="00A337EB"/>
    <w:rsid w:val="00A41D29"/>
    <w:rsid w:val="00A449B9"/>
    <w:rsid w:val="00A455A3"/>
    <w:rsid w:val="00A619ED"/>
    <w:rsid w:val="00A82D0F"/>
    <w:rsid w:val="00A85887"/>
    <w:rsid w:val="00A87061"/>
    <w:rsid w:val="00A93D3B"/>
    <w:rsid w:val="00A9581B"/>
    <w:rsid w:val="00A962A6"/>
    <w:rsid w:val="00A9799F"/>
    <w:rsid w:val="00A97D1C"/>
    <w:rsid w:val="00AA2649"/>
    <w:rsid w:val="00AB0317"/>
    <w:rsid w:val="00AB05DB"/>
    <w:rsid w:val="00AB6A8A"/>
    <w:rsid w:val="00AC0E3D"/>
    <w:rsid w:val="00AC616E"/>
    <w:rsid w:val="00AC736A"/>
    <w:rsid w:val="00AC7B1E"/>
    <w:rsid w:val="00AD19E7"/>
    <w:rsid w:val="00AD7688"/>
    <w:rsid w:val="00AE053C"/>
    <w:rsid w:val="00AE34FD"/>
    <w:rsid w:val="00AE64D7"/>
    <w:rsid w:val="00AE6B87"/>
    <w:rsid w:val="00AE6F18"/>
    <w:rsid w:val="00AF1924"/>
    <w:rsid w:val="00AF69F9"/>
    <w:rsid w:val="00B03A43"/>
    <w:rsid w:val="00B10128"/>
    <w:rsid w:val="00B114B1"/>
    <w:rsid w:val="00B13052"/>
    <w:rsid w:val="00B132D8"/>
    <w:rsid w:val="00B13BA3"/>
    <w:rsid w:val="00B26B2E"/>
    <w:rsid w:val="00B3045A"/>
    <w:rsid w:val="00B30BA6"/>
    <w:rsid w:val="00B37ADC"/>
    <w:rsid w:val="00B5237B"/>
    <w:rsid w:val="00B5416A"/>
    <w:rsid w:val="00B62787"/>
    <w:rsid w:val="00B63749"/>
    <w:rsid w:val="00B80741"/>
    <w:rsid w:val="00B8343D"/>
    <w:rsid w:val="00B86125"/>
    <w:rsid w:val="00B96624"/>
    <w:rsid w:val="00BA436A"/>
    <w:rsid w:val="00BA6BBF"/>
    <w:rsid w:val="00BB048F"/>
    <w:rsid w:val="00BB171A"/>
    <w:rsid w:val="00BB2758"/>
    <w:rsid w:val="00BB31E9"/>
    <w:rsid w:val="00BB631C"/>
    <w:rsid w:val="00BC03EF"/>
    <w:rsid w:val="00BC52D6"/>
    <w:rsid w:val="00BC537A"/>
    <w:rsid w:val="00BD2E5B"/>
    <w:rsid w:val="00BD372A"/>
    <w:rsid w:val="00BD38F6"/>
    <w:rsid w:val="00BE3EFF"/>
    <w:rsid w:val="00BF0A76"/>
    <w:rsid w:val="00BF1CFC"/>
    <w:rsid w:val="00BF316C"/>
    <w:rsid w:val="00BF55B5"/>
    <w:rsid w:val="00BF684E"/>
    <w:rsid w:val="00BF7676"/>
    <w:rsid w:val="00C001E0"/>
    <w:rsid w:val="00C004D4"/>
    <w:rsid w:val="00C07E0B"/>
    <w:rsid w:val="00C1206E"/>
    <w:rsid w:val="00C12DAA"/>
    <w:rsid w:val="00C21DD2"/>
    <w:rsid w:val="00C21F5C"/>
    <w:rsid w:val="00C34911"/>
    <w:rsid w:val="00C43F79"/>
    <w:rsid w:val="00C4512A"/>
    <w:rsid w:val="00C46B88"/>
    <w:rsid w:val="00C47331"/>
    <w:rsid w:val="00C56165"/>
    <w:rsid w:val="00C628E5"/>
    <w:rsid w:val="00C64A03"/>
    <w:rsid w:val="00C653BC"/>
    <w:rsid w:val="00C7650C"/>
    <w:rsid w:val="00C76647"/>
    <w:rsid w:val="00C851D3"/>
    <w:rsid w:val="00C92657"/>
    <w:rsid w:val="00C96FFB"/>
    <w:rsid w:val="00C9745C"/>
    <w:rsid w:val="00C979C2"/>
    <w:rsid w:val="00CB1763"/>
    <w:rsid w:val="00CB34B4"/>
    <w:rsid w:val="00CB37E1"/>
    <w:rsid w:val="00CC0000"/>
    <w:rsid w:val="00CC2AFA"/>
    <w:rsid w:val="00CC373A"/>
    <w:rsid w:val="00CC6C14"/>
    <w:rsid w:val="00CD2673"/>
    <w:rsid w:val="00CE620C"/>
    <w:rsid w:val="00CF057C"/>
    <w:rsid w:val="00D00A20"/>
    <w:rsid w:val="00D03004"/>
    <w:rsid w:val="00D03CEF"/>
    <w:rsid w:val="00D1182A"/>
    <w:rsid w:val="00D13DA5"/>
    <w:rsid w:val="00D16094"/>
    <w:rsid w:val="00D21DC9"/>
    <w:rsid w:val="00D32EBA"/>
    <w:rsid w:val="00D65F42"/>
    <w:rsid w:val="00D77249"/>
    <w:rsid w:val="00D774EE"/>
    <w:rsid w:val="00D84762"/>
    <w:rsid w:val="00D84768"/>
    <w:rsid w:val="00D86ADA"/>
    <w:rsid w:val="00D87BD7"/>
    <w:rsid w:val="00D92CB0"/>
    <w:rsid w:val="00D93A30"/>
    <w:rsid w:val="00D95238"/>
    <w:rsid w:val="00D961F5"/>
    <w:rsid w:val="00DB74EC"/>
    <w:rsid w:val="00DC21AF"/>
    <w:rsid w:val="00DC3C0C"/>
    <w:rsid w:val="00DD0678"/>
    <w:rsid w:val="00DD1615"/>
    <w:rsid w:val="00DD167E"/>
    <w:rsid w:val="00DD5B9F"/>
    <w:rsid w:val="00DD76CE"/>
    <w:rsid w:val="00DE0D12"/>
    <w:rsid w:val="00DE1D5B"/>
    <w:rsid w:val="00DE4B3B"/>
    <w:rsid w:val="00DF07FB"/>
    <w:rsid w:val="00DF40D2"/>
    <w:rsid w:val="00DF4F3E"/>
    <w:rsid w:val="00DF5227"/>
    <w:rsid w:val="00DF62C2"/>
    <w:rsid w:val="00E20BC6"/>
    <w:rsid w:val="00E224A9"/>
    <w:rsid w:val="00E37EB4"/>
    <w:rsid w:val="00E40F7B"/>
    <w:rsid w:val="00E40FBA"/>
    <w:rsid w:val="00E41520"/>
    <w:rsid w:val="00E42248"/>
    <w:rsid w:val="00E43930"/>
    <w:rsid w:val="00E45D1F"/>
    <w:rsid w:val="00E513B9"/>
    <w:rsid w:val="00E54674"/>
    <w:rsid w:val="00E60F3E"/>
    <w:rsid w:val="00E6165B"/>
    <w:rsid w:val="00E61848"/>
    <w:rsid w:val="00E706F7"/>
    <w:rsid w:val="00E70C6D"/>
    <w:rsid w:val="00E84F9A"/>
    <w:rsid w:val="00E930AA"/>
    <w:rsid w:val="00EA7AC2"/>
    <w:rsid w:val="00EB49E1"/>
    <w:rsid w:val="00EC0359"/>
    <w:rsid w:val="00EC0BE2"/>
    <w:rsid w:val="00EC25F9"/>
    <w:rsid w:val="00ED4F18"/>
    <w:rsid w:val="00ED591E"/>
    <w:rsid w:val="00ED71A3"/>
    <w:rsid w:val="00EE08A2"/>
    <w:rsid w:val="00EE0F15"/>
    <w:rsid w:val="00EE2632"/>
    <w:rsid w:val="00EE3C1A"/>
    <w:rsid w:val="00EF17D0"/>
    <w:rsid w:val="00EF5DC5"/>
    <w:rsid w:val="00EF6302"/>
    <w:rsid w:val="00EF794A"/>
    <w:rsid w:val="00F002C0"/>
    <w:rsid w:val="00F06965"/>
    <w:rsid w:val="00F13084"/>
    <w:rsid w:val="00F16A58"/>
    <w:rsid w:val="00F27F2C"/>
    <w:rsid w:val="00F31229"/>
    <w:rsid w:val="00F3281B"/>
    <w:rsid w:val="00F3622A"/>
    <w:rsid w:val="00F365D3"/>
    <w:rsid w:val="00F36D12"/>
    <w:rsid w:val="00F37556"/>
    <w:rsid w:val="00F43AC0"/>
    <w:rsid w:val="00F43F37"/>
    <w:rsid w:val="00F44A9A"/>
    <w:rsid w:val="00F56767"/>
    <w:rsid w:val="00F603C8"/>
    <w:rsid w:val="00F6432F"/>
    <w:rsid w:val="00F74E2A"/>
    <w:rsid w:val="00F7719D"/>
    <w:rsid w:val="00F83555"/>
    <w:rsid w:val="00F91056"/>
    <w:rsid w:val="00F95F5A"/>
    <w:rsid w:val="00F97EAE"/>
    <w:rsid w:val="00FA6807"/>
    <w:rsid w:val="00FA6C31"/>
    <w:rsid w:val="00FB64E7"/>
    <w:rsid w:val="00FC07C6"/>
    <w:rsid w:val="00FC5706"/>
    <w:rsid w:val="00FD06D6"/>
    <w:rsid w:val="00FD55C9"/>
    <w:rsid w:val="00FE5342"/>
    <w:rsid w:val="00FE7C9E"/>
    <w:rsid w:val="00FF000B"/>
    <w:rsid w:val="00FF45DD"/>
    <w:rsid w:val="00FF476D"/>
    <w:rsid w:val="056E572A"/>
    <w:rsid w:val="09FA7D69"/>
    <w:rsid w:val="0ACE05D7"/>
    <w:rsid w:val="0B295788"/>
    <w:rsid w:val="0BB138FD"/>
    <w:rsid w:val="136715C8"/>
    <w:rsid w:val="14EB3875"/>
    <w:rsid w:val="176A5E49"/>
    <w:rsid w:val="17EB374F"/>
    <w:rsid w:val="1E402760"/>
    <w:rsid w:val="201E0F30"/>
    <w:rsid w:val="27742D8B"/>
    <w:rsid w:val="28363560"/>
    <w:rsid w:val="2BD761E3"/>
    <w:rsid w:val="3895202E"/>
    <w:rsid w:val="3A74039C"/>
    <w:rsid w:val="3E4737A2"/>
    <w:rsid w:val="3FFF64CF"/>
    <w:rsid w:val="40305096"/>
    <w:rsid w:val="4ACF4566"/>
    <w:rsid w:val="4C345A70"/>
    <w:rsid w:val="50857EDA"/>
    <w:rsid w:val="54E308B8"/>
    <w:rsid w:val="56AB41E3"/>
    <w:rsid w:val="5AF80064"/>
    <w:rsid w:val="5C1D0043"/>
    <w:rsid w:val="5DF8077F"/>
    <w:rsid w:val="5E5854E2"/>
    <w:rsid w:val="6180512E"/>
    <w:rsid w:val="637E0B15"/>
    <w:rsid w:val="70B858D0"/>
    <w:rsid w:val="74667B78"/>
    <w:rsid w:val="749076B1"/>
    <w:rsid w:val="750000AA"/>
    <w:rsid w:val="767F4C0F"/>
    <w:rsid w:val="76A532C3"/>
    <w:rsid w:val="77613082"/>
    <w:rsid w:val="77CB499F"/>
    <w:rsid w:val="79D16443"/>
    <w:rsid w:val="7A440A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0"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rPr>
  </w:style>
  <w:style w:type="paragraph" w:styleId="3">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basedOn w:val="6"/>
    <w:qFormat/>
    <w:uiPriority w:val="99"/>
    <w:rPr>
      <w:rFonts w:cs="Times New Roman"/>
      <w:b/>
    </w:rPr>
  </w:style>
  <w:style w:type="character" w:styleId="8">
    <w:name w:val="Hyperlink"/>
    <w:basedOn w:val="6"/>
    <w:qFormat/>
    <w:uiPriority w:val="99"/>
    <w:rPr>
      <w:rFonts w:cs="Times New Roman"/>
      <w:color w:val="0000FF"/>
      <w:u w:val="single"/>
    </w:rPr>
  </w:style>
  <w:style w:type="character" w:customStyle="1" w:styleId="9">
    <w:name w:val="页脚 Char"/>
    <w:basedOn w:val="6"/>
    <w:link w:val="2"/>
    <w:semiHidden/>
    <w:qFormat/>
    <w:locked/>
    <w:uiPriority w:val="99"/>
    <w:rPr>
      <w:rFonts w:ascii="Calibri" w:hAnsi="Calibri" w:cs="Times New Roman"/>
      <w:sz w:val="18"/>
      <w:szCs w:val="18"/>
    </w:rPr>
  </w:style>
  <w:style w:type="character" w:customStyle="1" w:styleId="10">
    <w:name w:val="页眉 Char"/>
    <w:basedOn w:val="6"/>
    <w:link w:val="3"/>
    <w:semiHidden/>
    <w:qFormat/>
    <w:locked/>
    <w:uiPriority w:val="99"/>
    <w:rPr>
      <w:rFonts w:ascii="Calibri" w:hAnsi="Calibri" w:cs="Times New Roman"/>
      <w:sz w:val="18"/>
      <w:szCs w:val="18"/>
    </w:rPr>
  </w:style>
  <w:style w:type="paragraph" w:customStyle="1" w:styleId="11">
    <w:name w:val="无间隔1"/>
    <w:qFormat/>
    <w:uiPriority w:val="99"/>
    <w:pPr>
      <w:widowControl w:val="0"/>
      <w:jc w:val="both"/>
    </w:pPr>
    <w:rPr>
      <w:rFonts w:ascii="Calibri" w:hAnsi="Calibri" w:eastAsia="宋体" w:cs="Times New Roman"/>
      <w:kern w:val="2"/>
      <w:sz w:val="21"/>
      <w:szCs w:val="22"/>
      <w:lang w:val="en-US" w:eastAsia="zh-CN" w:bidi="ar-SA"/>
    </w:rPr>
  </w:style>
  <w:style w:type="character" w:customStyle="1" w:styleId="12">
    <w:name w:val="font03"/>
    <w:basedOn w:val="6"/>
    <w:qFormat/>
    <w:uiPriority w:val="99"/>
    <w:rPr>
      <w:rFonts w:cs="Times New Roman"/>
    </w:rPr>
  </w:style>
  <w:style w:type="paragraph" w:styleId="13">
    <w:name w:val="List Paragraph"/>
    <w:basedOn w:val="1"/>
    <w:qFormat/>
    <w:uiPriority w:val="34"/>
    <w:pPr>
      <w:ind w:firstLine="420" w:firstLineChars="200"/>
    </w:pPr>
    <w:rPr>
      <w:rFonts w:ascii="方正仿宋_GBK" w:eastAsia="方正仿宋_GBK"/>
      <w:sz w:val="32"/>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5529</Words>
  <Characters>729</Characters>
  <Lines>6</Lines>
  <Paragraphs>12</Paragraphs>
  <TotalTime>5806</TotalTime>
  <ScaleCrop>false</ScaleCrop>
  <LinksUpToDate>false</LinksUpToDate>
  <CharactersWithSpaces>6246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2025-05-22T15:21:00Z</dcterms:created>
  <dc:creator>lenovo</dc:creator>
  <cp:lastModifiedBy>A梦</cp:lastModifiedBy>
  <cp:lastPrinted>2026-06-15T16:48:00Z</cp:lastPrinted>
  <dcterms:modified xsi:type="dcterms:W3CDTF">2026-10-15T11:02:21Z</dcterms:modified>
  <dc:title>2021年度怀化市公安局部门整体支出</dc:title>
  <cp:revision>168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7E1BF1DC17B94EE0AA93566FC25A97E7</vt:lpwstr>
  </property>
</Properties>
</file>