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50C6C">
      <w:pPr>
        <w:jc w:val="left"/>
        <w:rPr>
          <w:rFonts w:ascii="仿宋" w:hAnsi="仿宋" w:eastAsia="仿宋" w:cs="仿宋"/>
          <w:sz w:val="30"/>
          <w:szCs w:val="30"/>
        </w:rPr>
      </w:pPr>
      <w:r>
        <w:rPr>
          <w:rFonts w:hint="eastAsia" w:ascii="仿宋" w:hAnsi="仿宋" w:eastAsia="仿宋" w:cs="仿宋"/>
          <w:sz w:val="30"/>
          <w:szCs w:val="30"/>
        </w:rPr>
        <w:t>附件6</w:t>
      </w:r>
    </w:p>
    <w:p w14:paraId="51F69A13">
      <w:pPr>
        <w:jc w:val="center"/>
        <w:rPr>
          <w:rFonts w:eastAsia="方正小标宋_GBK"/>
          <w:sz w:val="52"/>
          <w:szCs w:val="52"/>
        </w:rPr>
      </w:pPr>
    </w:p>
    <w:p w14:paraId="16F13835">
      <w:pPr>
        <w:widowControl/>
        <w:shd w:val="clear" w:color="auto" w:fill="FFFFFF"/>
        <w:spacing w:line="360" w:lineRule="auto"/>
        <w:jc w:val="center"/>
        <w:rPr>
          <w:rFonts w:ascii="仿宋" w:hAnsi="仿宋" w:eastAsia="仿宋" w:cs="仿宋"/>
          <w:b/>
          <w:spacing w:val="-2"/>
          <w:sz w:val="44"/>
          <w:szCs w:val="44"/>
        </w:rPr>
      </w:pPr>
      <w:r>
        <w:rPr>
          <w:rFonts w:hint="eastAsia" w:ascii="仿宋" w:hAnsi="仿宋" w:eastAsia="仿宋" w:cs="仿宋"/>
          <w:b/>
          <w:spacing w:val="-2"/>
          <w:sz w:val="44"/>
          <w:szCs w:val="44"/>
        </w:rPr>
        <w:t>怀化市公安局2025年度项目支出绩效</w:t>
      </w:r>
    </w:p>
    <w:p w14:paraId="37724031">
      <w:pPr>
        <w:widowControl/>
        <w:shd w:val="clear" w:color="auto" w:fill="FFFFFF"/>
        <w:spacing w:line="360" w:lineRule="auto"/>
        <w:jc w:val="center"/>
        <w:rPr>
          <w:rFonts w:ascii="仿宋" w:hAnsi="仿宋" w:eastAsia="仿宋" w:cs="仿宋"/>
          <w:b/>
          <w:spacing w:val="-2"/>
          <w:sz w:val="44"/>
          <w:szCs w:val="44"/>
        </w:rPr>
      </w:pPr>
      <w:r>
        <w:rPr>
          <w:rFonts w:hint="eastAsia" w:ascii="仿宋" w:hAnsi="仿宋" w:eastAsia="仿宋" w:cs="仿宋"/>
          <w:b/>
          <w:spacing w:val="-2"/>
          <w:sz w:val="44"/>
          <w:szCs w:val="44"/>
        </w:rPr>
        <w:t>自评报告</w:t>
      </w:r>
    </w:p>
    <w:p w14:paraId="271F38C5">
      <w:pPr>
        <w:widowControl/>
        <w:shd w:val="clear" w:color="auto" w:fill="FFFFFF"/>
        <w:spacing w:line="360" w:lineRule="auto"/>
        <w:rPr>
          <w:rFonts w:ascii="仿宋" w:hAnsi="仿宋" w:eastAsia="仿宋" w:cs="仿宋"/>
          <w:b/>
          <w:spacing w:val="-2"/>
          <w:sz w:val="44"/>
          <w:szCs w:val="44"/>
        </w:rPr>
      </w:pPr>
    </w:p>
    <w:p w14:paraId="5A1A90E8">
      <w:pPr>
        <w:spacing w:line="360" w:lineRule="auto"/>
        <w:ind w:firstLine="602" w:firstLineChars="200"/>
        <w:rPr>
          <w:rFonts w:ascii="仿宋" w:hAnsi="仿宋" w:eastAsia="仿宋" w:cs="仿宋"/>
          <w:b/>
          <w:bCs/>
          <w:sz w:val="30"/>
          <w:szCs w:val="30"/>
        </w:rPr>
      </w:pPr>
      <w:r>
        <w:rPr>
          <w:rFonts w:hint="eastAsia" w:ascii="仿宋" w:hAnsi="仿宋" w:eastAsia="仿宋" w:cs="仿宋"/>
          <w:b/>
          <w:bCs/>
          <w:sz w:val="30"/>
          <w:szCs w:val="30"/>
        </w:rPr>
        <w:t>一、项目概况</w:t>
      </w:r>
    </w:p>
    <w:p w14:paraId="1E89920B">
      <w:pPr>
        <w:spacing w:line="360" w:lineRule="auto"/>
        <w:ind w:firstLine="602" w:firstLineChars="200"/>
        <w:outlineLvl w:val="0"/>
        <w:rPr>
          <w:rFonts w:ascii="仿宋" w:hAnsi="仿宋" w:eastAsia="仿宋" w:cs="仿宋"/>
          <w:sz w:val="30"/>
          <w:szCs w:val="30"/>
        </w:rPr>
      </w:pPr>
      <w:r>
        <w:rPr>
          <w:rFonts w:hint="eastAsia" w:ascii="仿宋" w:hAnsi="仿宋" w:eastAsia="仿宋" w:cs="仿宋"/>
          <w:b/>
          <w:bCs/>
          <w:sz w:val="30"/>
          <w:szCs w:val="30"/>
        </w:rPr>
        <w:t>（一）项目基本情况</w:t>
      </w:r>
    </w:p>
    <w:p w14:paraId="72C12C45">
      <w:pPr>
        <w:spacing w:line="360" w:lineRule="auto"/>
        <w:ind w:firstLine="600" w:firstLineChars="200"/>
        <w:outlineLvl w:val="0"/>
        <w:rPr>
          <w:rFonts w:ascii="仿宋" w:hAnsi="仿宋" w:eastAsia="仿宋" w:cs="仿宋"/>
          <w:bCs/>
          <w:sz w:val="30"/>
          <w:szCs w:val="30"/>
        </w:rPr>
      </w:pPr>
      <w:r>
        <w:rPr>
          <w:rFonts w:hint="eastAsia" w:ascii="仿宋" w:hAnsi="仿宋" w:eastAsia="仿宋" w:cs="仿宋"/>
          <w:bCs/>
          <w:sz w:val="30"/>
          <w:szCs w:val="30"/>
        </w:rPr>
        <w:t>1.项目主管部门职能</w:t>
      </w:r>
    </w:p>
    <w:p w14:paraId="4A12D375">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怀化市公安局是怀化市人民政府主管全市公安工作的主要部门，其职责主要包括：按照市委、市政府和上级公安机关的指示，研究部署、组织实施全市公安工作，并督促检查执行情况；研究社会主义市场经济体制下出现的新情况、新问题，制定新措施，推进全市公安工作的改革和发展；承担社会治安、户籍、居民身份证、危险物品、特种行业等管理工作；组织指导出境、入境和外国人在市内居留、旅行的有关管理工作；指导、监督全市公安机关的执法活动；组织、指导全市公安机关的警务督察工作；承办市委、市政府和上级公安机关交办的其他任务等。</w:t>
      </w:r>
    </w:p>
    <w:p w14:paraId="6AC4BD52">
      <w:pPr>
        <w:pStyle w:val="6"/>
        <w:widowControl/>
        <w:shd w:val="clear" w:color="auto" w:fill="FFFFFF"/>
        <w:spacing w:before="0" w:beforeAutospacing="0" w:after="0" w:afterAutospacing="0" w:line="600" w:lineRule="atLeast"/>
        <w:ind w:firstLine="789" w:firstLineChars="263"/>
        <w:jc w:val="both"/>
        <w:rPr>
          <w:rFonts w:ascii="仿宋" w:hAnsi="仿宋" w:eastAsia="仿宋" w:cs="仿宋"/>
          <w:bCs/>
          <w:kern w:val="2"/>
          <w:sz w:val="30"/>
          <w:szCs w:val="30"/>
        </w:rPr>
      </w:pPr>
      <w:r>
        <w:rPr>
          <w:rFonts w:hint="eastAsia" w:ascii="仿宋" w:hAnsi="仿宋" w:eastAsia="仿宋" w:cs="仿宋"/>
          <w:kern w:val="2"/>
          <w:sz w:val="30"/>
          <w:szCs w:val="30"/>
        </w:rPr>
        <w:t>2.项目立项、资金申报依据</w:t>
      </w:r>
      <w:r>
        <w:rPr>
          <w:rFonts w:hint="eastAsia" w:ascii="仿宋" w:hAnsi="仿宋" w:eastAsia="仿宋" w:cs="仿宋"/>
          <w:bCs/>
          <w:kern w:val="2"/>
          <w:sz w:val="30"/>
          <w:szCs w:val="30"/>
        </w:rPr>
        <w:t>（因部分项目涉密，文件依据不予公开）</w:t>
      </w:r>
    </w:p>
    <w:p w14:paraId="78261B1D">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特警支队装备建设经费的立项依据为中共怀化市委常委会纪要〔2013〕第5号文件；警犬驯养经费的立项依据为湖南省公安厅关于《湖南省公安机关警犬技术建设三年规划（2011-2013年）》实施进展情况的通报的工作要求第四点；武装巡逻车车辆运行维护经费的立项依据为中共怀化市委常委办公会议纪要〔2016〕第12号文件；上级补助装备经费和上级补助办案经费的依据为《财政部关于印发&lt;政法经费分类保障办法(试行)&gt;的通知和省级政法转移支付资金相关管理办法》；打击电话诈骗专项经费的依据为相关请示报告；辅警经费（留置看护）、辅警经费（城市快警）、辅警经费（局机关）的立项依据均为《湖南省警务辅助人员条例》；天网工程运行维护费的立项依据为相关请示报告及合同资料。</w:t>
      </w:r>
    </w:p>
    <w:p w14:paraId="71EFB053">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3.资金管理情况</w:t>
      </w:r>
    </w:p>
    <w:p w14:paraId="5EC99906">
      <w:pPr>
        <w:pStyle w:val="6"/>
        <w:widowControl/>
        <w:shd w:val="clear" w:color="auto" w:fill="FFFFFF"/>
        <w:spacing w:before="0" w:beforeAutospacing="0" w:after="0" w:afterAutospacing="0" w:line="600" w:lineRule="atLeast"/>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w:t>
      </w:r>
      <w:r>
        <w:rPr>
          <w:rFonts w:hint="eastAsia" w:ascii="仿宋" w:hAnsi="仿宋" w:eastAsia="仿宋" w:cs="仿宋"/>
          <w:color w:val="000000"/>
          <w:sz w:val="30"/>
          <w:szCs w:val="30"/>
          <w:lang w:eastAsia="zh-CN"/>
        </w:rPr>
        <w:t>留</w:t>
      </w:r>
      <w:bookmarkStart w:id="0" w:name="_GoBack"/>
      <w:bookmarkEnd w:id="0"/>
      <w:r>
        <w:rPr>
          <w:rFonts w:hint="eastAsia" w:ascii="仿宋" w:hAnsi="仿宋" w:eastAsia="仿宋" w:cs="仿宋"/>
          <w:color w:val="000000"/>
          <w:sz w:val="30"/>
          <w:szCs w:val="30"/>
        </w:rPr>
        <w:t>、挤占、挪用的情况；三是加强内部检查和审计，进行定期或不定期的检查、审计，确保专项资金落实到位。</w:t>
      </w:r>
    </w:p>
    <w:p w14:paraId="0492615C">
      <w:pPr>
        <w:pStyle w:val="6"/>
        <w:widowControl/>
        <w:shd w:val="clear" w:color="auto" w:fill="FFFFFF"/>
        <w:spacing w:before="0" w:beforeAutospacing="0" w:after="0" w:afterAutospacing="0" w:line="600" w:lineRule="atLeast"/>
        <w:ind w:firstLine="640"/>
        <w:jc w:val="both"/>
        <w:rPr>
          <w:rFonts w:ascii="仿宋" w:hAnsi="仿宋" w:eastAsia="仿宋" w:cs="仿宋"/>
          <w:color w:val="000000"/>
          <w:sz w:val="30"/>
          <w:szCs w:val="30"/>
        </w:rPr>
      </w:pPr>
      <w:r>
        <w:rPr>
          <w:rFonts w:hint="eastAsia" w:ascii="仿宋" w:hAnsi="仿宋" w:eastAsia="仿宋" w:cs="仿宋"/>
          <w:color w:val="000000"/>
          <w:sz w:val="30"/>
          <w:szCs w:val="30"/>
        </w:rPr>
        <w:t>4.资金分配原则及考虑因素</w:t>
      </w:r>
    </w:p>
    <w:p w14:paraId="7397EB34">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根据立项依据及上年决算申报资金预算。</w:t>
      </w:r>
    </w:p>
    <w:p w14:paraId="636F2C92">
      <w:pPr>
        <w:pStyle w:val="6"/>
        <w:widowControl/>
        <w:shd w:val="clear" w:color="auto" w:fill="FFFFFF"/>
        <w:spacing w:before="0" w:beforeAutospacing="0" w:after="0" w:afterAutospacing="0" w:line="600" w:lineRule="atLeast"/>
        <w:ind w:firstLine="640"/>
        <w:jc w:val="both"/>
        <w:rPr>
          <w:rFonts w:ascii="仿宋" w:hAnsi="仿宋" w:eastAsia="仿宋" w:cs="仿宋"/>
          <w:b/>
          <w:bCs/>
          <w:sz w:val="30"/>
          <w:szCs w:val="30"/>
        </w:rPr>
      </w:pPr>
      <w:r>
        <w:rPr>
          <w:rFonts w:hint="eastAsia" w:ascii="仿宋" w:hAnsi="仿宋" w:eastAsia="仿宋" w:cs="仿宋"/>
          <w:b/>
          <w:bCs/>
          <w:sz w:val="30"/>
          <w:szCs w:val="30"/>
        </w:rPr>
        <w:t>（二）项目绩效目标（部分专项涉密、不予公开）</w:t>
      </w:r>
    </w:p>
    <w:p w14:paraId="294B1415">
      <w:pPr>
        <w:pStyle w:val="6"/>
        <w:widowControl/>
        <w:shd w:val="clear" w:color="auto" w:fill="FFFFFF"/>
        <w:spacing w:before="0" w:beforeAutospacing="0" w:after="0" w:afterAutospacing="0" w:line="600" w:lineRule="atLeast"/>
        <w:ind w:firstLine="444" w:firstLineChars="148"/>
        <w:jc w:val="both"/>
        <w:rPr>
          <w:rFonts w:ascii="仿宋" w:hAnsi="仿宋" w:eastAsia="仿宋" w:cs="仿宋"/>
          <w:bCs/>
          <w:sz w:val="30"/>
          <w:szCs w:val="30"/>
        </w:rPr>
      </w:pPr>
      <w:r>
        <w:rPr>
          <w:rFonts w:hint="eastAsia" w:ascii="仿宋" w:hAnsi="仿宋" w:eastAsia="仿宋" w:cs="仿宋"/>
          <w:bCs/>
          <w:sz w:val="30"/>
          <w:szCs w:val="30"/>
        </w:rPr>
        <w:t xml:space="preserve"> 1.项目主要内容（因项目所涉及范围、内容及用途涉密，部分简略介绍）</w:t>
      </w:r>
    </w:p>
    <w:p w14:paraId="6C74BE3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特警装备建设资金主要用于特警支队装备采购；警犬驯养经费主要用于警犬驯养的日常开支；巡逻车辆运行维护费主要应用公安巡逻用车的运行维护支出；上级补助办案业务费主要用于办案和相关公安业务支出；上级补助业务装备费主要用于公安信息化建设及装备采购；打击电话诈骗专项经费主要用于打击电诈的宣传、办案等支出；辅警经费主要用于辅警日常工资的发放、社会保障缴费及服装费支出；天网工程运行维护费主要用于天网设备运行维护支出。</w:t>
      </w:r>
    </w:p>
    <w:p w14:paraId="113BA3DD">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2.项目绩效目标与分析评价</w:t>
      </w:r>
    </w:p>
    <w:p w14:paraId="592C0ABF">
      <w:pPr>
        <w:pStyle w:val="6"/>
        <w:widowControl/>
        <w:shd w:val="clear" w:color="auto" w:fill="FFFFFF"/>
        <w:spacing w:before="0" w:beforeAutospacing="0" w:after="0" w:afterAutospacing="0" w:line="600" w:lineRule="atLeast"/>
        <w:jc w:val="both"/>
        <w:rPr>
          <w:rFonts w:ascii="仿宋" w:hAnsi="仿宋" w:eastAsia="仿宋" w:cs="仿宋"/>
          <w:b/>
          <w:bCs/>
          <w:sz w:val="30"/>
          <w:szCs w:val="30"/>
        </w:rPr>
      </w:pPr>
      <w:r>
        <w:rPr>
          <w:rFonts w:hint="eastAsia" w:ascii="仿宋" w:hAnsi="仿宋" w:eastAsia="仿宋" w:cs="仿宋"/>
          <w:b/>
          <w:bCs/>
          <w:sz w:val="30"/>
          <w:szCs w:val="30"/>
        </w:rPr>
        <w:t xml:space="preserve">    </w:t>
      </w:r>
      <w:r>
        <w:rPr>
          <w:rFonts w:hint="eastAsia" w:ascii="仿宋" w:hAnsi="仿宋" w:eastAsia="仿宋" w:cs="仿宋"/>
          <w:bCs/>
          <w:sz w:val="30"/>
          <w:szCs w:val="30"/>
        </w:rPr>
        <w:t>（1）</w:t>
      </w:r>
      <w:r>
        <w:rPr>
          <w:rFonts w:hint="eastAsia" w:ascii="仿宋" w:hAnsi="仿宋" w:eastAsia="仿宋" w:cs="仿宋"/>
          <w:kern w:val="2"/>
          <w:sz w:val="30"/>
          <w:szCs w:val="30"/>
        </w:rPr>
        <w:t>特警支队装备建设经费</w:t>
      </w:r>
    </w:p>
    <w:p w14:paraId="2F496B9D">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长期绩效目标：提升特警装备建设水平，增强队伍防暴处突能力，保障社会治安和谐稳定。</w:t>
      </w:r>
    </w:p>
    <w:p w14:paraId="6AAE59B7">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在充分保证特警装备建设的情况下开展特警为主，多警种协同配合的应急处突演练，充分发挥特警在维稳处突、为民服务等工作中的攻坚作用，构建“城市快警+武警驻点+机动巡防”互相策应、互为犄角、动静结合、高效处置的新巡防快反工作模式，做好突发暴力案件、群体性事件处置工作。</w:t>
      </w:r>
    </w:p>
    <w:p w14:paraId="5582ECC3">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67B2DDB3">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（2）武装巡逻车车辆运行维护经费</w:t>
      </w:r>
    </w:p>
    <w:p w14:paraId="5EE8EDB9">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长期绩效目标：加强街面巡逻力度，通过定期车辆维护，排除车辆安全隐患，保障自身安全，保证警情能在第一时间得到有效处置。</w:t>
      </w:r>
    </w:p>
    <w:p w14:paraId="78B306B5">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做好巡逻车辆管理工作，始终坚持“安全第一，预防为主”的工作方针，建立并完善车辆管理组织架构。强化车辆维护，做到“每日一检查，每周一维护”，并健全车辆管理档案，对每台车车况进行持续跟踪。强化车辆驾驶员安全意识养成及监督管理，定期组织驾驶员进行交通法规、车辆管理等方面的培训，牢牢把握住“规范行车、安全第一”的准绳。开展巡逻工作，维护社会面秩序，确保支队2025年联勤武装巡逻工作365天不间断开展。</w:t>
      </w:r>
    </w:p>
    <w:p w14:paraId="26F6174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19FFBB88">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（3）警犬驯养经费</w:t>
      </w:r>
    </w:p>
    <w:p w14:paraId="54B0F731">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科学饲喂警犬，保障犬的健康和良好的工作状态，科学训练，保证质量，为刑侦案件随时出勘，保障大型安保活动搜爆犬、防暴犬的出警要求，为搜毒工作做准备，为搜捕、搜尸及比武随时保证有足够多警犬的战斗力，同时完成上级部门的指派任务。</w:t>
      </w:r>
    </w:p>
    <w:p w14:paraId="3D57FCAF">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在训练方面，确保警犬基础训练、专业技能训练及实战模拟训练完成率达到95%，技能考核达标率不低于85%，从而提升警犬在实战中的专业能力。在健康保障上，实现健康检查覆盖率100%，疾病治愈率达到90%以上。在实战工作中，争取实战应用成功率达75%以上，使得公众对警犬工作满意度有所提升，警犬工作的社会影响力进一步扩大</w:t>
      </w:r>
    </w:p>
    <w:p w14:paraId="49DC9D7F">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120E21A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（4）上级补助装备经费</w:t>
      </w:r>
    </w:p>
    <w:p w14:paraId="52B85D6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长期绩效目标：上级补助装备经费为公安机关装备建设提供坚强可靠的物质保障。</w:t>
      </w:r>
    </w:p>
    <w:p w14:paraId="5392B0C6">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年度绩效目标：保障一线民警装备采购，助力现代化警务模式顺利开展，提高公安信息化水平，确保公安机关有效履行职责，为维护国家安全和社会稳定提供坚强可靠的物质保障。</w:t>
      </w:r>
    </w:p>
    <w:p w14:paraId="4B625901">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491F9F1F">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（5）上级补助办案经费</w:t>
      </w:r>
    </w:p>
    <w:p w14:paraId="0874F2C7">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长期绩效目标：上级补助办案经费为确保公安机关有效履行职责、维护国家安全和社会稳定提供坚强可靠的经费支撑。</w:t>
      </w:r>
    </w:p>
    <w:p w14:paraId="2055CD03">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全力保障公安办案业务工作相关支出，重点保障涉及国家安全和社会稳定的重大案件侦办。资金使用时，明确资金下达后的执行时间，确保资金的使用效率和执行效力，提高了公安部门破案、办案的效率和质量。</w:t>
      </w:r>
    </w:p>
    <w:p w14:paraId="02F7A217">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35FF985F">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（6）辅警经费（局机关）</w:t>
      </w:r>
    </w:p>
    <w:p w14:paraId="3D74F0B1">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w:t>
      </w:r>
      <w:r>
        <w:rPr>
          <w:rFonts w:hint="eastAsia"/>
        </w:rPr>
        <w:t xml:space="preserve"> </w:t>
      </w:r>
      <w:r>
        <w:rPr>
          <w:rFonts w:hint="eastAsia" w:ascii="仿宋" w:hAnsi="仿宋" w:eastAsia="仿宋" w:cs="仿宋"/>
          <w:kern w:val="2"/>
          <w:sz w:val="30"/>
          <w:szCs w:val="30"/>
        </w:rPr>
        <w:t>协助民警处理日常事务，助力警务工作常态化开展。</w:t>
      </w:r>
    </w:p>
    <w:p w14:paraId="7531B9EC">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协助民警准确及时接警、派警;协助民警做好各项考核任务、辅警入职、离职手续办理及协助民警做好各项日常工作;协助民警维护通信及电子化办公设备技术保障工作;协助民警办理各类证照、不断提升窗口单位服务水平、提高公安队伍社会形象;协助民警日常路面巡逻，加强专业训练，加强应急处突专业技能;</w:t>
      </w:r>
      <w:r>
        <w:rPr>
          <w:rFonts w:ascii="仿宋" w:hAnsi="仿宋" w:eastAsia="仿宋" w:cs="仿宋"/>
          <w:kern w:val="2"/>
          <w:sz w:val="30"/>
          <w:szCs w:val="30"/>
        </w:rPr>
        <w:t>协助民警加强警犬日常饲养及训练工作。</w:t>
      </w:r>
    </w:p>
    <w:p w14:paraId="49A65C8A">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6BD5F92B">
      <w:pPr>
        <w:pStyle w:val="6"/>
        <w:widowControl/>
        <w:shd w:val="clear" w:color="auto" w:fill="FFFFFF"/>
        <w:spacing w:before="0" w:beforeAutospacing="0" w:after="0" w:afterAutospacing="0" w:line="600" w:lineRule="atLeast"/>
        <w:ind w:firstLine="450" w:firstLineChars="150"/>
        <w:jc w:val="both"/>
        <w:rPr>
          <w:rFonts w:ascii="仿宋" w:hAnsi="仿宋" w:eastAsia="仿宋" w:cs="仿宋"/>
          <w:kern w:val="2"/>
          <w:sz w:val="30"/>
          <w:szCs w:val="30"/>
        </w:rPr>
      </w:pPr>
      <w:r>
        <w:rPr>
          <w:rFonts w:hint="eastAsia" w:ascii="仿宋" w:hAnsi="仿宋" w:eastAsia="仿宋" w:cs="仿宋"/>
          <w:kern w:val="2"/>
          <w:sz w:val="30"/>
          <w:szCs w:val="30"/>
        </w:rPr>
        <w:t>（7）辅警经费（城市快警）</w:t>
      </w:r>
    </w:p>
    <w:p w14:paraId="04938236">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长期绩效目标：驻守快警点，参与维稳处突、服务群众、护校执勤等事务，协助民警开展日常巡逻，警情处置等工作。增强打击街面违法犯罪威慑力，切实实现社会面管控，确保社会安全、稳定、和谐。</w:t>
      </w:r>
    </w:p>
    <w:p w14:paraId="4590FCCA">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年度绩效目标：协助民警做到24小时屯警街面、24小时网格巡逻、24小时服务群众，时刻守护中小学校园安全，做到“第一时间反应、第一时间出警、第一时间处置”,最大限度实现“秒级反应快警快处”。</w:t>
      </w:r>
    </w:p>
    <w:p w14:paraId="2FF30378">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578233F6">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（8）辅警经费（留置看护）</w:t>
      </w:r>
    </w:p>
    <w:p w14:paraId="187DF427">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长期绩效目标：以“零差错”、“零事故”为目标，协助完成对监察留置对象的看护任务。</w:t>
      </w:r>
    </w:p>
    <w:p w14:paraId="4876EA9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协助民警对被留置看护人员进行看守，保证留置人员的安全。当被留置看护人员出现异常情况时，要及时上报;要配合上级工作人员的工作，及时完成上级安排的工作任务，确保全年看护工作万无一失。</w:t>
      </w:r>
    </w:p>
    <w:p w14:paraId="3AEA5A7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310938D5">
      <w:pPr>
        <w:pStyle w:val="6"/>
        <w:widowControl/>
        <w:shd w:val="clear" w:color="auto" w:fill="FFFFFF"/>
        <w:spacing w:before="0" w:beforeAutospacing="0" w:after="0" w:afterAutospacing="0" w:line="600" w:lineRule="atLeast"/>
        <w:ind w:firstLine="640"/>
        <w:jc w:val="both"/>
        <w:rPr>
          <w:rFonts w:ascii="仿宋" w:hAnsi="仿宋" w:eastAsia="仿宋" w:cs="仿宋"/>
          <w:sz w:val="30"/>
          <w:szCs w:val="30"/>
        </w:rPr>
      </w:pPr>
      <w:r>
        <w:rPr>
          <w:rFonts w:hint="eastAsia" w:ascii="仿宋" w:hAnsi="仿宋" w:eastAsia="仿宋" w:cs="仿宋"/>
          <w:kern w:val="2"/>
          <w:sz w:val="30"/>
          <w:szCs w:val="30"/>
        </w:rPr>
        <w:t>（9）</w:t>
      </w:r>
      <w:r>
        <w:rPr>
          <w:rFonts w:hint="eastAsia" w:ascii="仿宋" w:hAnsi="仿宋" w:eastAsia="仿宋" w:cs="仿宋"/>
          <w:sz w:val="30"/>
          <w:szCs w:val="30"/>
        </w:rPr>
        <w:t>打击电话诈骗专项经费</w:t>
      </w:r>
    </w:p>
    <w:p w14:paraId="7CD4BD24">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长期绩效目标：提升市民防骗识骗意识，保障市民资金财产安全。</w:t>
      </w:r>
    </w:p>
    <w:p w14:paraId="74D41139">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年度绩效目标：积极构建党政主导、公安主力、部门联动、群众参与的反诈格局，统筹推进“打防管控建”各项工作，持续压降电诈发案，降低发案损失，全力为受骗群众追赃挽损，做好资金预警劝阻工作、涉诈重点人员劝返等基础工作，严守不被国务院机制办约谈、挂牌底线。做好反诈宣传工作，提升市民防骗识骗意识，保障市民资金财产安全。</w:t>
      </w:r>
    </w:p>
    <w:p w14:paraId="0EF294EF">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评价分析：申报内容与实际相符，申报目标合理可行。</w:t>
      </w:r>
    </w:p>
    <w:p w14:paraId="1C44F508">
      <w:pPr>
        <w:pStyle w:val="6"/>
        <w:widowControl/>
        <w:shd w:val="clear" w:color="auto" w:fill="FFFFFF"/>
        <w:spacing w:before="0" w:beforeAutospacing="0" w:after="0" w:afterAutospacing="0" w:line="600" w:lineRule="atLeast"/>
        <w:ind w:firstLine="640"/>
        <w:jc w:val="both"/>
        <w:rPr>
          <w:rFonts w:ascii="仿宋" w:hAnsi="仿宋" w:eastAsia="仿宋" w:cs="仿宋"/>
          <w:b/>
          <w:bCs/>
          <w:sz w:val="30"/>
          <w:szCs w:val="30"/>
        </w:rPr>
      </w:pPr>
      <w:r>
        <w:rPr>
          <w:rFonts w:hint="eastAsia" w:ascii="仿宋" w:hAnsi="仿宋" w:eastAsia="仿宋" w:cs="仿宋"/>
          <w:b/>
          <w:bCs/>
          <w:sz w:val="30"/>
          <w:szCs w:val="30"/>
        </w:rPr>
        <w:t>（三）项目自评步骤及方法</w:t>
      </w:r>
    </w:p>
    <w:p w14:paraId="41790E69">
      <w:pPr>
        <w:spacing w:line="600" w:lineRule="exact"/>
        <w:ind w:firstLine="747" w:firstLineChars="249"/>
        <w:rPr>
          <w:rFonts w:ascii="仿宋" w:hAnsi="仿宋" w:eastAsia="仿宋" w:cs="仿宋"/>
          <w:sz w:val="30"/>
          <w:szCs w:val="30"/>
        </w:rPr>
      </w:pPr>
      <w:r>
        <w:rPr>
          <w:rFonts w:hint="eastAsia" w:ascii="仿宋" w:hAnsi="仿宋" w:eastAsia="仿宋" w:cs="仿宋"/>
          <w:sz w:val="30"/>
          <w:szCs w:val="30"/>
        </w:rPr>
        <w:t>1.前期准备</w:t>
      </w:r>
    </w:p>
    <w:p w14:paraId="2E56ADED">
      <w:pPr>
        <w:pStyle w:val="6"/>
        <w:widowControl/>
        <w:shd w:val="clear" w:color="auto" w:fill="FFFFFF"/>
        <w:spacing w:before="0" w:beforeAutospacing="0" w:after="0" w:afterAutospacing="0" w:line="600" w:lineRule="exac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成立绩效评价工作小组。为有效开展绩效评价，按照局专项资金绩效考核的有关要求，成立了绩效评价工作小组，由警务保障科牵头，情报指挥中心、督察审计支队等部门参与。</w:t>
      </w:r>
    </w:p>
    <w:p w14:paraId="2C7EAF03">
      <w:pPr>
        <w:pStyle w:val="6"/>
        <w:widowControl/>
        <w:shd w:val="clear" w:color="auto" w:fill="FFFFFF"/>
        <w:spacing w:before="0" w:beforeAutospacing="0" w:after="0" w:afterAutospacing="0" w:line="600" w:lineRule="atLeas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制定绩效评价工作方案。评价方案确定了绩效评价的依据、目的、对象、原则、内容、方法、标准、组织、工作进度、项目单位自评报告及附表格式等。</w:t>
      </w:r>
    </w:p>
    <w:p w14:paraId="2AE62DF5">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2.组织实施</w:t>
      </w:r>
    </w:p>
    <w:p w14:paraId="45CECB6A">
      <w:pPr>
        <w:pStyle w:val="6"/>
        <w:widowControl/>
        <w:shd w:val="clear" w:color="auto" w:fill="FFFFFF"/>
        <w:spacing w:before="0" w:beforeAutospacing="0" w:after="0" w:afterAutospacing="0" w:line="600" w:lineRule="exac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向专项资金使用部门下发绩效评价工作通知（附工作方案）。根据相关要求做好自评工作，整理项目实施及资金管理使用情况等佐证材料，填报绩效自评数据表、专项资金支出情况表，编制绩效自评报告。</w:t>
      </w:r>
    </w:p>
    <w:p w14:paraId="5A44A1AB">
      <w:pPr>
        <w:pStyle w:val="6"/>
        <w:widowControl/>
        <w:shd w:val="clear" w:color="auto" w:fill="FFFFFF"/>
        <w:spacing w:before="0" w:beforeAutospacing="0" w:after="0" w:afterAutospacing="0" w:line="600" w:lineRule="exac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警务保障科会同各业务科室对所负责的项目绩效评价材料进行审核，对不合要求的资料打回重报，直至合格为止。</w:t>
      </w:r>
    </w:p>
    <w:p w14:paraId="04D07DF7">
      <w:pPr>
        <w:spacing w:line="600" w:lineRule="exact"/>
        <w:ind w:firstLine="600" w:firstLineChars="200"/>
        <w:rPr>
          <w:rFonts w:ascii="仿宋" w:hAnsi="仿宋" w:eastAsia="仿宋" w:cs="仿宋"/>
          <w:sz w:val="30"/>
          <w:szCs w:val="30"/>
        </w:rPr>
      </w:pPr>
      <w:r>
        <w:rPr>
          <w:rFonts w:hint="eastAsia" w:ascii="仿宋" w:hAnsi="仿宋" w:eastAsia="仿宋" w:cs="仿宋"/>
          <w:sz w:val="30"/>
          <w:szCs w:val="30"/>
        </w:rPr>
        <w:t>3.分析评价</w:t>
      </w:r>
    </w:p>
    <w:p w14:paraId="7B51982F">
      <w:pPr>
        <w:pStyle w:val="6"/>
        <w:widowControl/>
        <w:shd w:val="clear" w:color="auto" w:fill="FFFFFF"/>
        <w:spacing w:before="0" w:beforeAutospacing="0" w:after="0" w:afterAutospacing="0" w:line="600" w:lineRule="atLeas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经分管局领导签字后，绩效评价工作组于6月13日进行汇总，对评价对象进行定量定性分析和综合评价，形成评价结论，于6月18日前起草评价报告。</w:t>
      </w:r>
    </w:p>
    <w:p w14:paraId="53135847">
      <w:pPr>
        <w:pStyle w:val="6"/>
        <w:widowControl/>
        <w:shd w:val="clear" w:color="auto" w:fill="FFFFFF"/>
        <w:spacing w:before="0" w:beforeAutospacing="0" w:after="0" w:afterAutospacing="0" w:line="600" w:lineRule="atLeas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召开评价总结会议，总结主要经验与做法，分析存在的问题，并对将来专项经费使用提出建议。会议对评价报告进行审议，经局领导审定后，形成最终的绩效评价报告。并按程序报市财政局，并于6月30日前在局门户网站进行公示，接受广泛监督。</w:t>
      </w:r>
    </w:p>
    <w:p w14:paraId="2052C604">
      <w:pPr>
        <w:spacing w:line="360" w:lineRule="auto"/>
        <w:ind w:firstLine="602" w:firstLineChars="200"/>
        <w:outlineLvl w:val="0"/>
        <w:rPr>
          <w:rFonts w:ascii="仿宋" w:hAnsi="仿宋" w:eastAsia="仿宋" w:cs="仿宋"/>
          <w:b/>
          <w:bCs/>
          <w:sz w:val="30"/>
          <w:szCs w:val="30"/>
        </w:rPr>
      </w:pPr>
      <w:r>
        <w:rPr>
          <w:rFonts w:hint="eastAsia" w:ascii="仿宋" w:hAnsi="仿宋" w:eastAsia="仿宋" w:cs="仿宋"/>
          <w:b/>
          <w:bCs/>
          <w:sz w:val="30"/>
          <w:szCs w:val="30"/>
        </w:rPr>
        <w:t>二、项目资金申报及使用情况（部分涉密项目，不予公开）</w:t>
      </w:r>
    </w:p>
    <w:p w14:paraId="25C249A6">
      <w:pPr>
        <w:pStyle w:val="6"/>
        <w:widowControl/>
        <w:shd w:val="clear" w:color="auto" w:fill="FFFFFF"/>
        <w:spacing w:before="0" w:beforeAutospacing="0" w:after="0" w:afterAutospacing="0" w:line="600" w:lineRule="atLeast"/>
        <w:ind w:firstLine="640"/>
        <w:jc w:val="both"/>
        <w:rPr>
          <w:rFonts w:ascii="仿宋" w:hAnsi="仿宋" w:eastAsia="仿宋" w:cs="仿宋"/>
          <w:b/>
          <w:bCs/>
          <w:kern w:val="2"/>
          <w:sz w:val="30"/>
          <w:szCs w:val="30"/>
        </w:rPr>
      </w:pPr>
      <w:r>
        <w:rPr>
          <w:rFonts w:hint="eastAsia" w:ascii="仿宋" w:hAnsi="仿宋" w:eastAsia="仿宋" w:cs="仿宋"/>
          <w:b/>
          <w:bCs/>
          <w:kern w:val="2"/>
          <w:sz w:val="30"/>
          <w:szCs w:val="30"/>
        </w:rPr>
        <w:t>（一）项目资金申报及批复情况</w:t>
      </w:r>
    </w:p>
    <w:p w14:paraId="15E47E30">
      <w:pPr>
        <w:spacing w:line="360" w:lineRule="auto"/>
        <w:ind w:firstLine="747" w:firstLineChars="249"/>
        <w:outlineLvl w:val="0"/>
        <w:rPr>
          <w:rFonts w:ascii="仿宋" w:hAnsi="仿宋" w:eastAsia="仿宋" w:cs="仿宋"/>
          <w:sz w:val="30"/>
          <w:szCs w:val="30"/>
        </w:rPr>
      </w:pPr>
      <w:r>
        <w:rPr>
          <w:rFonts w:hint="eastAsia" w:ascii="仿宋" w:hAnsi="仿宋" w:eastAsia="仿宋" w:cs="仿宋"/>
          <w:sz w:val="30"/>
          <w:szCs w:val="30"/>
        </w:rPr>
        <w:t>我单位全部项目资金按照预算流程录入项目库四合一，上报预算编制三合一后由市财政局批复项目金额，其中武装巡逻车车辆运行维护经费压减5万元、打击电话诈骗专项经费压减10万元、特警支队装备建设经费压减10万元等，通过市财政预算及国库拨入我单位零余额账户用款额度。</w:t>
      </w:r>
    </w:p>
    <w:p w14:paraId="3603D4E2">
      <w:pPr>
        <w:spacing w:line="360" w:lineRule="auto"/>
        <w:ind w:firstLine="602" w:firstLineChars="200"/>
        <w:outlineLvl w:val="0"/>
        <w:rPr>
          <w:rFonts w:ascii="仿宋" w:hAnsi="仿宋" w:eastAsia="仿宋" w:cs="仿宋"/>
          <w:b/>
          <w:bCs/>
          <w:sz w:val="30"/>
          <w:szCs w:val="30"/>
        </w:rPr>
      </w:pPr>
      <w:r>
        <w:rPr>
          <w:rFonts w:hint="eastAsia" w:ascii="仿宋" w:hAnsi="仿宋" w:eastAsia="仿宋" w:cs="仿宋"/>
          <w:b/>
          <w:bCs/>
          <w:sz w:val="30"/>
          <w:szCs w:val="30"/>
        </w:rPr>
        <w:t>（二）资金计划、到位及使用情况</w:t>
      </w:r>
    </w:p>
    <w:p w14:paraId="02A70F8F">
      <w:pPr>
        <w:spacing w:line="360" w:lineRule="auto"/>
        <w:ind w:firstLine="594" w:firstLineChars="198"/>
        <w:outlineLvl w:val="0"/>
        <w:rPr>
          <w:rFonts w:ascii="仿宋" w:hAnsi="仿宋" w:eastAsia="仿宋" w:cs="仿宋"/>
          <w:sz w:val="30"/>
          <w:szCs w:val="30"/>
        </w:rPr>
      </w:pPr>
      <w:r>
        <w:rPr>
          <w:rFonts w:hint="eastAsia" w:ascii="仿宋" w:hAnsi="仿宋" w:eastAsia="仿宋" w:cs="仿宋"/>
          <w:sz w:val="30"/>
          <w:szCs w:val="30"/>
        </w:rPr>
        <w:t>1.资金计划（年初预算口径）</w:t>
      </w:r>
    </w:p>
    <w:p w14:paraId="49BC4D22">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特警支队装备建设经费资金计划为90万元，为市财政资金；警犬驯养经费的资金计划为20万元，为市财政资金；武装巡逻车车辆运行维护经费的资金计划为45万元，为市财政资金；上级补助装备经费资金计划为801.1万元，为中央、省上级财政资金；上级补助办案经费资金计划为814万元，为中央、省上级财政资金；打击电话诈骗专项经费资金计划为90万元，为市财政资金；辅警经费（留置看护）资金计划为2678万元，为市财政资金；辅警经费（城市快警）资金计划为318万元，为市财政资金；辅警经费（局机关）资金计划为793.6万元，为市财政资金；天网工程运行维护费资金计划为358.8万元，为市财政资金。</w:t>
      </w:r>
    </w:p>
    <w:p w14:paraId="3527820D">
      <w:pPr>
        <w:pStyle w:val="6"/>
        <w:widowControl/>
        <w:shd w:val="clear" w:color="auto" w:fill="FFFFFF"/>
        <w:spacing w:before="0" w:beforeAutospacing="0" w:after="0" w:afterAutospacing="0" w:line="600" w:lineRule="atLeast"/>
        <w:ind w:firstLine="640"/>
        <w:jc w:val="both"/>
        <w:rPr>
          <w:rFonts w:ascii="仿宋" w:hAnsi="仿宋" w:eastAsia="仿宋" w:cs="仿宋"/>
          <w:kern w:val="2"/>
          <w:sz w:val="30"/>
          <w:szCs w:val="30"/>
        </w:rPr>
      </w:pPr>
      <w:r>
        <w:rPr>
          <w:rFonts w:hint="eastAsia" w:ascii="仿宋" w:hAnsi="仿宋" w:eastAsia="仿宋" w:cs="仿宋"/>
          <w:kern w:val="2"/>
          <w:sz w:val="30"/>
          <w:szCs w:val="30"/>
        </w:rPr>
        <w:t>2.资金到位</w:t>
      </w:r>
      <w:r>
        <w:rPr>
          <w:rFonts w:hint="eastAsia" w:ascii="仿宋" w:hAnsi="仿宋" w:eastAsia="仿宋" w:cs="仿宋"/>
          <w:sz w:val="30"/>
          <w:szCs w:val="30"/>
        </w:rPr>
        <w:t>（决算口径）</w:t>
      </w:r>
    </w:p>
    <w:p w14:paraId="6122C947">
      <w:pPr>
        <w:pStyle w:val="6"/>
        <w:widowControl/>
        <w:shd w:val="clear" w:color="auto" w:fill="FFFFFF"/>
        <w:spacing w:before="0" w:beforeAutospacing="0" w:after="0" w:afterAutospacing="0" w:line="360" w:lineRule="auto"/>
        <w:ind w:firstLine="640"/>
        <w:jc w:val="both"/>
        <w:rPr>
          <w:rFonts w:ascii="仿宋" w:hAnsi="仿宋" w:eastAsia="仿宋" w:cs="仿宋"/>
          <w:color w:val="000000"/>
          <w:sz w:val="30"/>
          <w:szCs w:val="30"/>
        </w:rPr>
      </w:pPr>
      <w:r>
        <w:rPr>
          <w:rFonts w:hint="eastAsia" w:ascii="仿宋" w:hAnsi="仿宋" w:eastAsia="仿宋" w:cs="仿宋"/>
          <w:kern w:val="2"/>
          <w:sz w:val="30"/>
          <w:szCs w:val="30"/>
        </w:rPr>
        <w:t>2025年度我局专项经费共21项，调整预算后总金额</w:t>
      </w:r>
      <w:r>
        <w:rPr>
          <w:rFonts w:hint="eastAsia" w:ascii="仿宋" w:hAnsi="仿宋" w:eastAsia="仿宋" w:cs="仿宋"/>
          <w:sz w:val="30"/>
          <w:szCs w:val="30"/>
        </w:rPr>
        <w:t>6688.65</w:t>
      </w:r>
      <w:r>
        <w:rPr>
          <w:rFonts w:hint="eastAsia" w:ascii="仿宋" w:hAnsi="仿宋" w:eastAsia="仿宋" w:cs="仿宋"/>
          <w:kern w:val="2"/>
          <w:sz w:val="30"/>
          <w:szCs w:val="30"/>
        </w:rPr>
        <w:t>万元，实际收到专项资金</w:t>
      </w:r>
      <w:r>
        <w:rPr>
          <w:rFonts w:hint="eastAsia" w:ascii="仿宋" w:hAnsi="仿宋" w:eastAsia="仿宋" w:cs="仿宋"/>
          <w:sz w:val="30"/>
          <w:szCs w:val="30"/>
        </w:rPr>
        <w:t>6688.65</w:t>
      </w:r>
      <w:r>
        <w:rPr>
          <w:rFonts w:hint="eastAsia" w:ascii="仿宋" w:hAnsi="仿宋" w:eastAsia="仿宋" w:cs="仿宋"/>
          <w:kern w:val="2"/>
          <w:sz w:val="30"/>
          <w:szCs w:val="30"/>
        </w:rPr>
        <w:t>万元,预算资金到位率</w:t>
      </w:r>
      <w:r>
        <w:rPr>
          <w:rFonts w:hint="eastAsia" w:ascii="仿宋" w:hAnsi="仿宋" w:eastAsia="仿宋" w:cs="仿宋"/>
          <w:sz w:val="30"/>
          <w:szCs w:val="30"/>
        </w:rPr>
        <w:t>100</w:t>
      </w:r>
      <w:r>
        <w:rPr>
          <w:rFonts w:hint="eastAsia" w:ascii="仿宋" w:hAnsi="仿宋" w:eastAsia="仿宋" w:cs="仿宋"/>
          <w:kern w:val="2"/>
          <w:sz w:val="30"/>
          <w:szCs w:val="30"/>
        </w:rPr>
        <w:t>%，其中:</w:t>
      </w:r>
      <w:r>
        <w:rPr>
          <w:rFonts w:hint="eastAsia" w:ascii="仿宋" w:hAnsi="仿宋" w:eastAsia="仿宋" w:cs="仿宋"/>
          <w:sz w:val="30"/>
          <w:szCs w:val="30"/>
        </w:rPr>
        <w:t>上级补助装备经费调整</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310万元，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310万元，</w:t>
      </w:r>
      <w:r>
        <w:rPr>
          <w:rFonts w:hint="eastAsia" w:ascii="仿宋" w:hAnsi="仿宋" w:eastAsia="仿宋" w:cs="仿宋"/>
          <w:kern w:val="2"/>
          <w:sz w:val="30"/>
          <w:szCs w:val="30"/>
        </w:rPr>
        <w:t>预算资金到位率100%</w:t>
      </w:r>
      <w:r>
        <w:rPr>
          <w:rFonts w:ascii="仿宋" w:hAnsi="仿宋" w:eastAsia="仿宋" w:cs="仿宋"/>
          <w:color w:val="000000"/>
          <w:sz w:val="30"/>
          <w:szCs w:val="30"/>
        </w:rPr>
        <w:t>;</w:t>
      </w:r>
      <w:r>
        <w:rPr>
          <w:rFonts w:hint="eastAsia" w:ascii="仿宋" w:hAnsi="仿宋" w:eastAsia="仿宋" w:cs="仿宋"/>
          <w:color w:val="000000"/>
          <w:sz w:val="30"/>
          <w:szCs w:val="30"/>
        </w:rPr>
        <w:t>上级补助办案经费调整</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860万元，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860万元，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；上级补助其他专项因素经费</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33万元，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33万元，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；巡逻车辆经费</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45万元，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45万元，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；打击电话诈骗专项经费</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90万元，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90万元，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；警犬繁育及驯养经费</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20万元，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20万元，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w:t>
      </w:r>
      <w:r>
        <w:rPr>
          <w:rFonts w:hint="eastAsia" w:ascii="仿宋" w:hAnsi="仿宋" w:eastAsia="仿宋" w:cs="仿宋"/>
          <w:kern w:val="2"/>
          <w:sz w:val="30"/>
          <w:szCs w:val="30"/>
        </w:rPr>
        <w:t>特警支队装备建设资金调整预算收入16万元，实际到位16万元，预算资金到位率100%；旅发大会安保装备建设经费调整预算收入</w:t>
      </w:r>
      <w:r>
        <w:rPr>
          <w:rFonts w:hint="eastAsia" w:ascii="仿宋" w:hAnsi="仿宋" w:eastAsia="仿宋" w:cs="仿宋"/>
          <w:color w:val="000000"/>
          <w:sz w:val="30"/>
          <w:szCs w:val="30"/>
        </w:rPr>
        <w:t>706.67万元，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706.67万元，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；辅警经费（局机关）</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793.6万元，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793.6万元，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；辅警经费（城市快警）</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318万元，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318万元，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；辅警经费（留置看护）</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2678万元，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2678万元，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；天网工程运行维护费</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358.8万元，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358.8万元，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；非税专项调整预算</w:t>
      </w:r>
      <w:r>
        <w:rPr>
          <w:rFonts w:hint="eastAsia" w:ascii="仿宋" w:hAnsi="仿宋" w:eastAsia="仿宋" w:cs="仿宋"/>
          <w:kern w:val="2"/>
          <w:sz w:val="30"/>
          <w:szCs w:val="30"/>
        </w:rPr>
        <w:t>收入</w:t>
      </w:r>
      <w:r>
        <w:rPr>
          <w:rFonts w:hint="eastAsia" w:ascii="仿宋" w:hAnsi="仿宋" w:eastAsia="仿宋" w:cs="仿宋"/>
          <w:color w:val="000000"/>
          <w:sz w:val="30"/>
          <w:szCs w:val="30"/>
        </w:rPr>
        <w:t>8.08万元，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8.08万元，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；人民警察值勤岗位津贴</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141.3万元，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141.3万元，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；司法救助金</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17.4万元，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17.4万元，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；人民警察伤亡特殊补助金</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18</w:t>
      </w:r>
      <w:r>
        <w:rPr>
          <w:rFonts w:ascii="仿宋" w:hAnsi="仿宋" w:eastAsia="仿宋" w:cs="仿宋"/>
          <w:color w:val="000000"/>
          <w:sz w:val="30"/>
          <w:szCs w:val="30"/>
        </w:rPr>
        <w:t>.00</w:t>
      </w:r>
      <w:r>
        <w:rPr>
          <w:rFonts w:hint="eastAsia" w:ascii="仿宋" w:hAnsi="仿宋" w:eastAsia="仿宋" w:cs="仿宋"/>
          <w:color w:val="000000"/>
          <w:sz w:val="30"/>
          <w:szCs w:val="30"/>
        </w:rPr>
        <w:t>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18</w:t>
      </w:r>
      <w:r>
        <w:rPr>
          <w:rFonts w:ascii="仿宋" w:hAnsi="仿宋" w:eastAsia="仿宋" w:cs="仿宋"/>
          <w:color w:val="000000"/>
          <w:sz w:val="30"/>
          <w:szCs w:val="30"/>
        </w:rPr>
        <w:t>.00</w:t>
      </w:r>
      <w:r>
        <w:rPr>
          <w:rFonts w:hint="eastAsia" w:ascii="仿宋" w:hAnsi="仿宋" w:eastAsia="仿宋" w:cs="仿宋"/>
          <w:color w:val="000000"/>
          <w:sz w:val="30"/>
          <w:szCs w:val="30"/>
        </w:rPr>
        <w:t>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；建国初期退休干部医疗补助预算收入0.8万元，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0.8万元，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；大病医疗救助预算收入2万元，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2万元，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；其他专项资金（含3项涉密项目）</w:t>
      </w:r>
      <w:r>
        <w:rPr>
          <w:rFonts w:hint="eastAsia" w:ascii="仿宋" w:hAnsi="仿宋" w:eastAsia="仿宋" w:cs="仿宋"/>
          <w:kern w:val="2"/>
          <w:sz w:val="30"/>
          <w:szCs w:val="30"/>
        </w:rPr>
        <w:t>预算收入</w:t>
      </w:r>
      <w:r>
        <w:rPr>
          <w:rFonts w:hint="eastAsia" w:ascii="仿宋" w:hAnsi="仿宋" w:eastAsia="仿宋" w:cs="仿宋"/>
          <w:color w:val="000000"/>
          <w:sz w:val="30"/>
          <w:szCs w:val="30"/>
        </w:rPr>
        <w:t>272万元，</w:t>
      </w:r>
      <w:r>
        <w:rPr>
          <w:rFonts w:hint="eastAsia" w:ascii="仿宋" w:hAnsi="仿宋" w:eastAsia="仿宋" w:cs="仿宋"/>
          <w:kern w:val="2"/>
          <w:sz w:val="30"/>
          <w:szCs w:val="30"/>
        </w:rPr>
        <w:t>实际到位</w:t>
      </w:r>
      <w:r>
        <w:rPr>
          <w:rFonts w:hint="eastAsia" w:ascii="仿宋" w:hAnsi="仿宋" w:eastAsia="仿宋" w:cs="仿宋"/>
          <w:color w:val="000000"/>
          <w:sz w:val="30"/>
          <w:szCs w:val="30"/>
        </w:rPr>
        <w:t>272万元，</w:t>
      </w:r>
      <w:r>
        <w:rPr>
          <w:rFonts w:hint="eastAsia" w:ascii="仿宋" w:hAnsi="仿宋" w:eastAsia="仿宋" w:cs="仿宋"/>
          <w:kern w:val="2"/>
          <w:sz w:val="30"/>
          <w:szCs w:val="30"/>
        </w:rPr>
        <w:t>预算资金到位率100%</w:t>
      </w:r>
      <w:r>
        <w:rPr>
          <w:rFonts w:hint="eastAsia" w:ascii="仿宋" w:hAnsi="仿宋" w:eastAsia="仿宋" w:cs="仿宋"/>
          <w:color w:val="000000"/>
          <w:sz w:val="30"/>
          <w:szCs w:val="30"/>
        </w:rPr>
        <w:t>。</w:t>
      </w:r>
    </w:p>
    <w:p w14:paraId="624ABA32">
      <w:pPr>
        <w:spacing w:line="360" w:lineRule="auto"/>
        <w:ind w:firstLine="600"/>
        <w:outlineLvl w:val="0"/>
        <w:rPr>
          <w:rFonts w:ascii="仿宋" w:hAnsi="仿宋" w:eastAsia="仿宋" w:cs="仿宋"/>
          <w:sz w:val="30"/>
          <w:szCs w:val="30"/>
        </w:rPr>
      </w:pPr>
      <w:r>
        <w:rPr>
          <w:rFonts w:hint="eastAsia" w:ascii="仿宋" w:hAnsi="仿宋" w:eastAsia="仿宋" w:cs="仿宋"/>
          <w:sz w:val="30"/>
          <w:szCs w:val="30"/>
        </w:rPr>
        <w:t>3.资金使用</w:t>
      </w:r>
    </w:p>
    <w:p w14:paraId="50C0DAB4">
      <w:pPr>
        <w:pStyle w:val="6"/>
        <w:widowControl/>
        <w:shd w:val="clear" w:color="auto" w:fill="FFFFFF"/>
        <w:spacing w:before="0" w:beforeAutospacing="0" w:after="0" w:afterAutospacing="0" w:line="360" w:lineRule="auto"/>
        <w:ind w:firstLine="640"/>
        <w:jc w:val="both"/>
        <w:rPr>
          <w:rFonts w:ascii="仿宋" w:hAnsi="仿宋" w:eastAsia="仿宋" w:cs="仿宋"/>
          <w:sz w:val="30"/>
          <w:szCs w:val="30"/>
        </w:rPr>
      </w:pPr>
      <w:r>
        <w:rPr>
          <w:rFonts w:hint="eastAsia" w:ascii="仿宋" w:hAnsi="仿宋" w:eastAsia="仿宋" w:cs="仿宋"/>
          <w:sz w:val="30"/>
          <w:szCs w:val="30"/>
        </w:rPr>
        <w:t>2025年度实际收到专项资金6688.65万元，实际支出6688.65万元，预算执行率100%。其中:上级补助装备经费调整预算支出310万元，实际支出310万元，预算执行率</w:t>
      </w:r>
      <w:r>
        <w:rPr>
          <w:rFonts w:ascii="仿宋" w:hAnsi="仿宋" w:eastAsia="仿宋" w:cs="仿宋"/>
          <w:sz w:val="30"/>
          <w:szCs w:val="30"/>
        </w:rPr>
        <w:t>100%</w:t>
      </w:r>
      <w:r>
        <w:rPr>
          <w:rFonts w:hint="eastAsia" w:ascii="仿宋" w:hAnsi="仿宋" w:eastAsia="仿宋" w:cs="仿宋"/>
          <w:sz w:val="30"/>
          <w:szCs w:val="30"/>
        </w:rPr>
        <w:t>，主要用于</w:t>
      </w:r>
      <w:r>
        <w:rPr>
          <w:rFonts w:hint="eastAsia" w:ascii="仿宋" w:hAnsi="仿宋" w:eastAsia="仿宋" w:cs="仿宋"/>
          <w:kern w:val="2"/>
          <w:sz w:val="30"/>
          <w:szCs w:val="30"/>
        </w:rPr>
        <w:t>公安信息化建设及装备采购</w:t>
      </w:r>
      <w:r>
        <w:rPr>
          <w:rFonts w:hint="eastAsia" w:ascii="仿宋" w:hAnsi="仿宋" w:eastAsia="仿宋" w:cs="仿宋"/>
          <w:sz w:val="30"/>
          <w:szCs w:val="30"/>
        </w:rPr>
        <w:t>，严格按照公安部财政部联合下发涉密文件、《加强中央和省级转移支付资金管理暂行办法》等规范支付依据、标准、进度，在市财政局关账前合规合法完成支付</w:t>
      </w:r>
      <w:r>
        <w:rPr>
          <w:rFonts w:ascii="仿宋" w:hAnsi="仿宋" w:eastAsia="仿宋" w:cs="仿宋"/>
          <w:sz w:val="30"/>
          <w:szCs w:val="30"/>
        </w:rPr>
        <w:t>;</w:t>
      </w:r>
      <w:r>
        <w:rPr>
          <w:rFonts w:hint="eastAsia" w:ascii="仿宋" w:hAnsi="仿宋" w:eastAsia="仿宋" w:cs="仿宋"/>
          <w:sz w:val="30"/>
          <w:szCs w:val="30"/>
        </w:rPr>
        <w:t>上级补助办案经费调整预算支出860万元，实际支出860万元，预算执行率</w:t>
      </w:r>
      <w:r>
        <w:rPr>
          <w:rFonts w:ascii="仿宋" w:hAnsi="仿宋" w:eastAsia="仿宋" w:cs="仿宋"/>
          <w:sz w:val="30"/>
          <w:szCs w:val="30"/>
        </w:rPr>
        <w:t>100%</w:t>
      </w:r>
      <w:r>
        <w:rPr>
          <w:rFonts w:hint="eastAsia" w:ascii="仿宋" w:hAnsi="仿宋" w:eastAsia="仿宋" w:cs="仿宋"/>
          <w:sz w:val="30"/>
          <w:szCs w:val="30"/>
        </w:rPr>
        <w:t>，主要用于</w:t>
      </w:r>
      <w:r>
        <w:rPr>
          <w:rFonts w:hint="eastAsia" w:ascii="仿宋" w:hAnsi="仿宋" w:eastAsia="仿宋" w:cs="仿宋"/>
          <w:kern w:val="2"/>
          <w:sz w:val="30"/>
          <w:szCs w:val="30"/>
        </w:rPr>
        <w:t>办案和相关公安业务支出</w:t>
      </w:r>
      <w:r>
        <w:rPr>
          <w:rFonts w:hint="eastAsia" w:ascii="仿宋" w:hAnsi="仿宋" w:eastAsia="仿宋" w:cs="仿宋"/>
          <w:sz w:val="30"/>
          <w:szCs w:val="30"/>
        </w:rPr>
        <w:t>，严格按照公安部财政部联合下发涉密文件、《加强中央和省级转移支付资金管理暂行办法》等规范支付依据、标准、进度，在市财政局关账前合规合法完成支付; 上级补助其他专项因素经费预算支出33万元，实际支出33万元，预算执行率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公安相关业务工作开支，严格按照公安部财政部联合下发涉密文件、《加强中央和省级转移支付资金管理暂行办法》等规范支付依据、标准、进度，在市财政局关账前合规合法完成支付；巡逻车辆经费预算支出45万元，实际支出45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公安巡逻用车的运行维护支出</w:t>
      </w:r>
      <w:r>
        <w:rPr>
          <w:rFonts w:hint="eastAsia" w:ascii="仿宋" w:hAnsi="仿宋" w:eastAsia="仿宋" w:cs="仿宋"/>
          <w:sz w:val="30"/>
          <w:szCs w:val="30"/>
        </w:rPr>
        <w:t>，严格按照《专项资金管理制度》等规范支付依据、标准、进度，在市财政局关账前合规合法完成支付；打击电话诈骗专项经费预算支出90万元，实际支出90万元，预算执行率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打击电诈的宣传、办案等支出</w:t>
      </w:r>
      <w:r>
        <w:rPr>
          <w:rFonts w:hint="eastAsia" w:ascii="仿宋" w:hAnsi="仿宋" w:eastAsia="仿宋" w:cs="仿宋"/>
          <w:sz w:val="30"/>
          <w:szCs w:val="30"/>
        </w:rPr>
        <w:t>，严格按照《专项资金管理制度》等规范支付依据、标准、进度，在市财政局关账前合规合法完成支付；警犬驯养经费预算支出20万元，实际支出20万元，预算执行率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警犬驯养的日常开支</w:t>
      </w:r>
      <w:r>
        <w:rPr>
          <w:rFonts w:hint="eastAsia" w:ascii="仿宋" w:hAnsi="仿宋" w:eastAsia="仿宋" w:cs="仿宋"/>
          <w:sz w:val="30"/>
          <w:szCs w:val="30"/>
        </w:rPr>
        <w:t>，严格按照《专项资金管理制度》等规范支付依据、标准、进度，在市财政局关账前合规合法完成支付；特警支队装备建设资金调整预算支出16万元，实际支出16万元，预算执行率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特警支队装备采购</w:t>
      </w:r>
      <w:r>
        <w:rPr>
          <w:rFonts w:hint="eastAsia" w:ascii="仿宋" w:hAnsi="仿宋" w:eastAsia="仿宋" w:cs="仿宋"/>
          <w:sz w:val="30"/>
          <w:szCs w:val="30"/>
        </w:rPr>
        <w:t>，严格按照《专项资金管理制度》等规范支付依据、标准、进度，在市财政局关账前合规合法完成支付；</w:t>
      </w:r>
      <w:r>
        <w:rPr>
          <w:rFonts w:hint="eastAsia" w:ascii="仿宋" w:hAnsi="仿宋" w:eastAsia="仿宋" w:cs="仿宋"/>
          <w:kern w:val="2"/>
          <w:sz w:val="30"/>
          <w:szCs w:val="30"/>
        </w:rPr>
        <w:t>旅发大会安保装备建设经费调整预算支出706.67万元，实际支出706.67万元，</w:t>
      </w:r>
      <w:r>
        <w:rPr>
          <w:rFonts w:hint="eastAsia" w:ascii="仿宋" w:hAnsi="仿宋" w:eastAsia="仿宋" w:cs="仿宋"/>
          <w:sz w:val="30"/>
          <w:szCs w:val="30"/>
        </w:rPr>
        <w:t>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旅发大会安保装备采购</w:t>
      </w:r>
      <w:r>
        <w:rPr>
          <w:rFonts w:hint="eastAsia" w:ascii="仿宋" w:hAnsi="仿宋" w:eastAsia="仿宋" w:cs="仿宋"/>
          <w:sz w:val="30"/>
          <w:szCs w:val="30"/>
        </w:rPr>
        <w:t>，严格按照《专项资金管理制度》等规范支付依据、标准、进度，在市财政局关账前合规合法完成支付；辅警经费（局机关）预算支出793.6万元，实际支出793.6万元，预算执行率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，项目资金与预算相符，主要用于局机关</w:t>
      </w:r>
      <w:r>
        <w:rPr>
          <w:rFonts w:hint="eastAsia" w:ascii="仿宋" w:hAnsi="仿宋" w:eastAsia="仿宋" w:cs="仿宋"/>
          <w:kern w:val="2"/>
          <w:sz w:val="30"/>
          <w:szCs w:val="30"/>
        </w:rPr>
        <w:t>辅警日常工资的发放、社会保障缴费及服装费支出</w:t>
      </w:r>
      <w:r>
        <w:rPr>
          <w:rFonts w:hint="eastAsia" w:ascii="仿宋" w:hAnsi="仿宋" w:eastAsia="仿宋" w:cs="仿宋"/>
          <w:sz w:val="30"/>
          <w:szCs w:val="30"/>
        </w:rPr>
        <w:t>，严格按照《专项资金管理制度》等规范支付依据、标准、进度，在市财政局关账前合规合法完成支付；辅警经费（城市快警）预算支出318万元，实际支出318万元，预算执行率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,项目资金与预算相符，主要用于城市快警</w:t>
      </w:r>
      <w:r>
        <w:rPr>
          <w:rFonts w:hint="eastAsia" w:ascii="仿宋" w:hAnsi="仿宋" w:eastAsia="仿宋" w:cs="仿宋"/>
          <w:kern w:val="2"/>
          <w:sz w:val="30"/>
          <w:szCs w:val="30"/>
        </w:rPr>
        <w:t>日常工资的发放、社会保障缴费及服装费支出</w:t>
      </w:r>
      <w:r>
        <w:rPr>
          <w:rFonts w:hint="eastAsia" w:ascii="仿宋" w:hAnsi="仿宋" w:eastAsia="仿宋" w:cs="仿宋"/>
          <w:sz w:val="30"/>
          <w:szCs w:val="30"/>
        </w:rPr>
        <w:t>，严格按照《专项资金管理制度》等规范支付依据、标准、进度，在市财政局关账前合规合法完成支付；辅警经费（留置看护）预算支出2678万元，实际支出2678万元，预算执行率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,项目资金与预算相符，主要用于留置看护</w:t>
      </w:r>
      <w:r>
        <w:rPr>
          <w:rFonts w:hint="eastAsia" w:ascii="仿宋" w:hAnsi="仿宋" w:eastAsia="仿宋" w:cs="仿宋"/>
          <w:kern w:val="2"/>
          <w:sz w:val="30"/>
          <w:szCs w:val="30"/>
        </w:rPr>
        <w:t>辅警日常工资的发放、社会保障缴费及服装费支出</w:t>
      </w:r>
      <w:r>
        <w:rPr>
          <w:rFonts w:hint="eastAsia" w:ascii="仿宋" w:hAnsi="仿宋" w:eastAsia="仿宋" w:cs="仿宋"/>
          <w:sz w:val="30"/>
          <w:szCs w:val="30"/>
        </w:rPr>
        <w:t>，严格按照《专项资金管理制度》等规范支付依据、标准、进度，在市财政局关账前合规合法完成支付；天网工程运行维护费预算支出358.8万元，实际支出358.8万元，预算执行率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hint="eastAsia" w:ascii="仿宋" w:hAnsi="仿宋" w:eastAsia="仿宋" w:cs="仿宋"/>
          <w:kern w:val="2"/>
          <w:sz w:val="30"/>
          <w:szCs w:val="30"/>
        </w:rPr>
        <w:t>天网设备运行维护支出</w:t>
      </w:r>
      <w:r>
        <w:rPr>
          <w:rFonts w:hint="eastAsia" w:ascii="仿宋" w:hAnsi="仿宋" w:eastAsia="仿宋" w:cs="仿宋"/>
          <w:sz w:val="30"/>
          <w:szCs w:val="30"/>
        </w:rPr>
        <w:t>，严格按照《专项资金管理制度》等规范支付依据、标准、进度，在市财政局关账前合规合法完成支付；非税专项调整预算后预算支出8.08万元，实际支出8.08万元，预算执行率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，项目资金与预算相符，主要用于公安工作日常运转</w:t>
      </w:r>
      <w:r>
        <w:rPr>
          <w:rFonts w:hint="eastAsia" w:ascii="仿宋" w:hAnsi="仿宋" w:eastAsia="仿宋" w:cs="仿宋"/>
          <w:kern w:val="2"/>
          <w:sz w:val="30"/>
          <w:szCs w:val="30"/>
        </w:rPr>
        <w:t>弥补公用经费不足</w:t>
      </w:r>
      <w:r>
        <w:rPr>
          <w:rFonts w:hint="eastAsia" w:ascii="仿宋" w:hAnsi="仿宋" w:eastAsia="仿宋" w:cs="仿宋"/>
          <w:sz w:val="30"/>
          <w:szCs w:val="30"/>
        </w:rPr>
        <w:t>，严格按照《专项资金管理制度》等规范支付依据、标准、进度，在市财政局关账前合规合法完成支付；人民警察值勤岗位津贴预算支出141.3万元，实际支出141.3万元，预算执行率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发放民警值勤岗位津贴，严格按照《关于执行人民警察值勤岗位津贴有关问题的通知》等规范支付依据、标准、进度，在市财政局关账前合规合法完成支付；司法救助金预算支出17.4万元，实际支出17.4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，项目资金与预算相符，主要用于司法救助，严格按照相关规定支付依据、标准、进度，在市财政局关账前合规合法完成支付；人民警察伤亡特殊补助金预算支出18</w:t>
      </w:r>
      <w:r>
        <w:rPr>
          <w:rFonts w:ascii="仿宋" w:hAnsi="仿宋" w:eastAsia="仿宋" w:cs="仿宋"/>
          <w:sz w:val="30"/>
          <w:szCs w:val="30"/>
        </w:rPr>
        <w:t>.00</w:t>
      </w:r>
      <w:r>
        <w:rPr>
          <w:rFonts w:hint="eastAsia" w:ascii="仿宋" w:hAnsi="仿宋" w:eastAsia="仿宋" w:cs="仿宋"/>
          <w:sz w:val="30"/>
          <w:szCs w:val="30"/>
        </w:rPr>
        <w:t>万元，实际支出18</w:t>
      </w:r>
      <w:r>
        <w:rPr>
          <w:rFonts w:ascii="仿宋" w:hAnsi="仿宋" w:eastAsia="仿宋" w:cs="仿宋"/>
          <w:sz w:val="30"/>
          <w:szCs w:val="30"/>
        </w:rPr>
        <w:t>.00</w:t>
      </w:r>
      <w:r>
        <w:rPr>
          <w:rFonts w:hint="eastAsia" w:ascii="仿宋" w:hAnsi="仿宋" w:eastAsia="仿宋" w:cs="仿宋"/>
          <w:sz w:val="30"/>
          <w:szCs w:val="30"/>
        </w:rPr>
        <w:t>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w:t>
      </w:r>
      <w:r>
        <w:rPr>
          <w:rFonts w:ascii="仿宋" w:hAnsi="仿宋" w:eastAsia="仿宋" w:cs="仿宋"/>
          <w:sz w:val="30"/>
          <w:szCs w:val="30"/>
        </w:rPr>
        <w:t>人民警察伤亡特殊补助</w:t>
      </w:r>
      <w:r>
        <w:rPr>
          <w:rFonts w:hint="eastAsia" w:ascii="仿宋" w:hAnsi="仿宋" w:eastAsia="仿宋" w:cs="仿宋"/>
          <w:sz w:val="30"/>
          <w:szCs w:val="30"/>
        </w:rPr>
        <w:t>，严格按照相关规定支付依据、标准、进度，在市财政局关账前合规合法完成支付；</w:t>
      </w:r>
      <w:r>
        <w:rPr>
          <w:rFonts w:hint="eastAsia" w:ascii="仿宋" w:hAnsi="仿宋" w:eastAsia="仿宋" w:cs="仿宋"/>
          <w:color w:val="000000"/>
          <w:sz w:val="30"/>
          <w:szCs w:val="30"/>
        </w:rPr>
        <w:t>建国初期退休干部医疗补助预算支出0.8万元，</w:t>
      </w:r>
      <w:r>
        <w:rPr>
          <w:rFonts w:hint="eastAsia" w:ascii="仿宋" w:hAnsi="仿宋" w:eastAsia="仿宋" w:cs="仿宋"/>
          <w:kern w:val="2"/>
          <w:sz w:val="30"/>
          <w:szCs w:val="30"/>
        </w:rPr>
        <w:t>实际支出</w:t>
      </w:r>
      <w:r>
        <w:rPr>
          <w:rFonts w:hint="eastAsia" w:ascii="仿宋" w:hAnsi="仿宋" w:eastAsia="仿宋" w:cs="仿宋"/>
          <w:color w:val="000000"/>
          <w:sz w:val="30"/>
          <w:szCs w:val="30"/>
        </w:rPr>
        <w:t>0.8万元，</w:t>
      </w:r>
      <w:r>
        <w:rPr>
          <w:rFonts w:hint="eastAsia" w:ascii="仿宋" w:hAnsi="仿宋" w:eastAsia="仿宋" w:cs="仿宋"/>
          <w:sz w:val="30"/>
          <w:szCs w:val="30"/>
        </w:rPr>
        <w:t>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，项目资金与预算相符，主要用于发放建国初期退休干部医疗</w:t>
      </w:r>
      <w:r>
        <w:rPr>
          <w:rFonts w:ascii="仿宋" w:hAnsi="仿宋" w:eastAsia="仿宋" w:cs="仿宋"/>
          <w:sz w:val="30"/>
          <w:szCs w:val="30"/>
        </w:rPr>
        <w:t>补助</w:t>
      </w:r>
      <w:r>
        <w:rPr>
          <w:rFonts w:hint="eastAsia" w:ascii="仿宋" w:hAnsi="仿宋" w:eastAsia="仿宋" w:cs="仿宋"/>
          <w:sz w:val="30"/>
          <w:szCs w:val="30"/>
        </w:rPr>
        <w:t>，严格按照相关规定支付依据、标准、进度，在市财政局关账前合规合法完成支付；</w:t>
      </w:r>
      <w:r>
        <w:rPr>
          <w:rFonts w:hint="eastAsia" w:ascii="仿宋" w:hAnsi="仿宋" w:eastAsia="仿宋" w:cs="仿宋"/>
          <w:color w:val="000000"/>
          <w:sz w:val="30"/>
          <w:szCs w:val="30"/>
        </w:rPr>
        <w:t>大病医疗救助预算支出2万元，</w:t>
      </w:r>
      <w:r>
        <w:rPr>
          <w:rFonts w:hint="eastAsia" w:ascii="仿宋" w:hAnsi="仿宋" w:eastAsia="仿宋" w:cs="仿宋"/>
          <w:kern w:val="2"/>
          <w:sz w:val="30"/>
          <w:szCs w:val="30"/>
        </w:rPr>
        <w:t>实际支出</w:t>
      </w:r>
      <w:r>
        <w:rPr>
          <w:rFonts w:hint="eastAsia" w:ascii="仿宋" w:hAnsi="仿宋" w:eastAsia="仿宋" w:cs="仿宋"/>
          <w:color w:val="000000"/>
          <w:sz w:val="30"/>
          <w:szCs w:val="30"/>
        </w:rPr>
        <w:t>2万元，</w:t>
      </w:r>
      <w:r>
        <w:rPr>
          <w:rFonts w:hint="eastAsia" w:ascii="仿宋" w:hAnsi="仿宋" w:eastAsia="仿宋" w:cs="仿宋"/>
          <w:sz w:val="30"/>
          <w:szCs w:val="30"/>
        </w:rPr>
        <w:t>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发放相关人员大病医疗救助，严格按照相关规定支付依据、标准、进度，在市财政局关账前合规合法完成支付；其他专项资金（含3项涉密项目）预算支出272万元，实际支出272万元，预算执行率</w:t>
      </w:r>
      <w:r>
        <w:rPr>
          <w:rFonts w:ascii="仿宋" w:hAnsi="仿宋" w:eastAsia="仿宋" w:cs="仿宋"/>
          <w:sz w:val="30"/>
          <w:szCs w:val="30"/>
        </w:rPr>
        <w:t>100%</w:t>
      </w:r>
      <w:r>
        <w:rPr>
          <w:rFonts w:hint="eastAsia" w:ascii="仿宋" w:hAnsi="仿宋" w:eastAsia="仿宋" w:cs="仿宋"/>
          <w:sz w:val="30"/>
          <w:szCs w:val="30"/>
        </w:rPr>
        <w:t>，项目资金与预算相符，主要用于公安相关工作，严格按照相关规定支付依据、标准、进度，在市财政局关账前合规合法完成支付。</w:t>
      </w:r>
    </w:p>
    <w:p w14:paraId="7EBFAC09">
      <w:pPr>
        <w:pStyle w:val="6"/>
        <w:widowControl/>
        <w:shd w:val="clear" w:color="auto" w:fill="FFFFFF"/>
        <w:spacing w:before="0" w:beforeAutospacing="0" w:after="0" w:afterAutospacing="0" w:line="600" w:lineRule="atLeast"/>
        <w:jc w:val="both"/>
        <w:rPr>
          <w:rFonts w:ascii="仿宋" w:hAnsi="仿宋" w:eastAsia="仿宋" w:cs="仿宋"/>
          <w:b/>
          <w:color w:val="000000"/>
          <w:sz w:val="30"/>
          <w:szCs w:val="30"/>
        </w:rPr>
      </w:pPr>
      <w:r>
        <w:rPr>
          <w:rFonts w:hint="eastAsia" w:ascii="仿宋" w:hAnsi="仿宋" w:eastAsia="仿宋" w:cs="仿宋"/>
          <w:color w:val="000000"/>
          <w:sz w:val="30"/>
          <w:szCs w:val="30"/>
        </w:rPr>
        <w:t xml:space="preserve">   </w:t>
      </w:r>
      <w:r>
        <w:rPr>
          <w:rFonts w:hint="eastAsia" w:ascii="仿宋" w:hAnsi="仿宋" w:eastAsia="仿宋" w:cs="仿宋"/>
          <w:b/>
          <w:color w:val="000000"/>
          <w:sz w:val="30"/>
          <w:szCs w:val="30"/>
        </w:rPr>
        <w:t xml:space="preserve">  </w:t>
      </w:r>
      <w:r>
        <w:rPr>
          <w:rFonts w:hint="eastAsia" w:ascii="仿宋" w:hAnsi="仿宋" w:eastAsia="仿宋" w:cs="仿宋"/>
          <w:b/>
          <w:bCs/>
          <w:sz w:val="30"/>
          <w:szCs w:val="30"/>
        </w:rPr>
        <w:t>（三）</w:t>
      </w:r>
      <w:r>
        <w:rPr>
          <w:rFonts w:hint="eastAsia" w:ascii="仿宋" w:hAnsi="仿宋" w:eastAsia="仿宋" w:cs="仿宋"/>
          <w:b/>
          <w:color w:val="000000"/>
          <w:sz w:val="30"/>
          <w:szCs w:val="30"/>
        </w:rPr>
        <w:t>项目财务管理情况</w:t>
      </w:r>
    </w:p>
    <w:p w14:paraId="7D288F39">
      <w:pPr>
        <w:pStyle w:val="6"/>
        <w:widowControl/>
        <w:shd w:val="clear" w:color="auto" w:fill="FFFFFF"/>
        <w:spacing w:before="0" w:beforeAutospacing="0" w:after="0" w:afterAutospacing="0" w:line="360" w:lineRule="auto"/>
        <w:ind w:firstLine="789" w:firstLineChars="263"/>
        <w:jc w:val="both"/>
        <w:rPr>
          <w:rFonts w:ascii="仿宋" w:hAnsi="仿宋" w:eastAsia="仿宋" w:cs="仿宋"/>
          <w:color w:val="000000"/>
          <w:sz w:val="30"/>
          <w:szCs w:val="30"/>
        </w:rPr>
      </w:pPr>
      <w:r>
        <w:rPr>
          <w:rFonts w:hint="eastAsia" w:ascii="仿宋" w:hAnsi="仿宋" w:eastAsia="仿宋" w:cs="仿宋"/>
          <w:color w:val="000000"/>
          <w:sz w:val="30"/>
          <w:szCs w:val="30"/>
        </w:rPr>
        <w:t>根据专项资金管理的要求，我局制定了多项管理办法，在内控制度中设置了《专项资金管理办法》，并严格按照管理办法执行。一是严格按预算开支，没有超标准、超规模、超范围开支；二是严格开支管理，做到了专款专用，不存在截流、挤占、挪用的情况；三是加强内部检查和审计，进行定期或不定期的检查、审计，确保专项资金落实到位。</w:t>
      </w:r>
    </w:p>
    <w:p w14:paraId="2AD6B136">
      <w:pPr>
        <w:pStyle w:val="6"/>
        <w:widowControl/>
        <w:shd w:val="clear" w:color="auto" w:fill="FFFFFF"/>
        <w:spacing w:before="0" w:beforeAutospacing="0" w:after="0" w:afterAutospacing="0" w:line="360" w:lineRule="auto"/>
        <w:ind w:firstLine="635"/>
        <w:jc w:val="both"/>
        <w:rPr>
          <w:rFonts w:ascii="仿宋" w:hAnsi="仿宋" w:eastAsia="仿宋" w:cs="仿宋"/>
          <w:color w:val="000000"/>
          <w:sz w:val="30"/>
          <w:szCs w:val="30"/>
        </w:rPr>
      </w:pPr>
      <w:r>
        <w:rPr>
          <w:rFonts w:hint="eastAsia" w:ascii="仿宋" w:hAnsi="仿宋" w:eastAsia="仿宋" w:cs="仿宋"/>
          <w:b/>
          <w:bCs/>
          <w:sz w:val="30"/>
          <w:szCs w:val="30"/>
        </w:rPr>
        <w:t>三、项目实施及管理情况（部分涉密项目，不予公开）</w:t>
      </w:r>
    </w:p>
    <w:p w14:paraId="31D8A424">
      <w:pPr>
        <w:pStyle w:val="6"/>
        <w:widowControl/>
        <w:shd w:val="clear" w:color="auto" w:fill="FFFFFF"/>
        <w:spacing w:before="0" w:beforeAutospacing="0" w:after="0" w:afterAutospacing="0" w:line="360" w:lineRule="auto"/>
        <w:ind w:firstLine="635"/>
        <w:jc w:val="both"/>
        <w:rPr>
          <w:rFonts w:ascii="仿宋" w:hAnsi="仿宋" w:eastAsia="仿宋" w:cs="仿宋"/>
          <w:color w:val="000000"/>
          <w:sz w:val="30"/>
          <w:szCs w:val="30"/>
        </w:rPr>
      </w:pPr>
      <w:r>
        <w:rPr>
          <w:rFonts w:hint="eastAsia" w:ascii="仿宋" w:hAnsi="仿宋" w:eastAsia="仿宋" w:cs="仿宋"/>
          <w:color w:val="000000"/>
          <w:sz w:val="30"/>
          <w:szCs w:val="30"/>
        </w:rPr>
        <w:t>市局警务保障部门在上年年中会同相关对口部门对下年度专项资金的收入和支出做出预算，并上报财政，获得财政部门的预算批复。在专项资金下达后，专项资金设项目支出单独核算，做到专款专用，其中上级补助装备经费和上级补助办案经费为中央及省级转移支付资金，严格按照公安部及省厅要求支出，每年接受公安部、省厅及市州交叉检查。</w:t>
      </w:r>
    </w:p>
    <w:p w14:paraId="4B70E6EA">
      <w:pPr>
        <w:pStyle w:val="6"/>
        <w:widowControl/>
        <w:shd w:val="clear" w:color="auto" w:fill="FFFFFF"/>
        <w:spacing w:before="0" w:beforeAutospacing="0" w:after="0" w:afterAutospacing="0" w:line="600" w:lineRule="atLeast"/>
        <w:ind w:firstLine="750" w:firstLineChars="250"/>
        <w:jc w:val="both"/>
        <w:rPr>
          <w:rFonts w:ascii="仿宋" w:hAnsi="仿宋" w:eastAsia="仿宋" w:cs="仿宋"/>
          <w:color w:val="000000"/>
          <w:sz w:val="30"/>
          <w:szCs w:val="30"/>
        </w:rPr>
      </w:pPr>
      <w:r>
        <w:rPr>
          <w:rFonts w:hint="eastAsia" w:ascii="仿宋" w:hAnsi="仿宋" w:eastAsia="仿宋" w:cs="仿宋"/>
          <w:color w:val="000000"/>
          <w:sz w:val="30"/>
          <w:szCs w:val="30"/>
        </w:rPr>
        <w:t>在专项资金管理方面，按照有关规定对专项资金支持的项目进行管理，建立较为健全的业务管理制度，项目实施符合相关业务管理规定。在财务管理方面，建立了较为健全的财务制度，做到了专款专用，资金使用符合相关财务管理制度的规定，为保障资金安全、规范运行采取了必要的监控措施。</w:t>
      </w:r>
    </w:p>
    <w:p w14:paraId="63B4642B">
      <w:pPr>
        <w:pStyle w:val="6"/>
        <w:widowControl/>
        <w:shd w:val="clear" w:color="auto" w:fill="FFFFFF"/>
        <w:spacing w:before="0" w:beforeAutospacing="0" w:after="0" w:afterAutospacing="0" w:line="600" w:lineRule="atLeast"/>
        <w:ind w:firstLine="446" w:firstLineChars="148"/>
        <w:jc w:val="both"/>
        <w:rPr>
          <w:rFonts w:ascii="仿宋" w:hAnsi="仿宋" w:eastAsia="仿宋" w:cs="仿宋"/>
          <w:b/>
          <w:bCs/>
          <w:sz w:val="30"/>
          <w:szCs w:val="30"/>
        </w:rPr>
      </w:pPr>
      <w:r>
        <w:rPr>
          <w:rFonts w:hint="eastAsia" w:ascii="仿宋" w:hAnsi="仿宋" w:eastAsia="仿宋" w:cs="仿宋"/>
          <w:b/>
          <w:kern w:val="2"/>
          <w:sz w:val="30"/>
          <w:szCs w:val="30"/>
        </w:rPr>
        <w:t>四、项目绩效情况</w:t>
      </w:r>
      <w:r>
        <w:rPr>
          <w:rFonts w:hint="eastAsia" w:ascii="仿宋" w:hAnsi="仿宋" w:eastAsia="仿宋" w:cs="仿宋"/>
          <w:b/>
          <w:bCs/>
          <w:sz w:val="30"/>
          <w:szCs w:val="30"/>
        </w:rPr>
        <w:t>（部分专项涉密、不予公开）</w:t>
      </w:r>
    </w:p>
    <w:p w14:paraId="470C59C8">
      <w:pPr>
        <w:pStyle w:val="6"/>
        <w:widowControl/>
        <w:shd w:val="clear" w:color="auto" w:fill="FFFFFF"/>
        <w:spacing w:before="0" w:beforeAutospacing="0" w:after="0" w:afterAutospacing="0" w:line="600" w:lineRule="atLeast"/>
        <w:ind w:firstLine="446" w:firstLineChars="148"/>
        <w:jc w:val="both"/>
        <w:rPr>
          <w:rFonts w:ascii="仿宋" w:hAnsi="仿宋" w:eastAsia="仿宋" w:cs="仿宋"/>
          <w:b/>
          <w:bCs/>
          <w:sz w:val="30"/>
          <w:szCs w:val="30"/>
        </w:rPr>
      </w:pPr>
      <w:r>
        <w:rPr>
          <w:rFonts w:hint="eastAsia" w:ascii="仿宋" w:hAnsi="仿宋" w:eastAsia="仿宋" w:cs="仿宋"/>
          <w:b/>
          <w:bCs/>
          <w:sz w:val="30"/>
          <w:szCs w:val="30"/>
        </w:rPr>
        <w:t>（一）项目完成情况</w:t>
      </w:r>
    </w:p>
    <w:p w14:paraId="2E5C77CD">
      <w:pPr>
        <w:spacing w:line="480" w:lineRule="auto"/>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整体而言，各项目实施情况良好，开工率100%，实施进度为100%，完成及时率100%左右，资金的使用均达到年初项目预期目标，且效果良好</w:t>
      </w:r>
      <w:r>
        <w:rPr>
          <w:rFonts w:hint="eastAsia" w:ascii="仿宋" w:hAnsi="仿宋" w:eastAsia="仿宋" w:cs="仿宋"/>
          <w:b/>
          <w:color w:val="000000"/>
          <w:sz w:val="30"/>
          <w:szCs w:val="30"/>
        </w:rPr>
        <w:t>，</w:t>
      </w:r>
      <w:r>
        <w:rPr>
          <w:rFonts w:hint="eastAsia" w:ascii="仿宋" w:hAnsi="仿宋" w:eastAsia="仿宋" w:cs="仿宋"/>
          <w:color w:val="000000"/>
          <w:kern w:val="0"/>
          <w:sz w:val="30"/>
          <w:szCs w:val="30"/>
        </w:rPr>
        <w:t>专项经费发挥了引导的作用，各项目完成质量优秀，均达到年初项目预期目标，</w:t>
      </w:r>
      <w:r>
        <w:rPr>
          <w:rFonts w:hint="eastAsia" w:ascii="仿宋" w:hAnsi="仿宋" w:eastAsia="仿宋" w:cs="仿宋"/>
          <w:color w:val="000000"/>
          <w:sz w:val="30"/>
          <w:szCs w:val="30"/>
        </w:rPr>
        <w:t>部分项目资金完成情况数据涉密，不予详细说明。</w:t>
      </w:r>
    </w:p>
    <w:p w14:paraId="32E69638">
      <w:pPr>
        <w:pStyle w:val="6"/>
        <w:widowControl/>
        <w:shd w:val="clear" w:color="auto" w:fill="FFFFFF"/>
        <w:spacing w:before="0" w:beforeAutospacing="0" w:after="0" w:afterAutospacing="0" w:line="600" w:lineRule="atLeast"/>
        <w:ind w:firstLine="446" w:firstLineChars="148"/>
        <w:jc w:val="both"/>
        <w:rPr>
          <w:rFonts w:ascii="仿宋" w:hAnsi="仿宋" w:eastAsia="仿宋" w:cs="仿宋"/>
          <w:b/>
          <w:bCs/>
          <w:sz w:val="30"/>
          <w:szCs w:val="30"/>
        </w:rPr>
      </w:pPr>
      <w:r>
        <w:rPr>
          <w:rFonts w:hint="eastAsia" w:ascii="仿宋" w:hAnsi="仿宋" w:eastAsia="仿宋" w:cs="仿宋"/>
          <w:b/>
          <w:bCs/>
          <w:sz w:val="30"/>
          <w:szCs w:val="30"/>
        </w:rPr>
        <w:t>（二）项目效益情况</w:t>
      </w:r>
    </w:p>
    <w:p w14:paraId="775F87BF">
      <w:pPr>
        <w:pStyle w:val="6"/>
        <w:widowControl/>
        <w:shd w:val="clear" w:color="auto" w:fill="FFFFFF"/>
        <w:spacing w:before="0" w:beforeAutospacing="0" w:after="0" w:afterAutospacing="0" w:line="600" w:lineRule="atLeast"/>
        <w:ind w:firstLine="600" w:firstLineChars="200"/>
        <w:jc w:val="both"/>
        <w:rPr>
          <w:rFonts w:ascii="仿宋" w:hAnsi="仿宋" w:eastAsia="仿宋" w:cs="仿宋"/>
          <w:kern w:val="2"/>
          <w:sz w:val="30"/>
          <w:szCs w:val="30"/>
        </w:rPr>
      </w:pPr>
      <w:r>
        <w:rPr>
          <w:rFonts w:hint="eastAsia" w:ascii="仿宋" w:hAnsi="仿宋" w:eastAsia="仿宋" w:cs="仿宋"/>
          <w:kern w:val="2"/>
          <w:sz w:val="30"/>
          <w:szCs w:val="30"/>
        </w:rPr>
        <w:t>每个专项资金都从产出、效益、成本、满意度四个大的方面设置了不同的考核指标。其中：特警装备建设资金主要从特警装备提升水平及日常处突能力方面设定绩效指标；巡逻车辆运行维护费主要保障巡逻车辆巡逻任务方面设定绩效指标；警犬繁育及驯养经费主要从警犬配置等方面设定绩效指标；上级补助办案业务费及装备经费主要从案件侦破及履职方面设定绩效指标；辅警经费（局机关）主要从协助民警开展日常事务方面设定绩效指标；辅警经费（城市快警）主要从街面屯警、巡逻等方面设定绩效指标；辅警经费（留置看护）主要从协助民警完成看护任务方面设定绩效指标；天网工程运行维护费主要从加强信息化建设、确保社会治安稳定方面设定绩效指标。在年终，每个专项资金的效益都达到了年初设定预期。</w:t>
      </w:r>
    </w:p>
    <w:p w14:paraId="7C0462AC">
      <w:pPr>
        <w:pStyle w:val="6"/>
        <w:widowControl/>
        <w:shd w:val="clear" w:color="auto" w:fill="FFFFFF"/>
        <w:spacing w:before="0" w:beforeAutospacing="0" w:after="0" w:afterAutospacing="0" w:line="600" w:lineRule="atLeast"/>
        <w:ind w:firstLine="602" w:firstLineChars="200"/>
        <w:jc w:val="both"/>
        <w:rPr>
          <w:rFonts w:ascii="仿宋" w:hAnsi="仿宋" w:eastAsia="仿宋" w:cs="仿宋"/>
          <w:b/>
          <w:bCs/>
          <w:kern w:val="2"/>
          <w:sz w:val="30"/>
          <w:szCs w:val="30"/>
        </w:rPr>
      </w:pPr>
      <w:r>
        <w:rPr>
          <w:rFonts w:hint="eastAsia" w:ascii="仿宋" w:hAnsi="仿宋" w:eastAsia="仿宋" w:cs="仿宋"/>
          <w:b/>
          <w:kern w:val="2"/>
          <w:sz w:val="30"/>
          <w:szCs w:val="30"/>
        </w:rPr>
        <w:t>五、评价结论及建议</w:t>
      </w:r>
      <w:r>
        <w:rPr>
          <w:rFonts w:hint="eastAsia" w:ascii="仿宋" w:hAnsi="仿宋" w:eastAsia="仿宋" w:cs="仿宋"/>
          <w:b/>
          <w:bCs/>
          <w:kern w:val="2"/>
          <w:sz w:val="30"/>
          <w:szCs w:val="30"/>
        </w:rPr>
        <w:t>（部分涉密项目，不予公开）</w:t>
      </w:r>
    </w:p>
    <w:p w14:paraId="1A217D38">
      <w:pPr>
        <w:spacing w:line="600" w:lineRule="exact"/>
        <w:ind w:firstLine="602" w:firstLineChars="200"/>
        <w:rPr>
          <w:rFonts w:ascii="仿宋" w:hAnsi="仿宋" w:eastAsia="仿宋" w:cs="仿宋"/>
          <w:b/>
          <w:color w:val="000000"/>
          <w:sz w:val="30"/>
          <w:szCs w:val="30"/>
        </w:rPr>
      </w:pPr>
      <w:r>
        <w:rPr>
          <w:rFonts w:hint="eastAsia" w:ascii="仿宋" w:hAnsi="仿宋" w:eastAsia="仿宋" w:cs="仿宋"/>
          <w:b/>
          <w:color w:val="000000"/>
          <w:sz w:val="30"/>
          <w:szCs w:val="30"/>
        </w:rPr>
        <w:t>（一）评价结论</w:t>
      </w:r>
    </w:p>
    <w:p w14:paraId="094548E0">
      <w:pPr>
        <w:spacing w:line="600" w:lineRule="exact"/>
        <w:ind w:firstLine="750" w:firstLineChars="250"/>
        <w:rPr>
          <w:rFonts w:ascii="仿宋" w:hAnsi="仿宋" w:eastAsia="仿宋" w:cs="仿宋"/>
          <w:color w:val="000000"/>
          <w:kern w:val="0"/>
          <w:sz w:val="30"/>
          <w:szCs w:val="30"/>
        </w:rPr>
      </w:pPr>
      <w:r>
        <w:rPr>
          <w:rFonts w:hint="eastAsia" w:ascii="仿宋" w:hAnsi="仿宋" w:eastAsia="仿宋" w:cs="仿宋"/>
          <w:color w:val="000000"/>
          <w:kern w:val="0"/>
          <w:sz w:val="30"/>
          <w:szCs w:val="30"/>
        </w:rPr>
        <w:t>项目实施情况总体优秀，社会治安状况良好,确保所辖区域的一方安宁，服务了地方经济发展。</w:t>
      </w:r>
    </w:p>
    <w:p w14:paraId="384C06B5">
      <w:pPr>
        <w:spacing w:line="480" w:lineRule="auto"/>
        <w:ind w:firstLine="750" w:firstLineChars="250"/>
        <w:rPr>
          <w:rFonts w:ascii="仿宋" w:hAnsi="仿宋" w:eastAsia="仿宋" w:cs="仿宋"/>
          <w:color w:val="000000"/>
          <w:kern w:val="0"/>
          <w:sz w:val="30"/>
          <w:szCs w:val="30"/>
        </w:rPr>
      </w:pPr>
      <w:r>
        <w:rPr>
          <w:rFonts w:ascii="仿宋" w:hAnsi="仿宋" w:eastAsia="仿宋" w:cs="仿宋"/>
          <w:color w:val="000000"/>
          <w:kern w:val="0"/>
          <w:sz w:val="30"/>
          <w:szCs w:val="30"/>
        </w:rPr>
        <w:t>2025年，怀化市公安局在市委市政府和省厅党委的坚强领导下，坚持以习近平新时代中国特色社会主义思想为指导，深入学习贯彻党的二十届二中、三中全会精神和习近平总书记来湘考察调研系列重要讲话指示精神，以贯彻落实全国全省公安工作会议精神为契机，全力维护社会治安大局稳定，全力提升公安机关新质战斗力，近年来各项工作取得新成效</w:t>
      </w:r>
      <w:r>
        <w:rPr>
          <w:rFonts w:hint="eastAsia" w:ascii="仿宋" w:hAnsi="仿宋" w:eastAsia="仿宋" w:cs="仿宋"/>
          <w:color w:val="000000"/>
          <w:kern w:val="0"/>
          <w:sz w:val="30"/>
          <w:szCs w:val="30"/>
        </w:rPr>
        <w:t>：连续4年考核考评进入全省先进，3年民意测评全省第1，连续4年社会治安状况评价全省第1；圆满完成党的二十大、建党百年、建国75周年等重大安保任务，守住了“八个不发生”底线；扫黑除恶、电诈、禁毒等多项打击成效明显；扎实开展系列主题教育，常态开展纪律作风整治，公安队伍持续向好。</w:t>
      </w:r>
    </w:p>
    <w:p w14:paraId="6BC1985E">
      <w:pPr>
        <w:spacing w:line="600" w:lineRule="exact"/>
        <w:ind w:firstLine="602" w:firstLineChars="200"/>
        <w:rPr>
          <w:rFonts w:ascii="仿宋" w:hAnsi="仿宋" w:eastAsia="仿宋" w:cs="仿宋"/>
          <w:b/>
          <w:color w:val="000000"/>
          <w:sz w:val="30"/>
          <w:szCs w:val="30"/>
        </w:rPr>
      </w:pPr>
      <w:r>
        <w:rPr>
          <w:rFonts w:hint="eastAsia" w:ascii="仿宋" w:hAnsi="仿宋" w:eastAsia="仿宋" w:cs="仿宋"/>
          <w:b/>
          <w:color w:val="000000"/>
          <w:sz w:val="30"/>
          <w:szCs w:val="30"/>
        </w:rPr>
        <w:t>（二）存在的问题</w:t>
      </w:r>
    </w:p>
    <w:p w14:paraId="6809BE68">
      <w:pPr>
        <w:spacing w:line="600" w:lineRule="exact"/>
        <w:ind w:firstLine="600" w:firstLineChars="200"/>
        <w:rPr>
          <w:rFonts w:ascii="仿宋" w:hAnsi="仿宋" w:eastAsia="仿宋" w:cs="仿宋"/>
          <w:color w:val="000000"/>
          <w:kern w:val="0"/>
          <w:sz w:val="30"/>
          <w:szCs w:val="30"/>
        </w:rPr>
      </w:pPr>
      <w:r>
        <w:rPr>
          <w:rFonts w:hint="eastAsia" w:ascii="仿宋" w:hAnsi="仿宋" w:eastAsia="仿宋" w:cs="仿宋"/>
          <w:color w:val="000000"/>
          <w:kern w:val="0"/>
          <w:sz w:val="30"/>
          <w:szCs w:val="30"/>
        </w:rPr>
        <w:t>无。</w:t>
      </w:r>
    </w:p>
    <w:p w14:paraId="0735263C">
      <w:pPr>
        <w:spacing w:line="600" w:lineRule="exact"/>
        <w:ind w:firstLine="602" w:firstLineChars="200"/>
        <w:rPr>
          <w:rFonts w:ascii="仿宋" w:hAnsi="仿宋" w:eastAsia="仿宋" w:cs="仿宋"/>
          <w:b/>
          <w:color w:val="000000"/>
          <w:sz w:val="30"/>
          <w:szCs w:val="30"/>
        </w:rPr>
      </w:pPr>
      <w:r>
        <w:rPr>
          <w:rFonts w:hint="eastAsia" w:ascii="仿宋" w:hAnsi="仿宋" w:eastAsia="仿宋" w:cs="仿宋"/>
          <w:b/>
          <w:color w:val="000000"/>
          <w:sz w:val="30"/>
          <w:szCs w:val="30"/>
        </w:rPr>
        <w:t>（三）相关建议</w:t>
      </w:r>
    </w:p>
    <w:p w14:paraId="0EACED66">
      <w:pPr>
        <w:spacing w:line="600" w:lineRule="exact"/>
        <w:ind w:firstLine="750" w:firstLineChars="250"/>
        <w:rPr>
          <w:rFonts w:ascii="仿宋" w:hAnsi="仿宋" w:eastAsia="仿宋" w:cs="仿宋"/>
          <w:color w:val="000000"/>
          <w:kern w:val="0"/>
          <w:sz w:val="30"/>
          <w:szCs w:val="30"/>
        </w:rPr>
      </w:pPr>
      <w:r>
        <w:rPr>
          <w:rFonts w:hint="eastAsia" w:ascii="仿宋" w:hAnsi="仿宋" w:eastAsia="仿宋" w:cs="仿宋"/>
          <w:color w:val="000000"/>
          <w:kern w:val="0"/>
          <w:sz w:val="30"/>
          <w:szCs w:val="30"/>
        </w:rPr>
        <w:t>科学合理编制预算，严格执行预算。对预算事项充分论证，加强业务学习，并结合上一年度预算执行情况和本年度预算收支变化因素，科学、合理地编织预算草案，将预算编制内容明细化。</w:t>
      </w:r>
    </w:p>
    <w:p w14:paraId="0762E8D0">
      <w:pPr>
        <w:spacing w:line="600" w:lineRule="exact"/>
        <w:ind w:firstLine="750" w:firstLineChars="250"/>
        <w:rPr>
          <w:rFonts w:ascii="仿宋" w:hAnsi="仿宋" w:eastAsia="仿宋" w:cs="仿宋"/>
          <w:color w:val="000000"/>
          <w:kern w:val="0"/>
          <w:sz w:val="30"/>
          <w:szCs w:val="30"/>
        </w:rPr>
      </w:pPr>
      <w:r>
        <w:rPr>
          <w:rFonts w:hint="eastAsia" w:ascii="仿宋" w:hAnsi="仿宋" w:eastAsia="仿宋" w:cs="仿宋"/>
          <w:color w:val="000000"/>
          <w:kern w:val="0"/>
          <w:sz w:val="30"/>
          <w:szCs w:val="30"/>
        </w:rPr>
        <w:t>进一步加强对公安工作经费的支持力度，在年初预算对非税收入返还比例予以政策倾斜，缩小年度预决算差异率，同时，持续加强对专项经费规范化使用的督查和指导。</w:t>
      </w:r>
    </w:p>
    <w:p w14:paraId="6EE58959">
      <w:pPr>
        <w:widowControl/>
        <w:jc w:val="left"/>
        <w:rPr>
          <w:rFonts w:eastAsia="黑体"/>
          <w:color w:val="000000"/>
          <w:kern w:val="0"/>
          <w:sz w:val="32"/>
          <w:szCs w:val="32"/>
        </w:rPr>
      </w:pPr>
    </w:p>
    <w:p w14:paraId="197C7600">
      <w:pPr>
        <w:widowControl/>
        <w:shd w:val="clear" w:color="auto" w:fill="FFFFFF"/>
        <w:spacing w:line="360" w:lineRule="auto"/>
        <w:rPr>
          <w:rFonts w:ascii="仿宋" w:hAnsi="仿宋" w:eastAsia="仿宋" w:cs="仿宋"/>
          <w:sz w:val="30"/>
          <w:szCs w:val="30"/>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F809">
    <w:pPr>
      <w:pStyle w:val="3"/>
    </w:pPr>
    <w:r>
      <w:pict>
        <v:shape id="_x0000_s3073" o:spid="_x0000_s3073" o:spt="202" type="#_x0000_t202" style="position:absolute;left:0pt;margin-top:0pt;height:10.35pt;width:9.05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909187B">
                <w:pPr>
                  <w:pStyle w:val="3"/>
                </w:pPr>
                <w:r>
                  <w:fldChar w:fldCharType="begin"/>
                </w:r>
                <w:r>
                  <w:instrText xml:space="preserve"> PAGE  \* MERGEFORMAT </w:instrText>
                </w:r>
                <w:r>
                  <w:fldChar w:fldCharType="separate"/>
                </w:r>
                <w:r>
                  <w:t>16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F0D15">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DA65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77A6A">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C19E">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5401B">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VkODg5NzMzNzBjOWQ1MjdhM2NiYmJhMjkzNzc1NmQifQ=="/>
  </w:docVars>
  <w:rsids>
    <w:rsidRoot w:val="004E0CA8"/>
    <w:rsid w:val="00000A04"/>
    <w:rsid w:val="00004517"/>
    <w:rsid w:val="00016ACB"/>
    <w:rsid w:val="00016CE3"/>
    <w:rsid w:val="000211F5"/>
    <w:rsid w:val="000232AE"/>
    <w:rsid w:val="00025938"/>
    <w:rsid w:val="00035C6F"/>
    <w:rsid w:val="0004083F"/>
    <w:rsid w:val="00040F2A"/>
    <w:rsid w:val="00043345"/>
    <w:rsid w:val="000446BC"/>
    <w:rsid w:val="00044ACF"/>
    <w:rsid w:val="0004781A"/>
    <w:rsid w:val="00051FBA"/>
    <w:rsid w:val="0005260A"/>
    <w:rsid w:val="00054802"/>
    <w:rsid w:val="00057330"/>
    <w:rsid w:val="00063D67"/>
    <w:rsid w:val="00064FB7"/>
    <w:rsid w:val="000660B2"/>
    <w:rsid w:val="00066C50"/>
    <w:rsid w:val="000673A1"/>
    <w:rsid w:val="000713CB"/>
    <w:rsid w:val="00074561"/>
    <w:rsid w:val="00086717"/>
    <w:rsid w:val="000926F2"/>
    <w:rsid w:val="00096ABB"/>
    <w:rsid w:val="00096FCA"/>
    <w:rsid w:val="000A045A"/>
    <w:rsid w:val="000A09F4"/>
    <w:rsid w:val="000A0E1C"/>
    <w:rsid w:val="000A3299"/>
    <w:rsid w:val="000A5D6F"/>
    <w:rsid w:val="000A6114"/>
    <w:rsid w:val="000B07B7"/>
    <w:rsid w:val="000B0E07"/>
    <w:rsid w:val="000B4814"/>
    <w:rsid w:val="000B4B71"/>
    <w:rsid w:val="000B5488"/>
    <w:rsid w:val="000B78A7"/>
    <w:rsid w:val="000B7BF0"/>
    <w:rsid w:val="000C251A"/>
    <w:rsid w:val="000C2CC7"/>
    <w:rsid w:val="000C3771"/>
    <w:rsid w:val="000C410C"/>
    <w:rsid w:val="000C706A"/>
    <w:rsid w:val="000D056C"/>
    <w:rsid w:val="000D3022"/>
    <w:rsid w:val="000E2477"/>
    <w:rsid w:val="000E2A36"/>
    <w:rsid w:val="000E3C15"/>
    <w:rsid w:val="000E58AE"/>
    <w:rsid w:val="000E793C"/>
    <w:rsid w:val="000F1EBC"/>
    <w:rsid w:val="000F216A"/>
    <w:rsid w:val="000F29DC"/>
    <w:rsid w:val="000F4175"/>
    <w:rsid w:val="00101273"/>
    <w:rsid w:val="00103DA9"/>
    <w:rsid w:val="00106352"/>
    <w:rsid w:val="0010641F"/>
    <w:rsid w:val="00111AFF"/>
    <w:rsid w:val="00111FBB"/>
    <w:rsid w:val="00113BE3"/>
    <w:rsid w:val="00116F93"/>
    <w:rsid w:val="00124364"/>
    <w:rsid w:val="001254B0"/>
    <w:rsid w:val="001260C0"/>
    <w:rsid w:val="00126D14"/>
    <w:rsid w:val="00127DB4"/>
    <w:rsid w:val="001303CF"/>
    <w:rsid w:val="00131D57"/>
    <w:rsid w:val="00132FCC"/>
    <w:rsid w:val="00137628"/>
    <w:rsid w:val="00137F4C"/>
    <w:rsid w:val="0014115E"/>
    <w:rsid w:val="001445C0"/>
    <w:rsid w:val="001537E4"/>
    <w:rsid w:val="0015437D"/>
    <w:rsid w:val="0015506A"/>
    <w:rsid w:val="00157439"/>
    <w:rsid w:val="00163297"/>
    <w:rsid w:val="00167318"/>
    <w:rsid w:val="0017360F"/>
    <w:rsid w:val="00176400"/>
    <w:rsid w:val="0018273B"/>
    <w:rsid w:val="00183489"/>
    <w:rsid w:val="00187B18"/>
    <w:rsid w:val="00191A9E"/>
    <w:rsid w:val="00192319"/>
    <w:rsid w:val="00194E96"/>
    <w:rsid w:val="0019734E"/>
    <w:rsid w:val="001A1777"/>
    <w:rsid w:val="001A1CEA"/>
    <w:rsid w:val="001A4F21"/>
    <w:rsid w:val="001B0A52"/>
    <w:rsid w:val="001B493F"/>
    <w:rsid w:val="001C2A36"/>
    <w:rsid w:val="001C5FC1"/>
    <w:rsid w:val="001D7418"/>
    <w:rsid w:val="001E4F94"/>
    <w:rsid w:val="001E6015"/>
    <w:rsid w:val="001F0F6E"/>
    <w:rsid w:val="001F0FB0"/>
    <w:rsid w:val="001F128E"/>
    <w:rsid w:val="001F55F3"/>
    <w:rsid w:val="001F5848"/>
    <w:rsid w:val="001F5EA8"/>
    <w:rsid w:val="00200620"/>
    <w:rsid w:val="00200DDC"/>
    <w:rsid w:val="00204811"/>
    <w:rsid w:val="00206BC6"/>
    <w:rsid w:val="00207FE8"/>
    <w:rsid w:val="00210ECB"/>
    <w:rsid w:val="0021287B"/>
    <w:rsid w:val="00213A1F"/>
    <w:rsid w:val="0021539E"/>
    <w:rsid w:val="00216780"/>
    <w:rsid w:val="00220DC7"/>
    <w:rsid w:val="00222149"/>
    <w:rsid w:val="0022391C"/>
    <w:rsid w:val="0022573D"/>
    <w:rsid w:val="00235387"/>
    <w:rsid w:val="00235C2B"/>
    <w:rsid w:val="00237AA1"/>
    <w:rsid w:val="002420D8"/>
    <w:rsid w:val="0024476C"/>
    <w:rsid w:val="00245266"/>
    <w:rsid w:val="002568CF"/>
    <w:rsid w:val="00256FC2"/>
    <w:rsid w:val="00262477"/>
    <w:rsid w:val="00265386"/>
    <w:rsid w:val="0026664D"/>
    <w:rsid w:val="00267D76"/>
    <w:rsid w:val="00267F55"/>
    <w:rsid w:val="00270C89"/>
    <w:rsid w:val="0027105D"/>
    <w:rsid w:val="002717DF"/>
    <w:rsid w:val="00276917"/>
    <w:rsid w:val="00277298"/>
    <w:rsid w:val="0027740D"/>
    <w:rsid w:val="00277777"/>
    <w:rsid w:val="00281E59"/>
    <w:rsid w:val="00281FD1"/>
    <w:rsid w:val="00283E9E"/>
    <w:rsid w:val="0028561D"/>
    <w:rsid w:val="00285EC9"/>
    <w:rsid w:val="002916F3"/>
    <w:rsid w:val="002927FB"/>
    <w:rsid w:val="00295743"/>
    <w:rsid w:val="00296154"/>
    <w:rsid w:val="002A15A8"/>
    <w:rsid w:val="002A2DB0"/>
    <w:rsid w:val="002A3EE9"/>
    <w:rsid w:val="002B18A5"/>
    <w:rsid w:val="002B19B7"/>
    <w:rsid w:val="002B3092"/>
    <w:rsid w:val="002B790C"/>
    <w:rsid w:val="002C2209"/>
    <w:rsid w:val="002C408F"/>
    <w:rsid w:val="002C56A2"/>
    <w:rsid w:val="002D34ED"/>
    <w:rsid w:val="002D3A73"/>
    <w:rsid w:val="002D57C6"/>
    <w:rsid w:val="002F1878"/>
    <w:rsid w:val="002F6EA5"/>
    <w:rsid w:val="00300507"/>
    <w:rsid w:val="00302432"/>
    <w:rsid w:val="00305D75"/>
    <w:rsid w:val="003104C9"/>
    <w:rsid w:val="0031741C"/>
    <w:rsid w:val="00324695"/>
    <w:rsid w:val="003247AE"/>
    <w:rsid w:val="00325274"/>
    <w:rsid w:val="003268DE"/>
    <w:rsid w:val="003305C5"/>
    <w:rsid w:val="00331741"/>
    <w:rsid w:val="00331A3A"/>
    <w:rsid w:val="00331A4E"/>
    <w:rsid w:val="00335E0C"/>
    <w:rsid w:val="00335FA5"/>
    <w:rsid w:val="0033719B"/>
    <w:rsid w:val="00337FF9"/>
    <w:rsid w:val="00342E06"/>
    <w:rsid w:val="0034701C"/>
    <w:rsid w:val="00350245"/>
    <w:rsid w:val="0036144C"/>
    <w:rsid w:val="00362B60"/>
    <w:rsid w:val="0036384A"/>
    <w:rsid w:val="0036677B"/>
    <w:rsid w:val="003677A6"/>
    <w:rsid w:val="00370939"/>
    <w:rsid w:val="003734B1"/>
    <w:rsid w:val="003768AD"/>
    <w:rsid w:val="003801B8"/>
    <w:rsid w:val="00380885"/>
    <w:rsid w:val="003851AF"/>
    <w:rsid w:val="00393124"/>
    <w:rsid w:val="00394612"/>
    <w:rsid w:val="003A05DA"/>
    <w:rsid w:val="003A0753"/>
    <w:rsid w:val="003A2250"/>
    <w:rsid w:val="003A7FA1"/>
    <w:rsid w:val="003B0501"/>
    <w:rsid w:val="003B07DB"/>
    <w:rsid w:val="003B275E"/>
    <w:rsid w:val="003B2B34"/>
    <w:rsid w:val="003B5EEB"/>
    <w:rsid w:val="003C168D"/>
    <w:rsid w:val="003C336C"/>
    <w:rsid w:val="003C47B7"/>
    <w:rsid w:val="003C5544"/>
    <w:rsid w:val="003C5A1F"/>
    <w:rsid w:val="003D0FB2"/>
    <w:rsid w:val="003D77E2"/>
    <w:rsid w:val="003D7ECB"/>
    <w:rsid w:val="003E0184"/>
    <w:rsid w:val="003E30A4"/>
    <w:rsid w:val="003E4A6B"/>
    <w:rsid w:val="003E52D2"/>
    <w:rsid w:val="003E7A41"/>
    <w:rsid w:val="003F6020"/>
    <w:rsid w:val="003F6A6C"/>
    <w:rsid w:val="003F6BB5"/>
    <w:rsid w:val="003F707A"/>
    <w:rsid w:val="004005B3"/>
    <w:rsid w:val="00402CF1"/>
    <w:rsid w:val="0040681A"/>
    <w:rsid w:val="00406A59"/>
    <w:rsid w:val="004123CF"/>
    <w:rsid w:val="00412474"/>
    <w:rsid w:val="004131E0"/>
    <w:rsid w:val="004137B3"/>
    <w:rsid w:val="00420AD4"/>
    <w:rsid w:val="00421191"/>
    <w:rsid w:val="00422180"/>
    <w:rsid w:val="004225A7"/>
    <w:rsid w:val="00423ADE"/>
    <w:rsid w:val="0042748E"/>
    <w:rsid w:val="00431811"/>
    <w:rsid w:val="004339B0"/>
    <w:rsid w:val="0043523C"/>
    <w:rsid w:val="00435531"/>
    <w:rsid w:val="00436D9D"/>
    <w:rsid w:val="00440703"/>
    <w:rsid w:val="00440E9A"/>
    <w:rsid w:val="004423B0"/>
    <w:rsid w:val="004441AB"/>
    <w:rsid w:val="0044658C"/>
    <w:rsid w:val="0044726D"/>
    <w:rsid w:val="00447ED3"/>
    <w:rsid w:val="00450232"/>
    <w:rsid w:val="004512BC"/>
    <w:rsid w:val="00455029"/>
    <w:rsid w:val="004552B9"/>
    <w:rsid w:val="0045673E"/>
    <w:rsid w:val="00457315"/>
    <w:rsid w:val="004623FD"/>
    <w:rsid w:val="0046368B"/>
    <w:rsid w:val="004658F8"/>
    <w:rsid w:val="00467363"/>
    <w:rsid w:val="00470A07"/>
    <w:rsid w:val="00471F6F"/>
    <w:rsid w:val="0047330F"/>
    <w:rsid w:val="00475713"/>
    <w:rsid w:val="0047640D"/>
    <w:rsid w:val="004803A6"/>
    <w:rsid w:val="004811AD"/>
    <w:rsid w:val="00482EE5"/>
    <w:rsid w:val="0048353A"/>
    <w:rsid w:val="004836DA"/>
    <w:rsid w:val="00487111"/>
    <w:rsid w:val="00487966"/>
    <w:rsid w:val="00490603"/>
    <w:rsid w:val="0049074A"/>
    <w:rsid w:val="004915CE"/>
    <w:rsid w:val="00491CF7"/>
    <w:rsid w:val="004A2094"/>
    <w:rsid w:val="004A25B7"/>
    <w:rsid w:val="004A2C7D"/>
    <w:rsid w:val="004A3DBA"/>
    <w:rsid w:val="004A6434"/>
    <w:rsid w:val="004B0735"/>
    <w:rsid w:val="004B4E24"/>
    <w:rsid w:val="004B7159"/>
    <w:rsid w:val="004C18DF"/>
    <w:rsid w:val="004C31D6"/>
    <w:rsid w:val="004D0EE8"/>
    <w:rsid w:val="004D1347"/>
    <w:rsid w:val="004E08F8"/>
    <w:rsid w:val="004E0CA8"/>
    <w:rsid w:val="004E1825"/>
    <w:rsid w:val="004E21FD"/>
    <w:rsid w:val="004E4B0D"/>
    <w:rsid w:val="004E6AB4"/>
    <w:rsid w:val="004F60EB"/>
    <w:rsid w:val="004F7554"/>
    <w:rsid w:val="0050478F"/>
    <w:rsid w:val="00515723"/>
    <w:rsid w:val="0051641A"/>
    <w:rsid w:val="005176B4"/>
    <w:rsid w:val="005214B4"/>
    <w:rsid w:val="00522134"/>
    <w:rsid w:val="00526A14"/>
    <w:rsid w:val="00526F76"/>
    <w:rsid w:val="0052737C"/>
    <w:rsid w:val="005307DA"/>
    <w:rsid w:val="00534FBE"/>
    <w:rsid w:val="00535482"/>
    <w:rsid w:val="00536CBC"/>
    <w:rsid w:val="005410E8"/>
    <w:rsid w:val="00541295"/>
    <w:rsid w:val="005419BA"/>
    <w:rsid w:val="00542431"/>
    <w:rsid w:val="00543416"/>
    <w:rsid w:val="00545544"/>
    <w:rsid w:val="0054611B"/>
    <w:rsid w:val="0054798A"/>
    <w:rsid w:val="00547D59"/>
    <w:rsid w:val="00547F77"/>
    <w:rsid w:val="0055095E"/>
    <w:rsid w:val="005513D4"/>
    <w:rsid w:val="005608E9"/>
    <w:rsid w:val="005635FC"/>
    <w:rsid w:val="005648BD"/>
    <w:rsid w:val="00564D18"/>
    <w:rsid w:val="005661B8"/>
    <w:rsid w:val="005739F1"/>
    <w:rsid w:val="0057411D"/>
    <w:rsid w:val="00577F2E"/>
    <w:rsid w:val="005802AA"/>
    <w:rsid w:val="00582DE4"/>
    <w:rsid w:val="00583419"/>
    <w:rsid w:val="005846A0"/>
    <w:rsid w:val="00584985"/>
    <w:rsid w:val="005849CE"/>
    <w:rsid w:val="00586B43"/>
    <w:rsid w:val="0058742D"/>
    <w:rsid w:val="0059221D"/>
    <w:rsid w:val="00592464"/>
    <w:rsid w:val="00592CD2"/>
    <w:rsid w:val="00595F4D"/>
    <w:rsid w:val="00596639"/>
    <w:rsid w:val="005A1386"/>
    <w:rsid w:val="005A342F"/>
    <w:rsid w:val="005A3505"/>
    <w:rsid w:val="005A4A8B"/>
    <w:rsid w:val="005A54E8"/>
    <w:rsid w:val="005A6F22"/>
    <w:rsid w:val="005B182F"/>
    <w:rsid w:val="005B33A1"/>
    <w:rsid w:val="005B4128"/>
    <w:rsid w:val="005B72B3"/>
    <w:rsid w:val="005C0060"/>
    <w:rsid w:val="005C2CCE"/>
    <w:rsid w:val="005C44DF"/>
    <w:rsid w:val="005C523A"/>
    <w:rsid w:val="005C5D9E"/>
    <w:rsid w:val="005C65E6"/>
    <w:rsid w:val="005D2D45"/>
    <w:rsid w:val="005D4259"/>
    <w:rsid w:val="005D44DB"/>
    <w:rsid w:val="005D716E"/>
    <w:rsid w:val="005E12C6"/>
    <w:rsid w:val="005E14B3"/>
    <w:rsid w:val="005E2245"/>
    <w:rsid w:val="005E4711"/>
    <w:rsid w:val="005E510A"/>
    <w:rsid w:val="005E61C5"/>
    <w:rsid w:val="005F1D62"/>
    <w:rsid w:val="005F2495"/>
    <w:rsid w:val="005F45A8"/>
    <w:rsid w:val="005F50A8"/>
    <w:rsid w:val="005F7C14"/>
    <w:rsid w:val="0061539B"/>
    <w:rsid w:val="00622267"/>
    <w:rsid w:val="00622EAF"/>
    <w:rsid w:val="006230D3"/>
    <w:rsid w:val="0063055D"/>
    <w:rsid w:val="00633AFF"/>
    <w:rsid w:val="006364A0"/>
    <w:rsid w:val="00637E25"/>
    <w:rsid w:val="00644B55"/>
    <w:rsid w:val="006546D0"/>
    <w:rsid w:val="006558AA"/>
    <w:rsid w:val="00656949"/>
    <w:rsid w:val="00664C0B"/>
    <w:rsid w:val="00664FCE"/>
    <w:rsid w:val="0067081B"/>
    <w:rsid w:val="00672D6E"/>
    <w:rsid w:val="0067738B"/>
    <w:rsid w:val="006778A3"/>
    <w:rsid w:val="00680472"/>
    <w:rsid w:val="006811B9"/>
    <w:rsid w:val="006824D3"/>
    <w:rsid w:val="00682D11"/>
    <w:rsid w:val="00684F7B"/>
    <w:rsid w:val="00687E29"/>
    <w:rsid w:val="006910F8"/>
    <w:rsid w:val="006973FE"/>
    <w:rsid w:val="006976D9"/>
    <w:rsid w:val="006A049A"/>
    <w:rsid w:val="006A774D"/>
    <w:rsid w:val="006B1F03"/>
    <w:rsid w:val="006B3B0F"/>
    <w:rsid w:val="006B522E"/>
    <w:rsid w:val="006B6742"/>
    <w:rsid w:val="006C15BD"/>
    <w:rsid w:val="006C7CE0"/>
    <w:rsid w:val="006D1B37"/>
    <w:rsid w:val="006D6416"/>
    <w:rsid w:val="006E2A58"/>
    <w:rsid w:val="006E4A04"/>
    <w:rsid w:val="006E6B76"/>
    <w:rsid w:val="006F5279"/>
    <w:rsid w:val="006F6189"/>
    <w:rsid w:val="006F7A95"/>
    <w:rsid w:val="0070117D"/>
    <w:rsid w:val="00702A66"/>
    <w:rsid w:val="0071236E"/>
    <w:rsid w:val="00715D6D"/>
    <w:rsid w:val="0072121C"/>
    <w:rsid w:val="00721BB7"/>
    <w:rsid w:val="007257C4"/>
    <w:rsid w:val="007266B2"/>
    <w:rsid w:val="00726EA5"/>
    <w:rsid w:val="0073401D"/>
    <w:rsid w:val="00735EBF"/>
    <w:rsid w:val="00736A07"/>
    <w:rsid w:val="00744D1B"/>
    <w:rsid w:val="0074726C"/>
    <w:rsid w:val="0075286A"/>
    <w:rsid w:val="0075395D"/>
    <w:rsid w:val="00766F05"/>
    <w:rsid w:val="00771806"/>
    <w:rsid w:val="00771F20"/>
    <w:rsid w:val="0077589D"/>
    <w:rsid w:val="0078109D"/>
    <w:rsid w:val="007816AF"/>
    <w:rsid w:val="00784DF4"/>
    <w:rsid w:val="00784E82"/>
    <w:rsid w:val="007856A5"/>
    <w:rsid w:val="007864E5"/>
    <w:rsid w:val="00792DB1"/>
    <w:rsid w:val="00796E86"/>
    <w:rsid w:val="007A2A97"/>
    <w:rsid w:val="007A37BF"/>
    <w:rsid w:val="007A4E1A"/>
    <w:rsid w:val="007A7FF6"/>
    <w:rsid w:val="007B2828"/>
    <w:rsid w:val="007B33D9"/>
    <w:rsid w:val="007B3A60"/>
    <w:rsid w:val="007B3B3F"/>
    <w:rsid w:val="007B7341"/>
    <w:rsid w:val="007C6D4D"/>
    <w:rsid w:val="007D00AA"/>
    <w:rsid w:val="007D6AEE"/>
    <w:rsid w:val="007E2A24"/>
    <w:rsid w:val="007E36E2"/>
    <w:rsid w:val="007E79ED"/>
    <w:rsid w:val="007E7A15"/>
    <w:rsid w:val="007F0599"/>
    <w:rsid w:val="007F0B7D"/>
    <w:rsid w:val="007F31B1"/>
    <w:rsid w:val="007F4CF3"/>
    <w:rsid w:val="007F6713"/>
    <w:rsid w:val="007F6AB1"/>
    <w:rsid w:val="00802810"/>
    <w:rsid w:val="00806401"/>
    <w:rsid w:val="0081223B"/>
    <w:rsid w:val="008133DF"/>
    <w:rsid w:val="008147D9"/>
    <w:rsid w:val="008173E1"/>
    <w:rsid w:val="008175B6"/>
    <w:rsid w:val="00820C53"/>
    <w:rsid w:val="00822810"/>
    <w:rsid w:val="00826371"/>
    <w:rsid w:val="00827437"/>
    <w:rsid w:val="0083393B"/>
    <w:rsid w:val="00834157"/>
    <w:rsid w:val="00837052"/>
    <w:rsid w:val="008405A7"/>
    <w:rsid w:val="00841CBA"/>
    <w:rsid w:val="00844B64"/>
    <w:rsid w:val="008538E5"/>
    <w:rsid w:val="00856C9F"/>
    <w:rsid w:val="00862323"/>
    <w:rsid w:val="008624E3"/>
    <w:rsid w:val="00866A9C"/>
    <w:rsid w:val="00870D78"/>
    <w:rsid w:val="00872C9C"/>
    <w:rsid w:val="008748B1"/>
    <w:rsid w:val="00875A21"/>
    <w:rsid w:val="008776CD"/>
    <w:rsid w:val="00877A13"/>
    <w:rsid w:val="00877F3E"/>
    <w:rsid w:val="00883A50"/>
    <w:rsid w:val="00886BA8"/>
    <w:rsid w:val="00887202"/>
    <w:rsid w:val="00890B1B"/>
    <w:rsid w:val="008A241A"/>
    <w:rsid w:val="008A4B8A"/>
    <w:rsid w:val="008A4CE4"/>
    <w:rsid w:val="008A61E8"/>
    <w:rsid w:val="008A68D0"/>
    <w:rsid w:val="008C07E6"/>
    <w:rsid w:val="008C2D6A"/>
    <w:rsid w:val="008C3B55"/>
    <w:rsid w:val="008C4FDB"/>
    <w:rsid w:val="008C6AA8"/>
    <w:rsid w:val="008D3311"/>
    <w:rsid w:val="008D727B"/>
    <w:rsid w:val="008D7A0E"/>
    <w:rsid w:val="008E0799"/>
    <w:rsid w:val="008F0FB2"/>
    <w:rsid w:val="008F1893"/>
    <w:rsid w:val="008F1920"/>
    <w:rsid w:val="008F4F4C"/>
    <w:rsid w:val="008F77D2"/>
    <w:rsid w:val="00900059"/>
    <w:rsid w:val="00903233"/>
    <w:rsid w:val="009037D7"/>
    <w:rsid w:val="0090387A"/>
    <w:rsid w:val="00906978"/>
    <w:rsid w:val="00910110"/>
    <w:rsid w:val="00912F53"/>
    <w:rsid w:val="009226EB"/>
    <w:rsid w:val="00923A40"/>
    <w:rsid w:val="00926979"/>
    <w:rsid w:val="00926DA2"/>
    <w:rsid w:val="00927409"/>
    <w:rsid w:val="00930BBD"/>
    <w:rsid w:val="009311F2"/>
    <w:rsid w:val="00932A0A"/>
    <w:rsid w:val="00932A8B"/>
    <w:rsid w:val="009340CE"/>
    <w:rsid w:val="009401EB"/>
    <w:rsid w:val="009450CF"/>
    <w:rsid w:val="00950DB1"/>
    <w:rsid w:val="00951228"/>
    <w:rsid w:val="00952DC6"/>
    <w:rsid w:val="00956D04"/>
    <w:rsid w:val="0095794E"/>
    <w:rsid w:val="00962373"/>
    <w:rsid w:val="00964437"/>
    <w:rsid w:val="00965BCF"/>
    <w:rsid w:val="00966DEE"/>
    <w:rsid w:val="009707EE"/>
    <w:rsid w:val="009712F7"/>
    <w:rsid w:val="009760E3"/>
    <w:rsid w:val="0097639D"/>
    <w:rsid w:val="00986B25"/>
    <w:rsid w:val="00986CA6"/>
    <w:rsid w:val="009945A1"/>
    <w:rsid w:val="00996393"/>
    <w:rsid w:val="0099658B"/>
    <w:rsid w:val="00996BA7"/>
    <w:rsid w:val="009A28CE"/>
    <w:rsid w:val="009A40ED"/>
    <w:rsid w:val="009A5572"/>
    <w:rsid w:val="009B058D"/>
    <w:rsid w:val="009B5DF7"/>
    <w:rsid w:val="009B6C32"/>
    <w:rsid w:val="009C1321"/>
    <w:rsid w:val="009C2A61"/>
    <w:rsid w:val="009C3629"/>
    <w:rsid w:val="009C6256"/>
    <w:rsid w:val="009D3115"/>
    <w:rsid w:val="009D31E5"/>
    <w:rsid w:val="009D5364"/>
    <w:rsid w:val="009E19CD"/>
    <w:rsid w:val="009E3C0F"/>
    <w:rsid w:val="009F0287"/>
    <w:rsid w:val="009F745E"/>
    <w:rsid w:val="00A07A93"/>
    <w:rsid w:val="00A115D0"/>
    <w:rsid w:val="00A121B8"/>
    <w:rsid w:val="00A12B08"/>
    <w:rsid w:val="00A228EC"/>
    <w:rsid w:val="00A237B0"/>
    <w:rsid w:val="00A240CF"/>
    <w:rsid w:val="00A2491D"/>
    <w:rsid w:val="00A263BB"/>
    <w:rsid w:val="00A26DA2"/>
    <w:rsid w:val="00A345F8"/>
    <w:rsid w:val="00A41B4A"/>
    <w:rsid w:val="00A43095"/>
    <w:rsid w:val="00A44400"/>
    <w:rsid w:val="00A44441"/>
    <w:rsid w:val="00A45115"/>
    <w:rsid w:val="00A45DBD"/>
    <w:rsid w:val="00A475DB"/>
    <w:rsid w:val="00A50C95"/>
    <w:rsid w:val="00A50D3A"/>
    <w:rsid w:val="00A543BE"/>
    <w:rsid w:val="00A5565B"/>
    <w:rsid w:val="00A63F8F"/>
    <w:rsid w:val="00A66582"/>
    <w:rsid w:val="00A70022"/>
    <w:rsid w:val="00A741D8"/>
    <w:rsid w:val="00A758BE"/>
    <w:rsid w:val="00A76D78"/>
    <w:rsid w:val="00A82902"/>
    <w:rsid w:val="00A86392"/>
    <w:rsid w:val="00A86A8C"/>
    <w:rsid w:val="00A91677"/>
    <w:rsid w:val="00A918CF"/>
    <w:rsid w:val="00A97C70"/>
    <w:rsid w:val="00AA21DC"/>
    <w:rsid w:val="00AA6C59"/>
    <w:rsid w:val="00AB1411"/>
    <w:rsid w:val="00AB27E1"/>
    <w:rsid w:val="00AB5BBC"/>
    <w:rsid w:val="00AB7D80"/>
    <w:rsid w:val="00AC6D10"/>
    <w:rsid w:val="00AC706B"/>
    <w:rsid w:val="00AD218D"/>
    <w:rsid w:val="00AE0B0F"/>
    <w:rsid w:val="00AE1776"/>
    <w:rsid w:val="00AE59E0"/>
    <w:rsid w:val="00AE740C"/>
    <w:rsid w:val="00AF0069"/>
    <w:rsid w:val="00AF04C1"/>
    <w:rsid w:val="00AF481F"/>
    <w:rsid w:val="00B010FD"/>
    <w:rsid w:val="00B108CB"/>
    <w:rsid w:val="00B13B60"/>
    <w:rsid w:val="00B14989"/>
    <w:rsid w:val="00B17C06"/>
    <w:rsid w:val="00B20CCE"/>
    <w:rsid w:val="00B21B73"/>
    <w:rsid w:val="00B2542D"/>
    <w:rsid w:val="00B320A7"/>
    <w:rsid w:val="00B41089"/>
    <w:rsid w:val="00B427AF"/>
    <w:rsid w:val="00B44790"/>
    <w:rsid w:val="00B525E8"/>
    <w:rsid w:val="00B551F8"/>
    <w:rsid w:val="00B56403"/>
    <w:rsid w:val="00B6361B"/>
    <w:rsid w:val="00B63DFD"/>
    <w:rsid w:val="00B64368"/>
    <w:rsid w:val="00B65E80"/>
    <w:rsid w:val="00B671B0"/>
    <w:rsid w:val="00B7040E"/>
    <w:rsid w:val="00B723B5"/>
    <w:rsid w:val="00B76C1E"/>
    <w:rsid w:val="00B77DE8"/>
    <w:rsid w:val="00B8154D"/>
    <w:rsid w:val="00B819D2"/>
    <w:rsid w:val="00B8226D"/>
    <w:rsid w:val="00B83941"/>
    <w:rsid w:val="00B863A9"/>
    <w:rsid w:val="00B864D5"/>
    <w:rsid w:val="00B91B31"/>
    <w:rsid w:val="00B9459B"/>
    <w:rsid w:val="00B9463A"/>
    <w:rsid w:val="00BA2D0F"/>
    <w:rsid w:val="00BA52A3"/>
    <w:rsid w:val="00BA598C"/>
    <w:rsid w:val="00BA6CF5"/>
    <w:rsid w:val="00BA7260"/>
    <w:rsid w:val="00BA7967"/>
    <w:rsid w:val="00BC08E7"/>
    <w:rsid w:val="00BC190B"/>
    <w:rsid w:val="00BC2469"/>
    <w:rsid w:val="00BE1AAC"/>
    <w:rsid w:val="00BE46D9"/>
    <w:rsid w:val="00BF27D0"/>
    <w:rsid w:val="00BF5445"/>
    <w:rsid w:val="00BF59EB"/>
    <w:rsid w:val="00BF7DBF"/>
    <w:rsid w:val="00C054A7"/>
    <w:rsid w:val="00C06650"/>
    <w:rsid w:val="00C10734"/>
    <w:rsid w:val="00C13F6F"/>
    <w:rsid w:val="00C145CB"/>
    <w:rsid w:val="00C15075"/>
    <w:rsid w:val="00C17A51"/>
    <w:rsid w:val="00C21D81"/>
    <w:rsid w:val="00C22846"/>
    <w:rsid w:val="00C23DAE"/>
    <w:rsid w:val="00C300A5"/>
    <w:rsid w:val="00C3108D"/>
    <w:rsid w:val="00C322BB"/>
    <w:rsid w:val="00C32955"/>
    <w:rsid w:val="00C33E15"/>
    <w:rsid w:val="00C35966"/>
    <w:rsid w:val="00C35EE9"/>
    <w:rsid w:val="00C37A79"/>
    <w:rsid w:val="00C44061"/>
    <w:rsid w:val="00C46009"/>
    <w:rsid w:val="00C47848"/>
    <w:rsid w:val="00C50E9F"/>
    <w:rsid w:val="00C51522"/>
    <w:rsid w:val="00C51B8E"/>
    <w:rsid w:val="00C52BFA"/>
    <w:rsid w:val="00C56B6D"/>
    <w:rsid w:val="00C57635"/>
    <w:rsid w:val="00C62C71"/>
    <w:rsid w:val="00C64CAF"/>
    <w:rsid w:val="00C65B89"/>
    <w:rsid w:val="00C6658D"/>
    <w:rsid w:val="00C72BFA"/>
    <w:rsid w:val="00C7462A"/>
    <w:rsid w:val="00C76AFD"/>
    <w:rsid w:val="00C77EA0"/>
    <w:rsid w:val="00C83411"/>
    <w:rsid w:val="00C8648E"/>
    <w:rsid w:val="00C90C45"/>
    <w:rsid w:val="00C927C3"/>
    <w:rsid w:val="00C94E74"/>
    <w:rsid w:val="00CA14FD"/>
    <w:rsid w:val="00CA3025"/>
    <w:rsid w:val="00CA3C02"/>
    <w:rsid w:val="00CA6D89"/>
    <w:rsid w:val="00CB2790"/>
    <w:rsid w:val="00CB4CDB"/>
    <w:rsid w:val="00CB626F"/>
    <w:rsid w:val="00CC634F"/>
    <w:rsid w:val="00CC6B3C"/>
    <w:rsid w:val="00CC7D27"/>
    <w:rsid w:val="00CD0D62"/>
    <w:rsid w:val="00CD2F49"/>
    <w:rsid w:val="00CE0B5F"/>
    <w:rsid w:val="00CE104C"/>
    <w:rsid w:val="00CE1EF0"/>
    <w:rsid w:val="00CE34A2"/>
    <w:rsid w:val="00CE37BA"/>
    <w:rsid w:val="00CE6323"/>
    <w:rsid w:val="00CE71FD"/>
    <w:rsid w:val="00CE7509"/>
    <w:rsid w:val="00CF4982"/>
    <w:rsid w:val="00CF75E0"/>
    <w:rsid w:val="00D02882"/>
    <w:rsid w:val="00D073FA"/>
    <w:rsid w:val="00D11F6C"/>
    <w:rsid w:val="00D1252E"/>
    <w:rsid w:val="00D12FA0"/>
    <w:rsid w:val="00D13887"/>
    <w:rsid w:val="00D147AE"/>
    <w:rsid w:val="00D2284C"/>
    <w:rsid w:val="00D22AA2"/>
    <w:rsid w:val="00D33699"/>
    <w:rsid w:val="00D35E5F"/>
    <w:rsid w:val="00D40648"/>
    <w:rsid w:val="00D4231C"/>
    <w:rsid w:val="00D51C52"/>
    <w:rsid w:val="00D551BF"/>
    <w:rsid w:val="00D61982"/>
    <w:rsid w:val="00D7244B"/>
    <w:rsid w:val="00D76603"/>
    <w:rsid w:val="00D8652F"/>
    <w:rsid w:val="00D91102"/>
    <w:rsid w:val="00D931F8"/>
    <w:rsid w:val="00D93481"/>
    <w:rsid w:val="00D93560"/>
    <w:rsid w:val="00D95568"/>
    <w:rsid w:val="00D95A23"/>
    <w:rsid w:val="00D95DE2"/>
    <w:rsid w:val="00D97AEC"/>
    <w:rsid w:val="00DA1689"/>
    <w:rsid w:val="00DA1E20"/>
    <w:rsid w:val="00DA2600"/>
    <w:rsid w:val="00DA2634"/>
    <w:rsid w:val="00DA3E52"/>
    <w:rsid w:val="00DA4849"/>
    <w:rsid w:val="00DB0626"/>
    <w:rsid w:val="00DB2E85"/>
    <w:rsid w:val="00DB4C32"/>
    <w:rsid w:val="00DC0F61"/>
    <w:rsid w:val="00DC5FD6"/>
    <w:rsid w:val="00DD4F7F"/>
    <w:rsid w:val="00DD5954"/>
    <w:rsid w:val="00DD69A6"/>
    <w:rsid w:val="00DD6FBE"/>
    <w:rsid w:val="00DD730F"/>
    <w:rsid w:val="00DD7E77"/>
    <w:rsid w:val="00DE0045"/>
    <w:rsid w:val="00DE238E"/>
    <w:rsid w:val="00DF3B66"/>
    <w:rsid w:val="00DF421F"/>
    <w:rsid w:val="00DF5667"/>
    <w:rsid w:val="00DF5A14"/>
    <w:rsid w:val="00DF65F3"/>
    <w:rsid w:val="00E00DA3"/>
    <w:rsid w:val="00E024DF"/>
    <w:rsid w:val="00E041A9"/>
    <w:rsid w:val="00E06DFA"/>
    <w:rsid w:val="00E130B9"/>
    <w:rsid w:val="00E148A0"/>
    <w:rsid w:val="00E16B3C"/>
    <w:rsid w:val="00E21688"/>
    <w:rsid w:val="00E21DF1"/>
    <w:rsid w:val="00E34912"/>
    <w:rsid w:val="00E42209"/>
    <w:rsid w:val="00E433E9"/>
    <w:rsid w:val="00E50818"/>
    <w:rsid w:val="00E52630"/>
    <w:rsid w:val="00E52942"/>
    <w:rsid w:val="00E54979"/>
    <w:rsid w:val="00E559E1"/>
    <w:rsid w:val="00E60F7C"/>
    <w:rsid w:val="00E71B8B"/>
    <w:rsid w:val="00E72D70"/>
    <w:rsid w:val="00E74E5F"/>
    <w:rsid w:val="00E801A3"/>
    <w:rsid w:val="00E80B47"/>
    <w:rsid w:val="00E81F98"/>
    <w:rsid w:val="00E8323F"/>
    <w:rsid w:val="00E8660A"/>
    <w:rsid w:val="00E90B0B"/>
    <w:rsid w:val="00E90C17"/>
    <w:rsid w:val="00E91A76"/>
    <w:rsid w:val="00E93624"/>
    <w:rsid w:val="00E943F4"/>
    <w:rsid w:val="00E95031"/>
    <w:rsid w:val="00E9605B"/>
    <w:rsid w:val="00E976F7"/>
    <w:rsid w:val="00EA024B"/>
    <w:rsid w:val="00EA1700"/>
    <w:rsid w:val="00EA4729"/>
    <w:rsid w:val="00EA77C0"/>
    <w:rsid w:val="00EB2BCD"/>
    <w:rsid w:val="00EB4165"/>
    <w:rsid w:val="00EB48EA"/>
    <w:rsid w:val="00EB55B9"/>
    <w:rsid w:val="00EB6019"/>
    <w:rsid w:val="00EC3AD4"/>
    <w:rsid w:val="00EC3CBF"/>
    <w:rsid w:val="00EC480B"/>
    <w:rsid w:val="00EC5015"/>
    <w:rsid w:val="00EC6360"/>
    <w:rsid w:val="00EC6745"/>
    <w:rsid w:val="00EC6CCB"/>
    <w:rsid w:val="00ED1ED3"/>
    <w:rsid w:val="00ED2F4B"/>
    <w:rsid w:val="00ED3B08"/>
    <w:rsid w:val="00ED6262"/>
    <w:rsid w:val="00EE7D52"/>
    <w:rsid w:val="00EF150D"/>
    <w:rsid w:val="00EF1E86"/>
    <w:rsid w:val="00EF40F4"/>
    <w:rsid w:val="00EF5FC8"/>
    <w:rsid w:val="00F010CC"/>
    <w:rsid w:val="00F0312E"/>
    <w:rsid w:val="00F13344"/>
    <w:rsid w:val="00F13F8E"/>
    <w:rsid w:val="00F22EA5"/>
    <w:rsid w:val="00F230E6"/>
    <w:rsid w:val="00F2334B"/>
    <w:rsid w:val="00F251D8"/>
    <w:rsid w:val="00F31E22"/>
    <w:rsid w:val="00F3446A"/>
    <w:rsid w:val="00F358CB"/>
    <w:rsid w:val="00F37677"/>
    <w:rsid w:val="00F41766"/>
    <w:rsid w:val="00F41FF9"/>
    <w:rsid w:val="00F43F3F"/>
    <w:rsid w:val="00F44E94"/>
    <w:rsid w:val="00F4567F"/>
    <w:rsid w:val="00F47074"/>
    <w:rsid w:val="00F52217"/>
    <w:rsid w:val="00F601AB"/>
    <w:rsid w:val="00F6036A"/>
    <w:rsid w:val="00F61168"/>
    <w:rsid w:val="00F64F1D"/>
    <w:rsid w:val="00F65662"/>
    <w:rsid w:val="00F724BD"/>
    <w:rsid w:val="00F75FCC"/>
    <w:rsid w:val="00F76F1C"/>
    <w:rsid w:val="00F8115D"/>
    <w:rsid w:val="00F81C11"/>
    <w:rsid w:val="00F829E4"/>
    <w:rsid w:val="00F85DDB"/>
    <w:rsid w:val="00F90FE5"/>
    <w:rsid w:val="00F9316B"/>
    <w:rsid w:val="00F94A26"/>
    <w:rsid w:val="00F971D4"/>
    <w:rsid w:val="00F97A2A"/>
    <w:rsid w:val="00FA07F5"/>
    <w:rsid w:val="00FA0BD3"/>
    <w:rsid w:val="00FA186D"/>
    <w:rsid w:val="00FA3361"/>
    <w:rsid w:val="00FA47E8"/>
    <w:rsid w:val="00FB03DC"/>
    <w:rsid w:val="00FB0D6C"/>
    <w:rsid w:val="00FB21EC"/>
    <w:rsid w:val="00FB6A83"/>
    <w:rsid w:val="00FB7349"/>
    <w:rsid w:val="00FB751C"/>
    <w:rsid w:val="00FC56E9"/>
    <w:rsid w:val="00FD19C7"/>
    <w:rsid w:val="00FD384E"/>
    <w:rsid w:val="00FD44DE"/>
    <w:rsid w:val="00FD5589"/>
    <w:rsid w:val="00FE12EB"/>
    <w:rsid w:val="00FE3864"/>
    <w:rsid w:val="00FF13ED"/>
    <w:rsid w:val="00FF2C1F"/>
    <w:rsid w:val="01184B1B"/>
    <w:rsid w:val="011E5D84"/>
    <w:rsid w:val="022850E3"/>
    <w:rsid w:val="028B5160"/>
    <w:rsid w:val="04471308"/>
    <w:rsid w:val="04737E80"/>
    <w:rsid w:val="063B543E"/>
    <w:rsid w:val="06454194"/>
    <w:rsid w:val="068A677C"/>
    <w:rsid w:val="06C02CEA"/>
    <w:rsid w:val="079E244F"/>
    <w:rsid w:val="07B578FA"/>
    <w:rsid w:val="07EF0049"/>
    <w:rsid w:val="080D10A4"/>
    <w:rsid w:val="08124E61"/>
    <w:rsid w:val="0A157430"/>
    <w:rsid w:val="0BEA6504"/>
    <w:rsid w:val="0C55388E"/>
    <w:rsid w:val="0CCC558F"/>
    <w:rsid w:val="0DDD17F5"/>
    <w:rsid w:val="0F981E11"/>
    <w:rsid w:val="0FEF1B56"/>
    <w:rsid w:val="10CE4CF2"/>
    <w:rsid w:val="11834E79"/>
    <w:rsid w:val="11AB3FF5"/>
    <w:rsid w:val="12FA5AB1"/>
    <w:rsid w:val="13643162"/>
    <w:rsid w:val="147E3EAC"/>
    <w:rsid w:val="15D74660"/>
    <w:rsid w:val="16890497"/>
    <w:rsid w:val="18030896"/>
    <w:rsid w:val="181A6BDC"/>
    <w:rsid w:val="18F245D5"/>
    <w:rsid w:val="19726ECB"/>
    <w:rsid w:val="1ABB4183"/>
    <w:rsid w:val="1AD16F3A"/>
    <w:rsid w:val="1B564A9E"/>
    <w:rsid w:val="1DD70D67"/>
    <w:rsid w:val="1DE32C2D"/>
    <w:rsid w:val="1E6E0FC2"/>
    <w:rsid w:val="20807CC1"/>
    <w:rsid w:val="239041BF"/>
    <w:rsid w:val="23A116F9"/>
    <w:rsid w:val="242906E1"/>
    <w:rsid w:val="24486DB3"/>
    <w:rsid w:val="248274B7"/>
    <w:rsid w:val="24987F62"/>
    <w:rsid w:val="27555BA4"/>
    <w:rsid w:val="2A293C0A"/>
    <w:rsid w:val="2A427ED3"/>
    <w:rsid w:val="2A64465C"/>
    <w:rsid w:val="2C220CEE"/>
    <w:rsid w:val="2C8F4FFC"/>
    <w:rsid w:val="2D6A6A05"/>
    <w:rsid w:val="2E81171D"/>
    <w:rsid w:val="2ECA487B"/>
    <w:rsid w:val="2F1614BF"/>
    <w:rsid w:val="2F5D60CA"/>
    <w:rsid w:val="2FF56BD2"/>
    <w:rsid w:val="30692CE4"/>
    <w:rsid w:val="30C955D5"/>
    <w:rsid w:val="31207F5F"/>
    <w:rsid w:val="31651447"/>
    <w:rsid w:val="31DE1B1A"/>
    <w:rsid w:val="31E678D8"/>
    <w:rsid w:val="32EA0FF5"/>
    <w:rsid w:val="3389400D"/>
    <w:rsid w:val="339E7845"/>
    <w:rsid w:val="33D9348D"/>
    <w:rsid w:val="34544C5B"/>
    <w:rsid w:val="34A90B9C"/>
    <w:rsid w:val="34AE00F9"/>
    <w:rsid w:val="35287845"/>
    <w:rsid w:val="35A93FDD"/>
    <w:rsid w:val="37E14FD3"/>
    <w:rsid w:val="384E118B"/>
    <w:rsid w:val="38C6193E"/>
    <w:rsid w:val="399779C6"/>
    <w:rsid w:val="39B775F0"/>
    <w:rsid w:val="3AB31296"/>
    <w:rsid w:val="3AE249E1"/>
    <w:rsid w:val="3B2177A7"/>
    <w:rsid w:val="3B935032"/>
    <w:rsid w:val="3C205A5C"/>
    <w:rsid w:val="3C8139BB"/>
    <w:rsid w:val="3D447ABC"/>
    <w:rsid w:val="3D632291"/>
    <w:rsid w:val="3D862ED1"/>
    <w:rsid w:val="3DC7396C"/>
    <w:rsid w:val="3E4E39BB"/>
    <w:rsid w:val="3EA90F78"/>
    <w:rsid w:val="40577A06"/>
    <w:rsid w:val="409E6197"/>
    <w:rsid w:val="40B02AE4"/>
    <w:rsid w:val="40EE2237"/>
    <w:rsid w:val="4340514E"/>
    <w:rsid w:val="43753389"/>
    <w:rsid w:val="440E3795"/>
    <w:rsid w:val="442210B9"/>
    <w:rsid w:val="4450288E"/>
    <w:rsid w:val="465B4C7A"/>
    <w:rsid w:val="467F4E32"/>
    <w:rsid w:val="47B12C01"/>
    <w:rsid w:val="496956F9"/>
    <w:rsid w:val="4A422658"/>
    <w:rsid w:val="4A991FCE"/>
    <w:rsid w:val="4A9C429D"/>
    <w:rsid w:val="4AAD5BBF"/>
    <w:rsid w:val="4AE16ABF"/>
    <w:rsid w:val="4C0927D0"/>
    <w:rsid w:val="4D1251D8"/>
    <w:rsid w:val="4D96147D"/>
    <w:rsid w:val="4DE44572"/>
    <w:rsid w:val="4F032420"/>
    <w:rsid w:val="4F8D4B00"/>
    <w:rsid w:val="500A51D0"/>
    <w:rsid w:val="501B2130"/>
    <w:rsid w:val="5044615F"/>
    <w:rsid w:val="50DD04AF"/>
    <w:rsid w:val="5100517B"/>
    <w:rsid w:val="5140223F"/>
    <w:rsid w:val="514667E1"/>
    <w:rsid w:val="51E37D33"/>
    <w:rsid w:val="529E70BB"/>
    <w:rsid w:val="53351920"/>
    <w:rsid w:val="534F04B4"/>
    <w:rsid w:val="53E15A7D"/>
    <w:rsid w:val="54947768"/>
    <w:rsid w:val="56E527F0"/>
    <w:rsid w:val="573B2BEE"/>
    <w:rsid w:val="5761435F"/>
    <w:rsid w:val="57B62CF3"/>
    <w:rsid w:val="57C06CF0"/>
    <w:rsid w:val="57CB1B15"/>
    <w:rsid w:val="57ED7714"/>
    <w:rsid w:val="585440D5"/>
    <w:rsid w:val="58BA4C03"/>
    <w:rsid w:val="58D01CC6"/>
    <w:rsid w:val="594A1D5C"/>
    <w:rsid w:val="5B5155E9"/>
    <w:rsid w:val="5B672007"/>
    <w:rsid w:val="5B75648D"/>
    <w:rsid w:val="5B8D3AF5"/>
    <w:rsid w:val="5BDE456D"/>
    <w:rsid w:val="5C15645C"/>
    <w:rsid w:val="5C1D7217"/>
    <w:rsid w:val="5C786669"/>
    <w:rsid w:val="5CB56835"/>
    <w:rsid w:val="5CC16223"/>
    <w:rsid w:val="5DC90316"/>
    <w:rsid w:val="5E0C03FD"/>
    <w:rsid w:val="5E8119EE"/>
    <w:rsid w:val="5FB61E40"/>
    <w:rsid w:val="5FD94A43"/>
    <w:rsid w:val="5FEA087D"/>
    <w:rsid w:val="607263FB"/>
    <w:rsid w:val="613A1622"/>
    <w:rsid w:val="614E668D"/>
    <w:rsid w:val="61786DC8"/>
    <w:rsid w:val="633E4D0B"/>
    <w:rsid w:val="635A5E4F"/>
    <w:rsid w:val="63DB6082"/>
    <w:rsid w:val="6405362E"/>
    <w:rsid w:val="64272F80"/>
    <w:rsid w:val="64924395"/>
    <w:rsid w:val="65475B42"/>
    <w:rsid w:val="65861C05"/>
    <w:rsid w:val="65CC3115"/>
    <w:rsid w:val="65D62A79"/>
    <w:rsid w:val="67700E87"/>
    <w:rsid w:val="678D7DCC"/>
    <w:rsid w:val="67DD6ADD"/>
    <w:rsid w:val="67E766BB"/>
    <w:rsid w:val="67F0228D"/>
    <w:rsid w:val="6A7D0990"/>
    <w:rsid w:val="6AEF4484"/>
    <w:rsid w:val="6AF10185"/>
    <w:rsid w:val="6AF75460"/>
    <w:rsid w:val="6B1B7151"/>
    <w:rsid w:val="6B7933CD"/>
    <w:rsid w:val="6BE301BA"/>
    <w:rsid w:val="6C4D16AA"/>
    <w:rsid w:val="6CC603AA"/>
    <w:rsid w:val="6E080AC1"/>
    <w:rsid w:val="6EE24E46"/>
    <w:rsid w:val="6F0E32B7"/>
    <w:rsid w:val="6F8D5B18"/>
    <w:rsid w:val="6FB53A30"/>
    <w:rsid w:val="706C7DAF"/>
    <w:rsid w:val="70D266D0"/>
    <w:rsid w:val="71966D7E"/>
    <w:rsid w:val="72B33CCF"/>
    <w:rsid w:val="73735C24"/>
    <w:rsid w:val="742967BA"/>
    <w:rsid w:val="75015D75"/>
    <w:rsid w:val="75167856"/>
    <w:rsid w:val="753B1E95"/>
    <w:rsid w:val="755C54CB"/>
    <w:rsid w:val="75A5034F"/>
    <w:rsid w:val="763A0720"/>
    <w:rsid w:val="76F93E1C"/>
    <w:rsid w:val="7951409C"/>
    <w:rsid w:val="7A244F06"/>
    <w:rsid w:val="7AE46881"/>
    <w:rsid w:val="7B691213"/>
    <w:rsid w:val="7E134CD6"/>
    <w:rsid w:val="7FE5276C"/>
    <w:rsid w:val="7FFD411B"/>
    <w:rsid w:val="EBEEDB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2"/>
    <w:qFormat/>
    <w:uiPriority w:val="99"/>
    <w:pPr>
      <w:widowControl/>
      <w:spacing w:after="200" w:line="276" w:lineRule="auto"/>
      <w:ind w:firstLine="560" w:firstLineChars="200"/>
      <w:jc w:val="left"/>
    </w:pPr>
    <w:rPr>
      <w:rFonts w:eastAsia="仿宋_GB2312"/>
      <w:kern w:val="0"/>
      <w:sz w:val="28"/>
      <w:lang w:eastAsia="en-US"/>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6">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bCs/>
    </w:rPr>
  </w:style>
  <w:style w:type="character" w:styleId="11">
    <w:name w:val="Hyperlink"/>
    <w:basedOn w:val="9"/>
    <w:qFormat/>
    <w:uiPriority w:val="0"/>
    <w:rPr>
      <w:color w:val="0000FF"/>
      <w:u w:val="single"/>
    </w:rPr>
  </w:style>
  <w:style w:type="character" w:customStyle="1" w:styleId="12">
    <w:name w:val="正文文本缩进 Char"/>
    <w:basedOn w:val="9"/>
    <w:link w:val="2"/>
    <w:qFormat/>
    <w:uiPriority w:val="99"/>
    <w:rPr>
      <w:rFonts w:eastAsia="仿宋_GB2312"/>
      <w:sz w:val="28"/>
      <w:szCs w:val="24"/>
      <w:lang w:eastAsia="en-US"/>
    </w:rPr>
  </w:style>
  <w:style w:type="character" w:customStyle="1" w:styleId="13">
    <w:name w:val="HTML 预设格式 Char"/>
    <w:basedOn w:val="9"/>
    <w:link w:val="5"/>
    <w:qFormat/>
    <w:uiPriority w:val="0"/>
    <w:rPr>
      <w:rFonts w:ascii="宋体" w:hAnsi="宋体" w:cs="宋体"/>
      <w:sz w:val="24"/>
      <w:szCs w:val="24"/>
    </w:rPr>
  </w:style>
  <w:style w:type="paragraph" w:customStyle="1" w:styleId="1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1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
    <w:name w:val="p0"/>
    <w:next w:val="6"/>
    <w:qFormat/>
    <w:uiPriority w:val="0"/>
    <w:rPr>
      <w:rFonts w:ascii="Times New Roman" w:hAnsi="Times New Roman" w:eastAsia="宋体" w:cs="Times New Roman"/>
      <w:sz w:val="21"/>
      <w:szCs w:val="21"/>
      <w:lang w:val="en-US" w:eastAsia="zh-CN" w:bidi="ar-SA"/>
    </w:rPr>
  </w:style>
  <w:style w:type="paragraph" w:customStyle="1" w:styleId="17">
    <w:name w:val="无间隔11"/>
    <w:qFormat/>
    <w:uiPriority w:val="0"/>
    <w:pPr>
      <w:widowControl w:val="0"/>
      <w:jc w:val="both"/>
    </w:pPr>
    <w:rPr>
      <w:rFonts w:ascii="Calibri" w:hAnsi="Calibri" w:eastAsia="宋体" w:cs="Times New Roman"/>
      <w:kern w:val="2"/>
      <w:sz w:val="21"/>
      <w:szCs w:val="22"/>
      <w:lang w:val="en-US" w:eastAsia="zh-CN" w:bidi="ar-SA"/>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3073"/>
  </customShpExts>
</s:customData>
</file>

<file path=customXml/item2.xml><b:Sources xmlns:b="http://schemas.openxmlformats.org/officeDocument/2006/bibliography" SelectedStyle="\APA.XSL" xmlns:b="http://schemas.openxmlformats.org/officeDocument/2006/bibliography"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79355A-0259-4494-8939-E129F41936A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8286</Words>
  <Characters>533</Characters>
  <Lines>4</Lines>
  <Paragraphs>17</Paragraphs>
  <TotalTime>8313</TotalTime>
  <ScaleCrop>false</ScaleCrop>
  <LinksUpToDate>false</LinksUpToDate>
  <CharactersWithSpaces>8802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2025-05-26T11:19:00Z</dcterms:created>
  <dc:creator>Administrator</dc:creator>
  <cp:lastModifiedBy>A梦</cp:lastModifiedBy>
  <cp:lastPrinted>2026-06-16T10:20:00Z</cp:lastPrinted>
  <dcterms:modified xsi:type="dcterms:W3CDTF">2026-10-15T11:00:02Z</dcterms:modified>
  <dc:title>附件8:</dc:title>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ABBBB695B2E84165B6719D3DB06971C1</vt:lpwstr>
  </property>
</Properties>
</file>