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BF6359">
      <w:pPr>
        <w:pStyle w:val="12"/>
        <w:jc w:val="both"/>
        <w:rPr>
          <w:rFonts w:hAnsi="黑体"/>
          <w:sz w:val="36"/>
          <w:szCs w:val="36"/>
        </w:rPr>
      </w:pPr>
      <w:r>
        <w:rPr>
          <w:rFonts w:hint="eastAsia" w:hAnsi="黑体"/>
          <w:sz w:val="36"/>
          <w:szCs w:val="36"/>
        </w:rPr>
        <w:t>附件2</w:t>
      </w:r>
    </w:p>
    <w:p w14:paraId="494A839D">
      <w:pPr>
        <w:pStyle w:val="12"/>
        <w:jc w:val="center"/>
        <w:rPr>
          <w:rFonts w:ascii="Times New Roman" w:hAnsi="Times New Roman" w:cs="Times New Roman"/>
          <w:sz w:val="56"/>
          <w:szCs w:val="56"/>
        </w:rPr>
      </w:pPr>
    </w:p>
    <w:p w14:paraId="78DB6A0F">
      <w:pPr>
        <w:pStyle w:val="12"/>
        <w:jc w:val="center"/>
        <w:rPr>
          <w:rFonts w:ascii="Times New Roman" w:hAnsi="Times New Roman" w:cs="Times New Roman"/>
          <w:sz w:val="84"/>
          <w:szCs w:val="84"/>
        </w:rPr>
      </w:pPr>
    </w:p>
    <w:p w14:paraId="4B537694">
      <w:pPr>
        <w:pStyle w:val="12"/>
        <w:jc w:val="center"/>
        <w:rPr>
          <w:rFonts w:ascii="Times New Roman" w:hAnsi="Times New Roman" w:cs="Times New Roman"/>
          <w:sz w:val="84"/>
          <w:szCs w:val="84"/>
        </w:rPr>
      </w:pPr>
    </w:p>
    <w:p w14:paraId="0A24AA6C">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46C4ECB4">
      <w:pPr>
        <w:pStyle w:val="12"/>
        <w:jc w:val="center"/>
        <w:rPr>
          <w:rFonts w:ascii="Times New Roman" w:hAnsi="Times New Roman" w:eastAsia="方正小标宋简体" w:cs="Times New Roman"/>
          <w:sz w:val="72"/>
          <w:szCs w:val="72"/>
        </w:rPr>
        <w:sectPr>
          <w:headerReference r:id="rId5" w:type="first"/>
          <w:footerReference r:id="rId8" w:type="first"/>
          <w:headerReference r:id="rId3" w:type="default"/>
          <w:footerReference r:id="rId6" w:type="default"/>
          <w:headerReference r:id="rId4" w:type="even"/>
          <w:footerReference r:id="rId7" w:type="even"/>
          <w:pgSz w:w="11906" w:h="16838"/>
          <w:pgMar w:top="1417" w:right="1588" w:bottom="1417" w:left="1588" w:header="851" w:footer="992" w:gutter="0"/>
          <w:cols w:space="425" w:num="1"/>
          <w:docGrid w:type="lines" w:linePitch="312" w:charSpace="0"/>
        </w:sectPr>
      </w:pPr>
      <w:r>
        <w:rPr>
          <w:rFonts w:hint="eastAsia" w:ascii="Times New Roman" w:hAnsi="Times New Roman" w:eastAsia="方正小标宋简体" w:cs="Times New Roman"/>
          <w:sz w:val="72"/>
          <w:szCs w:val="72"/>
        </w:rPr>
        <w:t>怀化市公安局</w:t>
      </w:r>
      <w:r>
        <w:rPr>
          <w:rFonts w:ascii="Times New Roman" w:hAnsi="Times New Roman" w:eastAsia="方正小标宋简体" w:cs="Times New Roman"/>
          <w:sz w:val="72"/>
          <w:szCs w:val="72"/>
        </w:rPr>
        <w:t>部门决算</w:t>
      </w:r>
    </w:p>
    <w:p w14:paraId="688E1E02">
      <w:pPr>
        <w:pStyle w:val="12"/>
        <w:spacing w:line="600" w:lineRule="exact"/>
        <w:jc w:val="both"/>
        <w:rPr>
          <w:rFonts w:ascii="Times New Roman" w:hAnsi="Times New Roman" w:cs="Times New Roman"/>
          <w:b/>
          <w:sz w:val="36"/>
          <w:szCs w:val="28"/>
        </w:rPr>
        <w:sectPr>
          <w:footerReference r:id="rId9" w:type="default"/>
          <w:pgSz w:w="11906" w:h="16838"/>
          <w:pgMar w:top="1417" w:right="1588" w:bottom="1417" w:left="1588" w:header="851" w:footer="992" w:gutter="0"/>
          <w:pgNumType w:start="1"/>
          <w:cols w:space="425" w:num="1"/>
          <w:docGrid w:type="lines" w:linePitch="312" w:charSpace="0"/>
        </w:sectPr>
      </w:pPr>
    </w:p>
    <w:p w14:paraId="0AF8887A">
      <w:pPr>
        <w:pStyle w:val="12"/>
        <w:spacing w:line="600" w:lineRule="exact"/>
        <w:jc w:val="both"/>
        <w:rPr>
          <w:rFonts w:ascii="Times New Roman" w:hAnsi="Times New Roman" w:cs="Times New Roman"/>
          <w:b/>
          <w:sz w:val="36"/>
          <w:szCs w:val="28"/>
        </w:rPr>
      </w:pPr>
    </w:p>
    <w:p w14:paraId="6B915C3C">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D8A9568">
      <w:pPr>
        <w:pStyle w:val="12"/>
        <w:spacing w:line="600" w:lineRule="exact"/>
        <w:jc w:val="center"/>
        <w:rPr>
          <w:rFonts w:ascii="Times New Roman" w:hAnsi="Times New Roman" w:cs="Times New Roman"/>
          <w:b/>
          <w:sz w:val="36"/>
          <w:szCs w:val="28"/>
        </w:rPr>
      </w:pPr>
    </w:p>
    <w:p w14:paraId="5323491A">
      <w:pPr>
        <w:pStyle w:val="12"/>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怀化市公安局</w:t>
      </w:r>
      <w:r>
        <w:rPr>
          <w:rFonts w:ascii="Times New Roman" w:hAnsi="Times New Roman" w:cs="Times New Roman"/>
          <w:bCs/>
          <w:sz w:val="32"/>
          <w:szCs w:val="32"/>
        </w:rPr>
        <w:t>概况</w:t>
      </w:r>
    </w:p>
    <w:p w14:paraId="3DEAD14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5F46B2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B211E3C">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51BC92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8329FE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92359E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6FED1B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4583A9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87D00D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1F720C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033D2F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8A472F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F7E5150">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D1ABC5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0FAF1AC">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E981DB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C51F54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F82489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C52446D">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10" w:type="default"/>
          <w:pgSz w:w="11906" w:h="16838"/>
          <w:pgMar w:top="1417" w:right="1588" w:bottom="1417" w:left="1588" w:header="851" w:footer="992" w:gutter="0"/>
          <w:pgNumType w:start="1"/>
          <w:cols w:space="425" w:num="1"/>
          <w:docGrid w:type="lines" w:linePitch="312" w:charSpace="0"/>
        </w:sectPr>
      </w:pPr>
    </w:p>
    <w:p w14:paraId="0E23520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D58047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10FC635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B6281E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223293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0199060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3DE28B8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03114A9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7E1B974E">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9655B9E">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FD1C875">
      <w:pPr>
        <w:pStyle w:val="12"/>
        <w:spacing w:line="600" w:lineRule="exact"/>
        <w:rPr>
          <w:rFonts w:ascii="Times New Roman" w:hAnsi="Times New Roman" w:cs="Times New Roman"/>
          <w:bCs/>
          <w:sz w:val="28"/>
          <w:szCs w:val="28"/>
        </w:rPr>
      </w:pPr>
    </w:p>
    <w:p w14:paraId="71799AE8">
      <w:pPr>
        <w:jc w:val="center"/>
        <w:rPr>
          <w:rFonts w:ascii="Times New Roman" w:hAnsi="Times New Roman" w:cs="Times New Roman"/>
          <w:sz w:val="72"/>
          <w:szCs w:val="72"/>
        </w:rPr>
      </w:pPr>
    </w:p>
    <w:p w14:paraId="7490FFE3">
      <w:pPr>
        <w:jc w:val="center"/>
        <w:rPr>
          <w:rFonts w:ascii="Times New Roman" w:hAnsi="Times New Roman" w:cs="Times New Roman"/>
          <w:sz w:val="72"/>
          <w:szCs w:val="72"/>
        </w:rPr>
      </w:pPr>
    </w:p>
    <w:p w14:paraId="16CEA754">
      <w:pPr>
        <w:jc w:val="center"/>
        <w:rPr>
          <w:rFonts w:ascii="Times New Roman" w:hAnsi="Times New Roman" w:cs="Times New Roman"/>
          <w:sz w:val="72"/>
          <w:szCs w:val="72"/>
        </w:rPr>
      </w:pPr>
    </w:p>
    <w:p w14:paraId="39DEE742">
      <w:pPr>
        <w:pStyle w:val="2"/>
        <w:rPr>
          <w:rFonts w:ascii="Times New Roman" w:hAnsi="Times New Roman" w:cs="Times New Roman"/>
        </w:rPr>
        <w:sectPr>
          <w:footerReference r:id="rId11" w:type="default"/>
          <w:pgSz w:w="11906" w:h="16838"/>
          <w:pgMar w:top="1417" w:right="1588" w:bottom="1417" w:left="1588" w:header="851" w:footer="992" w:gutter="0"/>
          <w:pgNumType w:start="1"/>
          <w:cols w:space="425" w:num="1"/>
          <w:docGrid w:type="lines" w:linePitch="312" w:charSpace="0"/>
        </w:sectPr>
      </w:pPr>
    </w:p>
    <w:p w14:paraId="541A9C58">
      <w:pPr>
        <w:rPr>
          <w:rFonts w:ascii="Times New Roman" w:hAnsi="Times New Roman" w:eastAsia="方正小标宋_GBK" w:cs="Times New Roman"/>
          <w:sz w:val="72"/>
          <w:szCs w:val="72"/>
        </w:rPr>
      </w:pPr>
    </w:p>
    <w:p w14:paraId="02731E69">
      <w:pPr>
        <w:pStyle w:val="2"/>
      </w:pPr>
    </w:p>
    <w:p w14:paraId="173F2805">
      <w:pPr>
        <w:pStyle w:val="3"/>
        <w:ind w:firstLine="480"/>
      </w:pPr>
    </w:p>
    <w:p w14:paraId="5406AEBD"/>
    <w:p w14:paraId="4501BC18">
      <w:pPr>
        <w:pStyle w:val="2"/>
      </w:pPr>
    </w:p>
    <w:p w14:paraId="5FC4C98F">
      <w:pPr>
        <w:pStyle w:val="3"/>
        <w:ind w:firstLine="480"/>
      </w:pPr>
    </w:p>
    <w:p w14:paraId="3C201B81"/>
    <w:p w14:paraId="1C1D05CA">
      <w:pPr>
        <w:pStyle w:val="12"/>
        <w:spacing w:line="360" w:lineRule="auto"/>
        <w:jc w:val="center"/>
        <w:rPr>
          <w:rFonts w:ascii="Times New Roman" w:hAnsi="Times New Roman" w:eastAsia="方正小标宋_GBK" w:cs="Times New Roman"/>
          <w:sz w:val="52"/>
          <w:szCs w:val="52"/>
        </w:rPr>
      </w:pPr>
    </w:p>
    <w:p w14:paraId="6DDEDCEB">
      <w:pPr>
        <w:pStyle w:val="12"/>
        <w:spacing w:line="360" w:lineRule="auto"/>
        <w:jc w:val="center"/>
        <w:rPr>
          <w:rFonts w:ascii="Times New Roman" w:hAnsi="Times New Roman" w:eastAsia="方正小标宋_GBK" w:cs="Times New Roman"/>
          <w:sz w:val="52"/>
          <w:szCs w:val="52"/>
        </w:rPr>
      </w:pPr>
    </w:p>
    <w:p w14:paraId="2C8CD7E9">
      <w:pPr>
        <w:pStyle w:val="12"/>
        <w:spacing w:line="360" w:lineRule="auto"/>
        <w:jc w:val="center"/>
        <w:rPr>
          <w:rFonts w:ascii="Times New Roman" w:hAnsi="Times New Roman" w:eastAsia="方正小标宋_GBK" w:cs="Times New Roman"/>
          <w:sz w:val="52"/>
          <w:szCs w:val="52"/>
        </w:rPr>
      </w:pPr>
    </w:p>
    <w:p w14:paraId="081A8FA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7883B37">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怀化市公安局</w:t>
      </w:r>
      <w:r>
        <w:rPr>
          <w:rFonts w:ascii="Times New Roman" w:hAnsi="Times New Roman" w:eastAsia="方正小标宋_GBK" w:cs="Times New Roman"/>
          <w:sz w:val="52"/>
          <w:szCs w:val="52"/>
        </w:rPr>
        <w:t>概况</w:t>
      </w:r>
    </w:p>
    <w:p w14:paraId="2CE8B531">
      <w:pPr>
        <w:pStyle w:val="3"/>
        <w:ind w:left="0" w:leftChars="0" w:firstLine="0" w:firstLineChars="0"/>
        <w:rPr>
          <w:rFonts w:ascii="Times New Roman" w:hAnsi="Times New Roman" w:cs="Times New Roman"/>
        </w:rPr>
      </w:pPr>
    </w:p>
    <w:p w14:paraId="62672E0D">
      <w:pPr>
        <w:pStyle w:val="13"/>
        <w:spacing w:line="600" w:lineRule="exact"/>
        <w:ind w:firstLine="0" w:firstLineChars="0"/>
        <w:jc w:val="left"/>
        <w:rPr>
          <w:rFonts w:ascii="Times New Roman" w:hAnsi="Times New Roman" w:eastAsia="黑体" w:cs="Times New Roman"/>
          <w:sz w:val="32"/>
          <w:szCs w:val="32"/>
        </w:rPr>
      </w:pPr>
    </w:p>
    <w:p w14:paraId="7C727F8C">
      <w:pPr>
        <w:pStyle w:val="13"/>
        <w:spacing w:line="600" w:lineRule="exact"/>
        <w:ind w:firstLine="0" w:firstLineChars="0"/>
        <w:jc w:val="left"/>
        <w:rPr>
          <w:rFonts w:ascii="Times New Roman" w:hAnsi="Times New Roman" w:eastAsia="黑体" w:cs="Times New Roman"/>
          <w:sz w:val="32"/>
          <w:szCs w:val="32"/>
        </w:rPr>
      </w:pPr>
    </w:p>
    <w:p w14:paraId="451D735D">
      <w:pPr>
        <w:pStyle w:val="13"/>
        <w:spacing w:line="600" w:lineRule="exact"/>
        <w:ind w:firstLine="0" w:firstLineChars="0"/>
        <w:jc w:val="left"/>
        <w:rPr>
          <w:rFonts w:ascii="Times New Roman" w:hAnsi="Times New Roman" w:eastAsia="黑体" w:cs="Times New Roman"/>
          <w:sz w:val="32"/>
          <w:szCs w:val="32"/>
        </w:rPr>
      </w:pPr>
    </w:p>
    <w:p w14:paraId="6AE726F7">
      <w:pPr>
        <w:pStyle w:val="13"/>
        <w:spacing w:line="600" w:lineRule="exact"/>
        <w:ind w:firstLine="0" w:firstLineChars="0"/>
        <w:jc w:val="left"/>
        <w:rPr>
          <w:rFonts w:ascii="Times New Roman" w:hAnsi="Times New Roman" w:eastAsia="黑体" w:cs="Times New Roman"/>
          <w:sz w:val="32"/>
          <w:szCs w:val="32"/>
        </w:rPr>
      </w:pPr>
    </w:p>
    <w:p w14:paraId="6CC2CF98">
      <w:pPr>
        <w:pStyle w:val="13"/>
        <w:spacing w:line="600" w:lineRule="exact"/>
        <w:ind w:firstLine="0" w:firstLineChars="0"/>
        <w:jc w:val="left"/>
        <w:rPr>
          <w:rFonts w:ascii="Times New Roman" w:hAnsi="Times New Roman" w:eastAsia="黑体" w:cs="Times New Roman"/>
          <w:sz w:val="32"/>
          <w:szCs w:val="32"/>
        </w:rPr>
      </w:pPr>
    </w:p>
    <w:p w14:paraId="3BBA57F3">
      <w:pPr>
        <w:pStyle w:val="13"/>
        <w:spacing w:line="600" w:lineRule="exact"/>
        <w:ind w:firstLine="0" w:firstLineChars="0"/>
        <w:jc w:val="left"/>
        <w:rPr>
          <w:rFonts w:ascii="Times New Roman" w:hAnsi="Times New Roman" w:eastAsia="黑体" w:cs="Times New Roman"/>
          <w:sz w:val="32"/>
          <w:szCs w:val="32"/>
        </w:rPr>
      </w:pPr>
    </w:p>
    <w:p w14:paraId="0971DF98">
      <w:pPr>
        <w:pStyle w:val="13"/>
        <w:spacing w:line="600" w:lineRule="exact"/>
        <w:ind w:firstLine="0" w:firstLineChars="0"/>
        <w:jc w:val="left"/>
        <w:rPr>
          <w:rFonts w:ascii="Times New Roman" w:hAnsi="Times New Roman" w:eastAsia="黑体" w:cs="Times New Roman"/>
          <w:sz w:val="32"/>
          <w:szCs w:val="32"/>
        </w:rPr>
      </w:pPr>
    </w:p>
    <w:p w14:paraId="2461EE98">
      <w:pPr>
        <w:pStyle w:val="13"/>
        <w:spacing w:line="600" w:lineRule="exact"/>
        <w:ind w:firstLine="0" w:firstLineChars="0"/>
        <w:jc w:val="left"/>
        <w:rPr>
          <w:rFonts w:ascii="Times New Roman" w:hAnsi="Times New Roman" w:eastAsia="黑体" w:cs="Times New Roman"/>
          <w:sz w:val="32"/>
          <w:szCs w:val="32"/>
        </w:rPr>
      </w:pPr>
    </w:p>
    <w:p w14:paraId="63C0005C">
      <w:pPr>
        <w:pStyle w:val="13"/>
        <w:spacing w:line="600" w:lineRule="exact"/>
        <w:ind w:firstLine="0" w:firstLineChars="0"/>
        <w:jc w:val="left"/>
        <w:rPr>
          <w:rFonts w:ascii="Times New Roman" w:hAnsi="Times New Roman" w:eastAsia="黑体" w:cs="Times New Roman"/>
          <w:sz w:val="32"/>
          <w:szCs w:val="32"/>
        </w:rPr>
      </w:pPr>
    </w:p>
    <w:p w14:paraId="7A049B66">
      <w:pPr>
        <w:pStyle w:val="13"/>
        <w:spacing w:line="600" w:lineRule="exact"/>
        <w:ind w:firstLine="0" w:firstLineChars="0"/>
        <w:jc w:val="left"/>
        <w:rPr>
          <w:rFonts w:ascii="Times New Roman" w:hAnsi="Times New Roman" w:eastAsia="黑体" w:cs="Times New Roman"/>
          <w:sz w:val="32"/>
          <w:szCs w:val="32"/>
        </w:rPr>
      </w:pPr>
    </w:p>
    <w:p w14:paraId="4EF6100A">
      <w:pPr>
        <w:pStyle w:val="13"/>
        <w:spacing w:line="600" w:lineRule="exact"/>
        <w:ind w:firstLine="0" w:firstLineChars="0"/>
        <w:jc w:val="left"/>
        <w:rPr>
          <w:rFonts w:ascii="Times New Roman" w:hAnsi="Times New Roman" w:eastAsia="黑体" w:cs="Times New Roman"/>
          <w:sz w:val="32"/>
          <w:szCs w:val="32"/>
        </w:rPr>
      </w:pPr>
    </w:p>
    <w:p w14:paraId="3F7C2201">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 xml:space="preserve">    一、</w:t>
      </w:r>
      <w:r>
        <w:rPr>
          <w:rFonts w:ascii="Times New Roman" w:hAnsi="Times New Roman" w:eastAsia="黑体" w:cs="Times New Roman"/>
          <w:sz w:val="32"/>
          <w:szCs w:val="32"/>
        </w:rPr>
        <w:t>部门职责</w:t>
      </w:r>
    </w:p>
    <w:p w14:paraId="55ED4428">
      <w:pPr>
        <w:widowControl/>
        <w:spacing w:line="500" w:lineRule="auto"/>
        <w:ind w:firstLine="627" w:firstLineChars="196"/>
        <w:jc w:val="left"/>
        <w:rPr>
          <w:rFonts w:ascii="Calibri" w:hAnsi="Calibri" w:eastAsia="仿宋_GB2312" w:cs="Times New Roman"/>
          <w:sz w:val="32"/>
          <w:szCs w:val="32"/>
        </w:rPr>
      </w:pPr>
      <w:r>
        <w:rPr>
          <w:rFonts w:hint="eastAsia" w:ascii="Calibri" w:hAnsi="Calibri" w:eastAsia="仿宋_GB2312" w:cs="Times New Roman"/>
          <w:sz w:val="32"/>
          <w:szCs w:val="32"/>
        </w:rPr>
        <w:t>怀化市公安局是怀化市人民政府主管全市公安工作的主要部门，其职责主要包括：按照市委、市政府和上级公安机关的指示，研究部署、组织实施全市公安工作，并督促检查执行情况；研究社会主义市场经济体制下出现的新情况、新问题，制定新措施，推进全市公安工作的改革和发展；承担社会治安、户籍、居民身份证、危险物品、特种行业等管理工作；组织指导出境、入境和外国人在市内居留、旅行的有关管理工作；指导、监督全市公安机关的执法活动；组织、指导全市公安机关的警务督察工作；承办市委、市政府和上级公安机关交办的其他任务等。</w:t>
      </w:r>
    </w:p>
    <w:p w14:paraId="2907F241">
      <w:pPr>
        <w:widowControl/>
        <w:spacing w:line="600" w:lineRule="exact"/>
        <w:rPr>
          <w:rFonts w:ascii="Times New Roman" w:hAnsi="Times New Roman" w:eastAsia="黑体" w:cs="Times New Roman"/>
          <w:bCs/>
          <w:kern w:val="0"/>
          <w:sz w:val="32"/>
          <w:szCs w:val="32"/>
        </w:rPr>
      </w:pPr>
      <w:r>
        <w:rPr>
          <w:rFonts w:hint="eastAsia"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t>二、机构设置及决算单位构成</w:t>
      </w:r>
    </w:p>
    <w:p w14:paraId="11E5A395">
      <w:pPr>
        <w:widowControl/>
        <w:spacing w:line="500" w:lineRule="auto"/>
        <w:ind w:firstLine="627" w:firstLineChars="196"/>
        <w:jc w:val="lef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42780F3F">
      <w:pPr>
        <w:widowControl/>
        <w:spacing w:line="500" w:lineRule="auto"/>
        <w:ind w:firstLine="784" w:firstLineChars="245"/>
        <w:jc w:val="left"/>
        <w:rPr>
          <w:rFonts w:ascii="Calibri" w:hAnsi="Calibri" w:eastAsia="仿宋_GB2312" w:cs="Times New Roman"/>
          <w:sz w:val="32"/>
          <w:szCs w:val="32"/>
        </w:rPr>
      </w:pPr>
      <w:r>
        <w:rPr>
          <w:rFonts w:hint="eastAsia" w:ascii="Calibri" w:hAnsi="Calibri" w:eastAsia="仿宋_GB2312" w:cs="Times New Roman"/>
          <w:sz w:val="32"/>
          <w:szCs w:val="32"/>
        </w:rPr>
        <w:t>怀化市公安局作为一级部门预算单位，共设21个内设机构（部、委、支队，不含交管支队、驻局纪检组）。包括：情报指挥中心、督察审计支队、治安管理支队、刑事侦查支队、经济犯罪侦查支队、巡特警支队、禁毒支队等。</w:t>
      </w:r>
    </w:p>
    <w:p w14:paraId="51E04D34">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p>
    <w:p w14:paraId="13F6E6AC">
      <w:pPr>
        <w:widowControl/>
        <w:spacing w:line="600" w:lineRule="exact"/>
        <w:ind w:firstLine="800" w:firstLineChars="25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怀化市公安局</w:t>
      </w:r>
      <w:r>
        <w:rPr>
          <w:rFonts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rPr>
        <w:t>5年部门决算汇总公开只包括怀化市公安局本级，不含二级机构（二级机构在2025年均为一级预算单位，财务独立，单独公开）。</w:t>
      </w:r>
    </w:p>
    <w:p w14:paraId="44BBAC15">
      <w:pPr>
        <w:jc w:val="left"/>
        <w:rPr>
          <w:rFonts w:ascii="Times New Roman" w:hAnsi="Times New Roman" w:eastAsia="仿宋_GB2312" w:cs="Times New Roman"/>
          <w:sz w:val="28"/>
          <w:szCs w:val="32"/>
        </w:rPr>
      </w:pPr>
    </w:p>
    <w:p w14:paraId="27BA5389">
      <w:pPr>
        <w:pStyle w:val="2"/>
        <w:rPr>
          <w:rFonts w:ascii="Times New Roman" w:hAnsi="Times New Roman" w:cs="Times New Roman"/>
        </w:rPr>
        <w:sectPr>
          <w:footerReference r:id="rId12" w:type="default"/>
          <w:pgSz w:w="11906" w:h="16838"/>
          <w:pgMar w:top="1417" w:right="1588" w:bottom="1417" w:left="1588" w:header="851" w:footer="992" w:gutter="0"/>
          <w:pgNumType w:start="1"/>
          <w:cols w:space="425" w:num="1"/>
          <w:docGrid w:type="lines" w:linePitch="312" w:charSpace="0"/>
        </w:sectPr>
      </w:pPr>
    </w:p>
    <w:p w14:paraId="71FBE9B0">
      <w:pPr>
        <w:pStyle w:val="12"/>
        <w:spacing w:line="360" w:lineRule="auto"/>
        <w:jc w:val="center"/>
        <w:rPr>
          <w:rFonts w:ascii="Times New Roman" w:hAnsi="Times New Roman" w:eastAsia="方正小标宋_GBK" w:cs="Times New Roman"/>
          <w:sz w:val="52"/>
          <w:szCs w:val="52"/>
        </w:rPr>
      </w:pPr>
    </w:p>
    <w:p w14:paraId="57B717CE">
      <w:pPr>
        <w:pStyle w:val="12"/>
        <w:spacing w:line="360" w:lineRule="auto"/>
        <w:jc w:val="center"/>
        <w:rPr>
          <w:rFonts w:ascii="Times New Roman" w:hAnsi="Times New Roman" w:eastAsia="方正小标宋_GBK" w:cs="Times New Roman"/>
          <w:sz w:val="52"/>
          <w:szCs w:val="52"/>
        </w:rPr>
      </w:pPr>
    </w:p>
    <w:p w14:paraId="01C00F8A">
      <w:pPr>
        <w:pStyle w:val="12"/>
        <w:spacing w:line="360" w:lineRule="auto"/>
        <w:jc w:val="center"/>
        <w:rPr>
          <w:rFonts w:ascii="Times New Roman" w:hAnsi="Times New Roman" w:eastAsia="方正小标宋_GBK" w:cs="Times New Roman"/>
          <w:sz w:val="52"/>
          <w:szCs w:val="52"/>
        </w:rPr>
      </w:pPr>
    </w:p>
    <w:p w14:paraId="20D0E18B">
      <w:pPr>
        <w:pStyle w:val="12"/>
        <w:spacing w:line="360" w:lineRule="auto"/>
        <w:jc w:val="center"/>
        <w:rPr>
          <w:rFonts w:ascii="Times New Roman" w:hAnsi="Times New Roman" w:eastAsia="方正小标宋_GBK" w:cs="Times New Roman"/>
          <w:sz w:val="52"/>
          <w:szCs w:val="52"/>
        </w:rPr>
      </w:pPr>
    </w:p>
    <w:p w14:paraId="42FB5854">
      <w:pPr>
        <w:pStyle w:val="12"/>
        <w:spacing w:line="360" w:lineRule="auto"/>
        <w:jc w:val="center"/>
        <w:rPr>
          <w:rFonts w:ascii="Times New Roman" w:hAnsi="Times New Roman" w:eastAsia="方正小标宋_GBK" w:cs="Times New Roman"/>
          <w:sz w:val="52"/>
          <w:szCs w:val="52"/>
        </w:rPr>
      </w:pPr>
    </w:p>
    <w:p w14:paraId="15ED3EB7">
      <w:pPr>
        <w:pStyle w:val="12"/>
        <w:spacing w:line="360" w:lineRule="auto"/>
        <w:jc w:val="center"/>
        <w:rPr>
          <w:rFonts w:ascii="Times New Roman" w:hAnsi="Times New Roman" w:eastAsia="方正小标宋_GBK" w:cs="Times New Roman"/>
          <w:sz w:val="52"/>
          <w:szCs w:val="52"/>
        </w:rPr>
      </w:pPr>
    </w:p>
    <w:p w14:paraId="6CA15075">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第二部分</w:t>
      </w:r>
    </w:p>
    <w:p w14:paraId="54C45978">
      <w:pPr>
        <w:pStyle w:val="12"/>
        <w:spacing w:line="360" w:lineRule="auto"/>
        <w:jc w:val="center"/>
        <w:rPr>
          <w:rFonts w:ascii="Times New Roman" w:hAnsi="Times New Roman" w:eastAsia="方正小标宋_GBK" w:cs="Times New Roman"/>
          <w:sz w:val="52"/>
          <w:szCs w:val="52"/>
        </w:rPr>
      </w:pPr>
    </w:p>
    <w:p w14:paraId="3EA808FF">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部门决算表</w:t>
      </w:r>
    </w:p>
    <w:p w14:paraId="325D1B4C">
      <w:pPr>
        <w:pStyle w:val="12"/>
        <w:spacing w:line="360" w:lineRule="auto"/>
        <w:jc w:val="center"/>
        <w:rPr>
          <w:rFonts w:ascii="Times New Roman" w:hAnsi="Times New Roman" w:eastAsia="仿宋_GB2312" w:cs="仿宋_GB2312"/>
          <w:bCs/>
          <w:color w:val="auto"/>
          <w:sz w:val="32"/>
          <w:szCs w:val="32"/>
        </w:rPr>
      </w:pPr>
      <w:r>
        <w:rPr>
          <w:rFonts w:hint="eastAsia" w:ascii="Times New Roman" w:hAnsi="Times New Roman" w:eastAsia="仿宋_GB2312" w:cs="仿宋_GB2312"/>
          <w:bCs/>
          <w:color w:val="auto"/>
          <w:sz w:val="32"/>
          <w:szCs w:val="32"/>
        </w:rPr>
        <w:t>（见附件）</w:t>
      </w:r>
    </w:p>
    <w:p w14:paraId="4FF0B825">
      <w:pPr>
        <w:pStyle w:val="12"/>
        <w:rPr>
          <w:rFonts w:ascii="Times New Roman" w:hAnsi="Times New Roman" w:cs="Times New Roman"/>
          <w:sz w:val="72"/>
          <w:szCs w:val="72"/>
        </w:rPr>
      </w:pPr>
    </w:p>
    <w:p w14:paraId="1FF27609">
      <w:pPr>
        <w:pStyle w:val="12"/>
        <w:rPr>
          <w:rFonts w:ascii="Times New Roman" w:hAnsi="Times New Roman" w:cs="Times New Roman"/>
          <w:sz w:val="72"/>
          <w:szCs w:val="72"/>
        </w:rPr>
      </w:pPr>
    </w:p>
    <w:p w14:paraId="572391BB">
      <w:pPr>
        <w:pStyle w:val="12"/>
        <w:rPr>
          <w:rFonts w:ascii="Times New Roman" w:hAnsi="Times New Roman" w:cs="Times New Roman"/>
          <w:sz w:val="72"/>
          <w:szCs w:val="72"/>
        </w:rPr>
      </w:pPr>
    </w:p>
    <w:p w14:paraId="3E1F6C1A">
      <w:pPr>
        <w:pStyle w:val="12"/>
        <w:jc w:val="center"/>
        <w:rPr>
          <w:rFonts w:ascii="Times New Roman" w:hAnsi="Times New Roman" w:cs="Times New Roman"/>
          <w:sz w:val="72"/>
          <w:szCs w:val="72"/>
        </w:rPr>
      </w:pPr>
    </w:p>
    <w:p w14:paraId="6C7AB4C3">
      <w:pPr>
        <w:pStyle w:val="12"/>
        <w:jc w:val="center"/>
        <w:rPr>
          <w:rFonts w:ascii="Times New Roman" w:hAnsi="Times New Roman" w:eastAsia="方正小标宋_GBK" w:cs="Times New Roman"/>
          <w:sz w:val="72"/>
          <w:szCs w:val="72"/>
        </w:rPr>
      </w:pPr>
    </w:p>
    <w:p w14:paraId="0BB6FE7A">
      <w:pPr>
        <w:pStyle w:val="12"/>
        <w:jc w:val="center"/>
        <w:rPr>
          <w:rFonts w:ascii="Times New Roman" w:hAnsi="Times New Roman" w:eastAsia="方正小标宋_GBK" w:cs="Times New Roman"/>
          <w:sz w:val="72"/>
          <w:szCs w:val="72"/>
        </w:rPr>
      </w:pPr>
    </w:p>
    <w:p w14:paraId="15EDA593">
      <w:pPr>
        <w:pStyle w:val="12"/>
        <w:jc w:val="center"/>
        <w:rPr>
          <w:rFonts w:ascii="Times New Roman" w:hAnsi="Times New Roman" w:eastAsia="方正小标宋_GBK" w:cs="Times New Roman"/>
          <w:sz w:val="72"/>
          <w:szCs w:val="72"/>
        </w:rPr>
      </w:pPr>
    </w:p>
    <w:p w14:paraId="613F500C">
      <w:pPr>
        <w:pStyle w:val="12"/>
        <w:jc w:val="center"/>
        <w:rPr>
          <w:rFonts w:ascii="Times New Roman" w:hAnsi="Times New Roman" w:eastAsia="方正小标宋_GBK" w:cs="Times New Roman"/>
          <w:sz w:val="72"/>
          <w:szCs w:val="72"/>
        </w:rPr>
      </w:pPr>
    </w:p>
    <w:p w14:paraId="040E9F40">
      <w:pPr>
        <w:pStyle w:val="12"/>
        <w:jc w:val="center"/>
        <w:rPr>
          <w:rFonts w:ascii="Times New Roman" w:hAnsi="Times New Roman" w:eastAsia="方正小标宋_GBK" w:cs="Times New Roman"/>
          <w:sz w:val="72"/>
          <w:szCs w:val="72"/>
        </w:rPr>
      </w:pPr>
    </w:p>
    <w:p w14:paraId="3F9409D7">
      <w:pPr>
        <w:pStyle w:val="12"/>
        <w:jc w:val="center"/>
        <w:rPr>
          <w:rFonts w:ascii="Times New Roman" w:hAnsi="Times New Roman" w:eastAsia="方正小标宋_GBK" w:cs="Times New Roman"/>
          <w:sz w:val="72"/>
          <w:szCs w:val="72"/>
        </w:rPr>
      </w:pPr>
    </w:p>
    <w:p w14:paraId="3B58D549">
      <w:pPr>
        <w:pStyle w:val="12"/>
        <w:jc w:val="center"/>
        <w:rPr>
          <w:rFonts w:ascii="Times New Roman" w:hAnsi="Times New Roman" w:eastAsia="方正小标宋_GBK" w:cs="Times New Roman"/>
          <w:sz w:val="72"/>
          <w:szCs w:val="72"/>
        </w:rPr>
      </w:pPr>
    </w:p>
    <w:p w14:paraId="20721ECB">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76BD09B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12BE0863">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7A87663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230DC92">
      <w:pPr>
        <w:pStyle w:val="12"/>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15925.42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rPr>
        <w:t>874.34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5.2</w:t>
      </w:r>
      <w:r>
        <w:rPr>
          <w:rFonts w:ascii="Times New Roman" w:hAnsi="Times New Roman" w:eastAsia="仿宋_GB2312" w:cs="Times New Roman"/>
          <w:sz w:val="32"/>
          <w:szCs w:val="32"/>
        </w:rPr>
        <w:t>%，主要是因</w:t>
      </w:r>
      <w:r>
        <w:rPr>
          <w:rFonts w:ascii="Times New Roman" w:hAnsi="Times New Roman" w:eastAsia="仿宋_GB2312" w:cs="Times New Roman"/>
          <w:color w:val="000000" w:themeColor="text1"/>
          <w:sz w:val="32"/>
          <w:szCs w:val="32"/>
        </w:rPr>
        <w:t>为</w:t>
      </w:r>
      <w:r>
        <w:rPr>
          <w:rFonts w:hint="eastAsia" w:ascii="Times New Roman" w:hAnsi="Times New Roman" w:eastAsia="仿宋_GB2312" w:cs="Times New Roman"/>
          <w:color w:val="000000" w:themeColor="text1"/>
          <w:sz w:val="32"/>
          <w:szCs w:val="32"/>
        </w:rPr>
        <w:t>本年度非税收入拨款减少。</w:t>
      </w:r>
    </w:p>
    <w:p w14:paraId="7D4E979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56A3D3B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15925.42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15872.5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99.67</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52.92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0.33</w:t>
      </w:r>
      <w:r>
        <w:rPr>
          <w:rFonts w:ascii="Times New Roman" w:hAnsi="Times New Roman" w:eastAsia="仿宋_GB2312" w:cs="Times New Roman"/>
          <w:sz w:val="32"/>
          <w:szCs w:val="32"/>
        </w:rPr>
        <w:t>%。</w:t>
      </w:r>
    </w:p>
    <w:p w14:paraId="6C082AE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A6E639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15925.42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9236.77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58</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6688.65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42</w:t>
      </w:r>
      <w:r>
        <w:rPr>
          <w:rFonts w:ascii="Times New Roman" w:hAnsi="Times New Roman" w:eastAsia="仿宋_GB2312" w:cs="Times New Roman"/>
          <w:sz w:val="32"/>
          <w:szCs w:val="32"/>
        </w:rPr>
        <w:t>%。</w:t>
      </w:r>
    </w:p>
    <w:p w14:paraId="78B0921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3CB1CAF">
      <w:pPr>
        <w:pStyle w:val="12"/>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15872.5</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rPr>
        <w:t>884.42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rPr>
        <w:t>5.28</w:t>
      </w:r>
      <w:r>
        <w:rPr>
          <w:rFonts w:ascii="Times New Roman" w:hAnsi="Times New Roman" w:eastAsia="仿宋_GB2312" w:cs="Times New Roman"/>
          <w:sz w:val="32"/>
          <w:szCs w:val="32"/>
        </w:rPr>
        <w:t>%，主要是因</w:t>
      </w:r>
      <w:r>
        <w:rPr>
          <w:rFonts w:hint="eastAsia" w:ascii="Times New Roman" w:hAnsi="Times New Roman" w:eastAsia="仿宋_GB2312" w:cs="Times New Roman"/>
          <w:color w:val="000000" w:themeColor="text1"/>
          <w:sz w:val="32"/>
          <w:szCs w:val="32"/>
        </w:rPr>
        <w:t>本年度非税收入减少。</w:t>
      </w:r>
    </w:p>
    <w:p w14:paraId="197F07A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AD00F4C">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56A10191">
      <w:pPr>
        <w:pStyle w:val="12"/>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15872.5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rPr>
        <w:t>99.67</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rPr>
        <w:t>884.42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5.28</w:t>
      </w:r>
      <w:r>
        <w:rPr>
          <w:rFonts w:ascii="Times New Roman" w:hAnsi="Times New Roman" w:eastAsia="仿宋_GB2312" w:cs="Times New Roman"/>
          <w:sz w:val="32"/>
          <w:szCs w:val="32"/>
        </w:rPr>
        <w:t>%，主要是因</w:t>
      </w:r>
      <w:r>
        <w:rPr>
          <w:rFonts w:ascii="Times New Roman" w:hAnsi="Times New Roman" w:eastAsia="仿宋_GB2312" w:cs="Times New Roman"/>
          <w:color w:val="000000" w:themeColor="text1"/>
          <w:sz w:val="32"/>
          <w:szCs w:val="32"/>
        </w:rPr>
        <w:t>为</w:t>
      </w:r>
      <w:r>
        <w:rPr>
          <w:rFonts w:hint="eastAsia" w:ascii="Times New Roman" w:hAnsi="Times New Roman" w:eastAsia="仿宋_GB2312" w:cs="Times New Roman"/>
          <w:color w:val="000000" w:themeColor="text1"/>
          <w:sz w:val="32"/>
          <w:szCs w:val="32"/>
        </w:rPr>
        <w:t>本年度非税收入拨款减少。</w:t>
      </w:r>
    </w:p>
    <w:p w14:paraId="7749B24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93FC51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15872.5</w:t>
      </w:r>
      <w:r>
        <w:rPr>
          <w:rFonts w:ascii="Times New Roman" w:hAnsi="Times New Roman" w:eastAsia="仿宋_GB2312" w:cs="Times New Roman"/>
          <w:sz w:val="32"/>
          <w:szCs w:val="32"/>
        </w:rPr>
        <w:t>万元，主要用于以下方面：</w:t>
      </w:r>
      <w:r>
        <w:rPr>
          <w:rFonts w:hint="eastAsia" w:ascii="Times New Roman" w:hAnsi="Times New Roman" w:eastAsia="仿宋_GB2312"/>
          <w:sz w:val="32"/>
          <w:szCs w:val="32"/>
        </w:rPr>
        <w:t>一般公共服务（类）支出303.2万元，占1.91</w:t>
      </w:r>
      <w:r>
        <w:rPr>
          <w:rFonts w:ascii="Times New Roman" w:hAnsi="Times New Roman" w:eastAsia="仿宋_GB2312"/>
          <w:sz w:val="32"/>
          <w:szCs w:val="32"/>
        </w:rPr>
        <w:t>%</w:t>
      </w:r>
      <w:r>
        <w:rPr>
          <w:rFonts w:hint="eastAsia" w:ascii="Times New Roman" w:hAnsi="Times New Roman" w:eastAsia="仿宋_GB2312"/>
          <w:sz w:val="32"/>
          <w:szCs w:val="32"/>
        </w:rPr>
        <w:t>；公共安全（类）支出13716.3万元，占86.42</w:t>
      </w:r>
      <w:r>
        <w:rPr>
          <w:rFonts w:ascii="Times New Roman" w:hAnsi="Times New Roman" w:eastAsia="仿宋_GB2312"/>
          <w:sz w:val="32"/>
          <w:szCs w:val="32"/>
        </w:rPr>
        <w:t>%</w:t>
      </w:r>
      <w:r>
        <w:rPr>
          <w:rFonts w:hint="eastAsia" w:ascii="Times New Roman" w:hAnsi="Times New Roman" w:eastAsia="仿宋_GB2312"/>
          <w:sz w:val="32"/>
          <w:szCs w:val="32"/>
        </w:rPr>
        <w:t>；社会保障和就业（类）支出1001.76万元，占6.31</w:t>
      </w:r>
      <w:r>
        <w:rPr>
          <w:rFonts w:ascii="Times New Roman" w:hAnsi="Times New Roman" w:eastAsia="仿宋_GB2312"/>
          <w:sz w:val="32"/>
          <w:szCs w:val="32"/>
        </w:rPr>
        <w:t>%</w:t>
      </w:r>
      <w:r>
        <w:rPr>
          <w:rFonts w:hint="eastAsia" w:ascii="Times New Roman" w:hAnsi="Times New Roman" w:eastAsia="仿宋_GB2312"/>
          <w:sz w:val="32"/>
          <w:szCs w:val="32"/>
        </w:rPr>
        <w:t>；卫生健康（类）支出298.1万元，占</w:t>
      </w:r>
      <w:r>
        <w:rPr>
          <w:rFonts w:ascii="Times New Roman" w:hAnsi="Times New Roman" w:eastAsia="仿宋_GB2312"/>
          <w:sz w:val="32"/>
          <w:szCs w:val="32"/>
        </w:rPr>
        <w:t>1.</w:t>
      </w:r>
      <w:r>
        <w:rPr>
          <w:rFonts w:hint="eastAsia" w:ascii="Times New Roman" w:hAnsi="Times New Roman" w:eastAsia="仿宋_GB2312"/>
          <w:sz w:val="32"/>
          <w:szCs w:val="32"/>
        </w:rPr>
        <w:t>88</w:t>
      </w:r>
      <w:r>
        <w:rPr>
          <w:rFonts w:ascii="Times New Roman" w:hAnsi="Times New Roman" w:eastAsia="仿宋_GB2312"/>
          <w:sz w:val="32"/>
          <w:szCs w:val="32"/>
        </w:rPr>
        <w:t>%</w:t>
      </w:r>
      <w:r>
        <w:rPr>
          <w:rFonts w:hint="eastAsia" w:ascii="Times New Roman" w:hAnsi="Times New Roman" w:eastAsia="仿宋_GB2312"/>
          <w:sz w:val="32"/>
          <w:szCs w:val="32"/>
        </w:rPr>
        <w:t>；住房保障（类）支出553.15万元，占3.48%。</w:t>
      </w:r>
    </w:p>
    <w:p w14:paraId="790DC3DC">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685141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仿宋_GB2312" w:hAnsi="仿宋" w:eastAsia="仿宋_GB2312"/>
          <w:sz w:val="32"/>
          <w:szCs w:val="32"/>
        </w:rPr>
        <w:t>14628.7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15872.5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108.50</w:t>
      </w:r>
      <w:r>
        <w:rPr>
          <w:rFonts w:ascii="Times New Roman" w:hAnsi="Times New Roman" w:eastAsia="仿宋_GB2312" w:cs="Times New Roman"/>
          <w:sz w:val="32"/>
          <w:szCs w:val="32"/>
        </w:rPr>
        <w:t>%，其中：</w:t>
      </w:r>
    </w:p>
    <w:p w14:paraId="0DEC8CF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其他一般公共服务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37EB620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303.2</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rPr>
        <w:t>此功能科目下的拨款为追加的2025年度考核奖励金。</w:t>
      </w:r>
    </w:p>
    <w:p w14:paraId="033B6397">
      <w:pPr>
        <w:pStyle w:val="12"/>
        <w:spacing w:line="600" w:lineRule="exact"/>
        <w:ind w:firstLine="640" w:firstLineChars="200"/>
        <w:rPr>
          <w:rFonts w:ascii="Times New Roman" w:hAnsi="Times New Roman" w:eastAsia="仿宋_GB2312"/>
          <w:sz w:val="32"/>
          <w:szCs w:val="32"/>
        </w:rPr>
      </w:pPr>
      <w:r>
        <w:rPr>
          <w:rFonts w:ascii="Times New Roman" w:hAnsi="Times New Roman" w:eastAsia="仿宋_GB2312" w:cs="Times New Roman"/>
          <w:sz w:val="32"/>
          <w:szCs w:val="32"/>
        </w:rPr>
        <w:t>2</w:t>
      </w:r>
      <w:r>
        <w:rPr>
          <w:rFonts w:hint="eastAsia" w:ascii="Times New Roman" w:hAnsi="Times New Roman" w:eastAsia="仿宋_GB2312"/>
          <w:sz w:val="32"/>
          <w:szCs w:val="32"/>
        </w:rPr>
        <w:t>、公共安全（类）公安（款）行政运行（项）。</w:t>
      </w:r>
    </w:p>
    <w:p w14:paraId="0D737E4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6176.12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6694.37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108.39</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此功能科目下追加了2024年绩效奖金及补差。</w:t>
      </w:r>
    </w:p>
    <w:p w14:paraId="49CB7F04">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3、公共安全（类）公安（款）一般行政管理事务（项）。</w:t>
      </w:r>
    </w:p>
    <w:p w14:paraId="55D927E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sz w:val="32"/>
          <w:szCs w:val="32"/>
        </w:rPr>
        <w:t>年初预算为</w:t>
      </w:r>
      <w:r>
        <w:rPr>
          <w:rFonts w:ascii="Times New Roman" w:hAnsi="Times New Roman" w:eastAsia="仿宋_GB2312"/>
          <w:sz w:val="32"/>
          <w:szCs w:val="32"/>
        </w:rPr>
        <w:t>0</w:t>
      </w:r>
      <w:r>
        <w:rPr>
          <w:rFonts w:hint="eastAsia" w:ascii="Times New Roman" w:hAnsi="Times New Roman" w:eastAsia="仿宋_GB2312"/>
          <w:sz w:val="32"/>
          <w:szCs w:val="32"/>
        </w:rPr>
        <w:t>万元，支出决算为401.13万元，决算数大于年初预算数的主要原因是</w:t>
      </w:r>
      <w:r>
        <w:rPr>
          <w:rFonts w:hint="eastAsia" w:ascii="Times New Roman" w:hAnsi="Times New Roman" w:eastAsia="仿宋_GB2312"/>
          <w:color w:val="auto"/>
          <w:sz w:val="32"/>
          <w:szCs w:val="32"/>
        </w:rPr>
        <w:t>：</w:t>
      </w:r>
      <w:r>
        <w:rPr>
          <w:rFonts w:hint="eastAsia" w:ascii="Times New Roman" w:hAnsi="Times New Roman" w:eastAsia="仿宋_GB2312" w:cs="Times New Roman"/>
          <w:sz w:val="32"/>
          <w:szCs w:val="32"/>
        </w:rPr>
        <w:t>此功能分类的拨款为追加的转移支付旅发大会等专项因素经费。</w:t>
      </w:r>
    </w:p>
    <w:p w14:paraId="23271967">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4、公共安全（类）公安（款）执法办案（项）。</w:t>
      </w:r>
    </w:p>
    <w:p w14:paraId="4A3821D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sz w:val="32"/>
          <w:szCs w:val="32"/>
        </w:rPr>
        <w:t>年初预算为</w:t>
      </w:r>
      <w:r>
        <w:rPr>
          <w:rFonts w:ascii="Times New Roman" w:hAnsi="Times New Roman" w:eastAsia="仿宋_GB2312"/>
          <w:sz w:val="32"/>
          <w:szCs w:val="32"/>
        </w:rPr>
        <w:t>0</w:t>
      </w:r>
      <w:r>
        <w:rPr>
          <w:rFonts w:hint="eastAsia" w:ascii="Times New Roman" w:hAnsi="Times New Roman" w:eastAsia="仿宋_GB2312"/>
          <w:sz w:val="32"/>
          <w:szCs w:val="32"/>
        </w:rPr>
        <w:t>万元，支出决算为1187.49万元，决算数大于年初预算数的主要原因是：</w:t>
      </w:r>
      <w:r>
        <w:rPr>
          <w:rFonts w:hint="eastAsia" w:ascii="Times New Roman" w:hAnsi="Times New Roman" w:eastAsia="仿宋_GB2312" w:cs="Times New Roman"/>
          <w:sz w:val="32"/>
          <w:szCs w:val="32"/>
        </w:rPr>
        <w:t>此功能分类的部分拨款为年中追加的省拨证件返还款，未在年初预算中测算，此外，年初预算中转移支付办案业务费功能科目有所调整。</w:t>
      </w:r>
    </w:p>
    <w:p w14:paraId="64C953ED">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5、公共安全（类）公安（款）其他公安支出（项）。</w:t>
      </w:r>
    </w:p>
    <w:p w14:paraId="4B58B8F7">
      <w:pPr>
        <w:pStyle w:val="12"/>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sz w:val="32"/>
          <w:szCs w:val="32"/>
        </w:rPr>
        <w:t>年初预算为6578.81万元，支出决算为5197.91万元，完成年初预算的79.01</w:t>
      </w:r>
      <w:r>
        <w:rPr>
          <w:rFonts w:ascii="Times New Roman" w:hAnsi="Times New Roman" w:eastAsia="仿宋_GB2312"/>
          <w:sz w:val="32"/>
          <w:szCs w:val="32"/>
        </w:rPr>
        <w:t>%</w:t>
      </w:r>
      <w:r>
        <w:rPr>
          <w:rFonts w:hint="eastAsia" w:ascii="Times New Roman" w:hAnsi="Times New Roman" w:eastAsia="仿宋_GB2312"/>
          <w:sz w:val="32"/>
          <w:szCs w:val="32"/>
        </w:rPr>
        <w:t>，决算数小于年初预算数的主要原因</w:t>
      </w:r>
      <w:r>
        <w:rPr>
          <w:rFonts w:hint="eastAsia" w:ascii="Times New Roman" w:hAnsi="Times New Roman" w:eastAsia="仿宋_GB2312"/>
          <w:color w:val="auto"/>
          <w:sz w:val="32"/>
          <w:szCs w:val="32"/>
        </w:rPr>
        <w:t>是：此功能科目下的非税收入较年初预算有所减少，另部分此功能科目下的转移支付办案业务费下达时调整了功能分类科目。</w:t>
      </w:r>
    </w:p>
    <w:p w14:paraId="5BC3F0A6">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6、公共安全（类）其他公共安全（款）国家司法救助支出（项）。</w:t>
      </w:r>
    </w:p>
    <w:p w14:paraId="23A93AF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sz w:val="32"/>
          <w:szCs w:val="32"/>
        </w:rPr>
        <w:t>年初预算为</w:t>
      </w:r>
      <w:r>
        <w:rPr>
          <w:rFonts w:ascii="Times New Roman" w:hAnsi="Times New Roman" w:eastAsia="仿宋_GB2312"/>
          <w:sz w:val="32"/>
          <w:szCs w:val="32"/>
        </w:rPr>
        <w:t>0</w:t>
      </w:r>
      <w:r>
        <w:rPr>
          <w:rFonts w:hint="eastAsia" w:ascii="Times New Roman" w:hAnsi="Times New Roman" w:eastAsia="仿宋_GB2312"/>
          <w:sz w:val="32"/>
          <w:szCs w:val="32"/>
        </w:rPr>
        <w:t>万元，支出决算为13.4万元，决算数大于年初预算数的主要原因是：</w:t>
      </w:r>
      <w:r>
        <w:rPr>
          <w:rFonts w:hint="eastAsia" w:ascii="Times New Roman" w:hAnsi="Times New Roman" w:eastAsia="仿宋_GB2312"/>
          <w:color w:val="auto"/>
          <w:sz w:val="32"/>
          <w:szCs w:val="32"/>
        </w:rPr>
        <w:t>此功能分类的当年拨款为年中追加的司法救助金。</w:t>
      </w:r>
    </w:p>
    <w:p w14:paraId="71F5AB21">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7、公共安全（类）其他公共安全（款）其他公共安全支出（项）。</w:t>
      </w:r>
    </w:p>
    <w:p w14:paraId="6E5F38D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sz w:val="32"/>
          <w:szCs w:val="32"/>
        </w:rPr>
        <w:t>年初预算为</w:t>
      </w:r>
      <w:r>
        <w:rPr>
          <w:rFonts w:ascii="Times New Roman" w:hAnsi="Times New Roman" w:eastAsia="仿宋_GB2312"/>
          <w:sz w:val="32"/>
          <w:szCs w:val="32"/>
        </w:rPr>
        <w:t>0</w:t>
      </w:r>
      <w:r>
        <w:rPr>
          <w:rFonts w:hint="eastAsia" w:ascii="Times New Roman" w:hAnsi="Times New Roman" w:eastAsia="仿宋_GB2312"/>
          <w:sz w:val="32"/>
          <w:szCs w:val="32"/>
        </w:rPr>
        <w:t>万元，支出决算为222万元，决算数大于年初预算数的主要原因是：</w:t>
      </w:r>
      <w:r>
        <w:rPr>
          <w:rFonts w:hint="eastAsia" w:ascii="Times New Roman" w:hAnsi="Times New Roman" w:eastAsia="仿宋_GB2312"/>
          <w:color w:val="auto"/>
          <w:sz w:val="32"/>
          <w:szCs w:val="32"/>
        </w:rPr>
        <w:t>此功能分类的当年拨款为年中追加的扫黑专项资金及人民警察伤亡特殊补助金等。</w:t>
      </w:r>
    </w:p>
    <w:p w14:paraId="1DBD4424">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8、社会保障和就业支出（类）行政事业单位养老支出（款）行政单位离退休（项）。</w:t>
      </w:r>
    </w:p>
    <w:p w14:paraId="0EFDBC8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sz w:val="32"/>
          <w:szCs w:val="32"/>
        </w:rPr>
        <w:t>年初预算为326.59万元，支出决算为301.63万元，完成年初预算的92.36</w:t>
      </w:r>
      <w:r>
        <w:rPr>
          <w:rFonts w:ascii="Times New Roman" w:hAnsi="Times New Roman" w:eastAsia="仿宋_GB2312"/>
          <w:sz w:val="32"/>
          <w:szCs w:val="32"/>
        </w:rPr>
        <w:t>%</w:t>
      </w:r>
      <w:r>
        <w:rPr>
          <w:rFonts w:hint="eastAsia" w:ascii="Times New Roman" w:hAnsi="Times New Roman" w:eastAsia="仿宋_GB2312"/>
          <w:sz w:val="32"/>
          <w:szCs w:val="32"/>
        </w:rPr>
        <w:t>，决算数小于年初预算数的主要原因</w:t>
      </w:r>
      <w:r>
        <w:rPr>
          <w:rFonts w:hint="eastAsia" w:ascii="Times New Roman" w:hAnsi="Times New Roman" w:eastAsia="仿宋_GB2312"/>
          <w:color w:val="auto"/>
          <w:sz w:val="32"/>
          <w:szCs w:val="32"/>
        </w:rPr>
        <w:t>是：由于人员异动等原因，年初测算数与实际发生数有所偏差。</w:t>
      </w:r>
    </w:p>
    <w:p w14:paraId="034444C2">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9、社会保障和就业支出（类）行政事业单位养老支出（款）机关事业单位基本养老保险缴费支出（项）。</w:t>
      </w:r>
    </w:p>
    <w:p w14:paraId="43209EF9">
      <w:pPr>
        <w:pStyle w:val="12"/>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sz w:val="32"/>
          <w:szCs w:val="32"/>
        </w:rPr>
        <w:t>年初预算为695.22万元，支出决算为700.13万元，完成年初预算的100.71</w:t>
      </w:r>
      <w:r>
        <w:rPr>
          <w:rFonts w:ascii="Times New Roman" w:hAnsi="Times New Roman" w:eastAsia="仿宋_GB2312"/>
          <w:sz w:val="32"/>
          <w:szCs w:val="32"/>
        </w:rPr>
        <w:t>%</w:t>
      </w:r>
      <w:r>
        <w:rPr>
          <w:rFonts w:hint="eastAsia" w:ascii="Times New Roman" w:hAnsi="Times New Roman" w:eastAsia="仿宋_GB2312"/>
          <w:sz w:val="32"/>
          <w:szCs w:val="32"/>
        </w:rPr>
        <w:t>，基本持平，决算数稍大于年初预算数的主要原因是</w:t>
      </w:r>
      <w:r>
        <w:rPr>
          <w:rFonts w:hint="eastAsia" w:ascii="Times New Roman" w:hAnsi="Times New Roman" w:eastAsia="仿宋_GB2312"/>
          <w:color w:val="auto"/>
          <w:sz w:val="32"/>
          <w:szCs w:val="32"/>
        </w:rPr>
        <w:t>：因为当年人员异动及工资调标等变化导致年初预算测算的养老保险支出与实际支出存在差异。</w:t>
      </w:r>
    </w:p>
    <w:p w14:paraId="50815421">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10、卫生健康支出（类）行政事业单位医疗（款）行政单位医疗（项）。</w:t>
      </w:r>
    </w:p>
    <w:p w14:paraId="2A82EEFA">
      <w:pPr>
        <w:pStyle w:val="12"/>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sz w:val="32"/>
          <w:szCs w:val="32"/>
        </w:rPr>
        <w:t>年初预算为284.19万元，支出决算为295.3万元，完成年初预算的103.91</w:t>
      </w:r>
      <w:r>
        <w:rPr>
          <w:rFonts w:ascii="Times New Roman" w:hAnsi="Times New Roman" w:eastAsia="仿宋_GB2312"/>
          <w:sz w:val="32"/>
          <w:szCs w:val="32"/>
        </w:rPr>
        <w:t>%</w:t>
      </w:r>
      <w:r>
        <w:rPr>
          <w:rFonts w:hint="eastAsia" w:ascii="Times New Roman" w:hAnsi="Times New Roman" w:eastAsia="仿宋_GB2312"/>
          <w:sz w:val="32"/>
          <w:szCs w:val="32"/>
        </w:rPr>
        <w:t>，基本持平，决算数稍大于年初预算数的主要原因是</w:t>
      </w:r>
      <w:r>
        <w:rPr>
          <w:rFonts w:hint="eastAsia" w:ascii="Times New Roman" w:hAnsi="Times New Roman" w:eastAsia="仿宋_GB2312"/>
          <w:color w:val="auto"/>
          <w:sz w:val="32"/>
          <w:szCs w:val="32"/>
        </w:rPr>
        <w:t>：因为当年人员异动及工资调标等变化导致年初预算测算的医保支出与实际支出存在差异。</w:t>
      </w:r>
    </w:p>
    <w:p w14:paraId="65D4F49C">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11、卫生健康支出（类）行政事业单位医疗（款）其他行政事业单位医疗支出（项）。</w:t>
      </w:r>
    </w:p>
    <w:p w14:paraId="6EE78A95">
      <w:pPr>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年初预算为0万元，支出决算为0.8万元，决算数大于年初预算数的主要原因是：此功能科目的拨款为建国初期退休干部医疗补贴，属追加款项。</w:t>
      </w:r>
    </w:p>
    <w:p w14:paraId="357EDD21">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12、卫生健康支出（类）医疗救助（款）其他医疗救助支出（项）。</w:t>
      </w:r>
    </w:p>
    <w:p w14:paraId="6B5AE30F">
      <w:pPr>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年初预算为0万元，支出决算为2万元，决算数大于年初预算数的主要原因是：此功能科目的拨款民警大病医疗救助，属追加款项。</w:t>
      </w:r>
    </w:p>
    <w:p w14:paraId="61506B9D">
      <w:pPr>
        <w:pStyle w:val="12"/>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3、住房保障（类）住房改革支出（款）住房公积金（项）。</w:t>
      </w:r>
    </w:p>
    <w:p w14:paraId="5960F3C3">
      <w:pPr>
        <w:pStyle w:val="12"/>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sz w:val="32"/>
          <w:szCs w:val="32"/>
        </w:rPr>
        <w:t>年初预算为567.77万元，支出决算为553.15万元，完成年初预算的97.43</w:t>
      </w:r>
      <w:r>
        <w:rPr>
          <w:rFonts w:ascii="Times New Roman" w:hAnsi="Times New Roman" w:eastAsia="仿宋_GB2312"/>
          <w:sz w:val="32"/>
          <w:szCs w:val="32"/>
        </w:rPr>
        <w:t>%</w:t>
      </w:r>
      <w:r>
        <w:rPr>
          <w:rFonts w:hint="eastAsia" w:ascii="Times New Roman" w:hAnsi="Times New Roman" w:eastAsia="仿宋_GB2312"/>
          <w:sz w:val="32"/>
          <w:szCs w:val="32"/>
        </w:rPr>
        <w:t>，基本持平，决算数稍小于年初预算数的主要原因是</w:t>
      </w:r>
      <w:r>
        <w:rPr>
          <w:rFonts w:hint="eastAsia" w:ascii="Times New Roman" w:hAnsi="Times New Roman" w:eastAsia="仿宋_GB2312"/>
          <w:color w:val="auto"/>
          <w:sz w:val="32"/>
          <w:szCs w:val="32"/>
        </w:rPr>
        <w:t>：因为当年人员异动及工资调标等变化导致年初预算测算的公积金支出与实际支出存在差异。</w:t>
      </w:r>
    </w:p>
    <w:p w14:paraId="44109F01">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D3CF19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9183.85</w:t>
      </w:r>
      <w:r>
        <w:rPr>
          <w:rFonts w:ascii="Times New Roman" w:hAnsi="Times New Roman" w:eastAsia="仿宋_GB2312" w:cs="Times New Roman"/>
          <w:sz w:val="32"/>
          <w:szCs w:val="32"/>
        </w:rPr>
        <w:t>万元，其中：</w:t>
      </w:r>
    </w:p>
    <w:p w14:paraId="6CDBB7B8">
      <w:pPr>
        <w:pStyle w:val="12"/>
        <w:overflowPunct w:val="0"/>
        <w:autoSpaceDE/>
        <w:autoSpaceDN/>
        <w:spacing w:line="600" w:lineRule="exact"/>
        <w:ind w:firstLine="640" w:firstLineChars="200"/>
        <w:jc w:val="both"/>
        <w:rPr>
          <w:rFonts w:ascii="Times New Roman" w:hAnsi="Times New Roman" w:eastAsia="仿宋_GB2312"/>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7913.6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86.17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hint="eastAsia" w:ascii="Times New Roman" w:hAnsi="Times New Roman" w:eastAsia="仿宋_GB2312"/>
          <w:sz w:val="32"/>
          <w:szCs w:val="32"/>
        </w:rPr>
        <w:t>主要包括基本工资、津贴补贴、奖金、伙食补助费、养老保险及医疗保险缴费等支出。</w:t>
      </w:r>
    </w:p>
    <w:p w14:paraId="6A1FDA95">
      <w:pPr>
        <w:pStyle w:val="12"/>
        <w:spacing w:line="600" w:lineRule="exact"/>
        <w:ind w:firstLine="640" w:firstLineChars="200"/>
        <w:rPr>
          <w:rFonts w:ascii="Times New Roman" w:hAnsi="Times New Roman" w:eastAsia="仿宋_GB2312"/>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1270.26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13.83</w:t>
      </w:r>
      <w:r>
        <w:rPr>
          <w:rFonts w:ascii="Times New Roman" w:hAnsi="Times New Roman" w:eastAsia="仿宋_GB2312" w:cs="Times New Roman"/>
          <w:sz w:val="32"/>
          <w:szCs w:val="32"/>
        </w:rPr>
        <w:t>%，</w:t>
      </w:r>
      <w:r>
        <w:rPr>
          <w:rFonts w:hint="eastAsia" w:ascii="Times New Roman" w:hAnsi="Times New Roman" w:eastAsia="仿宋_GB2312"/>
          <w:sz w:val="32"/>
          <w:szCs w:val="32"/>
        </w:rPr>
        <w:t>主要包括办公费、印刷费、水费、电费、物业管理费、维修费、差旅费等支出。</w:t>
      </w:r>
    </w:p>
    <w:p w14:paraId="4C80B66E">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1BC76D7F">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C998992">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w:t>
      </w:r>
      <w:r>
        <w:rPr>
          <w:rFonts w:hint="eastAsia" w:ascii="Times New Roman" w:hAnsi="Times New Roman" w:eastAsia="仿宋_GB2312" w:cs="Times New Roman"/>
          <w:sz w:val="32"/>
          <w:szCs w:val="32"/>
        </w:rPr>
        <w:t>年初</w:t>
      </w:r>
      <w:r>
        <w:rPr>
          <w:rFonts w:ascii="Times New Roman" w:hAnsi="Times New Roman" w:eastAsia="仿宋_GB2312" w:cs="Times New Roman"/>
          <w:sz w:val="32"/>
          <w:szCs w:val="32"/>
        </w:rPr>
        <w:t>预算为</w:t>
      </w:r>
      <w:r>
        <w:rPr>
          <w:rFonts w:hint="eastAsia" w:ascii="Times New Roman" w:hAnsi="Times New Roman" w:eastAsia="仿宋_GB2312" w:cs="Times New Roman"/>
          <w:sz w:val="32"/>
          <w:szCs w:val="32"/>
        </w:rPr>
        <w:t>345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调整预算后的全年预算数为299.72万元，</w:t>
      </w:r>
      <w:r>
        <w:rPr>
          <w:rFonts w:ascii="Times New Roman" w:hAnsi="Times New Roman" w:eastAsia="仿宋_GB2312" w:cs="Times New Roman"/>
          <w:sz w:val="32"/>
          <w:szCs w:val="32"/>
        </w:rPr>
        <w:t>支出决算为</w:t>
      </w:r>
      <w:r>
        <w:rPr>
          <w:rFonts w:hint="eastAsia" w:ascii="Times New Roman" w:hAnsi="Times New Roman" w:eastAsia="仿宋_GB2312" w:cs="Times New Roman"/>
          <w:sz w:val="32"/>
          <w:szCs w:val="32"/>
        </w:rPr>
        <w:t>299.72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rPr>
        <w:t>99.84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49.95</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小于年初</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当年产生的公务用车购置费较年初预算有所下降</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rPr>
        <w:t>本年产生了车辆购置费，上年度未购置车辆</w:t>
      </w:r>
      <w:r>
        <w:rPr>
          <w:rFonts w:ascii="Times New Roman" w:hAnsi="Times New Roman" w:eastAsia="仿宋_GB2312" w:cs="Times New Roman"/>
          <w:sz w:val="32"/>
          <w:szCs w:val="32"/>
        </w:rPr>
        <w:t>。</w:t>
      </w:r>
    </w:p>
    <w:p w14:paraId="48661B5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208493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1.因公出国（境）费支出</w:t>
      </w:r>
      <w:r>
        <w:rPr>
          <w:rFonts w:hint="eastAsia" w:ascii="Times New Roman" w:hAnsi="Times New Roman" w:eastAsia="仿宋_GB2312" w:cs="Times New Roman"/>
          <w:sz w:val="32"/>
          <w:szCs w:val="32"/>
        </w:rPr>
        <w:t>年初</w:t>
      </w:r>
      <w:r>
        <w:rPr>
          <w:rFonts w:ascii="Times New Roman" w:hAnsi="Times New Roman" w:eastAsia="仿宋_GB2312" w:cs="Times New Roman"/>
          <w:sz w:val="32"/>
          <w:szCs w:val="32"/>
        </w:rPr>
        <w:t>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调整预算后的全年预算数为6.86万元，</w:t>
      </w:r>
      <w:r>
        <w:rPr>
          <w:rFonts w:ascii="Times New Roman" w:hAnsi="Times New Roman" w:eastAsia="仿宋_GB2312" w:cs="Times New Roman"/>
          <w:sz w:val="32"/>
          <w:szCs w:val="32"/>
        </w:rPr>
        <w:t>支出决算为</w:t>
      </w:r>
      <w:r>
        <w:rPr>
          <w:rFonts w:hint="eastAsia" w:ascii="Times New Roman" w:hAnsi="Times New Roman" w:eastAsia="仿宋_GB2312" w:cs="Times New Roman"/>
          <w:sz w:val="32"/>
          <w:szCs w:val="32"/>
        </w:rPr>
        <w:t>6.86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rPr>
        <w:t>9.94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59.17</w:t>
      </w:r>
      <w:r>
        <w:rPr>
          <w:rFonts w:ascii="Times New Roman" w:hAnsi="Times New Roman" w:eastAsia="仿宋_GB2312" w:cs="Times New Roman"/>
          <w:sz w:val="32"/>
          <w:szCs w:val="32"/>
        </w:rPr>
        <w:t>%。决算数大于</w:t>
      </w:r>
      <w:r>
        <w:rPr>
          <w:rFonts w:hint="eastAsia" w:ascii="Times New Roman" w:hAnsi="Times New Roman" w:eastAsia="仿宋_GB2312" w:cs="Times New Roman"/>
          <w:sz w:val="32"/>
          <w:szCs w:val="32"/>
        </w:rPr>
        <w:t>年初</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单位产生的因公出国境费用是省厅年中安排的出国交访任务，</w:t>
      </w:r>
      <w:r>
        <w:rPr>
          <w:rFonts w:hint="eastAsia" w:ascii="仿宋_GB2312" w:hAnsi="仿宋" w:eastAsia="仿宋_GB2312" w:cs="仿宋"/>
          <w:sz w:val="32"/>
          <w:szCs w:val="32"/>
        </w:rPr>
        <w:t>且相关审批手续齐全，未能在年初预算中测算</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上年度费用是民警实施警务侦查和抓捕产生的支出，且人数相对较多</w:t>
      </w:r>
      <w:r>
        <w:rPr>
          <w:rFonts w:ascii="Times New Roman" w:hAnsi="Times New Roman" w:eastAsia="仿宋_GB2312" w:cs="Times New Roman"/>
          <w:sz w:val="32"/>
          <w:szCs w:val="32"/>
        </w:rPr>
        <w:t>。</w:t>
      </w:r>
      <w:bookmarkStart w:id="0" w:name="_GoBack"/>
      <w:bookmarkEnd w:id="0"/>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因公出国（境）</w:t>
      </w:r>
      <w:r>
        <w:rPr>
          <w:rFonts w:hint="eastAsia" w:ascii="Times New Roman" w:hAnsi="Times New Roman" w:eastAsia="仿宋_GB2312" w:cs="Times New Roman"/>
          <w:sz w:val="32"/>
          <w:szCs w:val="32"/>
        </w:rPr>
        <w:t>内容涉密，不公开具体情况）</w:t>
      </w:r>
    </w:p>
    <w:p w14:paraId="6C91D87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rPr>
        <w:t>339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调整预算后的全年预算数为292.23万元，</w:t>
      </w:r>
      <w:r>
        <w:rPr>
          <w:rFonts w:ascii="Times New Roman" w:hAnsi="Times New Roman" w:eastAsia="仿宋_GB2312" w:cs="Times New Roman"/>
          <w:sz w:val="32"/>
          <w:szCs w:val="32"/>
        </w:rPr>
        <w:t>支出决算为</w:t>
      </w:r>
      <w:r>
        <w:rPr>
          <w:rFonts w:hint="eastAsia" w:ascii="Times New Roman" w:hAnsi="Times New Roman" w:eastAsia="仿宋_GB2312" w:cs="Times New Roman"/>
          <w:sz w:val="32"/>
          <w:szCs w:val="32"/>
        </w:rPr>
        <w:t>292.23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rPr>
        <w:t>113.45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63.46</w:t>
      </w:r>
      <w:r>
        <w:rPr>
          <w:rFonts w:ascii="Times New Roman" w:hAnsi="Times New Roman" w:eastAsia="仿宋_GB2312" w:cs="Times New Roman"/>
          <w:sz w:val="32"/>
          <w:szCs w:val="32"/>
        </w:rPr>
        <w:t>%。其中：</w:t>
      </w:r>
    </w:p>
    <w:p w14:paraId="3BB1CC8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w:t>
      </w:r>
      <w:r>
        <w:rPr>
          <w:rFonts w:hint="eastAsia" w:ascii="Times New Roman" w:hAnsi="Times New Roman" w:eastAsia="仿宋_GB2312" w:cs="Times New Roman"/>
          <w:sz w:val="32"/>
          <w:szCs w:val="32"/>
        </w:rPr>
        <w:t>年初</w:t>
      </w:r>
      <w:r>
        <w:rPr>
          <w:rFonts w:ascii="Times New Roman" w:hAnsi="Times New Roman" w:eastAsia="仿宋_GB2312" w:cs="Times New Roman"/>
          <w:sz w:val="32"/>
          <w:szCs w:val="32"/>
        </w:rPr>
        <w:t>预算为</w:t>
      </w:r>
      <w:r>
        <w:rPr>
          <w:rFonts w:hint="eastAsia" w:ascii="Times New Roman" w:hAnsi="Times New Roman" w:eastAsia="仿宋_GB2312" w:cs="Times New Roman"/>
          <w:sz w:val="32"/>
          <w:szCs w:val="32"/>
        </w:rPr>
        <w:t>120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调整预算后的全年预算数为80.61万元，</w:t>
      </w:r>
      <w:r>
        <w:rPr>
          <w:rFonts w:ascii="Times New Roman" w:hAnsi="Times New Roman" w:eastAsia="仿宋_GB2312" w:cs="Times New Roman"/>
          <w:sz w:val="32"/>
          <w:szCs w:val="32"/>
        </w:rPr>
        <w:t>支出决算为</w:t>
      </w:r>
      <w:r>
        <w:rPr>
          <w:rFonts w:hint="eastAsia" w:ascii="Times New Roman" w:hAnsi="Times New Roman" w:eastAsia="仿宋_GB2312" w:cs="Times New Roman"/>
          <w:sz w:val="32"/>
          <w:szCs w:val="32"/>
        </w:rPr>
        <w:t>80.61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rPr>
        <w:t>80.61</w:t>
      </w:r>
      <w:r>
        <w:rPr>
          <w:rFonts w:ascii="Times New Roman" w:hAnsi="Times New Roman" w:eastAsia="仿宋_GB2312" w:cs="Times New Roman"/>
          <w:sz w:val="32"/>
          <w:szCs w:val="32"/>
        </w:rPr>
        <w:t>万元。决算数小于</w:t>
      </w:r>
      <w:r>
        <w:rPr>
          <w:rFonts w:hint="eastAsia" w:ascii="Times New Roman" w:hAnsi="Times New Roman" w:eastAsia="仿宋_GB2312" w:cs="Times New Roman"/>
          <w:sz w:val="32"/>
          <w:szCs w:val="32"/>
        </w:rPr>
        <w:t>年初</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color w:val="000000" w:themeColor="text1"/>
          <w:sz w:val="32"/>
          <w:szCs w:val="32"/>
        </w:rPr>
        <w:t>当年部分指标未解冻支付</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rPr>
        <w:t>上年度无公车购置支出</w:t>
      </w:r>
      <w:r>
        <w:rPr>
          <w:rFonts w:ascii="Times New Roman" w:hAnsi="Times New Roman" w:eastAsia="仿宋_GB2312" w:cs="Times New Roman"/>
          <w:sz w:val="32"/>
          <w:szCs w:val="32"/>
        </w:rPr>
        <w:t>。</w:t>
      </w:r>
    </w:p>
    <w:p w14:paraId="11A990BA">
      <w:pPr>
        <w:ind w:firstLine="709"/>
        <w:rPr>
          <w:rFonts w:ascii="仿宋_GB2312" w:hAnsi="仿宋" w:eastAsia="仿宋_GB2312" w:cs="仿宋"/>
          <w:color w:val="000000"/>
          <w:sz w:val="32"/>
          <w:szCs w:val="32"/>
        </w:rPr>
      </w:pPr>
      <w:r>
        <w:rPr>
          <w:rFonts w:ascii="Times New Roman" w:hAnsi="Times New Roman" w:eastAsia="仿宋_GB2312" w:cs="Times New Roman"/>
          <w:sz w:val="32"/>
          <w:szCs w:val="32"/>
        </w:rPr>
        <w:t>公务用车运行维护费支出</w:t>
      </w:r>
      <w:r>
        <w:rPr>
          <w:rFonts w:hint="eastAsia" w:ascii="Times New Roman" w:hAnsi="Times New Roman" w:eastAsia="仿宋_GB2312" w:cs="Times New Roman"/>
          <w:sz w:val="32"/>
          <w:szCs w:val="32"/>
        </w:rPr>
        <w:t>年初</w:t>
      </w:r>
      <w:r>
        <w:rPr>
          <w:rFonts w:ascii="Times New Roman" w:hAnsi="Times New Roman" w:eastAsia="仿宋_GB2312" w:cs="Times New Roman"/>
          <w:sz w:val="32"/>
          <w:szCs w:val="32"/>
        </w:rPr>
        <w:t>预算为</w:t>
      </w:r>
      <w:r>
        <w:rPr>
          <w:rFonts w:hint="eastAsia" w:ascii="Times New Roman" w:hAnsi="Times New Roman" w:eastAsia="仿宋_GB2312" w:cs="Times New Roman"/>
          <w:sz w:val="32"/>
          <w:szCs w:val="32"/>
        </w:rPr>
        <w:t>219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调整预算后的全年预算数为211.62万元，</w:t>
      </w:r>
      <w:r>
        <w:rPr>
          <w:rFonts w:ascii="Times New Roman" w:hAnsi="Times New Roman" w:eastAsia="仿宋_GB2312" w:cs="Times New Roman"/>
          <w:sz w:val="32"/>
          <w:szCs w:val="32"/>
        </w:rPr>
        <w:t>支出决算为</w:t>
      </w:r>
      <w:r>
        <w:rPr>
          <w:rFonts w:hint="eastAsia" w:ascii="Times New Roman" w:hAnsi="Times New Roman" w:eastAsia="仿宋_GB2312" w:cs="Times New Roman"/>
          <w:sz w:val="32"/>
          <w:szCs w:val="32"/>
        </w:rPr>
        <w:t>211.62</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rPr>
        <w:t>车辆油料费、车辆运行维护费、过路过桥费等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rPr>
        <w:t>32.84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18.37</w:t>
      </w:r>
      <w:r>
        <w:rPr>
          <w:rFonts w:ascii="Times New Roman" w:hAnsi="Times New Roman" w:eastAsia="仿宋_GB2312" w:cs="Times New Roman"/>
          <w:sz w:val="32"/>
          <w:szCs w:val="32"/>
        </w:rPr>
        <w:t>%。决算数小于</w:t>
      </w:r>
      <w:r>
        <w:rPr>
          <w:rFonts w:hint="eastAsia" w:ascii="Times New Roman" w:hAnsi="Times New Roman" w:eastAsia="仿宋_GB2312" w:cs="Times New Roman"/>
          <w:sz w:val="32"/>
          <w:szCs w:val="32"/>
        </w:rPr>
        <w:t>年初</w:t>
      </w:r>
      <w:r>
        <w:rPr>
          <w:rFonts w:ascii="Times New Roman" w:hAnsi="Times New Roman" w:eastAsia="仿宋_GB2312" w:cs="Times New Roman"/>
          <w:sz w:val="32"/>
          <w:szCs w:val="32"/>
        </w:rPr>
        <w:t>预算数的主要原因是</w:t>
      </w:r>
      <w:r>
        <w:rPr>
          <w:rFonts w:hint="eastAsia" w:ascii="Times New Roman" w:hAnsi="Times New Roman" w:eastAsia="仿宋_GB2312"/>
          <w:sz w:val="32"/>
          <w:szCs w:val="32"/>
        </w:rPr>
        <w:t>我单位严控公务用车运行维护费支出，控制在预算数之内</w:t>
      </w:r>
      <w:r>
        <w:rPr>
          <w:rFonts w:ascii="Times New Roman" w:hAnsi="Times New Roman" w:eastAsia="仿宋_GB2312" w:cs="Times New Roman"/>
          <w:sz w:val="32"/>
          <w:szCs w:val="32"/>
        </w:rPr>
        <w:t>。决算数大于上年数的主要原因是</w:t>
      </w:r>
      <w:r>
        <w:rPr>
          <w:rFonts w:hint="eastAsia" w:ascii="仿宋_GB2312" w:hAnsi="仿宋" w:eastAsia="仿宋_GB2312" w:cs="仿宋"/>
          <w:color w:val="000000"/>
          <w:sz w:val="32"/>
          <w:szCs w:val="32"/>
        </w:rPr>
        <w:t>本年度下县督导、安保巡逻任务增加，加之车辆老化，维修成本提高，但未超过年初预算控制数。</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rPr>
        <w:t>79</w:t>
      </w:r>
      <w:r>
        <w:rPr>
          <w:rFonts w:ascii="Times New Roman" w:hAnsi="Times New Roman" w:eastAsia="仿宋_GB2312" w:cs="Times New Roman"/>
          <w:sz w:val="32"/>
          <w:szCs w:val="32"/>
        </w:rPr>
        <w:t>辆。</w:t>
      </w:r>
    </w:p>
    <w:p w14:paraId="2006842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调整预算后的全年预算数为0.63万元，</w:t>
      </w:r>
      <w:r>
        <w:rPr>
          <w:rFonts w:ascii="Times New Roman" w:hAnsi="Times New Roman" w:eastAsia="仿宋_GB2312" w:cs="Times New Roman"/>
          <w:sz w:val="32"/>
          <w:szCs w:val="32"/>
        </w:rPr>
        <w:t>支出决算为</w:t>
      </w:r>
      <w:r>
        <w:rPr>
          <w:rFonts w:hint="eastAsia" w:ascii="Times New Roman" w:hAnsi="Times New Roman" w:eastAsia="仿宋_GB2312" w:cs="Times New Roman"/>
          <w:sz w:val="32"/>
          <w:szCs w:val="32"/>
        </w:rPr>
        <w:t>0.63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rPr>
        <w:t>3.66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85.31</w:t>
      </w:r>
      <w:r>
        <w:rPr>
          <w:rFonts w:ascii="Times New Roman" w:hAnsi="Times New Roman" w:eastAsia="仿宋_GB2312" w:cs="Times New Roman"/>
          <w:sz w:val="32"/>
          <w:szCs w:val="32"/>
        </w:rPr>
        <w:t>%。决算数小于</w:t>
      </w:r>
      <w:r>
        <w:rPr>
          <w:rFonts w:hint="eastAsia" w:ascii="Times New Roman" w:hAnsi="Times New Roman" w:eastAsia="仿宋_GB2312" w:cs="Times New Roman"/>
          <w:sz w:val="32"/>
          <w:szCs w:val="32"/>
        </w:rPr>
        <w:t>年初</w:t>
      </w:r>
      <w:r>
        <w:rPr>
          <w:rFonts w:ascii="Times New Roman" w:hAnsi="Times New Roman" w:eastAsia="仿宋_GB2312" w:cs="Times New Roman"/>
          <w:sz w:val="32"/>
          <w:szCs w:val="32"/>
        </w:rPr>
        <w:t>预算数的主要原因是</w:t>
      </w:r>
      <w:r>
        <w:rPr>
          <w:rFonts w:hint="eastAsia" w:ascii="Times New Roman" w:hAnsi="Times New Roman" w:eastAsia="仿宋_GB2312"/>
          <w:color w:val="auto"/>
          <w:sz w:val="32"/>
          <w:szCs w:val="32"/>
        </w:rPr>
        <w:t>我单位严控公务接待费支出</w:t>
      </w:r>
      <w:r>
        <w:rPr>
          <w:rFonts w:hint="eastAsia" w:ascii="Times New Roman" w:hAnsi="Times New Roman" w:eastAsia="仿宋_GB2312" w:cs="Times New Roman"/>
          <w:sz w:val="32"/>
          <w:szCs w:val="32"/>
        </w:rPr>
        <w:t>，控制在预算数之内</w:t>
      </w:r>
      <w:r>
        <w:rPr>
          <w:rFonts w:ascii="Times New Roman" w:hAnsi="Times New Roman" w:eastAsia="仿宋_GB2312" w:cs="Times New Roman"/>
          <w:sz w:val="32"/>
          <w:szCs w:val="32"/>
        </w:rPr>
        <w:t>。决算数小于上年数的主要原因是</w:t>
      </w:r>
      <w:r>
        <w:rPr>
          <w:rFonts w:hint="eastAsia" w:ascii="仿宋_GB2312" w:hAnsi="仿宋" w:eastAsia="仿宋_GB2312" w:cs="仿宋"/>
          <w:sz w:val="32"/>
          <w:szCs w:val="32"/>
        </w:rPr>
        <w:t>我单位厉行节约，特别是公务接待费新规出台后，接待费支出大幅下降。</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rPr>
        <w:t>11</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rPr>
        <w:t>52</w:t>
      </w:r>
      <w:r>
        <w:rPr>
          <w:rFonts w:ascii="Times New Roman" w:hAnsi="Times New Roman" w:eastAsia="仿宋_GB2312" w:cs="Times New Roman"/>
          <w:sz w:val="32"/>
          <w:szCs w:val="32"/>
        </w:rPr>
        <w:t>人次，主要是</w:t>
      </w:r>
      <w:r>
        <w:rPr>
          <w:rFonts w:hint="eastAsia" w:ascii="Times New Roman" w:hAnsi="Times New Roman" w:eastAsia="仿宋_GB2312"/>
          <w:sz w:val="32"/>
          <w:szCs w:val="32"/>
        </w:rPr>
        <w:t>上级部门督导巡查、交流学习等发生的接待支出。</w:t>
      </w:r>
    </w:p>
    <w:p w14:paraId="138A8751">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F207EC5">
      <w:pPr>
        <w:pStyle w:val="12"/>
        <w:overflowPunct w:val="0"/>
        <w:autoSpaceDE/>
        <w:autoSpaceDN/>
        <w:spacing w:line="60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202</w:t>
      </w:r>
      <w:r>
        <w:rPr>
          <w:rFonts w:hint="eastAsia" w:ascii="Times New Roman" w:hAnsi="Times New Roman" w:eastAsia="仿宋_GB2312"/>
          <w:sz w:val="32"/>
          <w:szCs w:val="32"/>
        </w:rPr>
        <w:t>5年度我单位无政府性基金收入和支出。</w:t>
      </w:r>
    </w:p>
    <w:p w14:paraId="65E31C68">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53B9C5B9">
      <w:pPr>
        <w:pStyle w:val="12"/>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rPr>
        <w:t>1270.26</w:t>
      </w:r>
      <w:r>
        <w:rPr>
          <w:rFonts w:ascii="Times New Roman" w:hAnsi="Times New Roman" w:eastAsia="仿宋_GB2312" w:cs="Times New Roman"/>
          <w:sz w:val="32"/>
          <w:szCs w:val="32"/>
        </w:rPr>
        <w:t>万元，比年初预算数</w:t>
      </w:r>
      <w:r>
        <w:rPr>
          <w:rFonts w:hint="eastAsia" w:ascii="Times New Roman" w:hAnsi="Times New Roman" w:eastAsia="仿宋_GB2312" w:cs="Times New Roman"/>
          <w:sz w:val="32"/>
          <w:szCs w:val="32"/>
        </w:rPr>
        <w:t>增加315.75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增加33.08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年初预算公用经费无法全额保障机关运行相关支出，年中电费、物业费维修费等根据实际支出有所增加。</w:t>
      </w:r>
    </w:p>
    <w:p w14:paraId="3F5BAB5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5256D455">
      <w:pPr>
        <w:pStyle w:val="12"/>
        <w:ind w:firstLine="640" w:firstLineChars="200"/>
        <w:rPr>
          <w:rFonts w:ascii="Times New Roman" w:hAnsi="Times New Roman"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rPr>
        <w:t>3.2</w:t>
      </w:r>
      <w:r>
        <w:rPr>
          <w:rFonts w:ascii="Times New Roman" w:hAnsi="Times New Roman" w:eastAsia="仿宋_GB2312" w:cs="Times New Roman"/>
          <w:sz w:val="32"/>
          <w:szCs w:val="32"/>
        </w:rPr>
        <w:t>万元，</w:t>
      </w:r>
      <w:r>
        <w:rPr>
          <w:rFonts w:hint="eastAsia" w:ascii="Times New Roman" w:hAnsi="Times New Roman" w:eastAsia="仿宋_GB2312"/>
          <w:sz w:val="32"/>
          <w:szCs w:val="32"/>
        </w:rPr>
        <w:t>用于召开工作部署等会议，内容为公安工作会议、部门业务工作会议等；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rPr>
        <w:t>0.97</w:t>
      </w:r>
      <w:r>
        <w:rPr>
          <w:rFonts w:ascii="Times New Roman" w:hAnsi="Times New Roman" w:eastAsia="仿宋_GB2312" w:cs="Times New Roman"/>
          <w:sz w:val="32"/>
          <w:szCs w:val="32"/>
        </w:rPr>
        <w:t>万元，</w:t>
      </w:r>
      <w:r>
        <w:rPr>
          <w:rFonts w:hint="eastAsia" w:ascii="Times New Roman" w:hAnsi="Times New Roman" w:eastAsia="仿宋_GB2312"/>
          <w:sz w:val="32"/>
          <w:szCs w:val="32"/>
        </w:rPr>
        <w:t>用于开展公安内部业务培训</w:t>
      </w:r>
      <w:r>
        <w:rPr>
          <w:rFonts w:ascii="Times New Roman" w:hAnsi="Times New Roman" w:eastAsia="仿宋_GB2312" w:cs="Times New Roman"/>
          <w:sz w:val="32"/>
          <w:szCs w:val="32"/>
        </w:rPr>
        <w:t>；</w:t>
      </w:r>
      <w:r>
        <w:rPr>
          <w:rFonts w:hint="eastAsia" w:ascii="Times New Roman" w:hAnsi="Times New Roman" w:eastAsia="仿宋_GB2312"/>
          <w:sz w:val="32"/>
          <w:szCs w:val="32"/>
        </w:rPr>
        <w:t>我单位节庆、晚会、论坛、赛事活动开支</w:t>
      </w:r>
      <w:r>
        <w:rPr>
          <w:rFonts w:ascii="Times New Roman" w:hAnsi="Times New Roman" w:eastAsia="仿宋_GB2312"/>
          <w:sz w:val="32"/>
          <w:szCs w:val="32"/>
        </w:rPr>
        <w:t>0</w:t>
      </w:r>
      <w:r>
        <w:rPr>
          <w:rFonts w:hint="eastAsia" w:ascii="Times New Roman" w:hAnsi="Times New Roman" w:eastAsia="仿宋_GB2312"/>
          <w:sz w:val="32"/>
          <w:szCs w:val="32"/>
        </w:rPr>
        <w:t>万元。（因部分会议、培训内容涉密，不予具体公开会议及培训内容）</w:t>
      </w:r>
    </w:p>
    <w:p w14:paraId="3F7DE76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5B9EC9C5">
      <w:pPr>
        <w:pStyle w:val="12"/>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rPr>
        <w:t>2098.54</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rPr>
        <w:t>1404.87</w:t>
      </w:r>
      <w:r>
        <w:rPr>
          <w:rFonts w:ascii="Times New Roman" w:hAnsi="Times New Roman" w:eastAsia="仿宋_GB2312" w:cs="Times New Roman"/>
          <w:sz w:val="32"/>
          <w:szCs w:val="32"/>
        </w:rPr>
        <w:t xml:space="preserve"> 万元、政府采购服务支出</w:t>
      </w:r>
      <w:r>
        <w:rPr>
          <w:rFonts w:hint="eastAsia" w:ascii="Times New Roman" w:hAnsi="Times New Roman" w:eastAsia="仿宋_GB2312" w:cs="Times New Roman"/>
          <w:sz w:val="32"/>
          <w:szCs w:val="32"/>
        </w:rPr>
        <w:t>693.67</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rPr>
        <w:t>2031.07</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rPr>
        <w:t>96.78</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rPr>
        <w:t>2031.07</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rPr>
        <w:t>90.27</w:t>
      </w:r>
      <w:r>
        <w:rPr>
          <w:rFonts w:ascii="Times New Roman" w:hAnsi="Times New Roman" w:eastAsia="仿宋_GB2312" w:cs="Times New Roman"/>
          <w:color w:val="auto"/>
          <w:sz w:val="32"/>
          <w:szCs w:val="32"/>
        </w:rPr>
        <w:t>%。</w:t>
      </w:r>
    </w:p>
    <w:p w14:paraId="3BD73D16">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68427558">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rPr>
        <w:t>79</w:t>
      </w:r>
      <w:r>
        <w:rPr>
          <w:rFonts w:ascii="Times New Roman" w:hAnsi="Times New Roman" w:eastAsia="仿宋_GB2312" w:cs="Times New Roman"/>
          <w:color w:val="auto"/>
          <w:sz w:val="32"/>
          <w:szCs w:val="32"/>
        </w:rPr>
        <w:t>辆，其中，机要通信用车</w:t>
      </w:r>
      <w:r>
        <w:rPr>
          <w:rFonts w:hint="eastAsia" w:ascii="Times New Roman" w:hAnsi="Times New Roman" w:eastAsia="仿宋_GB2312" w:cs="Times New Roman"/>
          <w:color w:val="auto"/>
          <w:sz w:val="32"/>
          <w:szCs w:val="32"/>
        </w:rPr>
        <w:t>1</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rPr>
        <w:t>应急保障用车2辆、</w:t>
      </w:r>
      <w:r>
        <w:rPr>
          <w:rFonts w:ascii="Times New Roman" w:hAnsi="Times New Roman" w:eastAsia="仿宋_GB2312" w:cs="Times New Roman"/>
          <w:color w:val="auto"/>
          <w:sz w:val="32"/>
          <w:szCs w:val="32"/>
        </w:rPr>
        <w:t>执法执勤用车</w:t>
      </w:r>
      <w:r>
        <w:rPr>
          <w:rFonts w:hint="eastAsia" w:ascii="Times New Roman" w:hAnsi="Times New Roman" w:eastAsia="仿宋_GB2312" w:cs="Times New Roman"/>
          <w:color w:val="auto"/>
          <w:sz w:val="32"/>
          <w:szCs w:val="32"/>
        </w:rPr>
        <w:t>64</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rPr>
        <w:t>8</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rPr>
        <w:t>4</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sz w:val="32"/>
          <w:szCs w:val="32"/>
        </w:rPr>
        <w:t>运兵车</w:t>
      </w:r>
      <w:r>
        <w:rPr>
          <w:rFonts w:ascii="Times New Roman" w:hAnsi="Times New Roman" w:eastAsia="仿宋_GB2312"/>
          <w:sz w:val="32"/>
          <w:szCs w:val="32"/>
        </w:rPr>
        <w:t>1</w:t>
      </w:r>
      <w:r>
        <w:rPr>
          <w:rFonts w:hint="eastAsia" w:ascii="Times New Roman" w:hAnsi="Times New Roman" w:eastAsia="仿宋_GB2312"/>
          <w:sz w:val="32"/>
          <w:szCs w:val="32"/>
        </w:rPr>
        <w:t>辆、插电式多用途车</w:t>
      </w:r>
      <w:r>
        <w:rPr>
          <w:rFonts w:ascii="Times New Roman" w:hAnsi="Times New Roman" w:eastAsia="仿宋_GB2312"/>
          <w:sz w:val="32"/>
          <w:szCs w:val="32"/>
        </w:rPr>
        <w:t>1</w:t>
      </w:r>
      <w:r>
        <w:rPr>
          <w:rFonts w:hint="eastAsia" w:ascii="Times New Roman" w:hAnsi="Times New Roman" w:eastAsia="仿宋_GB2312"/>
          <w:sz w:val="32"/>
          <w:szCs w:val="32"/>
        </w:rPr>
        <w:t>辆、其他专用汽车2辆</w:t>
      </w:r>
      <w:r>
        <w:rPr>
          <w:rFonts w:hint="eastAsia" w:ascii="Times New Roman" w:hAnsi="Times New Roman" w:eastAsia="仿宋_GB2312"/>
          <w:color w:val="auto"/>
          <w:sz w:val="32"/>
          <w:szCs w:val="32"/>
        </w:rPr>
        <w:t>；</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000000" w:themeColor="text1"/>
          <w:sz w:val="32"/>
          <w:szCs w:val="32"/>
        </w:rPr>
        <w:t>35</w:t>
      </w:r>
      <w:r>
        <w:rPr>
          <w:rFonts w:ascii="Times New Roman" w:hAnsi="Times New Roman" w:eastAsia="仿宋_GB2312" w:cs="Times New Roman"/>
          <w:color w:val="auto"/>
          <w:sz w:val="32"/>
          <w:szCs w:val="32"/>
        </w:rPr>
        <w:t>台（套）。</w:t>
      </w:r>
    </w:p>
    <w:p w14:paraId="2789A778">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5E745254">
      <w:p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（一）绩效评价工作开展情况。</w:t>
      </w:r>
      <w:r>
        <w:rPr>
          <w:rFonts w:hint="eastAsia" w:ascii="Times New Roman" w:hAnsi="Times New Roman" w:eastAsia="仿宋_GB2312" w:cs="Times New Roman"/>
          <w:b/>
          <w:bCs/>
          <w:kern w:val="0"/>
          <w:sz w:val="32"/>
          <w:szCs w:val="32"/>
        </w:rPr>
        <w:t>已</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rPr>
        <w:t>21</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rPr>
        <w:t>15925.42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rPr>
        <w:t>21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6688.65</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rPr>
        <w:t>42</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无</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rPr>
        <w:t>，无</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rPr>
        <w:t>，无</w:t>
      </w:r>
      <w:r>
        <w:rPr>
          <w:rFonts w:ascii="Times New Roman" w:hAnsi="Times New Roman" w:eastAsia="仿宋_GB2312" w:cs="Times New Roman"/>
          <w:kern w:val="0"/>
          <w:sz w:val="32"/>
          <w:szCs w:val="32"/>
        </w:rPr>
        <w:t>社会保险基金预算项目。</w:t>
      </w:r>
    </w:p>
    <w:p w14:paraId="7390398D">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rPr>
        <w:t>14638.15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年中追加1287.27万元，</w:t>
      </w:r>
      <w:r>
        <w:rPr>
          <w:rFonts w:ascii="Times New Roman" w:hAnsi="Times New Roman" w:eastAsia="仿宋_GB2312" w:cs="Times New Roman"/>
          <w:sz w:val="32"/>
          <w:szCs w:val="32"/>
        </w:rPr>
        <w:t>执行数</w:t>
      </w:r>
      <w:r>
        <w:rPr>
          <w:rFonts w:hint="eastAsia" w:ascii="Times New Roman" w:hAnsi="Times New Roman" w:eastAsia="仿宋_GB2312" w:cs="Times New Roman"/>
          <w:kern w:val="0"/>
          <w:sz w:val="32"/>
          <w:szCs w:val="32"/>
        </w:rPr>
        <w:t>15925.42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99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优秀</w:t>
      </w:r>
      <w:r>
        <w:rPr>
          <w:rFonts w:ascii="Times New Roman" w:hAnsi="Times New Roman" w:eastAsia="仿宋_GB2312" w:cs="Times New Roman"/>
          <w:sz w:val="32"/>
          <w:szCs w:val="32"/>
        </w:rPr>
        <w:t>”。</w:t>
      </w:r>
      <w:r>
        <w:rPr>
          <w:rFonts w:hint="eastAsia" w:ascii="Times New Roman" w:hAnsi="Times New Roman" w:eastAsia="仿宋_GB2312" w:cs="Times New Roman"/>
          <w:kern w:val="0"/>
          <w:sz w:val="32"/>
          <w:szCs w:val="32"/>
        </w:rPr>
        <w:t>（目标完成情况、存在的问题及整改措施详见绩效自评报告）</w:t>
      </w:r>
    </w:p>
    <w:p w14:paraId="4C21FE70">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已</w:t>
      </w:r>
      <w:r>
        <w:rPr>
          <w:rFonts w:ascii="Times New Roman" w:hAnsi="Times New Roman" w:eastAsia="仿宋_GB2312" w:cs="Times New Roman"/>
          <w:color w:val="auto"/>
          <w:sz w:val="32"/>
          <w:szCs w:val="32"/>
        </w:rPr>
        <w:t>根据202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年度绩效自评结果对本部门202</w:t>
      </w:r>
      <w:r>
        <w:rPr>
          <w:rFonts w:hint="eastAsia" w:ascii="Times New Roman" w:hAnsi="Times New Roman" w:eastAsia="仿宋_GB2312" w:cs="Times New Roman"/>
          <w:color w:val="auto"/>
          <w:sz w:val="32"/>
          <w:szCs w:val="32"/>
        </w:rPr>
        <w:t>6</w:t>
      </w:r>
      <w:r>
        <w:rPr>
          <w:rFonts w:ascii="Times New Roman" w:hAnsi="Times New Roman" w:eastAsia="仿宋_GB2312" w:cs="Times New Roman"/>
          <w:color w:val="auto"/>
          <w:sz w:val="32"/>
          <w:szCs w:val="32"/>
        </w:rPr>
        <w:t>年度预算</w:t>
      </w:r>
      <w:r>
        <w:rPr>
          <w:rFonts w:hint="eastAsia" w:ascii="Times New Roman" w:hAnsi="Times New Roman" w:eastAsia="仿宋_GB2312" w:cs="Times New Roman"/>
          <w:color w:val="auto"/>
          <w:sz w:val="32"/>
          <w:szCs w:val="32"/>
        </w:rPr>
        <w:t>进行了编制</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相应调整了</w:t>
      </w:r>
      <w:r>
        <w:rPr>
          <w:rFonts w:ascii="Times New Roman" w:hAnsi="Times New Roman" w:eastAsia="仿宋_GB2312" w:cs="Times New Roman"/>
          <w:color w:val="auto"/>
          <w:sz w:val="32"/>
          <w:szCs w:val="32"/>
        </w:rPr>
        <w:t>支出结构。</w:t>
      </w:r>
    </w:p>
    <w:p w14:paraId="3C94CC73">
      <w:pPr>
        <w:pStyle w:val="12"/>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23BC0902">
      <w:pPr>
        <w:pStyle w:val="12"/>
        <w:jc w:val="center"/>
        <w:rPr>
          <w:rFonts w:ascii="Times New Roman" w:hAnsi="Times New Roman" w:cs="Times New Roman"/>
          <w:sz w:val="72"/>
          <w:szCs w:val="72"/>
        </w:rPr>
      </w:pPr>
    </w:p>
    <w:p w14:paraId="21EC0059">
      <w:pPr>
        <w:pStyle w:val="12"/>
        <w:jc w:val="center"/>
        <w:rPr>
          <w:rFonts w:ascii="Times New Roman" w:hAnsi="Times New Roman" w:cs="Times New Roman"/>
          <w:sz w:val="72"/>
          <w:szCs w:val="72"/>
        </w:rPr>
      </w:pPr>
    </w:p>
    <w:p w14:paraId="4EA8DD1E">
      <w:pPr>
        <w:pStyle w:val="12"/>
        <w:jc w:val="center"/>
        <w:rPr>
          <w:rFonts w:ascii="Times New Roman" w:hAnsi="Times New Roman" w:cs="Times New Roman"/>
          <w:sz w:val="72"/>
          <w:szCs w:val="72"/>
        </w:rPr>
      </w:pPr>
    </w:p>
    <w:p w14:paraId="42079AEA">
      <w:pPr>
        <w:pStyle w:val="12"/>
        <w:rPr>
          <w:rFonts w:ascii="Times New Roman" w:hAnsi="Times New Roman" w:cs="Times New Roman"/>
          <w:sz w:val="72"/>
          <w:szCs w:val="72"/>
        </w:rPr>
      </w:pPr>
    </w:p>
    <w:p w14:paraId="004848B6">
      <w:pPr>
        <w:pStyle w:val="12"/>
        <w:jc w:val="both"/>
        <w:rPr>
          <w:rFonts w:ascii="Times New Roman" w:hAnsi="Times New Roman" w:cs="Times New Roman"/>
          <w:sz w:val="72"/>
          <w:szCs w:val="72"/>
        </w:rPr>
      </w:pPr>
    </w:p>
    <w:p w14:paraId="254D89E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00EA598A">
      <w:pPr>
        <w:widowControl/>
        <w:jc w:val="left"/>
        <w:rPr>
          <w:rFonts w:ascii="Times New Roman" w:hAnsi="Times New Roman" w:cs="Times New Roman"/>
          <w:color w:val="000000"/>
          <w:kern w:val="0"/>
          <w:sz w:val="32"/>
          <w:szCs w:val="32"/>
        </w:rPr>
      </w:pPr>
    </w:p>
    <w:p w14:paraId="3ED3554C">
      <w:pPr>
        <w:pStyle w:val="12"/>
        <w:jc w:val="center"/>
        <w:rPr>
          <w:rFonts w:ascii="Times New Roman" w:hAnsi="Times New Roman" w:cs="Times New Roman"/>
          <w:sz w:val="72"/>
          <w:szCs w:val="72"/>
        </w:rPr>
      </w:pPr>
    </w:p>
    <w:p w14:paraId="614C9B05">
      <w:pPr>
        <w:pStyle w:val="12"/>
        <w:jc w:val="center"/>
        <w:rPr>
          <w:rFonts w:ascii="Times New Roman" w:hAnsi="Times New Roman" w:cs="Times New Roman"/>
          <w:sz w:val="72"/>
          <w:szCs w:val="72"/>
        </w:rPr>
      </w:pPr>
    </w:p>
    <w:p w14:paraId="172FDF0E">
      <w:pPr>
        <w:pStyle w:val="12"/>
        <w:jc w:val="center"/>
        <w:rPr>
          <w:rFonts w:ascii="Times New Roman" w:hAnsi="Times New Roman" w:cs="Times New Roman"/>
          <w:sz w:val="72"/>
          <w:szCs w:val="72"/>
        </w:rPr>
      </w:pPr>
    </w:p>
    <w:p w14:paraId="73FD0646">
      <w:pPr>
        <w:pStyle w:val="12"/>
        <w:jc w:val="center"/>
        <w:rPr>
          <w:rFonts w:ascii="Times New Roman" w:hAnsi="Times New Roman" w:cs="Times New Roman"/>
          <w:sz w:val="72"/>
          <w:szCs w:val="72"/>
        </w:rPr>
      </w:pPr>
    </w:p>
    <w:p w14:paraId="0DB2D8DE">
      <w:pPr>
        <w:pStyle w:val="12"/>
        <w:jc w:val="center"/>
        <w:rPr>
          <w:rFonts w:ascii="Times New Roman" w:hAnsi="Times New Roman" w:cs="Times New Roman"/>
          <w:sz w:val="72"/>
          <w:szCs w:val="72"/>
        </w:rPr>
      </w:pPr>
    </w:p>
    <w:p w14:paraId="43B25B5D">
      <w:pPr>
        <w:pStyle w:val="12"/>
        <w:jc w:val="center"/>
        <w:rPr>
          <w:rFonts w:ascii="Times New Roman" w:hAnsi="Times New Roman" w:cs="Times New Roman"/>
          <w:sz w:val="72"/>
          <w:szCs w:val="72"/>
        </w:rPr>
      </w:pPr>
    </w:p>
    <w:p w14:paraId="53E5FEEC">
      <w:pPr>
        <w:pStyle w:val="12"/>
        <w:jc w:val="center"/>
        <w:rPr>
          <w:rFonts w:ascii="Times New Roman" w:hAnsi="Times New Roman" w:cs="Times New Roman"/>
          <w:sz w:val="72"/>
          <w:szCs w:val="72"/>
        </w:rPr>
      </w:pPr>
    </w:p>
    <w:p w14:paraId="40FFEE3B">
      <w:pPr>
        <w:widowControl/>
        <w:spacing w:line="560" w:lineRule="exact"/>
        <w:ind w:firstLine="640" w:firstLineChars="200"/>
        <w:rPr>
          <w:rFonts w:ascii="Times New Roman" w:hAnsi="Times New Roman" w:eastAsia="仿宋_GB2312" w:cs="黑体"/>
          <w:color w:val="000000"/>
          <w:kern w:val="0"/>
          <w:sz w:val="32"/>
          <w:szCs w:val="32"/>
        </w:rPr>
      </w:pPr>
      <w:r>
        <w:rPr>
          <w:rFonts w:ascii="Times New Roman" w:hAnsi="Times New Roman" w:eastAsia="仿宋_GB2312" w:cs="黑体"/>
          <w:b/>
          <w:color w:val="000000"/>
          <w:kern w:val="0"/>
          <w:sz w:val="32"/>
          <w:szCs w:val="32"/>
        </w:rPr>
        <w:t>1.</w:t>
      </w:r>
      <w:r>
        <w:rPr>
          <w:rFonts w:hint="eastAsia" w:ascii="Times New Roman" w:hAnsi="Times New Roman" w:eastAsia="仿宋_GB2312" w:cs="黑体"/>
          <w:b/>
          <w:color w:val="000000"/>
          <w:kern w:val="0"/>
          <w:sz w:val="32"/>
          <w:szCs w:val="32"/>
        </w:rPr>
        <w:t>机关运行经费：</w:t>
      </w:r>
      <w:r>
        <w:rPr>
          <w:rFonts w:hint="eastAsia" w:ascii="Times New Roman" w:hAnsi="Times New Roman" w:eastAsia="仿宋_GB2312" w:cs="黑体"/>
          <w:color w:val="000000"/>
          <w:kern w:val="0"/>
          <w:sz w:val="32"/>
          <w:szCs w:val="32"/>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50D89C23">
      <w:pPr>
        <w:widowControl/>
        <w:spacing w:line="560" w:lineRule="exact"/>
        <w:ind w:firstLine="640" w:firstLineChars="200"/>
        <w:rPr>
          <w:rFonts w:ascii="Times New Roman" w:hAnsi="Times New Roman" w:eastAsia="仿宋_GB2312" w:cs="黑体"/>
          <w:color w:val="000000"/>
          <w:kern w:val="0"/>
          <w:sz w:val="32"/>
          <w:szCs w:val="32"/>
        </w:rPr>
      </w:pPr>
    </w:p>
    <w:p w14:paraId="005EAB33">
      <w:pPr>
        <w:widowControl/>
        <w:spacing w:line="560" w:lineRule="exact"/>
        <w:ind w:firstLine="640" w:firstLineChars="200"/>
        <w:rPr>
          <w:rFonts w:ascii="Times New Roman" w:hAnsi="Times New Roman" w:eastAsia="仿宋_GB2312" w:cs="黑体"/>
          <w:color w:val="000000"/>
          <w:kern w:val="0"/>
          <w:sz w:val="32"/>
          <w:szCs w:val="32"/>
        </w:rPr>
      </w:pPr>
      <w:r>
        <w:rPr>
          <w:rFonts w:ascii="Times New Roman" w:hAnsi="Times New Roman" w:eastAsia="仿宋_GB2312" w:cs="黑体"/>
          <w:b/>
          <w:color w:val="000000"/>
          <w:kern w:val="0"/>
          <w:sz w:val="32"/>
          <w:szCs w:val="32"/>
        </w:rPr>
        <w:t>2.</w:t>
      </w:r>
      <w:r>
        <w:rPr>
          <w:rFonts w:hint="eastAsia" w:ascii="Times New Roman" w:hAnsi="Times New Roman" w:eastAsia="仿宋_GB2312" w:cs="黑体"/>
          <w:b/>
          <w:color w:val="000000"/>
          <w:kern w:val="0"/>
          <w:sz w:val="32"/>
          <w:szCs w:val="32"/>
        </w:rPr>
        <w:t>“三公”经费：</w:t>
      </w:r>
      <w:r>
        <w:rPr>
          <w:rFonts w:hint="eastAsia" w:ascii="Times New Roman" w:hAnsi="Times New Roman" w:eastAsia="仿宋_GB2312" w:cs="黑体"/>
          <w:color w:val="000000"/>
          <w:kern w:val="0"/>
          <w:sz w:val="32"/>
          <w:szCs w:val="32"/>
        </w:rPr>
        <w:t>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3F192347">
      <w:pPr>
        <w:pStyle w:val="12"/>
        <w:jc w:val="center"/>
        <w:rPr>
          <w:rFonts w:ascii="Times New Roman" w:hAnsi="Times New Roman" w:cs="Times New Roman"/>
          <w:sz w:val="72"/>
          <w:szCs w:val="72"/>
        </w:rPr>
      </w:pPr>
    </w:p>
    <w:p w14:paraId="10B16F79">
      <w:pPr>
        <w:pStyle w:val="12"/>
        <w:jc w:val="center"/>
        <w:rPr>
          <w:rFonts w:ascii="Times New Roman" w:hAnsi="Times New Roman" w:cs="Times New Roman"/>
          <w:sz w:val="72"/>
          <w:szCs w:val="72"/>
        </w:rPr>
      </w:pPr>
    </w:p>
    <w:p w14:paraId="5306170D">
      <w:pPr>
        <w:pStyle w:val="12"/>
        <w:jc w:val="center"/>
        <w:rPr>
          <w:rFonts w:ascii="Times New Roman" w:hAnsi="Times New Roman" w:cs="Times New Roman"/>
          <w:sz w:val="72"/>
          <w:szCs w:val="72"/>
        </w:rPr>
      </w:pPr>
    </w:p>
    <w:p w14:paraId="710281E2">
      <w:pPr>
        <w:pStyle w:val="12"/>
        <w:jc w:val="center"/>
        <w:rPr>
          <w:rFonts w:ascii="Times New Roman" w:hAnsi="Times New Roman" w:cs="Times New Roman"/>
          <w:sz w:val="72"/>
          <w:szCs w:val="72"/>
        </w:rPr>
      </w:pPr>
    </w:p>
    <w:p w14:paraId="26ADC727">
      <w:pPr>
        <w:pStyle w:val="12"/>
        <w:jc w:val="center"/>
        <w:rPr>
          <w:rFonts w:ascii="Times New Roman" w:hAnsi="Times New Roman" w:cs="Times New Roman"/>
          <w:sz w:val="72"/>
          <w:szCs w:val="72"/>
        </w:rPr>
      </w:pPr>
    </w:p>
    <w:p w14:paraId="063ACA2C">
      <w:pPr>
        <w:pStyle w:val="12"/>
        <w:jc w:val="both"/>
        <w:rPr>
          <w:rFonts w:ascii="Times New Roman" w:hAnsi="Times New Roman" w:cs="Times New Roman"/>
          <w:sz w:val="72"/>
          <w:szCs w:val="72"/>
        </w:rPr>
      </w:pPr>
    </w:p>
    <w:p w14:paraId="07BA9235">
      <w:pPr>
        <w:pStyle w:val="12"/>
        <w:spacing w:line="360" w:lineRule="auto"/>
        <w:jc w:val="center"/>
        <w:rPr>
          <w:rFonts w:ascii="Times New Roman" w:hAnsi="Times New Roman" w:eastAsia="方正小标宋_GBK" w:cs="Times New Roman"/>
          <w:sz w:val="52"/>
          <w:szCs w:val="52"/>
        </w:rPr>
      </w:pPr>
    </w:p>
    <w:p w14:paraId="19E70154">
      <w:pPr>
        <w:pStyle w:val="12"/>
        <w:spacing w:line="360" w:lineRule="auto"/>
        <w:rPr>
          <w:rFonts w:ascii="Times New Roman" w:hAnsi="Times New Roman" w:eastAsia="方正小标宋_GBK" w:cs="Times New Roman"/>
          <w:sz w:val="52"/>
          <w:szCs w:val="52"/>
        </w:rPr>
      </w:pPr>
    </w:p>
    <w:p w14:paraId="44F1684C">
      <w:pPr>
        <w:pStyle w:val="12"/>
        <w:spacing w:line="360" w:lineRule="auto"/>
        <w:rPr>
          <w:rFonts w:ascii="Times New Roman" w:hAnsi="Times New Roman" w:eastAsia="方正小标宋_GBK" w:cs="Times New Roman"/>
          <w:sz w:val="52"/>
          <w:szCs w:val="52"/>
        </w:rPr>
      </w:pPr>
    </w:p>
    <w:p w14:paraId="08FF4C39">
      <w:pPr>
        <w:pStyle w:val="12"/>
        <w:spacing w:line="360" w:lineRule="auto"/>
        <w:jc w:val="center"/>
        <w:rPr>
          <w:rFonts w:ascii="Times New Roman" w:hAnsi="Times New Roman" w:eastAsia="方正小标宋_GBK" w:cs="Times New Roman"/>
          <w:sz w:val="52"/>
          <w:szCs w:val="52"/>
        </w:rPr>
      </w:pPr>
    </w:p>
    <w:p w14:paraId="025B8E6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599CF104">
      <w:pPr>
        <w:rPr>
          <w:rFonts w:ascii="Times New Roman" w:hAnsi="Times New Roman" w:cs="Times New Roman"/>
          <w:sz w:val="72"/>
          <w:szCs w:val="72"/>
        </w:rPr>
      </w:pPr>
    </w:p>
    <w:p w14:paraId="1946282F">
      <w:pPr>
        <w:ind w:firstLine="1104" w:firstLineChars="345"/>
        <w:rPr>
          <w:rFonts w:ascii="Times New Roman" w:hAnsi="Times New Roman" w:eastAsia="仿宋_GB2312" w:cs="Times New Roman"/>
          <w:bCs/>
          <w:color w:val="000000"/>
          <w:kern w:val="0"/>
          <w:sz w:val="32"/>
          <w:szCs w:val="32"/>
        </w:rPr>
      </w:pPr>
      <w:r>
        <w:rPr>
          <w:rFonts w:hint="eastAsia" w:ascii="Times New Roman" w:hAnsi="Times New Roman" w:eastAsia="仿宋_GB2312" w:cs="Times New Roman"/>
          <w:bCs/>
          <w:color w:val="000000"/>
          <w:kern w:val="0"/>
          <w:sz w:val="32"/>
          <w:szCs w:val="32"/>
        </w:rPr>
        <w:t>一、</w:t>
      </w:r>
      <w:r>
        <w:rPr>
          <w:rFonts w:ascii="Times New Roman" w:hAnsi="Times New Roman" w:eastAsia="仿宋_GB2312" w:cs="Times New Roman"/>
          <w:bCs/>
          <w:color w:val="000000"/>
          <w:kern w:val="0"/>
          <w:sz w:val="32"/>
          <w:szCs w:val="32"/>
        </w:rPr>
        <w:t>202</w:t>
      </w:r>
      <w:r>
        <w:rPr>
          <w:rFonts w:hint="eastAsia" w:ascii="Times New Roman" w:hAnsi="Times New Roman" w:eastAsia="仿宋_GB2312" w:cs="Times New Roman"/>
          <w:bCs/>
          <w:color w:val="000000"/>
          <w:kern w:val="0"/>
          <w:sz w:val="32"/>
          <w:szCs w:val="32"/>
        </w:rPr>
        <w:t>5年度部门整体支出绩效自评报告</w:t>
      </w:r>
    </w:p>
    <w:p w14:paraId="14615B5E">
      <w:pPr>
        <w:ind w:firstLine="1104" w:firstLineChars="345"/>
        <w:rPr>
          <w:rFonts w:ascii="Times New Roman" w:hAnsi="Times New Roman" w:eastAsia="仿宋_GB2312" w:cs="Times New Roman"/>
          <w:bCs/>
          <w:color w:val="000000"/>
          <w:kern w:val="0"/>
          <w:sz w:val="32"/>
          <w:szCs w:val="32"/>
        </w:rPr>
      </w:pPr>
      <w:r>
        <w:rPr>
          <w:rFonts w:hint="eastAsia" w:ascii="Times New Roman" w:hAnsi="Times New Roman" w:eastAsia="仿宋_GB2312" w:cs="Times New Roman"/>
          <w:bCs/>
          <w:color w:val="000000"/>
          <w:kern w:val="0"/>
          <w:sz w:val="32"/>
          <w:szCs w:val="32"/>
        </w:rPr>
        <w:t>二、2025年度部门重点项目支出绩效自评报告</w:t>
      </w:r>
    </w:p>
    <w:p w14:paraId="431B70F1">
      <w:pPr>
        <w:ind w:firstLine="1104" w:firstLineChars="345"/>
        <w:rPr>
          <w:rFonts w:ascii="Times New Roman" w:hAnsi="Times New Roman" w:eastAsia="仿宋_GB2312" w:cs="Times New Roman"/>
          <w:bCs/>
          <w:color w:val="000000"/>
          <w:kern w:val="0"/>
          <w:sz w:val="32"/>
          <w:szCs w:val="32"/>
        </w:rPr>
      </w:pPr>
      <w:r>
        <w:rPr>
          <w:rFonts w:hint="eastAsia" w:ascii="Times New Roman" w:hAnsi="Times New Roman" w:eastAsia="仿宋_GB2312" w:cs="Times New Roman"/>
          <w:bCs/>
          <w:color w:val="000000"/>
          <w:kern w:val="0"/>
          <w:sz w:val="32"/>
          <w:szCs w:val="32"/>
        </w:rPr>
        <w:t>三、2025年决算公开报表</w:t>
      </w:r>
    </w:p>
    <w:p w14:paraId="1F17C8D9">
      <w:pPr>
        <w:pStyle w:val="12"/>
        <w:spacing w:line="600" w:lineRule="exact"/>
        <w:ind w:firstLine="640" w:firstLineChars="200"/>
        <w:rPr>
          <w:rFonts w:ascii="Times New Roman" w:hAnsi="Times New Roman" w:eastAsia="仿宋_GB2312" w:cs="Times New Roman"/>
          <w:sz w:val="32"/>
          <w:szCs w:val="32"/>
        </w:rPr>
      </w:pPr>
    </w:p>
    <w:p w14:paraId="68A11C29">
      <w:pPr>
        <w:pStyle w:val="12"/>
        <w:jc w:val="center"/>
        <w:rPr>
          <w:rFonts w:ascii="Times New Roman" w:hAnsi="Times New Roman" w:cs="Times New Roman"/>
          <w:sz w:val="72"/>
          <w:szCs w:val="72"/>
        </w:rPr>
      </w:pPr>
    </w:p>
    <w:p w14:paraId="405E63E1">
      <w:pPr>
        <w:pStyle w:val="12"/>
        <w:jc w:val="center"/>
        <w:rPr>
          <w:rFonts w:ascii="Times New Roman" w:hAnsi="Times New Roman" w:cs="Times New Roman"/>
          <w:sz w:val="72"/>
          <w:szCs w:val="72"/>
        </w:rPr>
      </w:pPr>
    </w:p>
    <w:p w14:paraId="4DD110F8">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814F3">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0CE5A">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90E12">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5C8FD">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FC834">
    <w:pPr>
      <w:pStyle w:val="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F1739">
    <w:pPr>
      <w:pStyle w:val="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E5091">
    <w:pPr>
      <w:pStyle w:val="6"/>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Y9gwLAIAAFU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K9j2DAsAgAAVQQAAA4AAAAAAAAAAQAgAAAANQEAAGRy&#10;cy9lMm9Eb2MueG1sUEsFBgAAAAAGAAYAWQEAANMFAAAAAA==&#10;">
          <v:path/>
          <v:fill on="f" focussize="0,0"/>
          <v:stroke on="f" weight="0.5pt" joinstyle="miter"/>
          <v:imagedata o:title=""/>
          <o:lock v:ext="edit"/>
          <v:textbox inset="0mm,0mm,0mm,0mm" style="mso-fit-shape-to-text:t;">
            <w:txbxContent>
              <w:p w14:paraId="5A5C0419">
                <w:pPr>
                  <w:pStyle w:val="6"/>
                </w:pPr>
                <w:r>
                  <w:fldChar w:fldCharType="begin"/>
                </w:r>
                <w:r>
                  <w:instrText xml:space="preserve"> PAGE  \* MERGEFORMAT </w:instrText>
                </w:r>
                <w:r>
                  <w:fldChar w:fldCharType="separate"/>
                </w:r>
                <w:r>
                  <w:t>14</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76E07">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E9A23">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4555F">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506F9"/>
    <w:rsid w:val="0000001A"/>
    <w:rsid w:val="0002229B"/>
    <w:rsid w:val="000273BD"/>
    <w:rsid w:val="0003620C"/>
    <w:rsid w:val="00040CBC"/>
    <w:rsid w:val="000415B7"/>
    <w:rsid w:val="00041E3F"/>
    <w:rsid w:val="00055DAA"/>
    <w:rsid w:val="00057787"/>
    <w:rsid w:val="00061F7B"/>
    <w:rsid w:val="000658A3"/>
    <w:rsid w:val="00074155"/>
    <w:rsid w:val="00074CF9"/>
    <w:rsid w:val="00080785"/>
    <w:rsid w:val="00096E50"/>
    <w:rsid w:val="000A3F69"/>
    <w:rsid w:val="000B20F1"/>
    <w:rsid w:val="000C3125"/>
    <w:rsid w:val="000C5742"/>
    <w:rsid w:val="000E4D56"/>
    <w:rsid w:val="00103957"/>
    <w:rsid w:val="00113C26"/>
    <w:rsid w:val="00137B55"/>
    <w:rsid w:val="00152C6D"/>
    <w:rsid w:val="00162D39"/>
    <w:rsid w:val="001678BD"/>
    <w:rsid w:val="00182373"/>
    <w:rsid w:val="00182A58"/>
    <w:rsid w:val="001A67DB"/>
    <w:rsid w:val="001B4715"/>
    <w:rsid w:val="001B67D1"/>
    <w:rsid w:val="001C2586"/>
    <w:rsid w:val="001C3C29"/>
    <w:rsid w:val="001C631B"/>
    <w:rsid w:val="001D2B79"/>
    <w:rsid w:val="001D51E5"/>
    <w:rsid w:val="001E080D"/>
    <w:rsid w:val="001E53D0"/>
    <w:rsid w:val="001F0C3B"/>
    <w:rsid w:val="00202C82"/>
    <w:rsid w:val="00206101"/>
    <w:rsid w:val="00214427"/>
    <w:rsid w:val="00220689"/>
    <w:rsid w:val="00221AFD"/>
    <w:rsid w:val="00226CB7"/>
    <w:rsid w:val="00250340"/>
    <w:rsid w:val="00252450"/>
    <w:rsid w:val="00264552"/>
    <w:rsid w:val="00264EF9"/>
    <w:rsid w:val="00265724"/>
    <w:rsid w:val="00265AAC"/>
    <w:rsid w:val="0027426B"/>
    <w:rsid w:val="0029417C"/>
    <w:rsid w:val="00296D60"/>
    <w:rsid w:val="002B25F7"/>
    <w:rsid w:val="002E0A30"/>
    <w:rsid w:val="002F65FA"/>
    <w:rsid w:val="0030077D"/>
    <w:rsid w:val="003130C4"/>
    <w:rsid w:val="00316C4B"/>
    <w:rsid w:val="0032192B"/>
    <w:rsid w:val="0033283E"/>
    <w:rsid w:val="003479BD"/>
    <w:rsid w:val="0037197D"/>
    <w:rsid w:val="003768D5"/>
    <w:rsid w:val="00384B6B"/>
    <w:rsid w:val="003926B9"/>
    <w:rsid w:val="003A28E6"/>
    <w:rsid w:val="003B0766"/>
    <w:rsid w:val="003C2E17"/>
    <w:rsid w:val="003C47E6"/>
    <w:rsid w:val="003C4FC2"/>
    <w:rsid w:val="00401F9A"/>
    <w:rsid w:val="00416E61"/>
    <w:rsid w:val="00417F6A"/>
    <w:rsid w:val="0042790C"/>
    <w:rsid w:val="00436BEB"/>
    <w:rsid w:val="004506F9"/>
    <w:rsid w:val="00460C87"/>
    <w:rsid w:val="00462315"/>
    <w:rsid w:val="004717A2"/>
    <w:rsid w:val="00473DF3"/>
    <w:rsid w:val="00487911"/>
    <w:rsid w:val="00487FAE"/>
    <w:rsid w:val="00490F48"/>
    <w:rsid w:val="00491741"/>
    <w:rsid w:val="004B0CEE"/>
    <w:rsid w:val="004C2A0A"/>
    <w:rsid w:val="004D0085"/>
    <w:rsid w:val="004E7465"/>
    <w:rsid w:val="004F5EFB"/>
    <w:rsid w:val="00500E5F"/>
    <w:rsid w:val="005122EF"/>
    <w:rsid w:val="0051441A"/>
    <w:rsid w:val="00517C33"/>
    <w:rsid w:val="00517D5F"/>
    <w:rsid w:val="00523644"/>
    <w:rsid w:val="0054069E"/>
    <w:rsid w:val="00544866"/>
    <w:rsid w:val="00552A3D"/>
    <w:rsid w:val="00574CC8"/>
    <w:rsid w:val="005767CC"/>
    <w:rsid w:val="00576A1B"/>
    <w:rsid w:val="00590D9F"/>
    <w:rsid w:val="005950B8"/>
    <w:rsid w:val="00595D26"/>
    <w:rsid w:val="00596DAC"/>
    <w:rsid w:val="005A4FEB"/>
    <w:rsid w:val="005A74E6"/>
    <w:rsid w:val="005A7607"/>
    <w:rsid w:val="005B404E"/>
    <w:rsid w:val="005D4D55"/>
    <w:rsid w:val="005E03AA"/>
    <w:rsid w:val="005E0E6C"/>
    <w:rsid w:val="005E2CFB"/>
    <w:rsid w:val="005E5E26"/>
    <w:rsid w:val="005F2103"/>
    <w:rsid w:val="005F3D1C"/>
    <w:rsid w:val="005F4189"/>
    <w:rsid w:val="006171EE"/>
    <w:rsid w:val="0062378F"/>
    <w:rsid w:val="00641842"/>
    <w:rsid w:val="00651EEC"/>
    <w:rsid w:val="00666925"/>
    <w:rsid w:val="00686673"/>
    <w:rsid w:val="00691E8C"/>
    <w:rsid w:val="006A22C4"/>
    <w:rsid w:val="006A3108"/>
    <w:rsid w:val="006A351B"/>
    <w:rsid w:val="006B0422"/>
    <w:rsid w:val="006C1B53"/>
    <w:rsid w:val="006D7730"/>
    <w:rsid w:val="006E5284"/>
    <w:rsid w:val="006F1AD9"/>
    <w:rsid w:val="006F3EB5"/>
    <w:rsid w:val="006F56C8"/>
    <w:rsid w:val="00702E34"/>
    <w:rsid w:val="00704395"/>
    <w:rsid w:val="00710FE7"/>
    <w:rsid w:val="00717621"/>
    <w:rsid w:val="00720FF1"/>
    <w:rsid w:val="00727A53"/>
    <w:rsid w:val="00734981"/>
    <w:rsid w:val="00734EEA"/>
    <w:rsid w:val="0074486E"/>
    <w:rsid w:val="007502DE"/>
    <w:rsid w:val="00761459"/>
    <w:rsid w:val="00773E29"/>
    <w:rsid w:val="00787B42"/>
    <w:rsid w:val="007A0510"/>
    <w:rsid w:val="007C4539"/>
    <w:rsid w:val="007E523C"/>
    <w:rsid w:val="007F3657"/>
    <w:rsid w:val="0081050D"/>
    <w:rsid w:val="00810F0C"/>
    <w:rsid w:val="00811AA2"/>
    <w:rsid w:val="00812ED5"/>
    <w:rsid w:val="008277D9"/>
    <w:rsid w:val="0084478C"/>
    <w:rsid w:val="0086638C"/>
    <w:rsid w:val="008764FA"/>
    <w:rsid w:val="008A1079"/>
    <w:rsid w:val="008A3E8D"/>
    <w:rsid w:val="008A4F6F"/>
    <w:rsid w:val="008A5055"/>
    <w:rsid w:val="008B0B75"/>
    <w:rsid w:val="008B5EED"/>
    <w:rsid w:val="008C356C"/>
    <w:rsid w:val="008D17F4"/>
    <w:rsid w:val="008E31F8"/>
    <w:rsid w:val="008F6691"/>
    <w:rsid w:val="008F6BAA"/>
    <w:rsid w:val="009237C4"/>
    <w:rsid w:val="00944C48"/>
    <w:rsid w:val="00950252"/>
    <w:rsid w:val="00966197"/>
    <w:rsid w:val="00967F5D"/>
    <w:rsid w:val="009A0F95"/>
    <w:rsid w:val="009B26C5"/>
    <w:rsid w:val="009B3ADF"/>
    <w:rsid w:val="009B6AAB"/>
    <w:rsid w:val="009C0F8B"/>
    <w:rsid w:val="009C31C5"/>
    <w:rsid w:val="009C3B52"/>
    <w:rsid w:val="009C692F"/>
    <w:rsid w:val="009D6454"/>
    <w:rsid w:val="009E6817"/>
    <w:rsid w:val="009E6E9A"/>
    <w:rsid w:val="00A01D2B"/>
    <w:rsid w:val="00A11FA0"/>
    <w:rsid w:val="00A1392A"/>
    <w:rsid w:val="00A42218"/>
    <w:rsid w:val="00A540CE"/>
    <w:rsid w:val="00A563E1"/>
    <w:rsid w:val="00A57AA7"/>
    <w:rsid w:val="00A70249"/>
    <w:rsid w:val="00A70B02"/>
    <w:rsid w:val="00A71D9F"/>
    <w:rsid w:val="00A92E9F"/>
    <w:rsid w:val="00AB18FF"/>
    <w:rsid w:val="00AB4175"/>
    <w:rsid w:val="00AD3699"/>
    <w:rsid w:val="00AE0457"/>
    <w:rsid w:val="00AE52E7"/>
    <w:rsid w:val="00B26269"/>
    <w:rsid w:val="00B33BEA"/>
    <w:rsid w:val="00B34BC3"/>
    <w:rsid w:val="00B57C9F"/>
    <w:rsid w:val="00B6227D"/>
    <w:rsid w:val="00B63572"/>
    <w:rsid w:val="00B845B3"/>
    <w:rsid w:val="00B85D8B"/>
    <w:rsid w:val="00B97167"/>
    <w:rsid w:val="00BB4A40"/>
    <w:rsid w:val="00BD6022"/>
    <w:rsid w:val="00BD6C3E"/>
    <w:rsid w:val="00BE3674"/>
    <w:rsid w:val="00C10681"/>
    <w:rsid w:val="00C10822"/>
    <w:rsid w:val="00C15C89"/>
    <w:rsid w:val="00C27C0D"/>
    <w:rsid w:val="00C3049A"/>
    <w:rsid w:val="00C31B1E"/>
    <w:rsid w:val="00C32F2E"/>
    <w:rsid w:val="00C47A83"/>
    <w:rsid w:val="00C73888"/>
    <w:rsid w:val="00C77645"/>
    <w:rsid w:val="00CC0D33"/>
    <w:rsid w:val="00CE04C3"/>
    <w:rsid w:val="00CE34BE"/>
    <w:rsid w:val="00CE6E06"/>
    <w:rsid w:val="00CE76A0"/>
    <w:rsid w:val="00D148C6"/>
    <w:rsid w:val="00D17A8A"/>
    <w:rsid w:val="00D26CA8"/>
    <w:rsid w:val="00D3350F"/>
    <w:rsid w:val="00D415BA"/>
    <w:rsid w:val="00D516FE"/>
    <w:rsid w:val="00D63780"/>
    <w:rsid w:val="00D644EE"/>
    <w:rsid w:val="00D771FF"/>
    <w:rsid w:val="00DB2364"/>
    <w:rsid w:val="00DD06FF"/>
    <w:rsid w:val="00DD5FE9"/>
    <w:rsid w:val="00DF6C3F"/>
    <w:rsid w:val="00E00C7A"/>
    <w:rsid w:val="00E17B7E"/>
    <w:rsid w:val="00E37D6C"/>
    <w:rsid w:val="00E55B68"/>
    <w:rsid w:val="00E561AE"/>
    <w:rsid w:val="00E67BE6"/>
    <w:rsid w:val="00E8683C"/>
    <w:rsid w:val="00EA2B72"/>
    <w:rsid w:val="00F74360"/>
    <w:rsid w:val="00F959AE"/>
    <w:rsid w:val="00FA0664"/>
    <w:rsid w:val="00FB462F"/>
    <w:rsid w:val="00FE16FA"/>
    <w:rsid w:val="00FE328A"/>
    <w:rsid w:val="00FE33E2"/>
    <w:rsid w:val="00FE6269"/>
    <w:rsid w:val="00FF5CD6"/>
    <w:rsid w:val="1D97DEFF"/>
    <w:rsid w:val="1DFF72E5"/>
    <w:rsid w:val="1EFC6F07"/>
    <w:rsid w:val="2FDF85B8"/>
    <w:rsid w:val="2FFFEE04"/>
    <w:rsid w:val="34DF85B0"/>
    <w:rsid w:val="3B8F36BC"/>
    <w:rsid w:val="491FF225"/>
    <w:rsid w:val="4FFD214C"/>
    <w:rsid w:val="5777D4F5"/>
    <w:rsid w:val="59DD8326"/>
    <w:rsid w:val="5DEF592A"/>
    <w:rsid w:val="5FC6BB1E"/>
    <w:rsid w:val="5FF720F1"/>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BDFF7FD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911</Words>
  <Characters>5197</Characters>
  <Lines>43</Lines>
  <Paragraphs>12</Paragraphs>
  <TotalTime>0</TotalTime>
  <ScaleCrop>false</ScaleCrop>
  <LinksUpToDate>false</LinksUpToDate>
  <CharactersWithSpaces>6096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2026-09-08T10:07:00Z</dcterms:created>
  <dc:creator>李航 null</dc:creator>
  <cp:lastModifiedBy>A梦</cp:lastModifiedBy>
  <cp:lastPrinted>2026-09-09T17:10:00Z</cp:lastPrinted>
  <dcterms:modified xsi:type="dcterms:W3CDTF">2026-10-15T11:01:07Z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ies>
</file>