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hint="eastAsia"/>
          <w:sz w:val="56"/>
          <w:szCs w:val="56"/>
        </w:rPr>
      </w:pPr>
    </w:p>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sz w:val="84"/>
          <w:szCs w:val="84"/>
        </w:rPr>
      </w:pPr>
      <w:r>
        <w:rPr>
          <w:rFonts w:hint="eastAsia"/>
          <w:sz w:val="84"/>
          <w:szCs w:val="84"/>
        </w:rPr>
        <w:t>202</w:t>
      </w:r>
      <w:r>
        <w:rPr>
          <w:rFonts w:hint="eastAsia"/>
          <w:sz w:val="84"/>
          <w:szCs w:val="84"/>
          <w:lang w:val="en-US" w:eastAsia="zh-CN"/>
        </w:rPr>
        <w:t>4</w:t>
      </w:r>
      <w:r>
        <w:rPr>
          <w:rFonts w:hint="eastAsia"/>
          <w:sz w:val="84"/>
          <w:szCs w:val="84"/>
        </w:rPr>
        <w:t>年度</w:t>
      </w:r>
    </w:p>
    <w:p>
      <w:pPr>
        <w:pStyle w:val="16"/>
        <w:jc w:val="center"/>
        <w:rPr>
          <w:sz w:val="84"/>
          <w:szCs w:val="84"/>
        </w:rPr>
      </w:pPr>
      <w:r>
        <w:rPr>
          <w:rFonts w:hint="eastAsia"/>
          <w:sz w:val="84"/>
          <w:szCs w:val="84"/>
          <w:lang w:eastAsia="zh-CN"/>
        </w:rPr>
        <w:t>怀化市财政局</w:t>
      </w:r>
      <w:r>
        <w:rPr>
          <w:rFonts w:hint="eastAsia"/>
          <w:sz w:val="84"/>
          <w:szCs w:val="84"/>
        </w:rPr>
        <w:t>部门决算</w:t>
      </w: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00" w:lineRule="exact"/>
        <w:jc w:val="center"/>
        <w:rPr>
          <w:b/>
          <w:sz w:val="36"/>
          <w:szCs w:val="28"/>
        </w:rPr>
      </w:pPr>
      <w:r>
        <w:rPr>
          <w:rFonts w:hint="eastAsia"/>
          <w:b/>
          <w:sz w:val="36"/>
          <w:szCs w:val="28"/>
        </w:rPr>
        <w:t>目录</w:t>
      </w:r>
    </w:p>
    <w:p>
      <w:pPr>
        <w:pStyle w:val="16"/>
        <w:keepNext w:val="0"/>
        <w:keepLines w:val="0"/>
        <w:pageBreakBefore w:val="0"/>
        <w:widowControl w:val="0"/>
        <w:kinsoku/>
        <w:wordWrap/>
        <w:overflowPunct/>
        <w:topLinePunct w:val="0"/>
        <w:bidi w:val="0"/>
        <w:snapToGrid/>
        <w:spacing w:line="480" w:lineRule="exact"/>
        <w:ind w:left="0" w:leftChars="0" w:right="0" w:rightChars="0"/>
        <w:jc w:val="left"/>
        <w:textAlignment w:val="auto"/>
        <w:outlineLvl w:val="9"/>
        <w:rPr>
          <w:rFonts w:hint="eastAsia"/>
          <w:b/>
          <w:sz w:val="13"/>
          <w:szCs w:val="13"/>
        </w:rPr>
      </w:pPr>
    </w:p>
    <w:p>
      <w:pPr>
        <w:pStyle w:val="16"/>
        <w:keepNext w:val="0"/>
        <w:keepLines w:val="0"/>
        <w:pageBreakBefore w:val="0"/>
        <w:widowControl w:val="0"/>
        <w:kinsoku/>
        <w:wordWrap/>
        <w:overflowPunct/>
        <w:topLinePunct w:val="0"/>
        <w:bidi w:val="0"/>
        <w:snapToGrid/>
        <w:spacing w:line="480" w:lineRule="exact"/>
        <w:ind w:left="0" w:leftChars="0" w:right="0" w:rightChars="0"/>
        <w:jc w:val="left"/>
        <w:textAlignment w:val="auto"/>
        <w:outlineLvl w:val="9"/>
        <w:rPr>
          <w:rFonts w:ascii="仿宋_GB2312" w:hAnsi="仿宋_GB2312" w:cs="仿宋_GB2312"/>
          <w:b/>
          <w:sz w:val="32"/>
          <w:szCs w:val="32"/>
        </w:rPr>
      </w:pPr>
      <w:r>
        <w:rPr>
          <w:rFonts w:hint="eastAsia"/>
          <w:b/>
          <w:sz w:val="32"/>
          <w:szCs w:val="32"/>
        </w:rPr>
        <w:t>第一部分</w:t>
      </w:r>
      <w:r>
        <w:rPr>
          <w:rFonts w:hint="eastAsia"/>
          <w:b/>
          <w:sz w:val="32"/>
          <w:szCs w:val="32"/>
          <w:lang w:val="en-US" w:eastAsia="zh-CN"/>
        </w:rPr>
        <w:t xml:space="preserve"> </w:t>
      </w:r>
      <w:r>
        <w:rPr>
          <w:rFonts w:hint="eastAsia"/>
          <w:b/>
          <w:sz w:val="32"/>
          <w:szCs w:val="32"/>
          <w:lang w:eastAsia="zh-CN"/>
        </w:rPr>
        <w:t>怀化市财政局</w:t>
      </w:r>
      <w:r>
        <w:rPr>
          <w:rFonts w:hint="eastAsia"/>
          <w:b/>
          <w:sz w:val="32"/>
          <w:szCs w:val="32"/>
        </w:rPr>
        <w:t>概况</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一、部门职责</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二、机构设置</w:t>
      </w:r>
    </w:p>
    <w:p>
      <w:pPr>
        <w:pStyle w:val="16"/>
        <w:keepNext w:val="0"/>
        <w:keepLines w:val="0"/>
        <w:pageBreakBefore w:val="0"/>
        <w:widowControl w:val="0"/>
        <w:kinsoku/>
        <w:wordWrap/>
        <w:overflowPunct/>
        <w:topLinePunct w:val="0"/>
        <w:bidi w:val="0"/>
        <w:snapToGrid/>
        <w:spacing w:line="480" w:lineRule="exact"/>
        <w:ind w:left="0" w:leftChars="0" w:right="0" w:rightChars="0"/>
        <w:jc w:val="left"/>
        <w:textAlignment w:val="auto"/>
        <w:outlineLvl w:val="9"/>
        <w:rPr>
          <w:rFonts w:ascii="仿宋_GB2312" w:hAnsi="仿宋_GB2312" w:cs="仿宋_GB2312"/>
          <w:b/>
          <w:sz w:val="32"/>
          <w:szCs w:val="32"/>
        </w:rPr>
      </w:pPr>
      <w:r>
        <w:rPr>
          <w:rFonts w:hint="eastAsia" w:hAnsi="仿宋_GB2312"/>
          <w:b/>
          <w:sz w:val="32"/>
          <w:szCs w:val="32"/>
        </w:rPr>
        <w:t>第二部分</w:t>
      </w:r>
      <w:r>
        <w:rPr>
          <w:rFonts w:hint="eastAsia" w:hAnsi="仿宋_GB2312"/>
          <w:b/>
          <w:sz w:val="32"/>
          <w:szCs w:val="32"/>
          <w:lang w:val="en-US" w:eastAsia="zh-CN"/>
        </w:rPr>
        <w:t xml:space="preserve"> </w:t>
      </w:r>
      <w:r>
        <w:rPr>
          <w:rFonts w:hint="eastAsia" w:hAnsi="仿宋_GB2312"/>
          <w:b/>
          <w:sz w:val="32"/>
          <w:szCs w:val="32"/>
        </w:rPr>
        <w:t>部门决算表</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一、收入支出决算总表</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二、收入决算表</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三、支出决算表</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四、财政拨款收入支出决算总表</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五、一般公共预算财政拨款支出决算表</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六、一般公共预算财政拨款基本支出决算</w:t>
      </w:r>
      <w:r>
        <w:rPr>
          <w:rFonts w:hint="eastAsia" w:cs="仿宋_GB2312" w:asciiTheme="minorEastAsia" w:hAnsiTheme="minorEastAsia" w:eastAsiaTheme="minorEastAsia"/>
          <w:sz w:val="32"/>
          <w:szCs w:val="32"/>
        </w:rPr>
        <w:t>明细</w:t>
      </w:r>
      <w:r>
        <w:rPr>
          <w:rFonts w:cs="仿宋_GB2312" w:asciiTheme="minorEastAsia" w:hAnsiTheme="minorEastAsia" w:eastAsiaTheme="minorEastAsia"/>
          <w:sz w:val="32"/>
          <w:szCs w:val="32"/>
        </w:rPr>
        <w:t>表</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七、政府性基金预算财政拨款收入支出决算表</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八、国有资本经营预算财政拨款支出决算表</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九、财政拨款“三公”经费支出决算表</w:t>
      </w:r>
    </w:p>
    <w:p>
      <w:pPr>
        <w:pStyle w:val="16"/>
        <w:keepNext w:val="0"/>
        <w:keepLines w:val="0"/>
        <w:pageBreakBefore w:val="0"/>
        <w:widowControl w:val="0"/>
        <w:kinsoku/>
        <w:wordWrap/>
        <w:overflowPunct/>
        <w:topLinePunct w:val="0"/>
        <w:bidi w:val="0"/>
        <w:snapToGrid/>
        <w:spacing w:line="480" w:lineRule="exact"/>
        <w:ind w:left="0" w:leftChars="0" w:right="0" w:rightChars="0"/>
        <w:jc w:val="left"/>
        <w:textAlignment w:val="auto"/>
        <w:outlineLvl w:val="9"/>
        <w:rPr>
          <w:rFonts w:ascii="仿宋_GB2312" w:hAnsi="仿宋_GB2312" w:cs="仿宋_GB2312"/>
          <w:b/>
          <w:sz w:val="32"/>
          <w:szCs w:val="32"/>
        </w:rPr>
      </w:pPr>
      <w:r>
        <w:rPr>
          <w:rFonts w:hint="eastAsia" w:hAnsi="仿宋_GB2312"/>
          <w:b/>
          <w:sz w:val="32"/>
          <w:szCs w:val="32"/>
        </w:rPr>
        <w:t>第三部分</w:t>
      </w:r>
      <w:r>
        <w:rPr>
          <w:rFonts w:hint="eastAsia" w:hAnsi="仿宋_GB2312"/>
          <w:b/>
          <w:sz w:val="32"/>
          <w:szCs w:val="32"/>
          <w:lang w:val="en-US" w:eastAsia="zh-CN"/>
        </w:rPr>
        <w:t xml:space="preserve"> </w:t>
      </w:r>
      <w:r>
        <w:rPr>
          <w:rFonts w:hint="eastAsia" w:hAnsi="仿宋_GB2312"/>
          <w:b/>
          <w:sz w:val="32"/>
          <w:szCs w:val="32"/>
        </w:rPr>
        <w:t>部门决算情况说明</w:t>
      </w:r>
    </w:p>
    <w:p>
      <w:pPr>
        <w:pStyle w:val="16"/>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一、收入支出决算总体情况说明</w:t>
      </w:r>
    </w:p>
    <w:p>
      <w:pPr>
        <w:keepNext w:val="0"/>
        <w:keepLines w:val="0"/>
        <w:pageBreakBefore w:val="0"/>
        <w:widowControl w:val="0"/>
        <w:kinsoku/>
        <w:wordWrap/>
        <w:overflowPunct/>
        <w:topLinePunct w:val="0"/>
        <w:bidi w:val="0"/>
        <w:snapToGrid/>
        <w:spacing w:line="480" w:lineRule="exact"/>
        <w:ind w:left="0" w:leftChars="0" w:right="0" w:rightChars="0" w:firstLine="800" w:firstLineChars="250"/>
        <w:jc w:val="left"/>
        <w:textAlignment w:val="auto"/>
        <w:outlineLvl w:val="9"/>
        <w:rPr>
          <w:rFonts w:ascii="仿宋_GB2312" w:hAnsi="仿宋_GB2312" w:cs="仿宋_GB2312"/>
          <w:sz w:val="32"/>
          <w:szCs w:val="32"/>
        </w:rPr>
      </w:pPr>
      <w:r>
        <w:rPr>
          <w:rFonts w:ascii="仿宋_GB2312" w:hAnsi="仿宋_GB2312" w:cs="仿宋_GB2312"/>
          <w:sz w:val="32"/>
          <w:szCs w:val="32"/>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ascii="仿宋_GB2312" w:hAnsi="仿宋_GB2312" w:cs="仿宋_GB2312"/>
          <w:color w:val="000000"/>
          <w:kern w:val="0"/>
          <w:sz w:val="32"/>
          <w:szCs w:val="32"/>
        </w:rPr>
      </w:pPr>
      <w:r>
        <w:rPr>
          <w:rFonts w:ascii="仿宋_GB2312" w:hAnsi="仿宋_GB2312" w:cs="仿宋_GB2312"/>
          <w:color w:val="000000"/>
          <w:kern w:val="0"/>
          <w:sz w:val="32"/>
          <w:szCs w:val="32"/>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ascii="仿宋_GB2312" w:hAnsi="仿宋_GB2312" w:cs="仿宋_GB2312"/>
          <w:color w:val="000000"/>
          <w:kern w:val="0"/>
          <w:sz w:val="32"/>
          <w:szCs w:val="32"/>
        </w:rPr>
      </w:pPr>
      <w:r>
        <w:rPr>
          <w:rFonts w:ascii="仿宋_GB2312" w:hAnsi="仿宋_GB2312" w:cs="仿宋_GB2312"/>
          <w:color w:val="000000"/>
          <w:kern w:val="0"/>
          <w:sz w:val="32"/>
          <w:szCs w:val="32"/>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ascii="仿宋_GB2312" w:hAnsi="仿宋_GB2312" w:cs="仿宋_GB2312"/>
          <w:color w:val="000000"/>
          <w:kern w:val="0"/>
          <w:sz w:val="32"/>
          <w:szCs w:val="32"/>
        </w:rPr>
      </w:pPr>
      <w:r>
        <w:rPr>
          <w:rFonts w:ascii="仿宋_GB2312" w:hAnsi="仿宋_GB2312" w:cs="仿宋_GB2312"/>
          <w:color w:val="000000"/>
          <w:kern w:val="0"/>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ascii="仿宋_GB2312" w:hAnsi="仿宋_GB2312" w:cs="仿宋_GB2312"/>
          <w:color w:val="000000"/>
          <w:kern w:val="0"/>
          <w:sz w:val="32"/>
          <w:szCs w:val="32"/>
        </w:rPr>
      </w:pPr>
      <w:r>
        <w:rPr>
          <w:rFonts w:ascii="仿宋_GB2312" w:hAnsi="仿宋_GB2312" w:cs="仿宋_GB2312"/>
          <w:color w:val="000000"/>
          <w:kern w:val="0"/>
          <w:sz w:val="32"/>
          <w:szCs w:val="32"/>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hint="eastAsia" w:ascii="仿宋_GB2312" w:hAnsi="仿宋_GB2312" w:cs="仿宋_GB2312"/>
          <w:color w:val="000000"/>
          <w:kern w:val="0"/>
          <w:sz w:val="32"/>
          <w:szCs w:val="32"/>
        </w:rPr>
      </w:pPr>
      <w:r>
        <w:rPr>
          <w:rFonts w:hint="eastAsia" w:ascii="仿宋_GB2312" w:hAnsi="仿宋_GB2312" w:cs="仿宋_GB2312"/>
          <w:color w:val="000000"/>
          <w:kern w:val="0"/>
          <w:sz w:val="32"/>
          <w:szCs w:val="32"/>
        </w:rPr>
        <w:t>七、财政拨款三公经费支出决算情况说明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hint="eastAsia" w:ascii="仿宋_GB2312" w:hAnsi="仿宋_GB2312" w:cs="仿宋_GB2312"/>
          <w:color w:val="000000"/>
          <w:kern w:val="0"/>
          <w:sz w:val="32"/>
          <w:szCs w:val="32"/>
        </w:rPr>
      </w:pPr>
      <w:r>
        <w:rPr>
          <w:rFonts w:hint="eastAsia" w:ascii="仿宋_GB2312" w:hAnsi="仿宋_GB2312" w:cs="仿宋_GB2312"/>
          <w:color w:val="000000"/>
          <w:kern w:val="0"/>
          <w:sz w:val="32"/>
          <w:szCs w:val="32"/>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lang w:val="en-US" w:eastAsia="zh-CN"/>
        </w:rPr>
        <w:t>九、国有资本经营预算收入支出决算情况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800" w:firstLineChars="250"/>
        <w:jc w:val="left"/>
        <w:textAlignment w:val="auto"/>
        <w:rPr>
          <w:rFonts w:hint="eastAsia" w:ascii="仿宋_GB2312" w:hAnsi="仿宋_GB2312" w:cs="仿宋_GB2312" w:eastAsiaTheme="minorEastAsia"/>
          <w:color w:val="000000"/>
          <w:kern w:val="0"/>
          <w:sz w:val="32"/>
          <w:szCs w:val="32"/>
          <w:lang w:eastAsia="zh-CN"/>
        </w:rPr>
      </w:pPr>
      <w:r>
        <w:rPr>
          <w:rFonts w:hint="eastAsia" w:ascii="仿宋_GB2312" w:hAnsi="仿宋_GB2312" w:cs="仿宋_GB2312"/>
          <w:color w:val="000000"/>
          <w:kern w:val="0"/>
          <w:sz w:val="32"/>
          <w:szCs w:val="32"/>
          <w:lang w:eastAsia="zh-CN"/>
        </w:rPr>
        <w:t>十</w:t>
      </w:r>
      <w:r>
        <w:rPr>
          <w:rFonts w:ascii="仿宋_GB2312" w:hAnsi="仿宋_GB2312" w:cs="仿宋_GB2312"/>
          <w:color w:val="000000"/>
          <w:kern w:val="0"/>
          <w:sz w:val="32"/>
          <w:szCs w:val="32"/>
        </w:rPr>
        <w:t>、</w:t>
      </w:r>
      <w:r>
        <w:rPr>
          <w:rFonts w:hint="eastAsia" w:cs="仿宋_GB2312" w:asciiTheme="minorEastAsia" w:hAnsiTheme="minorEastAsia" w:eastAsiaTheme="minorEastAsia"/>
          <w:sz w:val="32"/>
          <w:szCs w:val="32"/>
        </w:rPr>
        <w:t>国有资本经营预算财政拨款支出决算</w:t>
      </w:r>
      <w:r>
        <w:rPr>
          <w:rFonts w:hint="eastAsia" w:cs="仿宋_GB2312" w:asciiTheme="minorEastAsia" w:hAnsiTheme="minorEastAsia"/>
          <w:sz w:val="32"/>
          <w:szCs w:val="32"/>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hint="eastAsia" w:ascii="仿宋_GB2312" w:hAnsi="仿宋_GB2312" w:cs="仿宋_GB2312"/>
          <w:color w:val="auto"/>
          <w:kern w:val="0"/>
          <w:sz w:val="32"/>
          <w:szCs w:val="32"/>
          <w:lang w:val="en-US" w:eastAsia="zh-CN"/>
        </w:rPr>
      </w:pPr>
      <w:r>
        <w:rPr>
          <w:rFonts w:hint="eastAsia" w:ascii="仿宋_GB2312" w:hAnsi="仿宋_GB2312" w:cs="仿宋_GB2312"/>
          <w:color w:val="auto"/>
          <w:kern w:val="0"/>
          <w:sz w:val="32"/>
          <w:szCs w:val="32"/>
          <w:lang w:val="en-US" w:eastAsia="zh-CN"/>
        </w:rPr>
        <w:t>十一、关于机关运行经费支出说明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hint="eastAsia" w:ascii="仿宋_GB2312" w:hAnsi="仿宋_GB2312" w:cs="仿宋_GB2312"/>
          <w:color w:val="auto"/>
          <w:kern w:val="0"/>
          <w:sz w:val="32"/>
          <w:szCs w:val="32"/>
          <w:lang w:val="en-US" w:eastAsia="zh-CN"/>
        </w:rPr>
      </w:pPr>
      <w:r>
        <w:rPr>
          <w:rFonts w:hint="eastAsia" w:ascii="仿宋_GB2312" w:hAnsi="仿宋_GB2312" w:cs="仿宋_GB2312"/>
          <w:color w:val="auto"/>
          <w:kern w:val="0"/>
          <w:sz w:val="32"/>
          <w:szCs w:val="32"/>
          <w:lang w:val="en-US" w:eastAsia="zh-CN"/>
        </w:rPr>
        <w:t>十二、一般性支出情况说明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hint="eastAsia" w:ascii="仿宋_GB2312" w:hAnsi="仿宋_GB2312" w:cs="仿宋_GB2312"/>
          <w:color w:val="auto"/>
          <w:kern w:val="0"/>
          <w:sz w:val="32"/>
          <w:szCs w:val="32"/>
          <w:lang w:val="en-US" w:eastAsia="zh-CN"/>
        </w:rPr>
      </w:pPr>
      <w:r>
        <w:rPr>
          <w:rFonts w:hint="eastAsia" w:ascii="仿宋_GB2312" w:hAnsi="仿宋_GB2312" w:cs="仿宋_GB2312"/>
          <w:color w:val="auto"/>
          <w:kern w:val="0"/>
          <w:sz w:val="32"/>
          <w:szCs w:val="32"/>
          <w:lang w:val="en-US" w:eastAsia="zh-CN"/>
        </w:rPr>
        <w:t>十三、关于政府采购支出说明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hint="eastAsia" w:ascii="仿宋_GB2312" w:hAnsi="仿宋_GB2312" w:cs="仿宋_GB2312"/>
          <w:color w:val="000000"/>
          <w:kern w:val="0"/>
          <w:sz w:val="32"/>
          <w:szCs w:val="32"/>
        </w:rPr>
      </w:pPr>
      <w:r>
        <w:rPr>
          <w:rFonts w:hint="eastAsia" w:ascii="仿宋_GB2312" w:hAnsi="仿宋_GB2312" w:cs="仿宋_GB2312"/>
          <w:color w:val="000000"/>
          <w:kern w:val="0"/>
          <w:sz w:val="32"/>
          <w:szCs w:val="32"/>
        </w:rPr>
        <w:t>十</w:t>
      </w:r>
      <w:r>
        <w:rPr>
          <w:rFonts w:hint="eastAsia" w:ascii="仿宋_GB2312" w:hAnsi="仿宋_GB2312" w:cs="仿宋_GB2312"/>
          <w:color w:val="000000"/>
          <w:kern w:val="0"/>
          <w:sz w:val="32"/>
          <w:szCs w:val="32"/>
          <w:lang w:eastAsia="zh-CN"/>
        </w:rPr>
        <w:t>四</w:t>
      </w:r>
      <w:r>
        <w:rPr>
          <w:rFonts w:hint="eastAsia" w:ascii="仿宋_GB2312" w:hAnsi="仿宋_GB2312" w:cs="仿宋_GB2312"/>
          <w:color w:val="000000"/>
          <w:kern w:val="0"/>
          <w:sz w:val="32"/>
          <w:szCs w:val="32"/>
        </w:rPr>
        <w:t>、关于国有资产占用情况说明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800" w:firstLineChars="250"/>
        <w:jc w:val="left"/>
        <w:textAlignment w:val="auto"/>
        <w:outlineLvl w:val="9"/>
        <w:rPr>
          <w:rFonts w:hint="eastAsia" w:ascii="仿宋_GB2312" w:hAnsi="仿宋_GB2312" w:cs="仿宋_GB2312"/>
          <w:color w:val="000000"/>
          <w:kern w:val="0"/>
          <w:sz w:val="32"/>
          <w:szCs w:val="32"/>
        </w:rPr>
      </w:pPr>
      <w:r>
        <w:rPr>
          <w:rFonts w:hint="eastAsia" w:ascii="仿宋_GB2312" w:hAnsi="仿宋_GB2312" w:cs="仿宋_GB2312"/>
          <w:color w:val="000000"/>
          <w:kern w:val="0"/>
          <w:sz w:val="32"/>
          <w:szCs w:val="32"/>
        </w:rPr>
        <w:t>十</w:t>
      </w:r>
      <w:r>
        <w:rPr>
          <w:rFonts w:hint="eastAsia" w:ascii="仿宋_GB2312" w:hAnsi="仿宋_GB2312" w:cs="仿宋_GB2312"/>
          <w:color w:val="000000"/>
          <w:kern w:val="0"/>
          <w:sz w:val="32"/>
          <w:szCs w:val="32"/>
          <w:lang w:eastAsia="zh-CN"/>
        </w:rPr>
        <w:t>五</w:t>
      </w:r>
      <w:r>
        <w:rPr>
          <w:rFonts w:hint="eastAsia" w:ascii="仿宋_GB2312" w:hAnsi="仿宋_GB2312" w:cs="仿宋_GB2312"/>
          <w:color w:val="000000"/>
          <w:kern w:val="0"/>
          <w:sz w:val="32"/>
          <w:szCs w:val="32"/>
        </w:rPr>
        <w:t>、关于</w:t>
      </w:r>
      <w:r>
        <w:rPr>
          <w:rFonts w:hint="default" w:ascii="仿宋_GB2312" w:hAnsi="仿宋_GB2312" w:cs="仿宋_GB2312"/>
          <w:color w:val="000000"/>
          <w:kern w:val="0"/>
          <w:sz w:val="32"/>
          <w:szCs w:val="32"/>
        </w:rPr>
        <w:t>202</w:t>
      </w:r>
      <w:r>
        <w:rPr>
          <w:rFonts w:hint="eastAsia" w:ascii="仿宋_GB2312" w:hAnsi="仿宋_GB2312" w:cs="仿宋_GB2312"/>
          <w:color w:val="000000"/>
          <w:kern w:val="0"/>
          <w:sz w:val="32"/>
          <w:szCs w:val="32"/>
          <w:lang w:val="en-US" w:eastAsia="zh-CN"/>
        </w:rPr>
        <w:t>4</w:t>
      </w:r>
      <w:r>
        <w:rPr>
          <w:rFonts w:hint="eastAsia" w:ascii="仿宋_GB2312" w:hAnsi="仿宋_GB2312" w:cs="仿宋_GB2312"/>
          <w:color w:val="000000"/>
          <w:kern w:val="0"/>
          <w:sz w:val="32"/>
          <w:szCs w:val="32"/>
        </w:rPr>
        <w:t>年度</w:t>
      </w:r>
      <w:r>
        <w:rPr>
          <w:rFonts w:hint="eastAsia" w:ascii="仿宋_GB2312" w:hAnsi="仿宋_GB2312" w:cs="仿宋_GB2312"/>
          <w:color w:val="000000"/>
          <w:kern w:val="0"/>
          <w:sz w:val="32"/>
          <w:szCs w:val="32"/>
          <w:lang w:eastAsia="zh-CN"/>
        </w:rPr>
        <w:t>预算</w:t>
      </w:r>
      <w:r>
        <w:rPr>
          <w:rFonts w:hint="eastAsia" w:ascii="仿宋_GB2312" w:hAnsi="仿宋_GB2312" w:cs="仿宋_GB2312"/>
          <w:color w:val="000000"/>
          <w:kern w:val="0"/>
          <w:sz w:val="32"/>
          <w:szCs w:val="32"/>
        </w:rPr>
        <w:t>绩效情况的说明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jc w:val="left"/>
        <w:textAlignment w:val="auto"/>
        <w:outlineLvl w:val="9"/>
        <w:rPr>
          <w:rFonts w:ascii="黑体" w:hAnsi="黑体" w:eastAsia="黑体" w:cs="黑体"/>
          <w:b/>
          <w:color w:val="000000"/>
          <w:kern w:val="0"/>
          <w:sz w:val="32"/>
          <w:szCs w:val="32"/>
        </w:rPr>
      </w:pPr>
      <w:r>
        <w:rPr>
          <w:rFonts w:ascii="黑体" w:hAnsi="黑体" w:eastAsia="黑体" w:cs="黑体"/>
          <w:b/>
          <w:color w:val="000000"/>
          <w:kern w:val="0"/>
          <w:sz w:val="32"/>
          <w:szCs w:val="32"/>
        </w:rPr>
        <w:t>第四部分</w:t>
      </w:r>
      <w:r>
        <w:rPr>
          <w:rFonts w:hint="eastAsia" w:ascii="黑体" w:hAnsi="黑体" w:eastAsia="黑体" w:cs="黑体"/>
          <w:b/>
          <w:color w:val="000000"/>
          <w:kern w:val="0"/>
          <w:sz w:val="32"/>
          <w:szCs w:val="32"/>
          <w:lang w:val="en-US" w:eastAsia="zh-CN"/>
        </w:rPr>
        <w:t xml:space="preserve"> </w:t>
      </w:r>
      <w:r>
        <w:rPr>
          <w:rFonts w:ascii="黑体" w:hAnsi="黑体" w:eastAsia="黑体" w:cs="黑体"/>
          <w:b/>
          <w:color w:val="000000"/>
          <w:kern w:val="0"/>
          <w:sz w:val="32"/>
          <w:szCs w:val="32"/>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jc w:val="left"/>
        <w:textAlignment w:val="auto"/>
        <w:outlineLvl w:val="9"/>
        <w:rPr>
          <w:rFonts w:ascii="黑体" w:hAnsi="黑体" w:eastAsia="黑体" w:cs="仿宋_GB2312"/>
          <w:b/>
          <w:color w:val="000000"/>
          <w:kern w:val="0"/>
          <w:sz w:val="32"/>
          <w:szCs w:val="32"/>
        </w:rPr>
      </w:pPr>
      <w:r>
        <w:rPr>
          <w:rFonts w:hint="eastAsia" w:ascii="黑体" w:hAnsi="黑体" w:eastAsia="黑体" w:cs="黑体"/>
          <w:b/>
          <w:color w:val="000000"/>
          <w:kern w:val="0"/>
          <w:sz w:val="32"/>
          <w:szCs w:val="32"/>
        </w:rPr>
        <w:t>第五部分</w:t>
      </w:r>
      <w:r>
        <w:rPr>
          <w:rFonts w:hint="eastAsia" w:ascii="黑体" w:hAnsi="黑体" w:eastAsia="黑体" w:cs="黑体"/>
          <w:b/>
          <w:color w:val="000000"/>
          <w:kern w:val="0"/>
          <w:sz w:val="32"/>
          <w:szCs w:val="32"/>
          <w:lang w:val="en-US" w:eastAsia="zh-CN"/>
        </w:rPr>
        <w:t xml:space="preserve"> </w:t>
      </w:r>
      <w:r>
        <w:rPr>
          <w:rFonts w:hint="eastAsia" w:ascii="黑体" w:hAnsi="黑体" w:eastAsia="黑体" w:cs="黑体"/>
          <w:b/>
          <w:color w:val="000000"/>
          <w:kern w:val="0"/>
          <w:sz w:val="32"/>
          <w:szCs w:val="32"/>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6"/>
        <w:jc w:val="center"/>
        <w:rPr>
          <w:sz w:val="84"/>
          <w:szCs w:val="84"/>
        </w:rPr>
      </w:pPr>
      <w:r>
        <w:rPr>
          <w:rFonts w:hint="eastAsia"/>
          <w:sz w:val="84"/>
          <w:szCs w:val="84"/>
        </w:rPr>
        <w:t>第一部分</w:t>
      </w:r>
      <w:r>
        <w:rPr>
          <w:sz w:val="84"/>
          <w:szCs w:val="84"/>
        </w:rPr>
        <w:t xml:space="preserve"> </w:t>
      </w:r>
    </w:p>
    <w:p>
      <w:pPr>
        <w:pStyle w:val="16"/>
        <w:jc w:val="center"/>
        <w:rPr>
          <w:sz w:val="84"/>
          <w:szCs w:val="84"/>
        </w:rPr>
      </w:pPr>
    </w:p>
    <w:p>
      <w:pPr>
        <w:pStyle w:val="16"/>
        <w:jc w:val="center"/>
        <w:rPr>
          <w:sz w:val="84"/>
          <w:szCs w:val="84"/>
        </w:rPr>
      </w:pPr>
      <w:r>
        <w:rPr>
          <w:rFonts w:hint="eastAsia"/>
          <w:sz w:val="84"/>
          <w:szCs w:val="84"/>
          <w:lang w:eastAsia="zh-CN"/>
        </w:rPr>
        <w:t>怀化市财政局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
      </w:pPr>
    </w:p>
    <w:p>
      <w:pPr>
        <w:pStyle w:val="17"/>
        <w:ind w:left="720" w:firstLine="0" w:firstLineChars="0"/>
        <w:jc w:val="left"/>
        <w:rPr>
          <w:rFonts w:ascii="黑体" w:hAnsi="黑体" w:eastAsia="黑体"/>
          <w:sz w:val="32"/>
          <w:szCs w:val="32"/>
        </w:rPr>
      </w:pPr>
    </w:p>
    <w:p>
      <w:pPr>
        <w:pStyle w:val="17"/>
        <w:ind w:left="720" w:firstLine="0" w:firstLineChars="0"/>
        <w:jc w:val="left"/>
        <w:rPr>
          <w:rFonts w:ascii="黑体" w:hAnsi="黑体" w:eastAsia="黑体"/>
          <w:sz w:val="32"/>
          <w:szCs w:val="32"/>
        </w:rPr>
      </w:pPr>
    </w:p>
    <w:p>
      <w:pPr>
        <w:pStyle w:val="17"/>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left="420" w:leftChars="200" w:right="384" w:rightChars="183" w:firstLine="192" w:firstLineChars="60"/>
        <w:rPr>
          <w:rFonts w:hint="eastAsia" w:ascii="仿宋_GB2312" w:hAnsi="仿宋" w:eastAsia="仿宋_GB2312"/>
          <w:sz w:val="32"/>
          <w:szCs w:val="32"/>
        </w:rPr>
      </w:pPr>
      <w:r>
        <w:rPr>
          <w:rFonts w:hint="eastAsia" w:ascii="仿宋_GB2312" w:hAnsi="仿宋" w:eastAsia="仿宋_GB2312"/>
          <w:sz w:val="32"/>
          <w:szCs w:val="32"/>
        </w:rPr>
        <w:t>1．主要职能</w:t>
      </w:r>
    </w:p>
    <w:p>
      <w:pPr>
        <w:widowControl/>
        <w:spacing w:line="500" w:lineRule="auto"/>
        <w:ind w:firstLine="627" w:firstLineChars="196"/>
        <w:rPr>
          <w:rFonts w:hint="eastAsia" w:eastAsia="仿宋_GB2312"/>
          <w:sz w:val="32"/>
          <w:szCs w:val="32"/>
        </w:rPr>
      </w:pPr>
      <w:r>
        <w:rPr>
          <w:rFonts w:hint="eastAsia" w:eastAsia="仿宋_GB2312"/>
          <w:sz w:val="32"/>
          <w:szCs w:val="32"/>
        </w:rPr>
        <w:t>（1）组织贯彻执行国家财税方针政策，拟订和执行全市财政政策、改革方案，指导全市财政工作;分析预测宏观经济形势，参与制定各项宏观经济政策;提出运用财税政策实施宏观调控和综合平衡社会财力的建议;拟订和执行政府与企业的分配政策，完善鼓励公益事业发展的财税政策。贯彻执行国家有关金融工作的方针、政策和法律、法规，组织拟订市人民政府金融领域有关规章草案；组织拟订加强全市金融行业服务、促进金融行业发展的意见和政策建议。</w:t>
      </w:r>
    </w:p>
    <w:p>
      <w:pPr>
        <w:widowControl/>
        <w:spacing w:line="500" w:lineRule="auto"/>
        <w:ind w:firstLine="627" w:firstLineChars="196"/>
        <w:rPr>
          <w:rFonts w:hint="eastAsia" w:eastAsia="仿宋_GB2312"/>
          <w:sz w:val="32"/>
          <w:szCs w:val="32"/>
        </w:rPr>
      </w:pPr>
      <w:r>
        <w:rPr>
          <w:rFonts w:hint="eastAsia" w:eastAsia="仿宋_GB2312"/>
          <w:sz w:val="32"/>
          <w:szCs w:val="32"/>
        </w:rPr>
        <w:t>（2）代政府起草财政、财务、会议管理的制度及办法。</w:t>
      </w:r>
    </w:p>
    <w:p>
      <w:pPr>
        <w:widowControl/>
        <w:spacing w:line="500" w:lineRule="auto"/>
        <w:ind w:firstLine="627" w:firstLineChars="196"/>
        <w:rPr>
          <w:rFonts w:hint="eastAsia" w:eastAsia="仿宋_GB2312"/>
          <w:sz w:val="32"/>
          <w:szCs w:val="32"/>
        </w:rPr>
      </w:pPr>
      <w:r>
        <w:rPr>
          <w:rFonts w:hint="eastAsia" w:eastAsia="仿宋_GB2312"/>
          <w:sz w:val="32"/>
          <w:szCs w:val="32"/>
        </w:rPr>
        <w:t>（3）承担市本级各项财政收支管理的责任；负责编制年度市本级预决算草案并组织执行；代编全市财政收支预算，汇总全市财政总决算;受市人民政府委托，向市人民代表大会报告市本级、全市预算及其执行情况，向市人大常委会报告决算；组织制订市本级经费开支标准、定额，负责审核批复部门(单位)的年度预决算。完善转移支付制度，推进省直管县财政体制改革。</w:t>
      </w:r>
    </w:p>
    <w:p>
      <w:pPr>
        <w:widowControl/>
        <w:spacing w:line="500" w:lineRule="auto"/>
        <w:ind w:firstLine="627" w:firstLineChars="196"/>
        <w:rPr>
          <w:rFonts w:hint="eastAsia" w:eastAsia="仿宋_GB2312"/>
          <w:sz w:val="32"/>
          <w:szCs w:val="32"/>
        </w:rPr>
      </w:pPr>
      <w:r>
        <w:rPr>
          <w:rFonts w:hint="eastAsia" w:eastAsia="仿宋_GB2312"/>
          <w:sz w:val="32"/>
          <w:szCs w:val="32"/>
        </w:rPr>
        <w:t>（4）负责政府非税收入管理；负责政府性基金管理，按规定管理行政事业性收费；负责管理财政票据；负责制定彩票管理政策，管理彩票市场，按规定管理彩票资金。</w:t>
      </w:r>
    </w:p>
    <w:p>
      <w:pPr>
        <w:widowControl/>
        <w:spacing w:line="500" w:lineRule="auto"/>
        <w:ind w:firstLine="627" w:firstLineChars="196"/>
        <w:rPr>
          <w:rFonts w:hint="eastAsia" w:eastAsia="仿宋_GB2312"/>
          <w:sz w:val="32"/>
          <w:szCs w:val="32"/>
        </w:rPr>
      </w:pPr>
      <w:r>
        <w:rPr>
          <w:rFonts w:hint="eastAsia" w:eastAsia="仿宋_GB2312"/>
          <w:sz w:val="32"/>
          <w:szCs w:val="32"/>
        </w:rPr>
        <w:t>（5）组织制定国库管理制度、国库集中收付制度，指导和监督市本级国库业务，按规定开展国库现金管理工作。负责制定政府采购制度并监督管理。</w:t>
      </w:r>
    </w:p>
    <w:p>
      <w:pPr>
        <w:widowControl/>
        <w:spacing w:line="500" w:lineRule="auto"/>
        <w:ind w:firstLine="627" w:firstLineChars="196"/>
        <w:rPr>
          <w:rFonts w:hint="eastAsia" w:eastAsia="仿宋_GB2312"/>
          <w:sz w:val="32"/>
          <w:szCs w:val="32"/>
        </w:rPr>
      </w:pPr>
      <w:r>
        <w:rPr>
          <w:rFonts w:hint="eastAsia" w:eastAsia="仿宋_GB2312"/>
          <w:sz w:val="32"/>
          <w:szCs w:val="32"/>
        </w:rPr>
        <w:t>（6）贯彻执行国家财税法律、法规和税收调整政策，反馈政策执行情况，提出调整建议；参与市管理权限内有关税收政策及税收政策调整方案的调查研究，提出对策建议。</w:t>
      </w:r>
    </w:p>
    <w:p>
      <w:pPr>
        <w:widowControl/>
        <w:spacing w:line="500" w:lineRule="auto"/>
        <w:ind w:firstLine="627" w:firstLineChars="196"/>
        <w:rPr>
          <w:rFonts w:hint="eastAsia" w:eastAsia="仿宋_GB2312"/>
          <w:sz w:val="32"/>
          <w:szCs w:val="32"/>
        </w:rPr>
      </w:pPr>
      <w:r>
        <w:rPr>
          <w:rFonts w:hint="eastAsia" w:eastAsia="仿宋_GB2312"/>
          <w:sz w:val="32"/>
          <w:szCs w:val="32"/>
        </w:rPr>
        <w:t>（7）负责制定全市行政事业单位国有资产管理规章制度，按规定管理行政事业单位国有资产，制定需要全市统一规定的开支标准和支出政策，负责财政预算内行政、事业单位和社会团体的非贸易外汇管理。</w:t>
      </w:r>
    </w:p>
    <w:p>
      <w:pPr>
        <w:widowControl/>
        <w:spacing w:line="500" w:lineRule="auto"/>
        <w:ind w:firstLine="627" w:firstLineChars="196"/>
        <w:rPr>
          <w:rFonts w:hint="eastAsia" w:eastAsia="仿宋_GB2312"/>
          <w:sz w:val="32"/>
          <w:szCs w:val="32"/>
        </w:rPr>
      </w:pPr>
      <w:r>
        <w:rPr>
          <w:rFonts w:hint="eastAsia" w:eastAsia="仿宋_GB2312"/>
          <w:sz w:val="32"/>
          <w:szCs w:val="32"/>
        </w:rPr>
        <w:t>（8）负责审核和汇总编制全市国有资本经营预决算草案，制定国有资本经营预算的制度和办法，收取市本级企业国有资本收益，组织实施企业财务制度，按规定管理地方金嘈类企业国有资产，参与拟订企业国有资产管理相关制度，负责未纳入市国资委监管企业的国有资产管理，管理资产评估工作。</w:t>
      </w:r>
    </w:p>
    <w:p>
      <w:pPr>
        <w:widowControl/>
        <w:spacing w:line="500" w:lineRule="auto"/>
        <w:ind w:firstLine="627" w:firstLineChars="196"/>
        <w:rPr>
          <w:rFonts w:hint="eastAsia" w:eastAsia="仿宋_GB2312"/>
          <w:sz w:val="32"/>
          <w:szCs w:val="32"/>
        </w:rPr>
      </w:pPr>
      <w:r>
        <w:rPr>
          <w:rFonts w:hint="eastAsia" w:eastAsia="仿宋_GB2312"/>
          <w:sz w:val="32"/>
          <w:szCs w:val="32"/>
        </w:rPr>
        <w:t>（9）负责办理和监督市级财政的经济发展支出、市级政府性投资项目的财政拨款，参与拟订市建设投资的有关政策，组织实施基本建设财务制度，负责有关政策性补贴和专项储备资金财政管理工作。</w:t>
      </w:r>
    </w:p>
    <w:p>
      <w:pPr>
        <w:widowControl/>
        <w:spacing w:line="500" w:lineRule="auto"/>
        <w:ind w:firstLine="627" w:firstLineChars="196"/>
        <w:rPr>
          <w:rFonts w:hint="eastAsia" w:eastAsia="仿宋_GB2312"/>
          <w:sz w:val="32"/>
          <w:szCs w:val="32"/>
        </w:rPr>
      </w:pPr>
      <w:r>
        <w:rPr>
          <w:rFonts w:hint="eastAsia" w:eastAsia="仿宋_GB2312"/>
          <w:sz w:val="32"/>
          <w:szCs w:val="32"/>
        </w:rPr>
        <w:t>（10）会同有关部门管理市级财政社会保障和就业及医疗卫生支出，组织实施社会保障资金(基金)的财务管理制度，编制市社会保障预决算草案。</w:t>
      </w:r>
    </w:p>
    <w:p>
      <w:pPr>
        <w:widowControl/>
        <w:spacing w:line="500" w:lineRule="auto"/>
        <w:ind w:firstLine="627" w:firstLineChars="196"/>
        <w:rPr>
          <w:rFonts w:hint="eastAsia" w:eastAsia="仿宋_GB2312"/>
          <w:sz w:val="32"/>
          <w:szCs w:val="32"/>
        </w:rPr>
      </w:pPr>
      <w:r>
        <w:rPr>
          <w:rFonts w:hint="eastAsia" w:eastAsia="仿宋_GB2312"/>
          <w:sz w:val="32"/>
          <w:szCs w:val="32"/>
        </w:rPr>
        <w:t>（11）贯彻执行政府内外债务管理的政策、制度和办法，防范财政风险；负责统一管理市政府外债，制定基本管理制度，按规定管理外国政府和国外金融组织贷(赠)款；承担财税领域交流与合作的具体工作。</w:t>
      </w:r>
    </w:p>
    <w:p>
      <w:pPr>
        <w:widowControl/>
        <w:spacing w:line="500" w:lineRule="auto"/>
        <w:ind w:firstLine="627" w:firstLineChars="196"/>
        <w:rPr>
          <w:rFonts w:hint="eastAsia" w:eastAsia="仿宋_GB2312"/>
          <w:sz w:val="32"/>
          <w:szCs w:val="32"/>
        </w:rPr>
      </w:pPr>
      <w:r>
        <w:rPr>
          <w:rFonts w:hint="eastAsia" w:eastAsia="仿宋_GB2312"/>
          <w:sz w:val="32"/>
          <w:szCs w:val="32"/>
        </w:rPr>
        <w:t>（12）负责管理全市的会计工作，监督和规范会计行为，组织实施国家统一的会计制度，组织实施全省会计行政法规规章，指导和监督注册会计师和会计师事务所的业务，指导和管理社会审计。</w:t>
      </w:r>
    </w:p>
    <w:p>
      <w:pPr>
        <w:widowControl/>
        <w:spacing w:line="500" w:lineRule="auto"/>
        <w:ind w:firstLine="627" w:firstLineChars="196"/>
        <w:rPr>
          <w:rFonts w:hint="eastAsia" w:eastAsia="仿宋_GB2312"/>
          <w:sz w:val="32"/>
          <w:szCs w:val="32"/>
        </w:rPr>
      </w:pPr>
      <w:r>
        <w:rPr>
          <w:rFonts w:hint="eastAsia" w:eastAsia="仿宋_GB2312"/>
          <w:sz w:val="32"/>
          <w:szCs w:val="32"/>
        </w:rPr>
        <w:t>（13）监督检查财税法规、政策的执行情况，反映财政收支管理中的重大问题，提出加强财政管理的政策和建议。</w:t>
      </w:r>
    </w:p>
    <w:p>
      <w:pPr>
        <w:widowControl/>
        <w:spacing w:line="500" w:lineRule="auto"/>
        <w:ind w:firstLine="627" w:firstLineChars="196"/>
        <w:rPr>
          <w:rFonts w:hint="eastAsia" w:eastAsia="仿宋_GB2312"/>
          <w:sz w:val="32"/>
          <w:szCs w:val="32"/>
        </w:rPr>
      </w:pPr>
      <w:r>
        <w:rPr>
          <w:rFonts w:hint="eastAsia" w:eastAsia="仿宋_GB2312"/>
          <w:sz w:val="32"/>
          <w:szCs w:val="32"/>
        </w:rPr>
        <w:t>（14）研究分析国家金融政策、宏观金融形势和全市金融运行情况，会同有关部门推进全市金融市场体系建设。</w:t>
      </w:r>
    </w:p>
    <w:p>
      <w:pPr>
        <w:widowControl/>
        <w:spacing w:line="500" w:lineRule="auto"/>
        <w:ind w:firstLine="627" w:firstLineChars="196"/>
        <w:rPr>
          <w:rFonts w:hint="eastAsia" w:eastAsia="仿宋_GB2312"/>
          <w:sz w:val="32"/>
          <w:szCs w:val="32"/>
        </w:rPr>
      </w:pPr>
      <w:r>
        <w:rPr>
          <w:rFonts w:hint="eastAsia" w:eastAsia="仿宋_GB2312"/>
          <w:sz w:val="32"/>
          <w:szCs w:val="32"/>
        </w:rPr>
        <w:t> （15）负责联系省驻怀金融管理部门、各类金融机构；组织开展政府与金融机构合作、金融机构和企业对接，引导、协调和鼓励金融机构加大对全市经济社会发展的支持力度。</w:t>
      </w:r>
    </w:p>
    <w:p>
      <w:pPr>
        <w:widowControl/>
        <w:spacing w:line="500" w:lineRule="auto"/>
        <w:ind w:firstLine="627" w:firstLineChars="196"/>
        <w:rPr>
          <w:rFonts w:hint="eastAsia" w:eastAsia="仿宋_GB2312"/>
          <w:sz w:val="32"/>
          <w:szCs w:val="32"/>
        </w:rPr>
      </w:pPr>
      <w:r>
        <w:rPr>
          <w:rFonts w:hint="eastAsia" w:eastAsia="仿宋_GB2312"/>
          <w:sz w:val="32"/>
          <w:szCs w:val="32"/>
        </w:rPr>
        <w:t> （16）指导全市村镇银行、小额贷款公司、融资性担保机构等地方金融机构的改革、发展、监管和重组；会同有关部门推进全市社会信用体系建设和金融安全区创建，推进改善金融生态环境。</w:t>
      </w:r>
    </w:p>
    <w:p>
      <w:pPr>
        <w:widowControl/>
        <w:spacing w:line="500" w:lineRule="auto"/>
        <w:ind w:firstLine="627" w:firstLineChars="196"/>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7</w:t>
      </w:r>
      <w:r>
        <w:rPr>
          <w:rFonts w:hint="eastAsia" w:eastAsia="仿宋_GB2312"/>
          <w:sz w:val="32"/>
          <w:szCs w:val="32"/>
        </w:rPr>
        <w:t>）指导、协调发行地方政府债券工作。</w:t>
      </w:r>
    </w:p>
    <w:p>
      <w:pPr>
        <w:widowControl/>
        <w:spacing w:line="500" w:lineRule="auto"/>
        <w:ind w:firstLine="627" w:firstLineChars="196"/>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18</w:t>
      </w:r>
      <w:r>
        <w:rPr>
          <w:rFonts w:hint="eastAsia" w:eastAsia="仿宋_GB2312"/>
          <w:sz w:val="32"/>
          <w:szCs w:val="32"/>
        </w:rPr>
        <w:t>）</w:t>
      </w:r>
      <w:r>
        <w:rPr>
          <w:rFonts w:hint="eastAsia" w:eastAsia="仿宋_GB2312"/>
          <w:sz w:val="32"/>
          <w:szCs w:val="32"/>
          <w:lang w:eastAsia="zh-CN"/>
        </w:rPr>
        <w:t>履行国有金融资本管理，起草年度国有资产管理综合报告及行政事业性国有资产（含行政事业单位经管资产）和金融企业国有资产专项报告，负责全面实施预算绩效管理相关工作，研究拟定政府购买服务制度和政策并组织实施并组织实施职责。</w:t>
      </w:r>
    </w:p>
    <w:p>
      <w:pPr>
        <w:widowControl/>
        <w:spacing w:line="500" w:lineRule="auto"/>
        <w:ind w:firstLine="627" w:firstLineChars="196"/>
        <w:rPr>
          <w:rFonts w:hint="eastAsia" w:eastAsia="仿宋_GB2312"/>
          <w:sz w:val="32"/>
          <w:szCs w:val="32"/>
        </w:rPr>
      </w:pPr>
      <w:r>
        <w:rPr>
          <w:rFonts w:hint="eastAsia" w:eastAsia="仿宋_GB2312"/>
          <w:sz w:val="32"/>
          <w:szCs w:val="32"/>
          <w:lang w:val="en-US" w:eastAsia="zh-CN"/>
        </w:rPr>
        <w:t>（19）</w:t>
      </w:r>
      <w:r>
        <w:rPr>
          <w:rFonts w:hint="eastAsia" w:eastAsia="仿宋_GB2312"/>
          <w:sz w:val="32"/>
          <w:szCs w:val="32"/>
        </w:rPr>
        <w:t>承办市委、市人民政府交办的其他事项。</w:t>
      </w:r>
    </w:p>
    <w:p>
      <w:pPr>
        <w:widowControl/>
        <w:spacing w:line="600" w:lineRule="exact"/>
        <w:ind w:left="0" w:leftChars="0"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11"/>
        <w:spacing w:before="0" w:beforeAutospacing="0" w:after="0" w:afterAutospacing="0" w:line="375" w:lineRule="atLeast"/>
        <w:ind w:firstLine="640"/>
        <w:rPr>
          <w:rFonts w:hint="eastAsia" w:eastAsia="仿宋_GB2312" w:asciiTheme="minorHAnsi" w:hAnsiTheme="minorHAnsi" w:cstheme="minorBidi"/>
          <w:kern w:val="2"/>
          <w:sz w:val="32"/>
          <w:szCs w:val="32"/>
          <w:lang w:val="en-US" w:eastAsia="zh-CN" w:bidi="ar-SA"/>
        </w:rPr>
      </w:pPr>
      <w:r>
        <w:rPr>
          <w:rFonts w:hint="eastAsia" w:asciiTheme="minorEastAsia" w:hAnsiTheme="minorEastAsia"/>
          <w:bCs/>
          <w:kern w:val="0"/>
          <w:sz w:val="32"/>
          <w:szCs w:val="32"/>
        </w:rPr>
        <w:t>（一）内设机构设置。</w:t>
      </w:r>
    </w:p>
    <w:p>
      <w:pPr>
        <w:widowControl/>
        <w:spacing w:line="500" w:lineRule="auto"/>
        <w:ind w:firstLine="588" w:firstLineChars="196"/>
        <w:rPr>
          <w:rFonts w:hint="eastAsia" w:eastAsia="仿宋_GB2312" w:asciiTheme="minorHAnsi" w:hAnsiTheme="minorHAnsi" w:cstheme="minorBidi"/>
          <w:kern w:val="2"/>
          <w:sz w:val="32"/>
          <w:szCs w:val="32"/>
          <w:lang w:val="en-US" w:eastAsia="zh-CN" w:bidi="ar-SA"/>
        </w:rPr>
      </w:pPr>
      <w:r>
        <w:rPr>
          <w:rFonts w:hint="eastAsia" w:ascii="仿宋_GB2312" w:hAnsi="仿宋" w:eastAsia="仿宋_GB2312"/>
          <w:sz w:val="30"/>
          <w:szCs w:val="30"/>
        </w:rPr>
        <w:t>怀化市财政局属依法设立的怀化市人民政府工作部门，属全额拨款的行政事业单位，行政级别正处级。</w:t>
      </w:r>
      <w:r>
        <w:rPr>
          <w:rFonts w:hint="eastAsia" w:eastAsia="仿宋_GB2312"/>
          <w:sz w:val="30"/>
          <w:szCs w:val="30"/>
        </w:rPr>
        <w:t>内设科室</w:t>
      </w:r>
      <w:r>
        <w:rPr>
          <w:rFonts w:hint="eastAsia" w:eastAsia="仿宋_GB2312"/>
          <w:sz w:val="30"/>
          <w:szCs w:val="30"/>
          <w:lang w:val="en-US" w:eastAsia="zh-CN"/>
        </w:rPr>
        <w:t>30个</w:t>
      </w:r>
      <w:r>
        <w:rPr>
          <w:rFonts w:hint="eastAsia" w:eastAsia="仿宋_GB2312"/>
          <w:sz w:val="30"/>
          <w:szCs w:val="30"/>
        </w:rPr>
        <w:t>。下辖</w:t>
      </w:r>
      <w:r>
        <w:rPr>
          <w:rFonts w:hint="eastAsia" w:eastAsia="仿宋_GB2312"/>
          <w:sz w:val="30"/>
          <w:szCs w:val="30"/>
          <w:lang w:val="en-US" w:eastAsia="zh-CN"/>
        </w:rPr>
        <w:t>3个副处级事业单位。</w:t>
      </w:r>
      <w:r>
        <w:rPr>
          <w:rFonts w:hint="eastAsia" w:ascii="仿宋_GB2312" w:hAnsi="仿宋_GB2312" w:eastAsia="仿宋_GB2312" w:cs="仿宋_GB2312"/>
          <w:color w:val="313131"/>
          <w:sz w:val="32"/>
          <w:szCs w:val="32"/>
        </w:rPr>
        <w:t>现有在职干部职工</w:t>
      </w:r>
      <w:r>
        <w:rPr>
          <w:rFonts w:hint="eastAsia" w:ascii="仿宋_GB2312" w:hAnsi="仿宋_GB2312" w:eastAsia="仿宋_GB2312" w:cs="仿宋_GB2312"/>
          <w:color w:val="313131"/>
          <w:sz w:val="32"/>
          <w:szCs w:val="32"/>
          <w:lang w:val="en-US" w:eastAsia="zh-CN"/>
        </w:rPr>
        <w:t>199</w:t>
      </w:r>
      <w:r>
        <w:rPr>
          <w:rFonts w:hint="eastAsia" w:ascii="仿宋_GB2312" w:hAnsi="仿宋_GB2312" w:eastAsia="仿宋_GB2312" w:cs="仿宋_GB2312"/>
          <w:color w:val="313131"/>
          <w:sz w:val="32"/>
          <w:szCs w:val="32"/>
        </w:rPr>
        <w:t>人</w:t>
      </w:r>
      <w:r>
        <w:rPr>
          <w:rFonts w:hint="eastAsia" w:ascii="仿宋_GB2312" w:hAnsi="仿宋_GB2312" w:eastAsia="仿宋_GB2312" w:cs="仿宋_GB2312"/>
          <w:color w:val="313131"/>
          <w:sz w:val="32"/>
          <w:szCs w:val="32"/>
          <w:lang w:val="en-US" w:eastAsia="zh-CN"/>
        </w:rPr>
        <w:t>,</w:t>
      </w:r>
      <w:r>
        <w:rPr>
          <w:rFonts w:hint="eastAsia" w:ascii="仿宋_GB2312" w:hAnsi="仿宋" w:eastAsia="仿宋_GB2312"/>
          <w:sz w:val="32"/>
          <w:szCs w:val="32"/>
        </w:rPr>
        <w:t>离休人员</w:t>
      </w:r>
      <w:r>
        <w:rPr>
          <w:rFonts w:hint="eastAsia" w:ascii="仿宋_GB2312" w:hAnsi="仿宋" w:eastAsia="仿宋_GB2312"/>
          <w:sz w:val="32"/>
          <w:szCs w:val="32"/>
          <w:lang w:val="en-US" w:eastAsia="zh-CN"/>
        </w:rPr>
        <w:t>1</w:t>
      </w:r>
      <w:r>
        <w:rPr>
          <w:rFonts w:hint="eastAsia" w:ascii="仿宋_GB2312" w:hAnsi="仿宋" w:eastAsia="仿宋_GB2312"/>
          <w:sz w:val="32"/>
          <w:szCs w:val="32"/>
        </w:rPr>
        <w:t>人</w:t>
      </w:r>
      <w:r>
        <w:rPr>
          <w:rFonts w:hint="eastAsia" w:ascii="仿宋_GB2312" w:hAnsi="仿宋_GB2312" w:eastAsia="仿宋_GB2312" w:cs="仿宋_GB2312"/>
          <w:color w:val="313131"/>
          <w:sz w:val="32"/>
          <w:szCs w:val="32"/>
        </w:rPr>
        <w:t>。</w:t>
      </w:r>
    </w:p>
    <w:p>
      <w:pPr>
        <w:pStyle w:val="11"/>
        <w:numPr>
          <w:ilvl w:val="0"/>
          <w:numId w:val="2"/>
        </w:numPr>
        <w:spacing w:before="0" w:beforeAutospacing="0" w:after="0" w:afterAutospacing="0" w:line="375" w:lineRule="atLeast"/>
        <w:ind w:firstLine="640"/>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pStyle w:val="11"/>
        <w:numPr>
          <w:ilvl w:val="0"/>
          <w:numId w:val="0"/>
        </w:numPr>
        <w:spacing w:before="0" w:beforeAutospacing="0" w:after="0" w:afterAutospacing="0" w:line="375" w:lineRule="atLeast"/>
        <w:ind w:firstLine="640" w:firstLineChars="200"/>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怀化市财政局为一级部门预算单位，2024年部门决算汇总公开单位构成包括：怀化市财政局本级。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r>
        <w:rPr>
          <w:rFonts w:hint="eastAsia"/>
          <w:sz w:val="72"/>
          <w:szCs w:val="72"/>
        </w:rPr>
        <w:t>第二部分</w:t>
      </w:r>
    </w:p>
    <w:p>
      <w:pPr>
        <w:pStyle w:val="16"/>
        <w:jc w:val="center"/>
        <w:rPr>
          <w:rFonts w:hint="eastAsia"/>
          <w:sz w:val="72"/>
          <w:szCs w:val="72"/>
        </w:rPr>
      </w:pPr>
    </w:p>
    <w:p>
      <w:pPr>
        <w:pStyle w:val="16"/>
        <w:jc w:val="center"/>
        <w:rPr>
          <w:rFonts w:hint="eastAsia"/>
          <w:sz w:val="72"/>
          <w:szCs w:val="72"/>
        </w:rPr>
      </w:pPr>
      <w:r>
        <w:rPr>
          <w:rFonts w:hint="eastAsia"/>
          <w:sz w:val="72"/>
          <w:szCs w:val="72"/>
        </w:rPr>
        <w:t>部门决算表</w:t>
      </w: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40"/>
          <w:szCs w:val="40"/>
          <w:lang w:eastAsia="zh-CN"/>
        </w:rPr>
      </w:pPr>
      <w:r>
        <w:rPr>
          <w:rFonts w:hint="eastAsia"/>
          <w:sz w:val="40"/>
          <w:szCs w:val="40"/>
          <w:lang w:eastAsia="zh-CN"/>
        </w:rPr>
        <w:t>见附件</w:t>
      </w:r>
    </w:p>
    <w:p>
      <w:pPr>
        <w:pStyle w:val="16"/>
        <w:jc w:val="center"/>
        <w:rPr>
          <w:rFonts w:hint="eastAsia"/>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1117" w:bottom="720" w:left="1684" w:header="851" w:footer="992" w:gutter="0"/>
          <w:cols w:space="0" w:num="1"/>
          <w:rtlGutter w:val="0"/>
          <w:docGrid w:type="lines" w:linePitch="312" w:charSpace="0"/>
        </w:sectPr>
      </w:pPr>
    </w:p>
    <w:p>
      <w:pPr>
        <w:pStyle w:val="16"/>
        <w:rPr>
          <w:sz w:val="72"/>
          <w:szCs w:val="72"/>
        </w:rPr>
      </w:pPr>
    </w:p>
    <w:p>
      <w:pPr>
        <w:pStyle w:val="16"/>
        <w:rPr>
          <w:sz w:val="72"/>
          <w:szCs w:val="72"/>
        </w:rPr>
      </w:pPr>
    </w:p>
    <w:p>
      <w:pPr>
        <w:pStyle w:val="16"/>
        <w:rPr>
          <w:sz w:val="72"/>
          <w:szCs w:val="72"/>
        </w:rPr>
      </w:pPr>
    </w:p>
    <w:p>
      <w:pPr>
        <w:pStyle w:val="16"/>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r>
        <w:rPr>
          <w:rFonts w:hint="eastAsia"/>
          <w:sz w:val="72"/>
          <w:szCs w:val="72"/>
        </w:rPr>
        <w:t>第三部分</w:t>
      </w:r>
    </w:p>
    <w:p>
      <w:pPr>
        <w:pStyle w:val="16"/>
        <w:jc w:val="center"/>
        <w:rPr>
          <w:sz w:val="70"/>
          <w:szCs w:val="70"/>
        </w:rPr>
      </w:pPr>
    </w:p>
    <w:p>
      <w:pPr>
        <w:pStyle w:val="16"/>
        <w:jc w:val="center"/>
        <w:rPr>
          <w:sz w:val="70"/>
          <w:szCs w:val="70"/>
        </w:rPr>
      </w:pPr>
      <w:r>
        <w:rPr>
          <w:sz w:val="70"/>
          <w:szCs w:val="70"/>
        </w:rPr>
        <w:t>20</w:t>
      </w:r>
      <w:r>
        <w:rPr>
          <w:rFonts w:hint="eastAsia"/>
          <w:sz w:val="70"/>
          <w:szCs w:val="70"/>
        </w:rPr>
        <w:t>2</w:t>
      </w:r>
      <w:r>
        <w:rPr>
          <w:rFonts w:hint="eastAsia"/>
          <w:sz w:val="70"/>
          <w:szCs w:val="70"/>
          <w:lang w:val="en-US" w:eastAsia="zh-CN"/>
        </w:rPr>
        <w:t>4</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6"/>
        <w:ind w:left="0" w:leftChars="0" w:firstLine="640" w:firstLineChars="200"/>
        <w:rPr>
          <w:rFonts w:hAnsi="黑体"/>
          <w:b/>
          <w:sz w:val="32"/>
          <w:szCs w:val="32"/>
        </w:rPr>
      </w:pPr>
      <w:r>
        <w:rPr>
          <w:rFonts w:hint="eastAsia" w:hAnsi="黑体"/>
          <w:b/>
          <w:sz w:val="32"/>
          <w:szCs w:val="32"/>
        </w:rPr>
        <w:t>一、收入支出决算总体情况说明</w:t>
      </w:r>
    </w:p>
    <w:p>
      <w:pPr>
        <w:pStyle w:val="16"/>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各4880.55万</w:t>
      </w:r>
      <w:r>
        <w:rPr>
          <w:rFonts w:hint="eastAsia" w:ascii="仿宋_GB2312" w:hAnsi="仿宋_GB2312" w:eastAsia="仿宋_GB2312" w:cs="仿宋_GB2312"/>
          <w:sz w:val="32"/>
          <w:szCs w:val="32"/>
        </w:rPr>
        <w:t>元。与上年相比，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209.3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4.48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一般公共预算财政拨款收入增加。</w:t>
      </w:r>
    </w:p>
    <w:p>
      <w:pPr>
        <w:pStyle w:val="16"/>
        <w:ind w:left="0" w:leftChars="0" w:firstLine="640" w:firstLineChars="200"/>
        <w:rPr>
          <w:rFonts w:hAnsi="黑体"/>
          <w:b/>
          <w:sz w:val="32"/>
          <w:szCs w:val="32"/>
        </w:rPr>
      </w:pPr>
      <w:r>
        <w:rPr>
          <w:rFonts w:hint="eastAsia" w:hAnsi="黑体"/>
          <w:b/>
          <w:sz w:val="32"/>
          <w:szCs w:val="32"/>
        </w:rPr>
        <w:t>二、收入决算情况说明</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4880.55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4880.55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16"/>
        <w:ind w:left="0" w:leftChars="0" w:firstLine="640" w:firstLineChars="200"/>
        <w:rPr>
          <w:rFonts w:hAnsi="黑体"/>
          <w:b/>
          <w:sz w:val="32"/>
          <w:szCs w:val="32"/>
        </w:rPr>
      </w:pPr>
      <w:r>
        <w:rPr>
          <w:rFonts w:hint="eastAsia" w:hAnsi="黑体"/>
          <w:b/>
          <w:sz w:val="32"/>
          <w:szCs w:val="32"/>
        </w:rPr>
        <w:t>三、支出决算情况说明</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4880.55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3504.93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71.81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1375.62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28.19</w:t>
      </w:r>
      <w:r>
        <w:rPr>
          <w:rFonts w:hint="eastAsia" w:ascii="仿宋_GB2312" w:hAnsi="仿宋_GB2312" w:eastAsia="仿宋_GB2312" w:cs="仿宋_GB2312"/>
          <w:sz w:val="32"/>
          <w:szCs w:val="32"/>
        </w:rPr>
        <w:t>%。</w:t>
      </w:r>
    </w:p>
    <w:p>
      <w:pPr>
        <w:pStyle w:val="16"/>
        <w:ind w:left="0" w:leftChars="0" w:firstLine="640" w:firstLineChars="200"/>
        <w:rPr>
          <w:rFonts w:hAnsi="黑体"/>
          <w:b/>
          <w:sz w:val="32"/>
          <w:szCs w:val="32"/>
        </w:rPr>
      </w:pPr>
      <w:r>
        <w:rPr>
          <w:rFonts w:hint="eastAsia" w:hAnsi="黑体"/>
          <w:b/>
          <w:sz w:val="32"/>
          <w:szCs w:val="32"/>
        </w:rPr>
        <w:t>四、财政拨款收入支出决算总体情况说明</w:t>
      </w:r>
    </w:p>
    <w:p>
      <w:pPr>
        <w:pStyle w:val="16"/>
        <w:ind w:left="0" w:leftChars="0" w:firstLine="640" w:firstLineChars="200"/>
        <w:rPr>
          <w:rFonts w:asciiTheme="minorEastAsia" w:hAnsiTheme="minorEastAsia" w:eastAsiaTheme="minorEastAsia"/>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各4880.55</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209.3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4.48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一般公共预算财政拨款收入增加。</w:t>
      </w:r>
    </w:p>
    <w:p>
      <w:pPr>
        <w:pStyle w:val="16"/>
        <w:ind w:left="0" w:leftChars="0" w:firstLine="640" w:firstLineChars="200"/>
        <w:rPr>
          <w:rFonts w:hAnsi="黑体"/>
          <w:b/>
          <w:sz w:val="32"/>
          <w:szCs w:val="32"/>
        </w:rPr>
      </w:pPr>
      <w:r>
        <w:rPr>
          <w:rFonts w:hint="eastAsia" w:hAnsi="黑体"/>
          <w:b/>
          <w:sz w:val="32"/>
          <w:szCs w:val="32"/>
        </w:rPr>
        <w:t>五、一般公共预算财政拨款支出决算情况说明</w:t>
      </w:r>
    </w:p>
    <w:p>
      <w:pPr>
        <w:pStyle w:val="16"/>
        <w:ind w:left="0" w:leftChars="0"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6"/>
        <w:ind w:left="0" w:leftChars="0" w:firstLine="640" w:firstLineChars="200"/>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4880.55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，与上年相比，财政拨款支出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209.3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4.48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主要是因为</w:t>
      </w:r>
      <w:r>
        <w:rPr>
          <w:rFonts w:hint="eastAsia" w:ascii="仿宋_GB2312" w:hAnsi="仿宋_GB2312" w:eastAsia="仿宋_GB2312" w:cs="仿宋_GB2312"/>
          <w:color w:val="auto"/>
          <w:sz w:val="32"/>
          <w:szCs w:val="32"/>
          <w:highlight w:val="none"/>
          <w:lang w:eastAsia="zh-CN"/>
        </w:rPr>
        <w:t>人员支出、项目支出有所增长。</w:t>
      </w:r>
    </w:p>
    <w:p>
      <w:pPr>
        <w:pStyle w:val="16"/>
        <w:ind w:left="0" w:leftChars="0"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6"/>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4880.55</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4166.13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343.54万元，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7.04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122.65万元，占2.51%；住房保障支出248.23万元，占5.09%。</w:t>
      </w:r>
    </w:p>
    <w:p>
      <w:pPr>
        <w:pStyle w:val="16"/>
        <w:ind w:left="0" w:leftChars="0"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5369.17</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4880.55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90.9</w:t>
      </w:r>
      <w:r>
        <w:rPr>
          <w:rFonts w:hint="eastAsia" w:ascii="仿宋_GB2312" w:hAnsi="仿宋_GB2312" w:eastAsia="仿宋_GB2312" w:cs="仿宋_GB2312"/>
          <w:sz w:val="32"/>
          <w:szCs w:val="32"/>
        </w:rPr>
        <w:t>%，其中：</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1、一般公共服务支出（类）</w:t>
      </w:r>
      <w:r>
        <w:rPr>
          <w:rFonts w:hint="eastAsia" w:ascii="仿宋_GB2312" w:hAnsi="仿宋_GB2312" w:eastAsia="仿宋_GB2312" w:cs="仿宋_GB2312"/>
          <w:sz w:val="32"/>
          <w:szCs w:val="32"/>
          <w:lang w:eastAsia="zh-CN"/>
        </w:rPr>
        <w:t>财政事务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pPr>
        <w:pStyle w:val="16"/>
        <w:ind w:left="0" w:leftChars="0"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年初预算2614.5</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为万元，支出决算为</w:t>
      </w:r>
      <w:r>
        <w:rPr>
          <w:rFonts w:hint="eastAsia" w:ascii="仿宋_GB2312" w:hAnsi="仿宋_GB2312" w:eastAsia="仿宋_GB2312" w:cs="仿宋_GB2312"/>
          <w:color w:val="auto"/>
          <w:sz w:val="32"/>
          <w:szCs w:val="32"/>
          <w:lang w:val="en-US" w:eastAsia="zh-CN"/>
        </w:rPr>
        <w:t>2785.03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106.52</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大于</w:t>
      </w:r>
      <w:r>
        <w:rPr>
          <w:rFonts w:hint="eastAsia" w:ascii="仿宋_GB2312" w:hAnsi="仿宋_GB2312" w:eastAsia="仿宋_GB2312" w:cs="仿宋_GB2312"/>
          <w:color w:val="auto"/>
          <w:sz w:val="32"/>
          <w:szCs w:val="32"/>
        </w:rPr>
        <w:t>年初预算数的主要原因是：</w:t>
      </w:r>
      <w:r>
        <w:rPr>
          <w:rFonts w:hint="eastAsia" w:ascii="仿宋_GB2312" w:hAnsi="仿宋_GB2312" w:eastAsia="仿宋_GB2312" w:cs="仿宋_GB2312"/>
          <w:color w:val="auto"/>
          <w:sz w:val="32"/>
          <w:szCs w:val="32"/>
          <w:lang w:eastAsia="zh-CN"/>
        </w:rPr>
        <w:t>当年新进人员有所增加导致的工资支出增加。</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2、一般公共服务支出（类）</w:t>
      </w:r>
      <w:r>
        <w:rPr>
          <w:rFonts w:hint="eastAsia" w:ascii="仿宋_GB2312" w:hAnsi="仿宋_GB2312" w:eastAsia="仿宋_GB2312" w:cs="仿宋_GB2312"/>
          <w:sz w:val="32"/>
          <w:szCs w:val="32"/>
          <w:lang w:eastAsia="zh-CN"/>
        </w:rPr>
        <w:t>财政事务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6"/>
        <w:ind w:left="8" w:leftChars="0" w:right="63" w:rightChars="30" w:firstLine="632" w:firstLineChars="0"/>
        <w:rPr>
          <w:rFonts w:hint="eastAsia" w:ascii="仿宋_GB2312" w:hAnsi="仿宋_GB2312" w:eastAsia="仿宋_GB2312" w:cs="仿宋_GB2312"/>
          <w:color w:val="4F81BD" w:themeColor="accent1"/>
          <w:sz w:val="32"/>
          <w:szCs w:val="32"/>
          <w:highlight w:val="none"/>
          <w:lang w:eastAsia="zh-CN"/>
          <w14:textFill>
            <w14:gradFill>
              <w14:gsLst>
                <w14:gs w14:pos="0">
                  <w14:srgbClr w14:val="007BD3"/>
                </w14:gs>
                <w14:gs w14:pos="100000">
                  <w14:srgbClr w14:val="034373"/>
                </w14:gs>
              </w14:gsLst>
              <w14:lin w14:scaled="0"/>
            </w14:gradFill>
          </w14:textFill>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89.77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89.77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决算数</w:t>
      </w:r>
      <w:r>
        <w:rPr>
          <w:rFonts w:hint="eastAsia" w:ascii="仿宋_GB2312" w:hAnsi="仿宋_GB2312" w:eastAsia="仿宋_GB2312" w:cs="仿宋_GB2312"/>
          <w:color w:val="auto"/>
          <w:sz w:val="32"/>
          <w:szCs w:val="32"/>
          <w:highlight w:val="none"/>
          <w:lang w:eastAsia="zh-CN"/>
        </w:rPr>
        <w:t>小于</w:t>
      </w:r>
      <w:r>
        <w:rPr>
          <w:rFonts w:hint="eastAsia" w:ascii="仿宋_GB2312" w:hAnsi="仿宋_GB2312" w:eastAsia="仿宋_GB2312" w:cs="仿宋_GB2312"/>
          <w:color w:val="auto"/>
          <w:sz w:val="32"/>
          <w:szCs w:val="32"/>
          <w:highlight w:val="none"/>
        </w:rPr>
        <w:t>年初预算数</w:t>
      </w:r>
      <w:r>
        <w:rPr>
          <w:rFonts w:hint="eastAsia" w:ascii="仿宋_GB2312" w:hAnsi="仿宋_GB2312" w:eastAsia="仿宋_GB2312" w:cs="仿宋_GB2312"/>
          <w:color w:val="auto"/>
          <w:sz w:val="32"/>
          <w:szCs w:val="32"/>
          <w:highlight w:val="none"/>
          <w:lang w:eastAsia="zh-CN"/>
        </w:rPr>
        <w:t>的主要原因是票据工本费项目支出减少。</w:t>
      </w:r>
    </w:p>
    <w:p>
      <w:pPr>
        <w:pStyle w:val="16"/>
        <w:numPr>
          <w:ilvl w:val="0"/>
          <w:numId w:val="3"/>
        </w:numPr>
        <w:ind w:left="8" w:leftChars="0" w:right="63" w:rightChars="30" w:firstLine="63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一般公共服务支出（类）</w:t>
      </w:r>
      <w:r>
        <w:rPr>
          <w:rFonts w:hint="eastAsia" w:ascii="仿宋_GB2312" w:hAnsi="仿宋_GB2312" w:eastAsia="仿宋_GB2312" w:cs="仿宋_GB2312"/>
          <w:sz w:val="32"/>
          <w:szCs w:val="32"/>
          <w:lang w:eastAsia="zh-CN"/>
        </w:rPr>
        <w:t>财政事务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其他财政事务支出</w:t>
      </w:r>
      <w:r>
        <w:rPr>
          <w:rFonts w:hint="eastAsia" w:ascii="仿宋_GB2312" w:hAnsi="仿宋_GB2312" w:eastAsia="仿宋_GB2312" w:cs="仿宋_GB2312"/>
          <w:sz w:val="32"/>
          <w:szCs w:val="32"/>
        </w:rPr>
        <w:t>（项）。</w:t>
      </w:r>
    </w:p>
    <w:p>
      <w:pPr>
        <w:pStyle w:val="16"/>
        <w:ind w:left="8" w:leftChars="0" w:right="63" w:rightChars="30" w:firstLine="632" w:firstLineChars="0"/>
        <w:rPr>
          <w:rFonts w:hint="eastAsia" w:ascii="仿宋_GB2312" w:hAnsi="仿宋_GB2312" w:eastAsia="仿宋_GB2312" w:cs="仿宋_GB2312"/>
          <w:color w:val="0000FF"/>
          <w:sz w:val="32"/>
          <w:szCs w:val="32"/>
          <w:highlight w:val="none"/>
          <w:lang w:eastAsia="zh-CN"/>
        </w:rPr>
      </w:pPr>
      <w:r>
        <w:rPr>
          <w:rFonts w:hint="eastAsia" w:ascii="仿宋_GB2312" w:hAnsi="仿宋_GB2312" w:eastAsia="仿宋_GB2312" w:cs="仿宋_GB2312"/>
          <w:color w:val="auto"/>
          <w:sz w:val="32"/>
          <w:szCs w:val="32"/>
          <w:lang w:eastAsia="zh-CN"/>
        </w:rPr>
        <w:t>年初预算为</w:t>
      </w:r>
      <w:r>
        <w:rPr>
          <w:rFonts w:hint="eastAsia" w:ascii="仿宋_GB2312" w:hAnsi="仿宋_GB2312" w:eastAsia="仿宋_GB2312" w:cs="仿宋_GB2312"/>
          <w:color w:val="auto"/>
          <w:sz w:val="32"/>
          <w:szCs w:val="32"/>
          <w:lang w:val="en-US" w:eastAsia="zh-CN"/>
        </w:rPr>
        <w:t>1973.09万元，支出决算1290.88万元，完成年初预算的65.42%，</w:t>
      </w:r>
      <w:r>
        <w:rPr>
          <w:rFonts w:hint="eastAsia" w:ascii="仿宋_GB2312" w:hAnsi="仿宋_GB2312" w:eastAsia="仿宋_GB2312" w:cs="仿宋_GB2312"/>
          <w:color w:val="auto"/>
          <w:sz w:val="32"/>
          <w:szCs w:val="32"/>
          <w:highlight w:val="none"/>
          <w:lang w:val="en-US" w:eastAsia="zh-CN"/>
        </w:rPr>
        <w:t>决算数小于年初预算数的主要原因是为了贯彻“过紧日子”要求，压减一般性支出。</w:t>
      </w:r>
    </w:p>
    <w:p>
      <w:pPr>
        <w:pStyle w:val="16"/>
        <w:numPr>
          <w:ilvl w:val="0"/>
          <w:numId w:val="3"/>
        </w:numPr>
        <w:ind w:left="8" w:leftChars="0" w:right="63" w:rightChars="30" w:firstLine="63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其他一般公共服务支出（类）其他一般公共服务支出（项）</w:t>
      </w:r>
      <w:r>
        <w:rPr>
          <w:rFonts w:hint="eastAsia" w:ascii="仿宋_GB2312" w:hAnsi="仿宋_GB2312" w:eastAsia="仿宋_GB2312" w:cs="仿宋_GB2312"/>
          <w:sz w:val="32"/>
          <w:szCs w:val="32"/>
          <w:lang w:eastAsia="zh-CN"/>
        </w:rPr>
        <w:t>。</w:t>
      </w:r>
    </w:p>
    <w:p>
      <w:pPr>
        <w:pStyle w:val="16"/>
        <w:numPr>
          <w:ilvl w:val="0"/>
          <w:numId w:val="0"/>
        </w:numPr>
        <w:ind w:left="8" w:leftChars="0" w:right="63" w:rightChars="30" w:firstLine="632"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年初预算为0万元，支出决算为0.45万元，该项支出为追加的预算支出项目，主要用于2023年真抓实干工</w:t>
      </w:r>
      <w:bookmarkStart w:id="0" w:name="_GoBack"/>
      <w:bookmarkEnd w:id="0"/>
      <w:r>
        <w:rPr>
          <w:rFonts w:hint="eastAsia" w:ascii="仿宋_GB2312" w:hAnsi="仿宋_GB2312" w:eastAsia="仿宋_GB2312" w:cs="仿宋_GB2312"/>
          <w:color w:val="auto"/>
          <w:sz w:val="32"/>
          <w:szCs w:val="32"/>
          <w:lang w:val="en-US" w:eastAsia="zh-CN"/>
        </w:rPr>
        <w:t>作三等功奖金。</w:t>
      </w:r>
    </w:p>
    <w:p>
      <w:pPr>
        <w:pStyle w:val="16"/>
        <w:numPr>
          <w:ilvl w:val="0"/>
          <w:numId w:val="3"/>
        </w:numPr>
        <w:ind w:left="8" w:leftChars="0" w:right="63" w:rightChars="30" w:firstLine="63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公共安全支出（类）其他公共安全支出</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其他公共安全支出</w:t>
      </w:r>
      <w:r>
        <w:rPr>
          <w:rFonts w:hint="eastAsia" w:ascii="仿宋_GB2312" w:hAnsi="仿宋_GB2312" w:eastAsia="仿宋_GB2312" w:cs="仿宋_GB2312"/>
          <w:sz w:val="32"/>
          <w:szCs w:val="32"/>
          <w:lang w:val="en-US" w:eastAsia="zh-CN"/>
        </w:rPr>
        <w:t>(项）。</w:t>
      </w:r>
    </w:p>
    <w:p>
      <w:pPr>
        <w:pStyle w:val="16"/>
        <w:numPr>
          <w:ilvl w:val="0"/>
          <w:numId w:val="0"/>
        </w:numPr>
        <w:ind w:left="8" w:leftChars="0" w:right="63" w:rightChars="30" w:firstLine="632" w:firstLineChars="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eastAsia="zh-CN"/>
        </w:rPr>
        <w:t>年初预算为</w:t>
      </w:r>
      <w:r>
        <w:rPr>
          <w:rFonts w:hint="eastAsia" w:ascii="仿宋_GB2312" w:hAnsi="仿宋_GB2312" w:eastAsia="仿宋_GB2312" w:cs="仿宋_GB2312"/>
          <w:color w:val="auto"/>
          <w:sz w:val="32"/>
          <w:szCs w:val="32"/>
          <w:lang w:val="en-US" w:eastAsia="zh-CN"/>
        </w:rPr>
        <w:t>0万元，支出决算0万元。</w:t>
      </w:r>
    </w:p>
    <w:p>
      <w:pPr>
        <w:pStyle w:val="16"/>
        <w:numPr>
          <w:ilvl w:val="0"/>
          <w:numId w:val="0"/>
        </w:numPr>
        <w:ind w:left="640" w:leftChars="0" w:right="63" w:rightChars="3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6、社会保障和就业支出（类）行政事业单位养老支出（款）行政单位离退休(项）。</w:t>
      </w:r>
    </w:p>
    <w:p>
      <w:pPr>
        <w:pStyle w:val="16"/>
        <w:numPr>
          <w:ilvl w:val="0"/>
          <w:numId w:val="0"/>
        </w:numPr>
        <w:ind w:left="0" w:leftChars="0" w:right="63" w:rightChars="3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年初预算为</w:t>
      </w:r>
      <w:r>
        <w:rPr>
          <w:rFonts w:hint="eastAsia" w:ascii="仿宋_GB2312" w:hAnsi="仿宋_GB2312" w:eastAsia="仿宋_GB2312" w:cs="仿宋_GB2312"/>
          <w:color w:val="auto"/>
          <w:sz w:val="32"/>
          <w:szCs w:val="32"/>
          <w:lang w:val="en-US" w:eastAsia="zh-CN"/>
        </w:rPr>
        <w:t>67.22</w:t>
      </w:r>
      <w:r>
        <w:rPr>
          <w:rFonts w:hint="eastAsia" w:ascii="仿宋_GB2312" w:hAnsi="仿宋_GB2312" w:eastAsia="仿宋_GB2312" w:cs="仿宋_GB2312"/>
          <w:sz w:val="32"/>
          <w:szCs w:val="32"/>
          <w:lang w:val="en-US" w:eastAsia="zh-CN"/>
        </w:rPr>
        <w:t>万元，支出决算为</w:t>
      </w:r>
      <w:r>
        <w:rPr>
          <w:rFonts w:hint="eastAsia" w:ascii="仿宋_GB2312" w:hAnsi="仿宋_GB2312" w:eastAsia="仿宋_GB2312" w:cs="仿宋_GB2312"/>
          <w:color w:val="auto"/>
          <w:sz w:val="32"/>
          <w:szCs w:val="32"/>
          <w:lang w:val="en-US" w:eastAsia="zh-CN"/>
        </w:rPr>
        <w:t>21.39</w:t>
      </w:r>
      <w:r>
        <w:rPr>
          <w:rFonts w:hint="eastAsia" w:ascii="仿宋_GB2312" w:hAnsi="仿宋_GB2312" w:eastAsia="仿宋_GB2312" w:cs="仿宋_GB2312"/>
          <w:sz w:val="32"/>
          <w:szCs w:val="32"/>
          <w:lang w:val="en-US" w:eastAsia="zh-CN"/>
        </w:rPr>
        <w:t>万元，完成年初预算的31.82%</w:t>
      </w:r>
      <w:r>
        <w:rPr>
          <w:rFonts w:hint="eastAsia" w:ascii="仿宋_GB2312" w:hAnsi="仿宋_GB2312" w:eastAsia="仿宋_GB2312" w:cs="仿宋_GB2312"/>
          <w:color w:val="auto"/>
          <w:sz w:val="32"/>
          <w:szCs w:val="32"/>
          <w:lang w:val="en-US" w:eastAsia="zh-CN"/>
        </w:rPr>
        <w:t>，决算数小于年初数的原因主要是支出项目减少。</w:t>
      </w:r>
    </w:p>
    <w:p>
      <w:pPr>
        <w:pStyle w:val="16"/>
        <w:numPr>
          <w:ilvl w:val="0"/>
          <w:numId w:val="0"/>
        </w:numPr>
        <w:ind w:left="9" w:leftChars="0" w:right="63" w:rightChars="30" w:firstLine="624" w:firstLineChars="19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7、社会保障和就业支出（类）行政事业单位离退休（款）机关事业单位基本养老保险缴费支出（项）</w:t>
      </w:r>
    </w:p>
    <w:p>
      <w:pPr>
        <w:pStyle w:val="16"/>
        <w:numPr>
          <w:ilvl w:val="0"/>
          <w:numId w:val="0"/>
        </w:numPr>
        <w:ind w:left="8" w:leftChars="0" w:right="63" w:rightChars="30" w:firstLine="632"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年初预算为274.99万元，支出决算为</w:t>
      </w:r>
      <w:r>
        <w:rPr>
          <w:rFonts w:hint="eastAsia" w:ascii="仿宋_GB2312" w:hAnsi="仿宋_GB2312" w:eastAsia="仿宋_GB2312" w:cs="仿宋_GB2312"/>
          <w:color w:val="auto"/>
          <w:sz w:val="32"/>
          <w:szCs w:val="32"/>
          <w:lang w:val="en-US" w:eastAsia="zh-CN"/>
        </w:rPr>
        <w:t>299.49</w:t>
      </w:r>
      <w:r>
        <w:rPr>
          <w:rFonts w:hint="eastAsia" w:ascii="仿宋_GB2312" w:hAnsi="仿宋_GB2312" w:eastAsia="仿宋_GB2312" w:cs="仿宋_GB2312"/>
          <w:sz w:val="32"/>
          <w:szCs w:val="32"/>
          <w:lang w:val="en-US" w:eastAsia="zh-CN"/>
        </w:rPr>
        <w:t>万元，完成年初预算的108.91%，</w:t>
      </w:r>
      <w:r>
        <w:rPr>
          <w:rFonts w:hint="eastAsia" w:ascii="仿宋_GB2312" w:hAnsi="仿宋_GB2312" w:eastAsia="仿宋_GB2312" w:cs="仿宋_GB2312"/>
          <w:color w:val="auto"/>
          <w:sz w:val="32"/>
          <w:szCs w:val="32"/>
          <w:lang w:val="en-US" w:eastAsia="zh-CN"/>
        </w:rPr>
        <w:t>决算数大于年初数的原因主要是支出项目增加。</w:t>
      </w:r>
    </w:p>
    <w:p>
      <w:pPr>
        <w:pStyle w:val="16"/>
        <w:numPr>
          <w:ilvl w:val="0"/>
          <w:numId w:val="0"/>
        </w:numPr>
        <w:ind w:left="8" w:leftChars="0" w:right="63" w:rightChars="30" w:firstLine="632"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8、社会保障和就业支出（类）行政事业单位养老支出（款）其他行政事业单位养老支出（项）</w:t>
      </w:r>
    </w:p>
    <w:p>
      <w:pPr>
        <w:pStyle w:val="16"/>
        <w:numPr>
          <w:ilvl w:val="0"/>
          <w:numId w:val="0"/>
        </w:numPr>
        <w:ind w:left="8" w:leftChars="0" w:right="63" w:rightChars="30" w:firstLine="632"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w:t>
      </w:r>
      <w:r>
        <w:rPr>
          <w:rFonts w:hint="eastAsia" w:ascii="仿宋_GB2312" w:hAnsi="仿宋_GB2312" w:eastAsia="仿宋_GB2312" w:cs="仿宋_GB2312"/>
          <w:color w:val="auto"/>
          <w:sz w:val="32"/>
          <w:szCs w:val="32"/>
          <w:lang w:val="en-US" w:eastAsia="zh-CN"/>
        </w:rPr>
        <w:t>22.66</w:t>
      </w:r>
      <w:r>
        <w:rPr>
          <w:rFonts w:hint="eastAsia" w:ascii="仿宋_GB2312" w:hAnsi="仿宋_GB2312" w:eastAsia="仿宋_GB2312" w:cs="仿宋_GB2312"/>
          <w:sz w:val="32"/>
          <w:szCs w:val="32"/>
          <w:lang w:val="en-US" w:eastAsia="zh-CN"/>
        </w:rPr>
        <w:t>万元，该项目为追加预算支出项目，主要用于退休人员春节生活补助。</w:t>
      </w:r>
    </w:p>
    <w:p>
      <w:pPr>
        <w:pStyle w:val="16"/>
        <w:numPr>
          <w:ilvl w:val="0"/>
          <w:numId w:val="0"/>
        </w:numPr>
        <w:ind w:left="8" w:leftChars="0" w:right="63" w:rightChars="30" w:firstLine="632"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9、卫生健康支出（类）行政事业单位医疗（款）行政单位医疗（项）</w:t>
      </w:r>
    </w:p>
    <w:p>
      <w:pPr>
        <w:pStyle w:val="16"/>
        <w:numPr>
          <w:ilvl w:val="0"/>
          <w:numId w:val="0"/>
        </w:numPr>
        <w:ind w:left="8" w:leftChars="0" w:right="63" w:rightChars="30" w:firstLine="632"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年初预算为134.20万元，支出决算为</w:t>
      </w:r>
      <w:r>
        <w:rPr>
          <w:rFonts w:hint="eastAsia" w:ascii="仿宋_GB2312" w:hAnsi="仿宋_GB2312" w:eastAsia="仿宋_GB2312" w:cs="仿宋_GB2312"/>
          <w:color w:val="auto"/>
          <w:sz w:val="32"/>
          <w:szCs w:val="32"/>
          <w:lang w:val="en-US" w:eastAsia="zh-CN"/>
        </w:rPr>
        <w:t>117.92</w:t>
      </w:r>
      <w:r>
        <w:rPr>
          <w:rFonts w:hint="eastAsia" w:ascii="仿宋_GB2312" w:hAnsi="仿宋_GB2312" w:eastAsia="仿宋_GB2312" w:cs="仿宋_GB2312"/>
          <w:sz w:val="32"/>
          <w:szCs w:val="32"/>
          <w:lang w:val="en-US" w:eastAsia="zh-CN"/>
        </w:rPr>
        <w:t>万元，完成年初预算的87.87%，</w:t>
      </w:r>
      <w:r>
        <w:rPr>
          <w:rFonts w:hint="eastAsia" w:ascii="仿宋_GB2312" w:hAnsi="仿宋_GB2312" w:eastAsia="仿宋_GB2312" w:cs="仿宋_GB2312"/>
          <w:color w:val="auto"/>
          <w:sz w:val="32"/>
          <w:szCs w:val="32"/>
          <w:lang w:val="en-US" w:eastAsia="zh-CN"/>
        </w:rPr>
        <w:t>决算数小于年初数的原因主要是支出项目减少。</w:t>
      </w:r>
    </w:p>
    <w:p>
      <w:pPr>
        <w:pStyle w:val="16"/>
        <w:numPr>
          <w:ilvl w:val="0"/>
          <w:numId w:val="0"/>
        </w:numPr>
        <w:ind w:left="8" w:leftChars="0" w:right="63" w:rightChars="30" w:firstLine="632"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10、卫生健康支出（类）医疗救助（款）城乡医疗救助（项）</w:t>
      </w:r>
    </w:p>
    <w:p>
      <w:pPr>
        <w:pStyle w:val="16"/>
        <w:numPr>
          <w:ilvl w:val="0"/>
          <w:numId w:val="0"/>
        </w:numPr>
        <w:ind w:left="8" w:leftChars="0" w:right="63" w:rightChars="30" w:firstLine="632"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万元，该项支出为追加的预算支出项目，主要用于医疗救助补助支出。</w:t>
      </w:r>
    </w:p>
    <w:p>
      <w:pPr>
        <w:pStyle w:val="16"/>
        <w:numPr>
          <w:ilvl w:val="0"/>
          <w:numId w:val="0"/>
        </w:numPr>
        <w:ind w:left="8" w:leftChars="0" w:right="63" w:rightChars="30" w:firstLine="632"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11、卫生健康支出（类）行政事业单位医疗（款）其他医疗救助支出（项）</w:t>
      </w:r>
    </w:p>
    <w:p>
      <w:pPr>
        <w:pStyle w:val="16"/>
        <w:numPr>
          <w:ilvl w:val="0"/>
          <w:numId w:val="0"/>
        </w:numPr>
        <w:ind w:left="8" w:leftChars="0" w:right="63" w:rightChars="30" w:firstLine="632"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w:t>
      </w:r>
      <w:r>
        <w:rPr>
          <w:rFonts w:hint="eastAsia" w:ascii="仿宋_GB2312" w:hAnsi="仿宋_GB2312" w:eastAsia="仿宋_GB2312" w:cs="仿宋_GB2312"/>
          <w:color w:val="auto"/>
          <w:sz w:val="32"/>
          <w:szCs w:val="32"/>
          <w:lang w:val="en-US" w:eastAsia="zh-CN"/>
        </w:rPr>
        <w:t>0.80万</w:t>
      </w:r>
      <w:r>
        <w:rPr>
          <w:rFonts w:hint="eastAsia" w:ascii="仿宋_GB2312" w:hAnsi="仿宋_GB2312" w:eastAsia="仿宋_GB2312" w:cs="仿宋_GB2312"/>
          <w:sz w:val="32"/>
          <w:szCs w:val="32"/>
          <w:lang w:val="en-US" w:eastAsia="zh-CN"/>
        </w:rPr>
        <w:t>元，该项支出为追加的预算支出项目，主要用于大病医疗救助。</w:t>
      </w:r>
    </w:p>
    <w:p>
      <w:pPr>
        <w:pStyle w:val="16"/>
        <w:numPr>
          <w:ilvl w:val="0"/>
          <w:numId w:val="0"/>
        </w:numPr>
        <w:ind w:left="8" w:leftChars="0" w:right="63" w:rightChars="30" w:firstLine="632" w:firstLineChars="0"/>
        <w:rPr>
          <w:rFonts w:hint="default" w:ascii="仿宋_GB2312" w:hAnsi="仿宋_GB2312" w:eastAsia="仿宋_GB2312" w:cs="仿宋_GB2312"/>
          <w:sz w:val="32"/>
          <w:szCs w:val="32"/>
          <w:lang w:val="en-US" w:eastAsia="zh-CN"/>
        </w:rPr>
      </w:pPr>
    </w:p>
    <w:p>
      <w:pPr>
        <w:pStyle w:val="16"/>
        <w:numPr>
          <w:ilvl w:val="0"/>
          <w:numId w:val="0"/>
        </w:numPr>
        <w:ind w:left="640" w:leftChars="0" w:right="63" w:rightChars="30"/>
        <w:rPr>
          <w:rFonts w:hAnsi="黑体"/>
          <w:b/>
          <w:sz w:val="32"/>
          <w:szCs w:val="32"/>
        </w:rPr>
      </w:pPr>
      <w:r>
        <w:rPr>
          <w:rFonts w:hint="eastAsia" w:hAnsi="黑体"/>
          <w:b/>
          <w:sz w:val="32"/>
          <w:szCs w:val="32"/>
        </w:rPr>
        <w:t>六、一般公共预算财政拨款基本支出决算情况说明</w:t>
      </w:r>
    </w:p>
    <w:p>
      <w:pPr>
        <w:pStyle w:val="16"/>
        <w:ind w:left="8" w:leftChars="0" w:right="63" w:rightChars="30" w:firstLine="63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3504.93</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3110.67</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88.75</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、绩效工资、机关事业单位基本养老保险缴费、职业年金缴费、职工基本医疗保险缴费、公务员医疗补助缴费、住房公积金、对个人和家庭的补助等</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394.26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11.25</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、电费、邮电费、差旅费、维修（护）费、会议费、培训费、公务接待费、劳务费、福利费、公务用车运行维护费、其他交通费、其他商品服务支出、办公设备购置等</w:t>
      </w:r>
      <w:r>
        <w:rPr>
          <w:rFonts w:hint="eastAsia" w:ascii="仿宋_GB2312" w:hAnsi="仿宋_GB2312" w:eastAsia="仿宋_GB2312" w:cs="仿宋_GB2312"/>
          <w:sz w:val="32"/>
          <w:szCs w:val="32"/>
        </w:rPr>
        <w:t>。</w:t>
      </w:r>
    </w:p>
    <w:p>
      <w:pPr>
        <w:pStyle w:val="16"/>
        <w:ind w:left="0" w:leftChars="0" w:firstLine="640" w:firstLineChars="200"/>
        <w:rPr>
          <w:rFonts w:hAnsi="黑体"/>
          <w:b/>
          <w:sz w:val="32"/>
          <w:szCs w:val="32"/>
        </w:rPr>
      </w:pPr>
      <w:r>
        <w:rPr>
          <w:rFonts w:hint="eastAsia" w:hAnsi="黑体"/>
          <w:b/>
          <w:sz w:val="32"/>
          <w:szCs w:val="32"/>
        </w:rPr>
        <w:t>七、财政拨款“三公”经费支出决算情况说明</w:t>
      </w:r>
    </w:p>
    <w:p>
      <w:pPr>
        <w:pStyle w:val="16"/>
        <w:ind w:left="0" w:leftChars="0"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19.37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64.57</w:t>
      </w:r>
      <w:r>
        <w:rPr>
          <w:rFonts w:hint="eastAsia" w:ascii="仿宋_GB2312" w:hAnsi="仿宋_GB2312" w:eastAsia="仿宋_GB2312" w:cs="仿宋_GB2312"/>
          <w:sz w:val="32"/>
          <w:szCs w:val="32"/>
        </w:rPr>
        <w:t>%，其中：</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p>
    <w:p>
      <w:pPr>
        <w:pStyle w:val="16"/>
        <w:ind w:left="8" w:leftChars="0" w:right="63" w:rightChars="30" w:firstLine="63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25.17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我局严格控制公务接待费的规模和比例，严把公务接待支出的审核、审批关</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43.02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外单位来人批次人数减少</w:t>
      </w:r>
      <w:r>
        <w:rPr>
          <w:rFonts w:hint="eastAsia" w:ascii="仿宋_GB2312" w:hAnsi="仿宋_GB2312" w:eastAsia="仿宋_GB2312" w:cs="仿宋_GB2312"/>
          <w:sz w:val="32"/>
          <w:szCs w:val="32"/>
        </w:rPr>
        <w:t>。</w:t>
      </w:r>
    </w:p>
    <w:p>
      <w:pPr>
        <w:pStyle w:val="16"/>
        <w:ind w:left="0" w:leftChars="0"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运行维护费支出预算为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17.85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74.38</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我局严格管理公务用车的使用、维修维护</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10.08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rPr>
        <w:t>的主要原因是</w:t>
      </w:r>
      <w:r>
        <w:rPr>
          <w:rFonts w:hint="eastAsia" w:ascii="仿宋_GB2312" w:hAnsi="仿宋_GB2312" w:eastAsia="仿宋_GB2312" w:cs="仿宋_GB2312"/>
          <w:sz w:val="32"/>
          <w:szCs w:val="32"/>
          <w:lang w:eastAsia="zh-CN"/>
        </w:rPr>
        <w:t>公务用车使用次数减少，运行维护成本减少</w:t>
      </w:r>
      <w:r>
        <w:rPr>
          <w:rFonts w:hint="eastAsia" w:ascii="仿宋_GB2312" w:hAnsi="仿宋_GB2312" w:eastAsia="仿宋_GB2312" w:cs="仿宋_GB2312"/>
          <w:sz w:val="32"/>
          <w:szCs w:val="32"/>
        </w:rPr>
        <w:t>。</w:t>
      </w:r>
    </w:p>
    <w:p>
      <w:pPr>
        <w:pStyle w:val="16"/>
        <w:ind w:left="0" w:leftChars="0"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7.80</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17.85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92.2</w:t>
      </w:r>
      <w:r>
        <w:rPr>
          <w:rFonts w:hint="eastAsia" w:ascii="仿宋_GB2312" w:hAnsi="仿宋_GB2312" w:eastAsia="仿宋_GB2312" w:cs="仿宋_GB2312"/>
          <w:sz w:val="32"/>
          <w:szCs w:val="32"/>
        </w:rPr>
        <w:t>%。其中：</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安排因公出国（境）</w:t>
      </w:r>
      <w:r>
        <w:rPr>
          <w:rFonts w:hint="eastAsia" w:ascii="仿宋_GB2312" w:hAnsi="仿宋_GB2312" w:eastAsia="仿宋_GB2312" w:cs="仿宋_GB2312"/>
          <w:sz w:val="32"/>
          <w:szCs w:val="32"/>
          <w:lang w:eastAsia="zh-CN"/>
        </w:rPr>
        <w:t>。</w:t>
      </w:r>
    </w:p>
    <w:p>
      <w:pPr>
        <w:pStyle w:val="16"/>
        <w:ind w:left="8" w:leftChars="0" w:right="63" w:rightChars="30" w:firstLine="632"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全年共接待来访团组</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个、来宾</w:t>
      </w:r>
      <w:r>
        <w:rPr>
          <w:rFonts w:hint="eastAsia" w:ascii="仿宋_GB2312" w:hAnsi="仿宋_GB2312" w:eastAsia="仿宋_GB2312" w:cs="仿宋_GB2312"/>
          <w:sz w:val="32"/>
          <w:szCs w:val="32"/>
          <w:highlight w:val="none"/>
          <w:lang w:val="en-US" w:eastAsia="zh-CN"/>
        </w:rPr>
        <w:t>135</w:t>
      </w:r>
      <w:r>
        <w:rPr>
          <w:rFonts w:hint="eastAsia" w:ascii="仿宋_GB2312" w:hAnsi="仿宋_GB2312" w:eastAsia="仿宋_GB2312" w:cs="仿宋_GB2312"/>
          <w:sz w:val="32"/>
          <w:szCs w:val="32"/>
          <w:highlight w:val="none"/>
        </w:rPr>
        <w:t>人次，主要是</w:t>
      </w:r>
      <w:r>
        <w:rPr>
          <w:rFonts w:hint="eastAsia" w:ascii="仿宋_GB2312" w:hAnsi="仿宋_GB2312" w:eastAsia="仿宋_GB2312" w:cs="仿宋_GB2312"/>
          <w:sz w:val="32"/>
          <w:szCs w:val="32"/>
          <w:highlight w:val="none"/>
          <w:lang w:eastAsia="zh-CN"/>
        </w:rPr>
        <w:t>调研、检查、联系工作等发</w:t>
      </w:r>
      <w:r>
        <w:rPr>
          <w:rFonts w:hint="eastAsia" w:ascii="仿宋_GB2312" w:hAnsi="仿宋_GB2312" w:eastAsia="仿宋_GB2312" w:cs="仿宋_GB2312"/>
          <w:sz w:val="32"/>
          <w:szCs w:val="32"/>
          <w:highlight w:val="none"/>
        </w:rPr>
        <w:t>生的接待支出。</w:t>
      </w:r>
    </w:p>
    <w:p>
      <w:pPr>
        <w:ind w:left="0" w:leftChars="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17.85</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17.85</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车辆保险、油料、维修、路桥费等</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highlight w:val="none"/>
        </w:rPr>
        <w:t>截止20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年12月31日，</w:t>
      </w: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rPr>
        <w:t>开支财政拨款的公务用车保有量为</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辆。</w:t>
      </w:r>
    </w:p>
    <w:p>
      <w:pPr>
        <w:pStyle w:val="16"/>
        <w:ind w:left="0" w:leftChars="0" w:firstLine="640" w:firstLineChars="200"/>
        <w:rPr>
          <w:rFonts w:hAnsi="黑体"/>
          <w:b/>
          <w:sz w:val="32"/>
          <w:szCs w:val="32"/>
        </w:rPr>
      </w:pPr>
      <w:r>
        <w:rPr>
          <w:rFonts w:hint="eastAsia" w:hAnsi="黑体"/>
          <w:b/>
          <w:sz w:val="32"/>
          <w:szCs w:val="32"/>
        </w:rPr>
        <w:t>八、政府性基金预算收入支出决算情况</w:t>
      </w:r>
    </w:p>
    <w:p>
      <w:pPr>
        <w:pStyle w:val="16"/>
        <w:ind w:left="0" w:leftChars="0" w:firstLine="640" w:firstLineChars="200"/>
        <w:rPr>
          <w:rFonts w:hint="eastAsia" w:ascii="仿宋_GB2312" w:hAnsi="仿宋_GB2312" w:eastAsia="仿宋_GB2312" w:cs="仿宋_GB2312"/>
          <w:sz w:val="32"/>
          <w:szCs w:val="32"/>
          <w:lang w:eastAsia="zh-CN"/>
        </w:rPr>
      </w:pPr>
      <w:r>
        <w:rPr>
          <w:rFonts w:hint="eastAsia" w:asciiTheme="minorEastAsia" w:hAnsiTheme="minorEastAsia" w:eastAsiaTheme="minorEastAsia"/>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本部门未发生</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eastAsia="zh-CN"/>
        </w:rPr>
        <w:t>、支出。</w:t>
      </w:r>
    </w:p>
    <w:p>
      <w:pPr>
        <w:pStyle w:val="16"/>
        <w:numPr>
          <w:ilvl w:val="0"/>
          <w:numId w:val="4"/>
        </w:numPr>
        <w:ind w:left="0" w:leftChars="0" w:firstLine="640" w:firstLineChars="200"/>
        <w:rPr>
          <w:rFonts w:hint="eastAsia" w:hAnsi="黑体"/>
          <w:b/>
          <w:sz w:val="32"/>
          <w:szCs w:val="32"/>
          <w:lang w:val="en-US" w:eastAsia="zh-CN"/>
        </w:rPr>
      </w:pPr>
      <w:r>
        <w:rPr>
          <w:rFonts w:hint="eastAsia" w:hAnsi="黑体"/>
          <w:b/>
          <w:sz w:val="32"/>
          <w:szCs w:val="32"/>
          <w:lang w:val="en-US" w:eastAsia="zh-CN"/>
        </w:rPr>
        <w:t>国有资本经营预算收入支出决算情况</w:t>
      </w:r>
    </w:p>
    <w:p>
      <w:pPr>
        <w:pStyle w:val="16"/>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年度本部门未发生</w:t>
      </w:r>
      <w:r>
        <w:rPr>
          <w:rFonts w:hint="eastAsia" w:ascii="仿宋_GB2312" w:hAnsi="仿宋_GB2312" w:eastAsia="仿宋_GB2312" w:cs="仿宋_GB2312"/>
          <w:sz w:val="32"/>
          <w:szCs w:val="32"/>
          <w:lang w:val="en-US" w:eastAsia="zh-CN"/>
        </w:rPr>
        <w:t>国有资本经营预算收入</w:t>
      </w:r>
      <w:r>
        <w:rPr>
          <w:rFonts w:hint="eastAsia" w:ascii="仿宋_GB2312" w:hAnsi="仿宋_GB2312" w:eastAsia="仿宋_GB2312" w:cs="仿宋_GB2312"/>
          <w:sz w:val="32"/>
          <w:szCs w:val="32"/>
          <w:lang w:eastAsia="zh-CN"/>
        </w:rPr>
        <w:t>。</w:t>
      </w:r>
    </w:p>
    <w:p>
      <w:pPr>
        <w:pStyle w:val="16"/>
        <w:numPr>
          <w:ilvl w:val="0"/>
          <w:numId w:val="0"/>
        </w:numPr>
        <w:ind w:leftChars="200"/>
        <w:rPr>
          <w:rFonts w:hint="eastAsia" w:hAnsi="黑体"/>
          <w:b/>
          <w:sz w:val="32"/>
          <w:szCs w:val="32"/>
          <w:lang w:val="en-US" w:eastAsia="zh-CN"/>
        </w:rPr>
      </w:pPr>
    </w:p>
    <w:p>
      <w:pPr>
        <w:pStyle w:val="16"/>
        <w:ind w:left="0" w:leftChars="0" w:firstLine="640" w:firstLineChars="200"/>
        <w:rPr>
          <w:rFonts w:hint="eastAsia" w:hAnsi="黑体"/>
          <w:b/>
          <w:sz w:val="32"/>
          <w:szCs w:val="32"/>
          <w:lang w:eastAsia="zh-CN"/>
        </w:rPr>
      </w:pPr>
      <w:r>
        <w:rPr>
          <w:rFonts w:hint="eastAsia" w:hAnsi="黑体"/>
          <w:b/>
          <w:sz w:val="32"/>
          <w:szCs w:val="32"/>
          <w:lang w:eastAsia="zh-CN"/>
        </w:rPr>
        <w:t>十</w:t>
      </w:r>
      <w:r>
        <w:rPr>
          <w:rFonts w:hint="eastAsia" w:hAnsi="黑体"/>
          <w:b/>
          <w:sz w:val="32"/>
          <w:szCs w:val="32"/>
        </w:rPr>
        <w:t>、国有资本经营预算财政拨款支出决算</w:t>
      </w:r>
      <w:r>
        <w:rPr>
          <w:rFonts w:hint="eastAsia" w:hAnsi="黑体"/>
          <w:b/>
          <w:sz w:val="32"/>
          <w:szCs w:val="32"/>
          <w:lang w:eastAsia="zh-CN"/>
        </w:rPr>
        <w:t>情况</w:t>
      </w:r>
    </w:p>
    <w:p>
      <w:pPr>
        <w:pStyle w:val="16"/>
        <w:ind w:left="0" w:leftChars="0" w:firstLine="640" w:firstLineChars="200"/>
        <w:rPr>
          <w:rFonts w:hint="eastAsia" w:ascii="仿宋_GB2312" w:hAnsi="仿宋_GB2312" w:eastAsia="仿宋_GB2312" w:cs="仿宋_GB2312"/>
          <w:sz w:val="32"/>
          <w:szCs w:val="32"/>
          <w:lang w:eastAsia="zh-CN"/>
        </w:rPr>
      </w:pPr>
      <w:r>
        <w:rPr>
          <w:rFonts w:hint="eastAsia" w:asciiTheme="minorEastAsia" w:hAnsiTheme="minorEastAsia" w:eastAsiaTheme="minorEastAsia"/>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本部门未发生</w:t>
      </w:r>
      <w:r>
        <w:rPr>
          <w:rFonts w:hint="eastAsia" w:ascii="仿宋_GB2312" w:hAnsi="仿宋_GB2312" w:eastAsia="仿宋_GB2312" w:cs="仿宋_GB2312"/>
          <w:sz w:val="32"/>
          <w:szCs w:val="32"/>
        </w:rPr>
        <w:t>国有资本经营预算财政拨款支出</w:t>
      </w:r>
    </w:p>
    <w:p>
      <w:pPr>
        <w:pStyle w:val="16"/>
        <w:ind w:left="0" w:leftChars="0" w:firstLine="640" w:firstLineChars="200"/>
        <w:rPr>
          <w:rFonts w:hAnsi="黑体"/>
          <w:b/>
          <w:sz w:val="32"/>
          <w:szCs w:val="32"/>
        </w:rPr>
      </w:pPr>
      <w:r>
        <w:rPr>
          <w:rFonts w:hint="eastAsia" w:hAnsi="黑体"/>
          <w:b/>
          <w:sz w:val="32"/>
          <w:szCs w:val="32"/>
          <w:lang w:val="en-US" w:eastAsia="zh-CN"/>
        </w:rPr>
        <w:t>十一</w:t>
      </w:r>
      <w:r>
        <w:rPr>
          <w:rFonts w:hint="eastAsia" w:hAnsi="黑体"/>
          <w:b/>
          <w:sz w:val="32"/>
          <w:szCs w:val="32"/>
        </w:rPr>
        <w:t>、</w:t>
      </w:r>
      <w:r>
        <w:rPr>
          <w:rFonts w:hint="eastAsia" w:hAnsi="黑体"/>
          <w:b/>
          <w:sz w:val="32"/>
          <w:szCs w:val="32"/>
          <w:lang w:eastAsia="zh-CN"/>
        </w:rPr>
        <w:t>关于</w:t>
      </w:r>
      <w:r>
        <w:rPr>
          <w:rFonts w:hint="eastAsia" w:hAnsi="黑体"/>
          <w:b/>
          <w:sz w:val="32"/>
          <w:szCs w:val="32"/>
        </w:rPr>
        <w:t>机关运行经费支出说明</w:t>
      </w:r>
    </w:p>
    <w:p>
      <w:pPr>
        <w:pStyle w:val="16"/>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本部门202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年度机关运行经费支出</w:t>
      </w:r>
      <w:r>
        <w:rPr>
          <w:rFonts w:hint="eastAsia" w:ascii="仿宋_GB2312" w:hAnsi="仿宋_GB2312" w:eastAsia="仿宋_GB2312" w:cs="仿宋_GB2312"/>
          <w:color w:val="auto"/>
          <w:sz w:val="32"/>
          <w:szCs w:val="32"/>
          <w:lang w:val="en-US" w:eastAsia="zh-CN"/>
        </w:rPr>
        <w:t>394.26</w:t>
      </w:r>
      <w:r>
        <w:rPr>
          <w:rFonts w:hint="eastAsia" w:ascii="仿宋_GB2312" w:hAnsi="仿宋_GB2312" w:eastAsia="仿宋_GB2312" w:cs="仿宋_GB2312"/>
          <w:color w:val="auto"/>
          <w:sz w:val="32"/>
          <w:szCs w:val="32"/>
        </w:rPr>
        <w:t>万元，比年初预算数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41.33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9.49</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相关科室业务活动减少。</w:t>
      </w:r>
    </w:p>
    <w:p>
      <w:pPr>
        <w:pStyle w:val="16"/>
        <w:ind w:left="0" w:leftChars="0" w:firstLine="640" w:firstLineChars="200"/>
        <w:rPr>
          <w:rFonts w:hAnsi="黑体"/>
          <w:b/>
          <w:sz w:val="32"/>
          <w:szCs w:val="32"/>
        </w:rPr>
      </w:pPr>
      <w:r>
        <w:rPr>
          <w:rFonts w:hint="eastAsia" w:hAnsi="黑体"/>
          <w:b/>
          <w:sz w:val="32"/>
          <w:szCs w:val="32"/>
        </w:rPr>
        <w:t>十</w:t>
      </w:r>
      <w:r>
        <w:rPr>
          <w:rFonts w:hint="eastAsia" w:hAnsi="黑体"/>
          <w:b/>
          <w:sz w:val="32"/>
          <w:szCs w:val="32"/>
          <w:lang w:eastAsia="zh-CN"/>
        </w:rPr>
        <w:t>二</w:t>
      </w:r>
      <w:r>
        <w:rPr>
          <w:rFonts w:hint="eastAsia" w:hAnsi="黑体"/>
          <w:b/>
          <w:sz w:val="32"/>
          <w:szCs w:val="32"/>
        </w:rPr>
        <w:t>、一般性支出情况说明</w:t>
      </w:r>
    </w:p>
    <w:p>
      <w:pPr>
        <w:pStyle w:val="16"/>
        <w:ind w:left="0" w:leftChars="0"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年本部门开支会议费</w:t>
      </w:r>
      <w:r>
        <w:rPr>
          <w:rFonts w:hint="eastAsia" w:ascii="仿宋_GB2312" w:hAnsi="仿宋_GB2312" w:eastAsia="仿宋_GB2312" w:cs="仿宋_GB2312"/>
          <w:sz w:val="32"/>
          <w:szCs w:val="32"/>
          <w:lang w:val="en-US" w:eastAsia="zh-CN"/>
        </w:rPr>
        <w:t>2.97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用于召开</w:t>
      </w:r>
      <w:r>
        <w:rPr>
          <w:rFonts w:hint="eastAsia" w:ascii="仿宋_GB2312" w:hAnsi="仿宋_GB2312" w:eastAsia="仿宋_GB2312" w:cs="仿宋_GB2312"/>
          <w:sz w:val="32"/>
          <w:szCs w:val="32"/>
          <w:highlight w:val="none"/>
          <w:lang w:val="en-US" w:eastAsia="zh-CN"/>
        </w:rPr>
        <w:t>省厅财政收支与“三保”调研座谈会、省厅公立医院高质量发展调研座谈会、国务院指导核实工作组来怀座谈会、阳光审批系统实施推进座谈会、省厅湘西片区预算绩效管理调研座谈会、防范化解地方债务风险领导小组会、全市预算改革推进培训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人数93人，</w:t>
      </w:r>
      <w:r>
        <w:rPr>
          <w:rFonts w:hint="eastAsia" w:ascii="仿宋_GB2312" w:hAnsi="仿宋_GB2312" w:eastAsia="仿宋_GB2312" w:cs="仿宋_GB2312"/>
          <w:sz w:val="32"/>
          <w:szCs w:val="32"/>
          <w:highlight w:val="none"/>
          <w:lang w:val="en-US" w:eastAsia="zh-CN"/>
        </w:rPr>
        <w:t>内容为会议工作总结、布置；开支培训费4.20万元，用于党政机关公文写作及政务信息工作培训授课费、通讯员培训班培训费、省会计学会会计人员培训费、行政执法培训费、新会计法培训授课费、新会计法培训费；未举</w:t>
      </w:r>
      <w:r>
        <w:rPr>
          <w:rFonts w:hint="eastAsia" w:ascii="仿宋_GB2312" w:hAnsi="仿宋_GB2312" w:eastAsia="仿宋_GB2312" w:cs="仿宋_GB2312"/>
          <w:color w:val="000000"/>
          <w:kern w:val="0"/>
          <w:sz w:val="32"/>
          <w:szCs w:val="32"/>
          <w:highlight w:val="none"/>
          <w:lang w:val="en-US" w:eastAsia="zh-CN" w:bidi="ar-SA"/>
        </w:rPr>
        <w:t>办节庆、晚会、论坛、赛事活动。</w:t>
      </w:r>
    </w:p>
    <w:p>
      <w:pPr>
        <w:pStyle w:val="16"/>
        <w:ind w:left="0" w:leftChars="0" w:firstLine="640" w:firstLineChars="200"/>
        <w:rPr>
          <w:rFonts w:hAnsi="黑体"/>
          <w:b/>
          <w:sz w:val="32"/>
          <w:szCs w:val="32"/>
        </w:rPr>
      </w:pPr>
      <w:r>
        <w:rPr>
          <w:rFonts w:hint="eastAsia" w:hAnsi="黑体"/>
          <w:b/>
          <w:sz w:val="32"/>
          <w:szCs w:val="32"/>
        </w:rPr>
        <w:t>十</w:t>
      </w:r>
      <w:r>
        <w:rPr>
          <w:rFonts w:hint="eastAsia" w:hAnsi="黑体"/>
          <w:b/>
          <w:sz w:val="32"/>
          <w:szCs w:val="32"/>
          <w:lang w:eastAsia="zh-CN"/>
        </w:rPr>
        <w:t>三</w:t>
      </w:r>
      <w:r>
        <w:rPr>
          <w:rFonts w:hint="eastAsia" w:hAnsi="黑体"/>
          <w:b/>
          <w:sz w:val="32"/>
          <w:szCs w:val="32"/>
        </w:rPr>
        <w:t>、</w:t>
      </w:r>
      <w:r>
        <w:rPr>
          <w:rFonts w:hint="eastAsia" w:hAnsi="黑体"/>
          <w:b/>
          <w:sz w:val="32"/>
          <w:szCs w:val="32"/>
          <w:lang w:eastAsia="zh-CN"/>
        </w:rPr>
        <w:t>关于</w:t>
      </w:r>
      <w:r>
        <w:rPr>
          <w:rFonts w:hint="eastAsia" w:hAnsi="黑体"/>
          <w:b/>
          <w:sz w:val="32"/>
          <w:szCs w:val="32"/>
        </w:rPr>
        <w:t>政府采购支出说明</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410.25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410.25</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56.60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353.65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授予中小企业合同金额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pStyle w:val="16"/>
        <w:ind w:left="0" w:leftChars="0" w:firstLine="640" w:firstLineChars="200"/>
        <w:rPr>
          <w:rFonts w:hAnsi="黑体"/>
          <w:b/>
          <w:sz w:val="32"/>
          <w:szCs w:val="32"/>
        </w:rPr>
      </w:pPr>
      <w:r>
        <w:rPr>
          <w:rFonts w:hint="eastAsia" w:hAnsi="黑体"/>
          <w:b/>
          <w:sz w:val="32"/>
          <w:szCs w:val="32"/>
        </w:rPr>
        <w:t>十</w:t>
      </w:r>
      <w:r>
        <w:rPr>
          <w:rFonts w:hint="eastAsia" w:hAnsi="黑体"/>
          <w:b/>
          <w:sz w:val="32"/>
          <w:szCs w:val="32"/>
          <w:lang w:eastAsia="zh-CN"/>
        </w:rPr>
        <w:t>四</w:t>
      </w:r>
      <w:r>
        <w:rPr>
          <w:rFonts w:hint="eastAsia" w:hAnsi="黑体"/>
          <w:b/>
          <w:sz w:val="32"/>
          <w:szCs w:val="32"/>
        </w:rPr>
        <w:t>、</w:t>
      </w:r>
      <w:r>
        <w:rPr>
          <w:rFonts w:hint="eastAsia" w:hAnsi="黑体"/>
          <w:b/>
          <w:sz w:val="32"/>
          <w:szCs w:val="32"/>
          <w:lang w:eastAsia="zh-CN"/>
        </w:rPr>
        <w:t>关于</w:t>
      </w:r>
      <w:r>
        <w:rPr>
          <w:rFonts w:hint="eastAsia" w:hAnsi="黑体"/>
          <w:b/>
          <w:sz w:val="32"/>
          <w:szCs w:val="32"/>
        </w:rPr>
        <w:t>国有资产占用情况说明</w:t>
      </w:r>
    </w:p>
    <w:p>
      <w:pPr>
        <w:pStyle w:val="1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年12月31日，部门（单位）共有车辆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辆，其中，其他用车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辆，其他用车主要是</w:t>
      </w:r>
      <w:r>
        <w:rPr>
          <w:rFonts w:hint="eastAsia" w:ascii="仿宋_GB2312" w:hAnsi="仿宋_GB2312" w:eastAsia="仿宋_GB2312" w:cs="仿宋_GB2312"/>
          <w:sz w:val="32"/>
          <w:szCs w:val="32"/>
          <w:lang w:eastAsia="zh-CN"/>
        </w:rPr>
        <w:t>一般公务用车</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Style w:val="16"/>
        <w:ind w:left="0" w:leftChars="0" w:firstLine="640" w:firstLineChars="200"/>
        <w:rPr>
          <w:rFonts w:hAnsi="黑体"/>
          <w:b/>
          <w:sz w:val="32"/>
          <w:szCs w:val="32"/>
        </w:rPr>
      </w:pPr>
      <w:r>
        <w:rPr>
          <w:rFonts w:hint="eastAsia" w:hAnsi="黑体"/>
          <w:b/>
          <w:sz w:val="32"/>
          <w:szCs w:val="32"/>
        </w:rPr>
        <w:t>十</w:t>
      </w:r>
      <w:r>
        <w:rPr>
          <w:rFonts w:hint="eastAsia" w:hAnsi="黑体"/>
          <w:b/>
          <w:sz w:val="32"/>
          <w:szCs w:val="32"/>
          <w:lang w:eastAsia="zh-CN"/>
        </w:rPr>
        <w:t>五</w:t>
      </w:r>
      <w:r>
        <w:rPr>
          <w:rFonts w:hint="eastAsia" w:hAnsi="黑体"/>
          <w:b/>
          <w:sz w:val="32"/>
          <w:szCs w:val="32"/>
        </w:rPr>
        <w:t>、</w:t>
      </w:r>
      <w:r>
        <w:rPr>
          <w:rFonts w:hint="eastAsia" w:hAnsi="黑体"/>
          <w:b/>
          <w:sz w:val="32"/>
          <w:szCs w:val="32"/>
          <w:lang w:eastAsia="zh-CN"/>
        </w:rPr>
        <w:t>关于</w:t>
      </w:r>
      <w:r>
        <w:rPr>
          <w:rFonts w:hint="eastAsia" w:hAnsi="黑体"/>
          <w:b/>
          <w:sz w:val="32"/>
          <w:szCs w:val="32"/>
        </w:rPr>
        <w:t>202</w:t>
      </w:r>
      <w:r>
        <w:rPr>
          <w:rFonts w:hint="eastAsia" w:hAnsi="黑体"/>
          <w:b/>
          <w:sz w:val="32"/>
          <w:szCs w:val="32"/>
          <w:lang w:val="en-US" w:eastAsia="zh-CN"/>
        </w:rPr>
        <w:t>4</w:t>
      </w:r>
      <w:r>
        <w:rPr>
          <w:rFonts w:hint="eastAsia" w:hAnsi="黑体"/>
          <w:b/>
          <w:sz w:val="32"/>
          <w:szCs w:val="32"/>
        </w:rPr>
        <w:t>年度预算绩效情况说明</w:t>
      </w:r>
    </w:p>
    <w:p>
      <w:pPr>
        <w:pStyle w:val="11"/>
        <w:keepNext w:val="0"/>
        <w:keepLines w:val="0"/>
        <w:widowControl/>
        <w:suppressLineNumbers w:val="0"/>
        <w:spacing w:before="0" w:beforeAutospacing="0" w:after="0" w:afterAutospacing="0" w:line="375" w:lineRule="atLeast"/>
        <w:ind w:left="0" w:right="0" w:firstLine="64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根据预算绩效管理要求，我部门组织对</w:t>
      </w:r>
      <w:r>
        <w:rPr>
          <w:rFonts w:hint="eastAsia" w:ascii="仿宋_GB2312" w:hAnsi="仿宋_GB2312" w:eastAsia="仿宋_GB2312" w:cs="仿宋_GB2312"/>
          <w:color w:val="000000"/>
          <w:kern w:val="0"/>
          <w:sz w:val="32"/>
          <w:szCs w:val="32"/>
          <w:lang w:eastAsia="zh-CN"/>
        </w:rPr>
        <w:t>怀化市财政局</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个单位开展整体支出绩效评价，涉及一般公共预算支出4880.55万元，政府性基金预算支出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，国有资本经营预算项目支出</w:t>
      </w:r>
      <w:r>
        <w:rPr>
          <w:rFonts w:hint="eastAsia" w:ascii="仿宋_GB2312" w:hAnsi="仿宋_GB2312" w:eastAsia="仿宋_GB2312" w:cs="仿宋_GB2312"/>
          <w:color w:val="000000"/>
          <w:kern w:val="0"/>
          <w:sz w:val="32"/>
          <w:szCs w:val="32"/>
          <w:lang w:val="en-US" w:eastAsia="zh-CN"/>
        </w:rPr>
        <w:t>0元</w:t>
      </w:r>
      <w:r>
        <w:rPr>
          <w:rFonts w:hint="eastAsia" w:ascii="仿宋_GB2312" w:hAnsi="仿宋_GB2312" w:eastAsia="仿宋_GB2312" w:cs="仿宋_GB2312"/>
          <w:color w:val="000000"/>
          <w:kern w:val="0"/>
          <w:sz w:val="32"/>
          <w:szCs w:val="32"/>
        </w:rPr>
        <w:t>。从评价情况来看，</w:t>
      </w:r>
      <w:r>
        <w:rPr>
          <w:rFonts w:hint="eastAsia" w:ascii="仿宋_GB2312" w:hAnsi="仿宋_GB2312" w:eastAsia="仿宋_GB2312" w:cs="仿宋_GB2312"/>
          <w:color w:val="000000"/>
          <w:kern w:val="0"/>
          <w:sz w:val="32"/>
          <w:szCs w:val="32"/>
          <w:lang w:val="en-US" w:eastAsia="zh-CN"/>
        </w:rPr>
        <w:t>2024</w:t>
      </w:r>
      <w:r>
        <w:rPr>
          <w:rFonts w:hint="eastAsia" w:ascii="仿宋_GB2312" w:hAnsi="仿宋_GB2312" w:eastAsia="仿宋_GB2312" w:cs="仿宋_GB2312"/>
          <w:color w:val="000000"/>
          <w:kern w:val="0"/>
          <w:sz w:val="32"/>
          <w:szCs w:val="32"/>
        </w:rPr>
        <w:t>年怀化市财政局</w:t>
      </w:r>
      <w:r>
        <w:rPr>
          <w:rFonts w:hint="eastAsia" w:ascii="仿宋_GB2312" w:hAnsi="仿宋_GB2312" w:eastAsia="仿宋_GB2312" w:cs="仿宋_GB2312"/>
          <w:color w:val="000000"/>
          <w:kern w:val="0"/>
          <w:sz w:val="32"/>
          <w:szCs w:val="32"/>
          <w:lang w:eastAsia="zh-CN"/>
        </w:rPr>
        <w:t>财政拨款</w:t>
      </w:r>
      <w:r>
        <w:rPr>
          <w:rFonts w:hint="eastAsia" w:ascii="仿宋_GB2312" w:hAnsi="仿宋_GB2312" w:eastAsia="仿宋_GB2312" w:cs="仿宋_GB2312"/>
          <w:color w:val="000000"/>
          <w:kern w:val="0"/>
          <w:sz w:val="32"/>
          <w:szCs w:val="32"/>
        </w:rPr>
        <w:t>总支出为4880.55万元，</w:t>
      </w:r>
      <w:r>
        <w:rPr>
          <w:rFonts w:hint="eastAsia" w:ascii="仿宋_GB2312" w:hAnsi="仿宋_GB2312" w:eastAsia="仿宋_GB2312" w:cs="仿宋_GB2312"/>
          <w:color w:val="000000"/>
          <w:kern w:val="0"/>
          <w:sz w:val="32"/>
          <w:szCs w:val="32"/>
          <w:lang w:eastAsia="zh-CN"/>
        </w:rPr>
        <w:t>其中：</w:t>
      </w:r>
      <w:r>
        <w:rPr>
          <w:rFonts w:hint="eastAsia" w:ascii="仿宋_GB2312" w:hAnsi="仿宋_GB2312" w:eastAsia="仿宋_GB2312" w:cs="仿宋_GB2312"/>
          <w:color w:val="000000"/>
          <w:kern w:val="0"/>
          <w:sz w:val="32"/>
          <w:szCs w:val="32"/>
        </w:rPr>
        <w:t>基本支出</w:t>
      </w:r>
      <w:r>
        <w:rPr>
          <w:rFonts w:hint="eastAsia" w:ascii="仿宋_GB2312" w:hAnsi="仿宋_GB2312" w:eastAsia="仿宋_GB2312" w:cs="仿宋_GB2312"/>
          <w:color w:val="000000"/>
          <w:kern w:val="0"/>
          <w:sz w:val="32"/>
          <w:szCs w:val="32"/>
          <w:lang w:val="en-US" w:eastAsia="zh-CN"/>
        </w:rPr>
        <w:t>3504.93万元，项目支出1375.62万元</w:t>
      </w:r>
      <w:r>
        <w:rPr>
          <w:rFonts w:hint="eastAsia" w:ascii="仿宋_GB2312" w:hAnsi="仿宋_GB2312" w:eastAsia="仿宋_GB2312" w:cs="仿宋_GB2312"/>
          <w:color w:val="000000"/>
          <w:kern w:val="0"/>
          <w:sz w:val="32"/>
          <w:szCs w:val="32"/>
        </w:rPr>
        <w:t>。基本支出核算的主要内容是为保障财政局机关正常运转、完成日常工作任务而发生的人员支出和公用支出，涉及范围为局机关在职及离退休人员。</w:t>
      </w:r>
      <w:r>
        <w:rPr>
          <w:rFonts w:hint="eastAsia" w:ascii="仿宋_GB2312" w:hAnsi="仿宋_GB2312" w:eastAsia="仿宋_GB2312" w:cs="仿宋_GB2312"/>
          <w:color w:val="000000"/>
          <w:kern w:val="0"/>
          <w:sz w:val="32"/>
          <w:szCs w:val="32"/>
          <w:lang w:eastAsia="zh-CN"/>
        </w:rPr>
        <w:t>项目支出核算的主要内容是财政局完成特定的工作任务或事业发展目标，在基本的预算支出以外，财政预算专款安排的支出。</w:t>
      </w:r>
    </w:p>
    <w:p>
      <w:pPr>
        <w:pStyle w:val="11"/>
        <w:keepNext w:val="0"/>
        <w:keepLines w:val="0"/>
        <w:widowControl/>
        <w:suppressLineNumbers w:val="0"/>
        <w:spacing w:before="0" w:beforeAutospacing="0" w:after="0" w:afterAutospacing="0" w:line="375" w:lineRule="atLeast"/>
        <w:ind w:left="0" w:right="0" w:firstLine="640"/>
        <w:jc w:val="both"/>
        <w:rPr>
          <w:rFonts w:hint="eastAsia" w:ascii="仿宋_GB2312" w:hAnsi="仿宋_GB2312" w:eastAsia="仿宋_GB2312" w:cs="仿宋_GB2312"/>
          <w:color w:val="000000"/>
          <w:kern w:val="0"/>
          <w:sz w:val="32"/>
          <w:szCs w:val="32"/>
        </w:rPr>
      </w:pPr>
    </w:p>
    <w:p>
      <w:pPr>
        <w:pStyle w:val="16"/>
        <w:ind w:left="0" w:leftChars="0" w:firstLine="1440" w:firstLineChars="200"/>
        <w:jc w:val="center"/>
        <w:rPr>
          <w:sz w:val="72"/>
          <w:szCs w:val="72"/>
        </w:rPr>
      </w:pPr>
    </w:p>
    <w:p>
      <w:pPr>
        <w:pStyle w:val="16"/>
        <w:ind w:left="0" w:leftChars="0" w:firstLine="1440" w:firstLineChars="200"/>
        <w:jc w:val="center"/>
        <w:rPr>
          <w:sz w:val="72"/>
          <w:szCs w:val="72"/>
        </w:rPr>
      </w:pPr>
    </w:p>
    <w:p>
      <w:pPr>
        <w:pStyle w:val="16"/>
        <w:ind w:left="0" w:leftChars="0" w:firstLine="1440" w:firstLineChars="200"/>
        <w:jc w:val="center"/>
        <w:rPr>
          <w:sz w:val="72"/>
          <w:szCs w:val="72"/>
        </w:rPr>
      </w:pPr>
    </w:p>
    <w:p>
      <w:pPr>
        <w:pStyle w:val="16"/>
        <w:ind w:left="0" w:leftChars="0" w:firstLine="1440" w:firstLineChars="200"/>
        <w:jc w:val="center"/>
        <w:rPr>
          <w:sz w:val="72"/>
          <w:szCs w:val="72"/>
        </w:rPr>
      </w:pPr>
    </w:p>
    <w:p>
      <w:pPr>
        <w:pStyle w:val="16"/>
        <w:ind w:left="0" w:leftChars="0" w:firstLine="1440" w:firstLineChars="200"/>
        <w:jc w:val="center"/>
        <w:rPr>
          <w:sz w:val="72"/>
          <w:szCs w:val="72"/>
        </w:rPr>
      </w:pPr>
    </w:p>
    <w:p>
      <w:pPr>
        <w:pStyle w:val="16"/>
        <w:ind w:left="0" w:leftChars="0" w:firstLine="1440" w:firstLineChars="200"/>
        <w:jc w:val="center"/>
        <w:rPr>
          <w:sz w:val="72"/>
          <w:szCs w:val="72"/>
        </w:rPr>
      </w:pPr>
    </w:p>
    <w:p>
      <w:pPr>
        <w:pStyle w:val="16"/>
        <w:ind w:left="0" w:leftChars="0" w:firstLine="1440" w:firstLineChars="200"/>
        <w:jc w:val="center"/>
        <w:rPr>
          <w:sz w:val="72"/>
          <w:szCs w:val="72"/>
        </w:rPr>
      </w:pPr>
    </w:p>
    <w:p>
      <w:pPr>
        <w:pStyle w:val="16"/>
        <w:ind w:left="0" w:leftChars="0" w:firstLine="1440" w:firstLineChars="200"/>
        <w:jc w:val="center"/>
        <w:rPr>
          <w:sz w:val="72"/>
          <w:szCs w:val="72"/>
        </w:rPr>
      </w:pPr>
    </w:p>
    <w:p>
      <w:pPr>
        <w:pStyle w:val="16"/>
        <w:ind w:left="0" w:leftChars="0" w:firstLine="1440" w:firstLineChars="200"/>
        <w:jc w:val="center"/>
        <w:rPr>
          <w:sz w:val="72"/>
          <w:szCs w:val="72"/>
        </w:rPr>
      </w:pPr>
    </w:p>
    <w:p>
      <w:pPr>
        <w:pStyle w:val="16"/>
        <w:jc w:val="center"/>
        <w:rPr>
          <w:sz w:val="72"/>
          <w:szCs w:val="72"/>
        </w:rPr>
      </w:pPr>
    </w:p>
    <w:p>
      <w:pPr>
        <w:pStyle w:val="16"/>
        <w:rPr>
          <w:sz w:val="72"/>
          <w:szCs w:val="72"/>
        </w:rPr>
      </w:pPr>
    </w:p>
    <w:p>
      <w:pPr>
        <w:pStyle w:val="16"/>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560" w:lineRule="exact"/>
        <w:ind w:left="648" w:leftChars="309" w:right="1005" w:rightChars="479" w:firstLine="609" w:firstLineChars="0"/>
        <w:rPr>
          <w:rFonts w:hint="eastAsia" w:eastAsia="仿宋_GB2312"/>
          <w:sz w:val="32"/>
          <w:szCs w:val="32"/>
        </w:rPr>
      </w:pPr>
      <w:r>
        <w:rPr>
          <w:rFonts w:hint="eastAsia" w:ascii="楷体_GB2312" w:hAnsi="楷体_GB2312" w:eastAsia="楷体_GB2312" w:cs="楷体_GB2312"/>
          <w:b/>
          <w:bCs/>
          <w:sz w:val="32"/>
          <w:szCs w:val="32"/>
        </w:rPr>
        <w:t>1.机关运行经费：</w:t>
      </w:r>
      <w:r>
        <w:rPr>
          <w:rFonts w:hint="eastAsia" w:eastAsia="仿宋_GB2312"/>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ind w:left="648" w:leftChars="309" w:right="1005" w:rightChars="479" w:firstLine="609" w:firstLineChars="0"/>
        <w:rPr>
          <w:rFonts w:hint="eastAsia" w:ascii="仿宋_GB2312" w:eastAsia="仿宋_GB2312"/>
          <w:sz w:val="30"/>
          <w:szCs w:val="30"/>
        </w:rPr>
      </w:pPr>
      <w:r>
        <w:rPr>
          <w:rFonts w:hint="eastAsia" w:ascii="楷体_GB2312" w:hAnsi="楷体_GB2312" w:eastAsia="楷体_GB2312" w:cs="楷体_GB2312"/>
          <w:b/>
          <w:bCs/>
          <w:sz w:val="32"/>
          <w:szCs w:val="32"/>
        </w:rPr>
        <w:t>2.“三公”经费：</w:t>
      </w:r>
      <w:r>
        <w:rPr>
          <w:rFonts w:hint="eastAsia" w:eastAsia="仿宋_GB2312"/>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hd w:val="clear" w:color="auto" w:fill="FFFFFF"/>
        <w:spacing w:line="600" w:lineRule="atLeast"/>
        <w:ind w:left="0" w:leftChars="0" w:firstLine="0" w:firstLineChars="0"/>
        <w:jc w:val="center"/>
        <w:rPr>
          <w:rFonts w:hint="eastAsia" w:ascii="黑体" w:hAnsi="黑体" w:eastAsia="黑体" w:cs="黑体"/>
          <w:b/>
          <w:spacing w:val="-2"/>
          <w:sz w:val="36"/>
          <w:szCs w:val="36"/>
          <w:lang w:eastAsia="zh-CN"/>
        </w:rPr>
      </w:pPr>
    </w:p>
    <w:p>
      <w:pPr>
        <w:widowControl/>
        <w:shd w:val="clear" w:color="auto" w:fill="FFFFFF"/>
        <w:spacing w:line="600" w:lineRule="atLeast"/>
        <w:ind w:left="0" w:leftChars="0" w:firstLine="0" w:firstLineChars="0"/>
        <w:jc w:val="center"/>
        <w:rPr>
          <w:rFonts w:hint="eastAsia" w:eastAsia="仿宋_GB2312"/>
          <w:b/>
          <w:spacing w:val="-2"/>
          <w:sz w:val="36"/>
          <w:szCs w:val="36"/>
        </w:rPr>
      </w:pPr>
      <w:r>
        <w:rPr>
          <w:rFonts w:hint="eastAsia" w:ascii="黑体" w:hAnsi="黑体" w:eastAsia="黑体" w:cs="黑体"/>
          <w:b/>
          <w:spacing w:val="-2"/>
          <w:sz w:val="36"/>
          <w:szCs w:val="36"/>
          <w:lang w:eastAsia="zh-CN"/>
        </w:rPr>
        <w:t>怀化市财政局</w:t>
      </w:r>
      <w:r>
        <w:rPr>
          <w:rFonts w:hint="eastAsia" w:ascii="黑体" w:hAnsi="黑体" w:eastAsia="黑体" w:cs="黑体"/>
          <w:b/>
          <w:spacing w:val="-2"/>
          <w:sz w:val="36"/>
          <w:szCs w:val="36"/>
          <w:lang w:val="en-US" w:eastAsia="zh-CN"/>
        </w:rPr>
        <w:t>2024年</w:t>
      </w:r>
      <w:r>
        <w:rPr>
          <w:rFonts w:hint="eastAsia" w:ascii="黑体" w:hAnsi="黑体" w:eastAsia="黑体" w:cs="黑体"/>
          <w:b/>
          <w:spacing w:val="-2"/>
          <w:sz w:val="36"/>
          <w:szCs w:val="36"/>
        </w:rPr>
        <w:t>部门整体支出绩效</w:t>
      </w:r>
      <w:r>
        <w:rPr>
          <w:rFonts w:hint="eastAsia" w:ascii="黑体" w:hAnsi="黑体" w:eastAsia="黑体" w:cs="黑体"/>
          <w:b/>
          <w:spacing w:val="-2"/>
          <w:sz w:val="36"/>
          <w:szCs w:val="36"/>
          <w:lang w:eastAsia="zh-CN"/>
        </w:rPr>
        <w:t>自</w:t>
      </w:r>
      <w:r>
        <w:rPr>
          <w:rFonts w:hint="eastAsia" w:ascii="黑体" w:hAnsi="黑体" w:eastAsia="黑体" w:cs="黑体"/>
          <w:b/>
          <w:spacing w:val="-2"/>
          <w:sz w:val="36"/>
          <w:szCs w:val="36"/>
        </w:rPr>
        <w:t>评报告</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一、部门概况</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（一）部门（单位）基本情况</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0"/>
        <w:jc w:val="left"/>
        <w:rPr>
          <w:rFonts w:hint="eastAsia" w:ascii="方正仿宋_GB2312" w:hAnsi="方正仿宋_GB2312" w:eastAsia="方正仿宋_GB2312" w:cs="方正仿宋_GB2312"/>
          <w:b/>
          <w:bCs w:val="0"/>
          <w:sz w:val="32"/>
          <w:szCs w:val="32"/>
        </w:rPr>
      </w:pPr>
      <w:r>
        <w:rPr>
          <w:rFonts w:hint="eastAsia" w:ascii="方正仿宋_GB2312" w:hAnsi="方正仿宋_GB2312" w:eastAsia="方正仿宋_GB2312" w:cs="方正仿宋_GB2312"/>
          <w:b/>
          <w:bCs w:val="0"/>
          <w:color w:val="313131"/>
          <w:sz w:val="32"/>
          <w:szCs w:val="32"/>
        </w:rPr>
        <w:t>1、人员机构情况</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怀化市财政局属依法设立的怀化市人民政府工作部门，属全额拨款的行政事业单位，行政级别正处级。下设21个内设机构、2个副处级参公管理事业单位、1个副处级公益一类事业单位及5个事业科室，现有在职干部职工199人,离休人员1人。</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0"/>
        <w:jc w:val="left"/>
        <w:rPr>
          <w:rFonts w:hint="eastAsia" w:ascii="方正仿宋_GB2312" w:hAnsi="方正仿宋_GB2312" w:eastAsia="方正仿宋_GB2312" w:cs="方正仿宋_GB2312"/>
          <w:b/>
          <w:bCs w:val="0"/>
          <w:color w:val="313131"/>
          <w:sz w:val="32"/>
          <w:szCs w:val="32"/>
          <w:lang w:bidi="ar-SA"/>
        </w:rPr>
      </w:pPr>
      <w:r>
        <w:rPr>
          <w:rFonts w:hint="eastAsia" w:ascii="方正仿宋_GB2312" w:hAnsi="方正仿宋_GB2312" w:eastAsia="方正仿宋_GB2312" w:cs="方正仿宋_GB2312"/>
          <w:b/>
          <w:bCs w:val="0"/>
          <w:color w:val="313131"/>
          <w:sz w:val="32"/>
          <w:szCs w:val="32"/>
          <w:lang w:bidi="ar-SA"/>
        </w:rPr>
        <w:t>2、主要职责</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组织贯彻执行国家财税方针政策，拟订和执行全市财政政策、改革方案，指导全市财政工作；分析预测宏观经济形势，参与制定各项宏观经济政策;提出运用财税政策实施宏观调控和综合平衡社会财力的建议；拟订和执行政府与企业的分配政策，完善鼓励公益事业发展的财税政策。贯彻执行国家有关金融工作的方针、政策和法律、法规，组织拟订市人民政府金融领域有关规章草案；组织拟订加强全市金融行业服务、促进金融行业发展的意见和政策建议。</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（2）代政府起草财政、财务、会议管理的制度及办法。</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3）承担市本级各项财政收支管理的责任；负责编制年度市本级预决算草案并组织执行；代编全市财政收支预算，汇总全市财政总决算；受市人民政府委托，向市人民代表大会报告市本级、全市预算及其执行情况，向市人大常委会报告决算；组织制订市本级经费开支标准、定额，负责审核批复部门(单位)的年度预决算。完善转移支付制度，推进省直管县财政体制改革。</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（4）负责政府非税收入管理；负责政府性基金管理，按规定管理行政事业性收费；负责管理财政票据；负责制定彩票管理政策，管理彩票市场，按规定管理彩票资金。</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（5）组织制定国库管理制度、国库集中收付制度，指导和监督市本级国库业务，按规定开展国库现金管理工作。负责制定政府采购制度并监督管理。</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（6）贯彻执行国家财税法律、法规和税收调整政策，反馈政策执行情况，提出调整建议；参与市管理权限内有关税收政策及税收政策调整方案的调查研究，提出对策建议。</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（7）负责制定全市行政事业单位国有资产管理规章制度，按规定管理行政事业单位国有资产，制定需要全市统一规定的开支标准和支出政策，负责财政预算内行政、事业单位和社会团体的非贸易外汇管理。</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8）负责审核和汇总编制全市国有资本经营预决算草案，制定国有资本经营预算的制度和办法，收取市本级企业国有资本收益，组织实施企业财务制度，按规定管理地方金嘈类企业国有资产，参与拟订企业国有资产管理相关制度，负责未纳入市国资委监管企业的国有资产管理，管理资产评估工作。</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（9）负责办理和监督市级财政的经济发展支出、市级政府性投资项目的财政拨款，参与拟订市建设投资的有关政策，组织实施基本建设财务制度，负责有关政策性补贴和专项储备资金财政管理工作。</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（10）会同有关部门管理市级财政社会保障和就业及医疗卫生支出，组织实施社会保障资金(基金)的财务管理制度，编制市社会保障预决算草案。</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（11）贯彻执行政府内外债务管理的政策、制度和办法，防范财政风险；负责统一管理市政府外债，制定基本管理制度，按规定管理外国政府和国外金融组织贷(赠)款；承担财税领域交流与合作的具体工作。</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（12）负责管理全市的会计工作，监督和规范会计行为，组织实施国家统一的会计制度，组织实施全省会计行政法规规章，指导和监督注册会计师和会计师事务所的业务，指导和管理社会审计。</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（13）监督检查财税法规、政策的执行情况，反映财政收支管理中的重大问题，提出加强财政管理的政策和建议。</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（14）研究分析国家金融政策、宏观金融形势和全市金融运行情况，会同有关部门推进全市金融市场体系建设。</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 （15）负责联系省驻怀金融管理部门、各类金额融机构；组织开展政府与金融机构合作、金融机构和企业对接，引导、协调和鼓励金融机构加大对全市经济社会发展的支持力度。</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 （16）指导全市村镇银行、小额贷款公司、融资性担保机构等地方金融机构的改革、发展、监管和重组；会同有关部门推进全市社会信用体系建设和金融安全区创建，推进改善金融生态环境。</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（17）指导、协调发行地方政府债券工作。</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18）履行国有金融资本管理，起草年度国有资产管理综合报告及行政事业性国有资产（含行政事业单位经管资产）和金融企业国有资产专项报告，负责全面实施预算绩效管理相关工作，研究拟定政府购买服务制度和政策并组织实施并组织实施职责。</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b w:val="0"/>
          <w:bCs w:val="0"/>
          <w:color w:val="000000"/>
          <w:sz w:val="32"/>
          <w:szCs w:val="32"/>
          <w:lang w:val="en-US" w:eastAsia="zh-CN"/>
        </w:rPr>
        <w:t>（19）承办市委、市人民政府交办的其他事项。</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（二）部门（单位）整体支出规模、使用方向和主要内容、涉及范围等</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b w:val="0"/>
          <w:bCs w:val="0"/>
          <w:color w:val="000000"/>
          <w:sz w:val="32"/>
          <w:szCs w:val="32"/>
          <w:lang w:val="en-US" w:eastAsia="zh-CN"/>
        </w:rPr>
        <w:t>2024年怀化市财政局总支出为4880.56万元，其中：基本支出3504.93万元，项目支出1375.63万元。基本支出核算的主要内容是为保障财政局机关正常运转、完成日常工作任务而发生的人员支出和公用支出，涉及范围为局机关在职及离退休人员。项目支出核算的主要内容是财政局完成特定的工作任务或事业发展目标，在基本的预算支出以外，财政预算专款安排的支出。</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二、一般公共预算支出情况</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（一）基本支出</w:t>
      </w:r>
    </w:p>
    <w:p>
      <w:pPr>
        <w:keepNext w:val="0"/>
        <w:keepLines w:val="0"/>
        <w:pageBreakBefore w:val="0"/>
        <w:widowControl/>
        <w:numPr>
          <w:ilvl w:val="0"/>
          <w:numId w:val="0"/>
        </w:numPr>
        <w:suppressLineNumbers w:val="0"/>
        <w:kinsoku/>
        <w:wordWrap/>
        <w:overflowPunct/>
        <w:topLinePunct w:val="0"/>
        <w:autoSpaceDE/>
        <w:autoSpaceDN/>
        <w:bidi w:val="0"/>
        <w:spacing w:line="556" w:lineRule="exact"/>
        <w:ind w:firstLine="640" w:firstLineChars="200"/>
        <w:jc w:val="left"/>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市财政局经费支出是为保障机关正常运转和完成日常工作任务而产生的支出，包括基本工资、津贴补贴、退休费等人员经费以及办公费、印刷费、水电费、办公设备购置费、差旅费、公务用车运行等日常公用经费。2024年市财政局基本支出为3504.93万元，较上年同比增长5.37%。其中：“三公经费”支出19.36万元（公车运行维护费用17.85万元，公务接待费1.51万元），较上年同比下降19.13%，完成预算指标数的64.53%。</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56" w:lineRule="exact"/>
        <w:ind w:left="0" w:right="0" w:firstLine="629"/>
        <w:jc w:val="both"/>
        <w:textAlignment w:val="auto"/>
        <w:outlineLvl w:val="9"/>
        <w:rPr>
          <w:rFonts w:hint="eastAsia" w:ascii="方正仿宋_GB2312" w:hAnsi="方正仿宋_GB2312" w:eastAsia="方正仿宋_GB2312" w:cs="方正仿宋_GB2312"/>
          <w:color w:val="313131"/>
          <w:sz w:val="32"/>
          <w:szCs w:val="32"/>
        </w:rPr>
      </w:pPr>
      <w:r>
        <w:rPr>
          <w:rFonts w:hint="eastAsia" w:ascii="方正仿宋_GB2312" w:hAnsi="方正仿宋_GB2312" w:eastAsia="方正仿宋_GB2312" w:cs="方正仿宋_GB2312"/>
          <w:color w:val="313131"/>
          <w:sz w:val="32"/>
          <w:szCs w:val="32"/>
        </w:rPr>
        <w:t> </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56" w:lineRule="exact"/>
        <w:ind w:left="0" w:right="0" w:firstLine="629"/>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313131"/>
          <w:sz w:val="32"/>
          <w:szCs w:val="32"/>
        </w:rPr>
        <w:t> </w:t>
      </w:r>
      <w:r>
        <w:rPr>
          <w:rFonts w:hint="eastAsia" w:ascii="方正仿宋_GB2312" w:hAnsi="方正仿宋_GB2312" w:eastAsia="方正仿宋_GB2312" w:cs="方正仿宋_GB2312"/>
          <w:b/>
          <w:bCs/>
          <w:color w:val="313131"/>
          <w:sz w:val="32"/>
          <w:szCs w:val="32"/>
          <w:lang w:eastAsia="zh-CN"/>
        </w:rPr>
        <w:t>202</w:t>
      </w:r>
      <w:r>
        <w:rPr>
          <w:rFonts w:hint="eastAsia" w:ascii="方正仿宋_GB2312" w:hAnsi="方正仿宋_GB2312" w:eastAsia="方正仿宋_GB2312" w:cs="方正仿宋_GB2312"/>
          <w:b/>
          <w:bCs/>
          <w:color w:val="313131"/>
          <w:sz w:val="32"/>
          <w:szCs w:val="32"/>
          <w:lang w:val="en-US" w:eastAsia="zh-CN"/>
        </w:rPr>
        <w:t>4</w:t>
      </w:r>
      <w:r>
        <w:rPr>
          <w:rFonts w:hint="eastAsia" w:ascii="方正仿宋_GB2312" w:hAnsi="方正仿宋_GB2312" w:eastAsia="方正仿宋_GB2312" w:cs="方正仿宋_GB2312"/>
          <w:b/>
          <w:bCs/>
          <w:color w:val="313131"/>
          <w:sz w:val="32"/>
          <w:szCs w:val="32"/>
        </w:rPr>
        <w:t>年“三公”经费执行情况表（单位：万元）</w:t>
      </w:r>
    </w:p>
    <w:tbl>
      <w:tblPr>
        <w:tblStyle w:val="12"/>
        <w:tblW w:w="84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33"/>
        <w:gridCol w:w="1567"/>
        <w:gridCol w:w="1642"/>
        <w:gridCol w:w="1611"/>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33"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费用项目</w:t>
            </w:r>
          </w:p>
        </w:tc>
        <w:tc>
          <w:tcPr>
            <w:tcW w:w="156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w:t>
            </w:r>
            <w:r>
              <w:rPr>
                <w:rFonts w:hint="eastAsia" w:ascii="方正仿宋_GB2312" w:hAnsi="方正仿宋_GB2312" w:eastAsia="方正仿宋_GB2312" w:cs="方正仿宋_GB2312"/>
                <w:sz w:val="32"/>
                <w:szCs w:val="32"/>
              </w:rPr>
              <w:t>年</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实际数</w:t>
            </w:r>
          </w:p>
        </w:tc>
        <w:tc>
          <w:tcPr>
            <w:tcW w:w="164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w:t>
            </w:r>
            <w:r>
              <w:rPr>
                <w:rFonts w:hint="eastAsia" w:ascii="方正仿宋_GB2312" w:hAnsi="方正仿宋_GB2312" w:eastAsia="方正仿宋_GB2312" w:cs="方正仿宋_GB2312"/>
                <w:sz w:val="32"/>
                <w:szCs w:val="32"/>
              </w:rPr>
              <w:t>年</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控制数</w:t>
            </w:r>
          </w:p>
        </w:tc>
        <w:tc>
          <w:tcPr>
            <w:tcW w:w="1611"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2023</w:t>
            </w:r>
            <w:r>
              <w:rPr>
                <w:rFonts w:hint="eastAsia" w:ascii="方正仿宋_GB2312" w:hAnsi="方正仿宋_GB2312" w:eastAsia="方正仿宋_GB2312" w:cs="方正仿宋_GB2312"/>
                <w:sz w:val="32"/>
                <w:szCs w:val="32"/>
              </w:rPr>
              <w:t>年</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实际数</w:t>
            </w:r>
          </w:p>
        </w:tc>
        <w:tc>
          <w:tcPr>
            <w:tcW w:w="185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增减</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33"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公车运行费</w:t>
            </w:r>
          </w:p>
        </w:tc>
        <w:tc>
          <w:tcPr>
            <w:tcW w:w="156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17.85</w:t>
            </w:r>
          </w:p>
        </w:tc>
        <w:tc>
          <w:tcPr>
            <w:tcW w:w="164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24.00</w:t>
            </w:r>
          </w:p>
        </w:tc>
        <w:tc>
          <w:tcPr>
            <w:tcW w:w="1611"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20.77</w:t>
            </w:r>
          </w:p>
        </w:tc>
        <w:tc>
          <w:tcPr>
            <w:tcW w:w="185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640" w:firstLineChars="200"/>
              <w:jc w:val="both"/>
              <w:textAlignment w:val="auto"/>
              <w:outlineLvl w:val="9"/>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eastAsia="zh-CN"/>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33"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公务接待费</w:t>
            </w:r>
          </w:p>
        </w:tc>
        <w:tc>
          <w:tcPr>
            <w:tcW w:w="156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1.51</w:t>
            </w:r>
          </w:p>
        </w:tc>
        <w:tc>
          <w:tcPr>
            <w:tcW w:w="164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6.00</w:t>
            </w:r>
          </w:p>
        </w:tc>
        <w:tc>
          <w:tcPr>
            <w:tcW w:w="1611"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320" w:firstLineChars="1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3.17</w:t>
            </w:r>
          </w:p>
        </w:tc>
        <w:tc>
          <w:tcPr>
            <w:tcW w:w="185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-52.37</w:t>
            </w:r>
            <w:r>
              <w:rPr>
                <w:rFonts w:hint="eastAsia" w:ascii="方正仿宋_GB2312" w:hAnsi="方正仿宋_GB2312" w:eastAsia="方正仿宋_GB2312" w:cs="方正仿宋_GB2312"/>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33"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出国费</w:t>
            </w:r>
          </w:p>
        </w:tc>
        <w:tc>
          <w:tcPr>
            <w:tcW w:w="156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tc>
        <w:tc>
          <w:tcPr>
            <w:tcW w:w="164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tc>
        <w:tc>
          <w:tcPr>
            <w:tcW w:w="1611"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tc>
        <w:tc>
          <w:tcPr>
            <w:tcW w:w="185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33"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公车购置费</w:t>
            </w:r>
          </w:p>
        </w:tc>
        <w:tc>
          <w:tcPr>
            <w:tcW w:w="156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tc>
        <w:tc>
          <w:tcPr>
            <w:tcW w:w="164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tc>
        <w:tc>
          <w:tcPr>
            <w:tcW w:w="1611"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tc>
        <w:tc>
          <w:tcPr>
            <w:tcW w:w="185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tc>
      </w:tr>
    </w:tbl>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leftChars="0" w:right="0" w:firstLine="640" w:firstLineChars="200"/>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color w:val="313131"/>
          <w:sz w:val="32"/>
          <w:szCs w:val="32"/>
        </w:rPr>
        <w:t>  </w:t>
      </w:r>
      <w:r>
        <w:rPr>
          <w:rFonts w:hint="eastAsia" w:ascii="方正仿宋_GB2312" w:hAnsi="方正仿宋_GB2312" w:eastAsia="方正仿宋_GB2312" w:cs="方正仿宋_GB2312"/>
          <w:b w:val="0"/>
          <w:bCs w:val="0"/>
          <w:color w:val="000000"/>
          <w:kern w:val="2"/>
          <w:sz w:val="32"/>
          <w:szCs w:val="32"/>
          <w:lang w:val="en-US" w:eastAsia="zh-CN" w:bidi="ar-SA"/>
        </w:rPr>
        <w:t>在支出管理方面，一是完善制度，规范管理。坚决贯彻落实省委省政府关于党政机关厉行节约工作的有关精神，认真执行中央“八项规定”、省委“九项规定”的要求，加强机关财务管理，严格控制单位行政运行支出；二是严格执行预算，控制各项支出。公务支出执行公务卡结算制度，做到全覆盖；出国费全年支出为0；车辆管理方面，所有公车实行定点维修、统一加油和统一报废制度，公车使用执行派车单制度，节假日公车统一停放在指定位置；公务接待执行公函、菜单、接待清单和审批制度，严格控制接待指标、范围和次数，严禁大吃大喝、铺张浪费；机关大宗商品购置一律按政府采购规定实施，耗材及办公用品实行政采云采购；加强差旅费的管理，实行出差申报审批制度，控制出差人数和天数，严禁无明确公务目的的差旅活动。</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（二）项目支出</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0"/>
        <w:jc w:val="left"/>
        <w:rPr>
          <w:rFonts w:hint="eastAsia" w:ascii="方正仿宋_GB2312" w:hAnsi="方正仿宋_GB2312" w:eastAsia="方正仿宋_GB2312" w:cs="方正仿宋_GB2312"/>
          <w:b/>
          <w:bCs w:val="0"/>
          <w:color w:val="313131"/>
          <w:sz w:val="32"/>
          <w:szCs w:val="32"/>
          <w:lang w:val="en-US" w:eastAsia="zh-CN" w:bidi="ar-SA"/>
        </w:rPr>
      </w:pPr>
      <w:r>
        <w:rPr>
          <w:rFonts w:hint="eastAsia" w:ascii="方正仿宋_GB2312" w:hAnsi="方正仿宋_GB2312" w:eastAsia="方正仿宋_GB2312" w:cs="方正仿宋_GB2312"/>
          <w:b/>
          <w:bCs w:val="0"/>
          <w:color w:val="313131"/>
          <w:sz w:val="32"/>
          <w:szCs w:val="32"/>
          <w:lang w:val="en-US" w:eastAsia="zh-CN" w:bidi="ar-SA"/>
        </w:rPr>
        <w:t>1、项目资金（包括财政资金、自筹资金等）安排落实、总投入等情况分析</w:t>
      </w:r>
    </w:p>
    <w:p>
      <w:pPr>
        <w:pageBreakBefore w:val="0"/>
        <w:widowControl/>
        <w:shd w:val="clear" w:color="auto" w:fill="FFFFFF"/>
        <w:kinsoku/>
        <w:wordWrap/>
        <w:overflowPunct/>
        <w:topLinePunct w:val="0"/>
        <w:autoSpaceDE/>
        <w:autoSpaceDN/>
        <w:bidi w:val="0"/>
        <w:spacing w:line="556" w:lineRule="exact"/>
        <w:ind w:firstLine="640"/>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b w:val="0"/>
          <w:bCs w:val="0"/>
          <w:color w:val="000000"/>
          <w:kern w:val="2"/>
          <w:sz w:val="32"/>
          <w:szCs w:val="32"/>
          <w:lang w:val="en-US" w:eastAsia="zh-CN" w:bidi="ar-SA"/>
        </w:rPr>
        <w:t>2024年项目支出预算共计2068万元，其中：专项业务（工作）经费498万元，政府投审分离专项经费850万元，非税票据专项经费100万元，收入征管经费540万元,注会和会计考试考务费80万元。</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0"/>
        <w:jc w:val="left"/>
        <w:rPr>
          <w:rFonts w:hint="eastAsia" w:ascii="方正仿宋_GB2312" w:hAnsi="方正仿宋_GB2312" w:eastAsia="方正仿宋_GB2312" w:cs="方正仿宋_GB2312"/>
          <w:b/>
          <w:bCs w:val="0"/>
          <w:color w:val="313131"/>
          <w:sz w:val="32"/>
          <w:szCs w:val="32"/>
          <w:lang w:val="en-US" w:eastAsia="zh-CN" w:bidi="ar-SA"/>
        </w:rPr>
      </w:pPr>
      <w:r>
        <w:rPr>
          <w:rFonts w:hint="eastAsia" w:ascii="方正仿宋_GB2312" w:hAnsi="方正仿宋_GB2312" w:eastAsia="方正仿宋_GB2312" w:cs="方正仿宋_GB2312"/>
          <w:b/>
          <w:bCs w:val="0"/>
          <w:color w:val="313131"/>
          <w:sz w:val="32"/>
          <w:szCs w:val="32"/>
          <w:lang w:val="en-US" w:eastAsia="zh-CN" w:bidi="ar-SA"/>
        </w:rPr>
        <w:t>2、项目资金（主要指财政资金）实际使用情况分析</w:t>
      </w:r>
    </w:p>
    <w:p>
      <w:pPr>
        <w:pageBreakBefore w:val="0"/>
        <w:widowControl/>
        <w:shd w:val="clear" w:color="auto" w:fill="FFFFFF"/>
        <w:kinsoku/>
        <w:wordWrap/>
        <w:overflowPunct/>
        <w:topLinePunct w:val="0"/>
        <w:autoSpaceDE/>
        <w:autoSpaceDN/>
        <w:bidi w:val="0"/>
        <w:spacing w:line="556" w:lineRule="exact"/>
        <w:ind w:firstLine="640"/>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b w:val="0"/>
          <w:bCs w:val="0"/>
          <w:color w:val="000000"/>
          <w:kern w:val="2"/>
          <w:sz w:val="32"/>
          <w:szCs w:val="32"/>
          <w:lang w:val="en-US" w:eastAsia="zh-CN" w:bidi="ar-SA"/>
        </w:rPr>
        <w:t>2024年项目支出共计1375.63万元，其中：专项业务（工作）经费419.79万元,较上年下降9.41%；收入征管经费517.86万元,较上年增长0.79%；政府投审分离专项经费336.08万元，较上年增长17.44%；非税票据专项经费69.77万元，较上年下降0.33%；注会和会计考试考务费32.13万元，较上年增长180.12%。</w:t>
      </w:r>
    </w:p>
    <w:p>
      <w:pPr>
        <w:keepNext w:val="0"/>
        <w:keepLines w:val="0"/>
        <w:pageBreakBefore w:val="0"/>
        <w:widowControl w:val="0"/>
        <w:numPr>
          <w:ilvl w:val="0"/>
          <w:numId w:val="5"/>
        </w:numPr>
        <w:kinsoku/>
        <w:wordWrap/>
        <w:overflowPunct/>
        <w:topLinePunct w:val="0"/>
        <w:autoSpaceDE/>
        <w:autoSpaceDN/>
        <w:bidi w:val="0"/>
        <w:adjustRightInd/>
        <w:snapToGrid w:val="0"/>
        <w:spacing w:line="556"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b/>
          <w:bCs w:val="0"/>
          <w:color w:val="313131"/>
          <w:kern w:val="0"/>
          <w:sz w:val="32"/>
          <w:szCs w:val="32"/>
          <w:lang w:val="en-US" w:eastAsia="zh-CN" w:bidi="ar-SA"/>
        </w:rPr>
        <w:t>项目资金管理情况分析，主要包括管理制度、办法的制订及执行情况</w:t>
      </w:r>
    </w:p>
    <w:p>
      <w:pPr>
        <w:keepNext w:val="0"/>
        <w:keepLines w:val="0"/>
        <w:pageBreakBefore w:val="0"/>
        <w:widowControl w:val="0"/>
        <w:numPr>
          <w:ilvl w:val="0"/>
          <w:numId w:val="0"/>
        </w:numPr>
        <w:kinsoku/>
        <w:wordWrap/>
        <w:overflowPunct/>
        <w:topLinePunct w:val="0"/>
        <w:autoSpaceDE/>
        <w:autoSpaceDN/>
        <w:bidi w:val="0"/>
        <w:adjustRightInd/>
        <w:snapToGrid w:val="0"/>
        <w:spacing w:line="556"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b w:val="0"/>
          <w:bCs w:val="0"/>
          <w:color w:val="000000"/>
          <w:kern w:val="2"/>
          <w:sz w:val="32"/>
          <w:szCs w:val="32"/>
          <w:lang w:val="en-US" w:eastAsia="zh-CN" w:bidi="ar-SA"/>
        </w:rPr>
        <w:t>项目支出资金的使用按照《怀化市财政投资评审管理办公室评审聘用人员管理办法》的通知、《怀化市市本级政府投资项目工程预结（决）算管理办法》、《湖南省财政厅关于取消财政票据工本费的通知》、《关于深化财源税收综合治理改革的实施办法》、省财源办《实施财源建设支持打好“发展六仗”工作方案》、省厅会计处工作要点等相关文件规定。严格执行机关财务制度，控制项目支出的使用范围。</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三、项目组织实施情况</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（一）项目组织情况分析，主要包括项目招投标、调整、竣工验收等情况</w:t>
      </w:r>
    </w:p>
    <w:p>
      <w:pPr>
        <w:pageBreakBefore w:val="0"/>
        <w:widowControl/>
        <w:shd w:val="clear" w:color="auto" w:fill="FFFFFF"/>
        <w:kinsoku/>
        <w:wordWrap/>
        <w:overflowPunct/>
        <w:topLinePunct w:val="0"/>
        <w:autoSpaceDE/>
        <w:autoSpaceDN/>
        <w:bidi w:val="0"/>
        <w:spacing w:line="556" w:lineRule="exact"/>
        <w:ind w:firstLine="640"/>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我单位积极组织2024年项目开展，对于符合政策采购的项目，严格按照政府采购有关规定进行采购并验收。</w:t>
      </w:r>
    </w:p>
    <w:p>
      <w:pPr>
        <w:pageBreakBefore w:val="0"/>
        <w:widowControl/>
        <w:shd w:val="clear" w:color="auto" w:fill="FFFFFF"/>
        <w:kinsoku/>
        <w:wordWrap/>
        <w:overflowPunct/>
        <w:topLinePunct w:val="0"/>
        <w:autoSpaceDE/>
        <w:autoSpaceDN/>
        <w:bidi w:val="0"/>
        <w:spacing w:line="556" w:lineRule="exact"/>
        <w:ind w:firstLine="640"/>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项目管理情况分析，主要包括项目管理制度建设、日常检查监督管理等情况。</w:t>
      </w:r>
    </w:p>
    <w:p>
      <w:pPr>
        <w:pageBreakBefore w:val="0"/>
        <w:widowControl/>
        <w:shd w:val="clear" w:color="auto" w:fill="FFFFFF"/>
        <w:kinsoku/>
        <w:wordWrap/>
        <w:overflowPunct/>
        <w:topLinePunct w:val="0"/>
        <w:autoSpaceDE/>
        <w:autoSpaceDN/>
        <w:bidi w:val="0"/>
        <w:spacing w:line="556" w:lineRule="exact"/>
        <w:ind w:firstLine="640"/>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项目资金管理制度方面，2024年本单位进一步细化了资金使用细则，规范报销手续，不定期对资金使用情况进行自查，对存在问题的及时整改纠正。</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四、资产管理情况</w:t>
      </w:r>
    </w:p>
    <w:p>
      <w:pPr>
        <w:pageBreakBefore w:val="0"/>
        <w:widowControl/>
        <w:shd w:val="clear" w:color="auto" w:fill="FFFFFF"/>
        <w:kinsoku/>
        <w:wordWrap/>
        <w:overflowPunct/>
        <w:topLinePunct w:val="0"/>
        <w:autoSpaceDE/>
        <w:autoSpaceDN/>
        <w:bidi w:val="0"/>
        <w:spacing w:line="556" w:lineRule="exact"/>
        <w:ind w:firstLine="640"/>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制定了详细的资产管理办法，对资产采购、保管、处置都有详细的规定，做到资产统一采购、专人管理、定期盘点、集中处置，确保资产账账相符、账实相符。</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五、政府性基金预算支出情况</w:t>
      </w:r>
    </w:p>
    <w:p>
      <w:pPr>
        <w:pageBreakBefore w:val="0"/>
        <w:widowControl/>
        <w:shd w:val="clear" w:color="auto" w:fill="FFFFFF"/>
        <w:kinsoku/>
        <w:wordWrap/>
        <w:overflowPunct/>
        <w:topLinePunct w:val="0"/>
        <w:autoSpaceDE/>
        <w:autoSpaceDN/>
        <w:bidi w:val="0"/>
        <w:spacing w:line="556" w:lineRule="exact"/>
        <w:ind w:firstLine="640"/>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本单位无政府性基金预算收支。</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六、国有资本经营预算支出情况</w:t>
      </w:r>
    </w:p>
    <w:p>
      <w:pPr>
        <w:pageBreakBefore w:val="0"/>
        <w:widowControl/>
        <w:shd w:val="clear" w:color="auto" w:fill="FFFFFF"/>
        <w:kinsoku/>
        <w:wordWrap/>
        <w:overflowPunct/>
        <w:topLinePunct w:val="0"/>
        <w:autoSpaceDE/>
        <w:autoSpaceDN/>
        <w:bidi w:val="0"/>
        <w:spacing w:line="556" w:lineRule="exact"/>
        <w:ind w:firstLine="640"/>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本单位无国有资本经营预算收支。</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七、社会保险基金预算支出情况</w:t>
      </w:r>
    </w:p>
    <w:p>
      <w:pPr>
        <w:pageBreakBefore w:val="0"/>
        <w:widowControl/>
        <w:shd w:val="clear" w:color="auto" w:fill="FFFFFF"/>
        <w:kinsoku/>
        <w:wordWrap/>
        <w:overflowPunct/>
        <w:topLinePunct w:val="0"/>
        <w:autoSpaceDE/>
        <w:autoSpaceDN/>
        <w:bidi w:val="0"/>
        <w:spacing w:line="556" w:lineRule="exact"/>
        <w:ind w:firstLine="640"/>
        <w:rPr>
          <w:rFonts w:hint="eastAsia"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val="0"/>
          <w:bCs w:val="0"/>
          <w:color w:val="000000"/>
          <w:kern w:val="2"/>
          <w:sz w:val="32"/>
          <w:szCs w:val="32"/>
          <w:lang w:val="en-US" w:eastAsia="zh-CN" w:bidi="ar-SA"/>
        </w:rPr>
        <w:t>本单位无社会保险基金预算收支。</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八、部门整体支出绩效情况</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0"/>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（1）效率分析</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0"/>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财政工作取得新进展新成效，有力促进完成全年经济社会发展目标任务。全力以赴抓收入。坚持全市一盘棋，严格执行“周监测、旬统计、月报告”机制。全年全市地方一般公共预算收入完成122.21亿元，剔除宏观政策影响，可比增幅为0.65%。想方设法优支出。树牢过“紧日子”思想，坚决做到“四统筹”，集中财力办大事，压减公用经费。周密调度守底线。坚持预算法定，底线刚性支出从严从俭，“先三保、后其他”的资金保障秩序，建立“日常监测+实地调研+定期调度”的联合盯防机制。</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right="0" w:firstLine="640" w:firstLineChars="200"/>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（2）经济效益分析</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right="0" w:firstLine="640" w:firstLineChars="200"/>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支出总额控制在预算总额以内，“三公”经费总体控制较好，未超过预算控制数。</w:t>
      </w:r>
    </w:p>
    <w:p>
      <w:pPr>
        <w:pStyle w:val="11"/>
        <w:keepNext w:val="0"/>
        <w:keepLines w:val="0"/>
        <w:pageBreakBefore w:val="0"/>
        <w:widowControl/>
        <w:numPr>
          <w:ilvl w:val="0"/>
          <w:numId w:val="0"/>
        </w:numPr>
        <w:suppressLineNumbers w:val="0"/>
        <w:kinsoku/>
        <w:wordWrap/>
        <w:overflowPunct/>
        <w:topLinePunct w:val="0"/>
        <w:autoSpaceDE/>
        <w:autoSpaceDN/>
        <w:bidi w:val="0"/>
        <w:spacing w:before="0" w:beforeLines="0" w:beforeAutospacing="0" w:after="0" w:afterLines="0" w:afterAutospacing="0" w:line="556" w:lineRule="exact"/>
        <w:ind w:leftChars="131" w:right="0" w:rightChars="0"/>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 xml:space="preserve">  （3）社会效益分析</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right="0" w:firstLine="640" w:firstLineChars="200"/>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按照中央、省委省政府和市委决策部署，认真执行预算法及其实施条例，各项工作稳步推进。</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0"/>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bCs w:val="0"/>
          <w:color w:val="313131"/>
          <w:kern w:val="0"/>
          <w:sz w:val="32"/>
          <w:szCs w:val="32"/>
          <w:lang w:val="en-US" w:eastAsia="zh-CN" w:bidi="ar-SA"/>
        </w:rPr>
        <w:t>1.风险防范有力有效。</w:t>
      </w:r>
      <w:r>
        <w:rPr>
          <w:rFonts w:hint="eastAsia" w:ascii="方正仿宋_GB2312" w:hAnsi="方正仿宋_GB2312" w:eastAsia="方正仿宋_GB2312" w:cs="方正仿宋_GB2312"/>
          <w:b w:val="0"/>
          <w:bCs w:val="0"/>
          <w:color w:val="000000"/>
          <w:kern w:val="2"/>
          <w:sz w:val="32"/>
          <w:szCs w:val="32"/>
          <w:lang w:val="en-US" w:eastAsia="zh-CN" w:bidi="ar-SA"/>
        </w:rPr>
        <w:t>坚持把防范化解重大风险作为财政工作的重中之重，牢牢守住不发生区域性系统性风险的底线。夯实财政运行安全。建立县市区财政运行联合盯防机制，对财政收支、库款运行、专户管理、化债工作等重点工作进行监督指导，切实防范财政运行风险。推进“四转四打包”，持续推进债务刚转贷、刚转柔、短转长、高转低，优化债务结构，降低利息负担。实行预警调度机制，对平台公司近12个月、6个月、3个月、1个月到期债务，分别落实提示、预警等措施，累计对市本级平台公司发出提示函6份、预警函10份、应急通报8份，对县市区发出督导函500份，全市到期债务风险总体可控。落实债务化解方案，编制全市防范化解地方债务风险“1+7”化债方案，并上报国务院审核通过。</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bCs w:val="0"/>
          <w:color w:val="313131"/>
          <w:kern w:val="0"/>
          <w:sz w:val="32"/>
          <w:szCs w:val="32"/>
          <w:lang w:val="en-US" w:eastAsia="zh-CN" w:bidi="ar-SA"/>
        </w:rPr>
        <w:t>2.财源建设创新发力。</w:t>
      </w:r>
      <w:r>
        <w:rPr>
          <w:rFonts w:hint="eastAsia" w:ascii="方正仿宋_GB2312" w:hAnsi="方正仿宋_GB2312" w:eastAsia="方正仿宋_GB2312" w:cs="方正仿宋_GB2312"/>
          <w:b w:val="0"/>
          <w:bCs w:val="0"/>
          <w:color w:val="000000"/>
          <w:kern w:val="2"/>
          <w:sz w:val="32"/>
          <w:szCs w:val="32"/>
          <w:lang w:val="en-US" w:eastAsia="zh-CN" w:bidi="ar-SA"/>
        </w:rPr>
        <w:t>深入实施财源建设“六大工程”，推进税源提升“十大行动”提质增效，不断夯实财源基础。以产业培植为引擎。怀化国际陆港成功被纳入启运港退税政策实施范围。着力构建“5+10”现代化产业体系，重点支持特色产业集群和重大招商引资项目。以强化招引为抓手。加大精准招商支持力度，全年新增骨干税源企业42户。充分放大全球湘商大会效益，签约省级项目19个,市级项目102个。以挖潜堵漏为重点。压实税收征管责任、部门共治责任。以改革提质为核心。积极探索以“一池六库”为核心的财源提质路径，通过“零基预算”改革，统筹财力构筑财政产业引导“资金池”，围绕全市发展布局，以财政资金为杠杆，汇聚“一池”财力、精准赋能“六库”，引导重点企业、产业、项目发展壮大，撬动财税增收、发展增效，构建财源建设全新格局。</w:t>
      </w:r>
    </w:p>
    <w:p>
      <w:pPr>
        <w:keepNext w:val="0"/>
        <w:keepLines w:val="0"/>
        <w:pageBreakBefore w:val="0"/>
        <w:widowControl w:val="0"/>
        <w:kinsoku/>
        <w:wordWrap/>
        <w:overflowPunct/>
        <w:topLinePunct w:val="0"/>
        <w:autoSpaceDE/>
        <w:autoSpaceDN/>
        <w:bidi w:val="0"/>
        <w:adjustRightInd w:val="0"/>
        <w:snapToGrid/>
        <w:spacing w:line="556" w:lineRule="exact"/>
        <w:ind w:firstLine="640" w:firstLineChars="200"/>
        <w:textAlignment w:val="auto"/>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bCs w:val="0"/>
          <w:color w:val="313131"/>
          <w:kern w:val="0"/>
          <w:sz w:val="32"/>
          <w:szCs w:val="32"/>
          <w:lang w:val="en-US" w:eastAsia="zh-CN" w:bidi="ar-SA"/>
        </w:rPr>
        <w:t>3.财税改革纵深推进。</w:t>
      </w:r>
      <w:r>
        <w:rPr>
          <w:rFonts w:hint="eastAsia" w:ascii="方正仿宋_GB2312" w:hAnsi="方正仿宋_GB2312" w:eastAsia="方正仿宋_GB2312" w:cs="方正仿宋_GB2312"/>
          <w:b w:val="0"/>
          <w:bCs w:val="0"/>
          <w:color w:val="000000"/>
          <w:kern w:val="2"/>
          <w:sz w:val="32"/>
          <w:szCs w:val="32"/>
          <w:lang w:val="en-US" w:eastAsia="zh-CN" w:bidi="ar-SA"/>
        </w:rPr>
        <w:t xml:space="preserve">稳步推进各项重点改革任务，持续提升财政综合治理能力。推进“零基预算”改革。市委深改委会议审议通过《怀化市深化零基预算改革实施方案》，明确了四大方面12条改革重点任务，推动改革节流与财税开源同向并行。目前市直2025年预算编制已经完成初步审核，初步打破了基数观念和支出固化格局。设立产业发展基金。依照“财政资金撬动、专业基金主导、社会资本补充、择优遴选项目、职业团队运营、安全有效循环”的原则，拟采取股权投资的方式，按“1+N”架构设立20亿元的产业发展基金，首期实缴5亿元，通过子基金撬动社会资本放大杠杆，最终形成规模超过50亿元的母子基金体系，用于重点产业项目孵化、培育、招商，推动产业与园区高质量发展。深化内控制度改革。在全省首创以“呈签会审”为基本要求的财政内控管理改革，将财政源头反腐防腐的党风廉政要求与财政资金管理紧密结合。成立内控委员会，前移预算端口，严格实行资金文件集中会审制度，凡涉及政策安排、项目申报、资金报批，做到呈签会审全覆盖并报市纪委监委派驻纪检监察组备案，全年会审呈签105份，提出修改意见22份。  </w:t>
      </w:r>
    </w:p>
    <w:p>
      <w:pPr>
        <w:keepNext w:val="0"/>
        <w:keepLines w:val="0"/>
        <w:pageBreakBefore w:val="0"/>
        <w:widowControl/>
        <w:numPr>
          <w:ilvl w:val="0"/>
          <w:numId w:val="0"/>
        </w:numPr>
        <w:suppressLineNumbers w:val="0"/>
        <w:kinsoku/>
        <w:wordWrap/>
        <w:overflowPunct/>
        <w:topLinePunct w:val="0"/>
        <w:autoSpaceDE/>
        <w:autoSpaceDN/>
        <w:bidi w:val="0"/>
        <w:snapToGrid/>
        <w:spacing w:line="556" w:lineRule="exact"/>
        <w:ind w:firstLine="640" w:firstLineChars="200"/>
        <w:jc w:val="both"/>
        <w:textAlignment w:val="auto"/>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bCs w:val="0"/>
          <w:color w:val="313131"/>
          <w:kern w:val="0"/>
          <w:sz w:val="32"/>
          <w:szCs w:val="32"/>
          <w:lang w:val="en-US" w:eastAsia="zh-CN" w:bidi="ar-SA"/>
        </w:rPr>
        <w:t>4.财会监督贯通协调。</w:t>
      </w:r>
      <w:r>
        <w:rPr>
          <w:rFonts w:hint="eastAsia" w:ascii="方正仿宋_GB2312" w:hAnsi="方正仿宋_GB2312" w:eastAsia="方正仿宋_GB2312" w:cs="方正仿宋_GB2312"/>
          <w:b w:val="0"/>
          <w:bCs w:val="0"/>
          <w:color w:val="000000"/>
          <w:kern w:val="2"/>
          <w:sz w:val="32"/>
          <w:szCs w:val="32"/>
          <w:lang w:val="en-US" w:eastAsia="zh-CN" w:bidi="ar-SA"/>
        </w:rPr>
        <w:t>统筹“管好”与“放活”，构建动态、科学、高效的监管体系和监管格局。建立财审联动机制。针对审计反馈问题，积极构建“一个问题、一名领导、一套班子、一个方案、一项制度”工作机制，逐条“对账”、合力攻坚。集中整治成效显著。积极开展群众身边不正之风和腐败问题集中整治，全面清理惠民惠农补贴“一卡通”系统数据，确保“沉睡”的补贴资金发放到人到户,此做法获《人民日报》等媒体点赞。绩效监督全面推进，将绩效管理嵌入预算编制、执行、监督全过程，集中实施部门整体支出、政府购买服务、政府专项债务等领域财政评价。评审监督不断强化，全年完成市本级各类政府投资项目评审162个，送审金额20.73亿元，审减4.24亿元，审减率20.47%。同时对市直4个单位内控建设和会计信息质量情况开展检查，强化会计监管。</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九、存在的问题及原因分析</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1"/>
        <w:jc w:val="both"/>
        <w:rPr>
          <w:rFonts w:hint="eastAsia" w:ascii="方正仿宋_GB2312" w:hAnsi="方正仿宋_GB2312" w:eastAsia="方正仿宋_GB2312" w:cs="方正仿宋_GB2312"/>
          <w:color w:val="313131"/>
          <w:sz w:val="32"/>
          <w:szCs w:val="32"/>
          <w:lang w:val="en-US" w:eastAsia="zh-CN"/>
        </w:rPr>
      </w:pPr>
      <w:r>
        <w:rPr>
          <w:rFonts w:hint="eastAsia" w:ascii="方正仿宋_GB2312" w:hAnsi="方正仿宋_GB2312" w:eastAsia="方正仿宋_GB2312" w:cs="方正仿宋_GB2312"/>
          <w:b w:val="0"/>
          <w:bCs w:val="0"/>
          <w:color w:val="000000"/>
          <w:kern w:val="2"/>
          <w:sz w:val="32"/>
          <w:szCs w:val="32"/>
          <w:lang w:val="en-US" w:eastAsia="zh-CN" w:bidi="ar-SA"/>
        </w:rPr>
        <w:t>绩效指标体系设计困难，即使可以量化，项目间也缺乏可比性，未能提炼出最能反映总体目标预期实现的关键性指标，考核指标精细化指标不够，无法准确通过量化来实现精确的考核结果。预算编制不够细化全面，预算准确度有待提高。</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十、下一步改进措施</w:t>
      </w:r>
    </w:p>
    <w:p>
      <w:pPr>
        <w:pStyle w:val="11"/>
        <w:keepNext w:val="0"/>
        <w:keepLines w:val="0"/>
        <w:pageBreakBefore w:val="0"/>
        <w:widowControl/>
        <w:numPr>
          <w:ilvl w:val="0"/>
          <w:numId w:val="6"/>
        </w:numPr>
        <w:suppressLineNumbers w:val="0"/>
        <w:kinsoku/>
        <w:wordWrap/>
        <w:overflowPunct/>
        <w:topLinePunct w:val="0"/>
        <w:autoSpaceDE/>
        <w:autoSpaceDN/>
        <w:bidi w:val="0"/>
        <w:spacing w:before="0" w:beforeLines="0" w:beforeAutospacing="0" w:after="0" w:afterLines="0" w:afterAutospacing="0" w:line="556" w:lineRule="exact"/>
        <w:ind w:left="0" w:right="0" w:firstLine="641"/>
        <w:jc w:val="both"/>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细化预算编制工作，做好预算编制</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1"/>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进一步加强局内部机构各科室的预算管理意识，严格按照预算编制的相关制度和要求进行预算编制。</w:t>
      </w:r>
    </w:p>
    <w:p>
      <w:pPr>
        <w:pStyle w:val="11"/>
        <w:keepNext w:val="0"/>
        <w:keepLines w:val="0"/>
        <w:pageBreakBefore w:val="0"/>
        <w:widowControl/>
        <w:numPr>
          <w:ilvl w:val="0"/>
          <w:numId w:val="6"/>
        </w:numPr>
        <w:suppressLineNumbers w:val="0"/>
        <w:kinsoku/>
        <w:wordWrap/>
        <w:overflowPunct/>
        <w:topLinePunct w:val="0"/>
        <w:autoSpaceDE/>
        <w:autoSpaceDN/>
        <w:bidi w:val="0"/>
        <w:spacing w:before="0" w:beforeLines="0" w:beforeAutospacing="0" w:after="0" w:afterLines="0" w:afterAutospacing="0" w:line="556" w:lineRule="exact"/>
        <w:ind w:left="0" w:leftChars="0" w:right="0" w:firstLine="641" w:firstLineChars="0"/>
        <w:jc w:val="both"/>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加强财务管理，严格财务审核</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1"/>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在费用报账支付时，按照预算规定的费用项目和用途进行资金使用审核。</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right="0" w:firstLine="640" w:firstLineChars="200"/>
        <w:jc w:val="both"/>
        <w:rPr>
          <w:rFonts w:hint="eastAsia" w:ascii="方正仿宋_GB2312" w:hAnsi="方正仿宋_GB2312" w:eastAsia="方正仿宋_GB2312" w:cs="方正仿宋_GB2312"/>
          <w:b/>
          <w:bCs/>
          <w:color w:val="000000"/>
          <w:kern w:val="2"/>
          <w:sz w:val="32"/>
          <w:szCs w:val="32"/>
          <w:lang w:val="en-US" w:eastAsia="zh-CN" w:bidi="ar-SA"/>
        </w:rPr>
      </w:pPr>
      <w:r>
        <w:rPr>
          <w:rFonts w:hint="eastAsia" w:ascii="方正仿宋_GB2312" w:hAnsi="方正仿宋_GB2312" w:eastAsia="方正仿宋_GB2312" w:cs="方正仿宋_GB2312"/>
          <w:b/>
          <w:bCs/>
          <w:color w:val="000000"/>
          <w:kern w:val="2"/>
          <w:sz w:val="32"/>
          <w:szCs w:val="32"/>
          <w:lang w:val="en-US" w:eastAsia="zh-CN" w:bidi="ar-SA"/>
        </w:rPr>
        <w:t xml:space="preserve">3、增设绩效管理专干，全流程监控项目资金使用情况 </w:t>
      </w:r>
    </w:p>
    <w:p>
      <w:pPr>
        <w:pStyle w:val="11"/>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56" w:lineRule="exact"/>
        <w:ind w:left="0" w:right="0" w:firstLine="641"/>
        <w:jc w:val="both"/>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我局绩效管理工作往往由财务人员兼职，而财务人员对有些项目的开展情况并不了解，无法设置更加科学合理的绩效考核指标进行有效评估、合理监控。建议增设相关绩效管理专干对这块工作进行综合全盘考核。</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十一、绩效自评结果拟应用和公开情况</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方正仿宋_GB2312" w:hAnsi="方正仿宋_GB2312" w:eastAsia="方正仿宋_GB2312" w:cs="方正仿宋_GB2312"/>
          <w:b w:val="0"/>
          <w:bCs w:val="0"/>
          <w:color w:val="000000"/>
          <w:kern w:val="2"/>
          <w:sz w:val="32"/>
          <w:szCs w:val="32"/>
          <w:lang w:val="en-US" w:eastAsia="zh-CN" w:bidi="ar-SA"/>
        </w:rPr>
      </w:pPr>
      <w:r>
        <w:rPr>
          <w:rFonts w:hint="eastAsia" w:ascii="方正仿宋_GB2312" w:hAnsi="方正仿宋_GB2312" w:eastAsia="方正仿宋_GB2312" w:cs="方正仿宋_GB2312"/>
          <w:b w:val="0"/>
          <w:bCs w:val="0"/>
          <w:color w:val="000000"/>
          <w:kern w:val="2"/>
          <w:sz w:val="32"/>
          <w:szCs w:val="32"/>
          <w:lang w:val="en-US" w:eastAsia="zh-CN" w:bidi="ar-SA"/>
        </w:rPr>
        <w:t xml:space="preserve">    通过绩效自评得以掌握本单位资金使用情况和取得的效果，同时也发现了工作中存在的问题和不足，为今后加强资金使用管理、完善资金绩效管理，提高资金使用效益工作提供了重要参考依据。此次绩效评价结果我们将在政府信息公开网站上予以公布，向社会公开，广泛接受群众监督。</w:t>
      </w:r>
    </w:p>
    <w:p>
      <w:pPr>
        <w:keepNext w:val="0"/>
        <w:keepLines w:val="0"/>
        <w:pageBreakBefore w:val="0"/>
        <w:widowControl w:val="0"/>
        <w:kinsoku/>
        <w:wordWrap/>
        <w:overflowPunct/>
        <w:topLinePunct w:val="0"/>
        <w:autoSpaceDE/>
        <w:autoSpaceDN/>
        <w:bidi w:val="0"/>
        <w:adjustRightInd/>
        <w:snapToGrid w:val="0"/>
        <w:spacing w:line="556"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十二、其他需要说明的情况</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0"/>
        <w:jc w:val="both"/>
        <w:textAlignment w:val="auto"/>
        <w:rPr>
          <w:rFonts w:hint="eastAsia" w:ascii="方正仿宋_GB2312" w:hAnsi="方正仿宋_GB2312" w:eastAsia="方正仿宋_GB2312" w:cs="方正仿宋_GB2312"/>
          <w:i w:val="0"/>
          <w:iCs w:val="0"/>
          <w:caps w:val="0"/>
          <w:color w:val="000000"/>
          <w:spacing w:val="0"/>
          <w:sz w:val="32"/>
          <w:szCs w:val="32"/>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color="auto"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color="auto" w:fill="FFFFFF"/>
          <w:lang w:val="en-US" w:eastAsia="zh-CN"/>
        </w:rPr>
        <w:t>附件1</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12"/>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3354" w:type="dxa"/>
            <w:vMerge w:val="continue"/>
            <w:noWrap w:val="0"/>
            <w:vAlign w:val="center"/>
          </w:tcPr>
          <w:p>
            <w:pPr>
              <w:widowControl/>
              <w:jc w:val="left"/>
              <w:rPr>
                <w:rFonts w:hint="eastAsia" w:ascii="仿宋" w:hAnsi="仿宋" w:eastAsia="仿宋" w:cs="仿宋"/>
                <w:b w:val="0"/>
                <w:bCs w:val="0"/>
                <w:kern w:val="0"/>
                <w:sz w:val="20"/>
                <w:szCs w:val="20"/>
              </w:rPr>
            </w:pPr>
          </w:p>
        </w:tc>
        <w:tc>
          <w:tcPr>
            <w:tcW w:w="2038"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222</w:t>
            </w:r>
          </w:p>
        </w:tc>
        <w:tc>
          <w:tcPr>
            <w:tcW w:w="2240" w:type="dxa"/>
            <w:gridSpan w:val="2"/>
            <w:noWrap w:val="0"/>
            <w:vAlign w:val="center"/>
          </w:tcPr>
          <w:p>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lang w:val="en-US" w:eastAsia="zh-CN"/>
              </w:rPr>
              <w:t>199</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23.94</w:t>
            </w:r>
          </w:p>
        </w:tc>
        <w:tc>
          <w:tcPr>
            <w:tcW w:w="2240"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19.36</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20.77</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17.85</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Times New Roman" w:hAnsi="Times New Roman" w:eastAsia="仿宋_GB2312" w:cs="Times New Roman"/>
                <w:sz w:val="20"/>
                <w:szCs w:val="20"/>
                <w:lang w:val="en-US" w:eastAsia="zh-CN"/>
              </w:rPr>
              <w:t>20.77</w:t>
            </w:r>
            <w:r>
              <w:rPr>
                <w:rFonts w:ascii="Times New Roman" w:hAnsi="Times New Roman" w:eastAsia="仿宋_GB2312" w:cs="Times New Roman"/>
                <w:sz w:val="20"/>
                <w:szCs w:val="20"/>
              </w:rPr>
              <w:t>　</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r>
              <w:rPr>
                <w:rFonts w:hint="eastAsia" w:ascii="Times New Roman" w:hAnsi="Times New Roman" w:eastAsia="仿宋_GB2312" w:cs="Times New Roman"/>
                <w:sz w:val="20"/>
                <w:szCs w:val="20"/>
                <w:lang w:val="en-US" w:eastAsia="zh-CN"/>
              </w:rPr>
              <w:t>3.17</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w:t>
            </w: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1.51</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Times New Roman" w:hAnsi="Times New Roman" w:eastAsia="仿宋_GB2312" w:cs="Times New Roman"/>
                <w:sz w:val="20"/>
                <w:szCs w:val="20"/>
                <w:lang w:val="en-US" w:eastAsia="zh-CN"/>
              </w:rPr>
              <w:t>1345.64</w:t>
            </w:r>
          </w:p>
        </w:tc>
        <w:tc>
          <w:tcPr>
            <w:tcW w:w="2240"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2068</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1375.63</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w:t>
            </w:r>
            <w:r>
              <w:rPr>
                <w:rFonts w:hint="eastAsia" w:ascii="仿宋" w:hAnsi="仿宋" w:eastAsia="仿宋" w:cs="仿宋"/>
                <w:b w:val="0"/>
                <w:bCs w:val="0"/>
                <w:kern w:val="0"/>
                <w:sz w:val="20"/>
                <w:szCs w:val="20"/>
                <w:lang w:eastAsia="zh-CN"/>
              </w:rPr>
              <w:t>专项</w:t>
            </w:r>
            <w:r>
              <w:rPr>
                <w:rFonts w:hint="eastAsia" w:ascii="仿宋" w:hAnsi="仿宋" w:eastAsia="仿宋" w:cs="仿宋"/>
                <w:b w:val="0"/>
                <w:bCs w:val="0"/>
                <w:kern w:val="0"/>
                <w:sz w:val="20"/>
                <w:szCs w:val="20"/>
              </w:rPr>
              <w:t>业务工作经费</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Times New Roman" w:hAnsi="Times New Roman" w:eastAsia="仿宋_GB2312" w:cs="Times New Roman"/>
                <w:sz w:val="20"/>
                <w:szCs w:val="20"/>
                <w:lang w:val="en-US" w:eastAsia="zh-CN"/>
              </w:rPr>
              <w:t>464.19</w:t>
            </w:r>
          </w:p>
        </w:tc>
        <w:tc>
          <w:tcPr>
            <w:tcW w:w="2240"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498</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419.79</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 xml:space="preserve">    2、</w:t>
            </w:r>
            <w:r>
              <w:rPr>
                <w:rFonts w:hint="eastAsia" w:ascii="仿宋" w:hAnsi="仿宋" w:eastAsia="仿宋" w:cs="仿宋"/>
                <w:b w:val="0"/>
                <w:bCs w:val="0"/>
                <w:kern w:val="0"/>
                <w:sz w:val="20"/>
                <w:szCs w:val="20"/>
                <w:lang w:eastAsia="zh-CN"/>
              </w:rPr>
              <w:t>收入征管经费</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Times New Roman" w:hAnsi="Times New Roman" w:eastAsia="仿宋_GB2312" w:cs="Times New Roman"/>
                <w:sz w:val="20"/>
                <w:szCs w:val="20"/>
                <w:lang w:val="en-US" w:eastAsia="zh-CN"/>
              </w:rPr>
              <w:t>513.80</w:t>
            </w:r>
            <w:r>
              <w:rPr>
                <w:rFonts w:ascii="Times New Roman" w:hAnsi="Times New Roman" w:eastAsia="仿宋_GB2312" w:cs="Times New Roman"/>
                <w:sz w:val="20"/>
                <w:szCs w:val="20"/>
              </w:rPr>
              <w:t>　</w:t>
            </w:r>
          </w:p>
        </w:tc>
        <w:tc>
          <w:tcPr>
            <w:tcW w:w="2240"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540</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517.86</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政府投审分离专项经费</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Times New Roman" w:hAnsi="Times New Roman" w:eastAsia="仿宋_GB2312" w:cs="Times New Roman"/>
                <w:sz w:val="20"/>
                <w:szCs w:val="20"/>
                <w:lang w:val="en-US" w:eastAsia="zh-CN"/>
              </w:rPr>
              <w:t>286.18</w:t>
            </w:r>
          </w:p>
        </w:tc>
        <w:tc>
          <w:tcPr>
            <w:tcW w:w="2240"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xml:space="preserve"> 850</w:t>
            </w:r>
          </w:p>
        </w:tc>
        <w:tc>
          <w:tcPr>
            <w:tcW w:w="1832"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336.08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00" w:firstLineChars="200"/>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4、</w:t>
            </w:r>
            <w:r>
              <w:rPr>
                <w:rFonts w:hint="eastAsia" w:ascii="仿宋" w:hAnsi="仿宋" w:eastAsia="仿宋" w:cs="仿宋"/>
                <w:b w:val="0"/>
                <w:bCs w:val="0"/>
                <w:kern w:val="0"/>
                <w:sz w:val="20"/>
                <w:szCs w:val="20"/>
                <w:lang w:eastAsia="zh-CN"/>
              </w:rPr>
              <w:t>票据专项经费</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Times New Roman" w:hAnsi="Times New Roman" w:eastAsia="仿宋_GB2312" w:cs="Times New Roman"/>
                <w:sz w:val="20"/>
                <w:szCs w:val="20"/>
                <w:lang w:val="en-US" w:eastAsia="zh-CN"/>
              </w:rPr>
              <w:t>70.00</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00" w:firstLineChars="200"/>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r>
              <w:rPr>
                <w:rFonts w:hint="eastAsia" w:ascii="Times New Roman" w:hAnsi="Times New Roman" w:eastAsia="仿宋_GB2312" w:cs="Times New Roman"/>
                <w:sz w:val="20"/>
                <w:szCs w:val="20"/>
                <w:lang w:val="en-US" w:eastAsia="zh-CN"/>
              </w:rPr>
              <w:t>注会和会计考试考务费</w:t>
            </w:r>
          </w:p>
        </w:tc>
        <w:tc>
          <w:tcPr>
            <w:tcW w:w="2038" w:type="dxa"/>
            <w:gridSpan w:val="2"/>
            <w:noWrap w:val="0"/>
            <w:vAlign w:val="center"/>
          </w:tcPr>
          <w:p>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11.47</w:t>
            </w:r>
          </w:p>
        </w:tc>
        <w:tc>
          <w:tcPr>
            <w:tcW w:w="2240"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80</w:t>
            </w:r>
          </w:p>
        </w:tc>
        <w:tc>
          <w:tcPr>
            <w:tcW w:w="1832"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pPr>
              <w:widowControl/>
              <w:jc w:val="center"/>
              <w:rPr>
                <w:rFonts w:hint="eastAsia" w:ascii="仿宋" w:hAnsi="仿宋" w:eastAsia="仿宋" w:cs="仿宋"/>
                <w:b w:val="0"/>
                <w:bCs w:val="0"/>
                <w:color w:val="FF0000"/>
                <w:kern w:val="0"/>
                <w:sz w:val="20"/>
                <w:szCs w:val="20"/>
              </w:rPr>
            </w:pPr>
            <w:r>
              <w:rPr>
                <w:rFonts w:hint="eastAsia" w:ascii="Times New Roman" w:hAnsi="Times New Roman" w:eastAsia="仿宋_GB2312" w:cs="Times New Roman"/>
                <w:sz w:val="20"/>
                <w:szCs w:val="20"/>
                <w:lang w:val="en-US" w:eastAsia="zh-CN"/>
              </w:rPr>
              <w:t>247.18</w:t>
            </w:r>
          </w:p>
        </w:tc>
        <w:tc>
          <w:tcPr>
            <w:tcW w:w="2240" w:type="dxa"/>
            <w:gridSpan w:val="2"/>
            <w:noWrap w:val="0"/>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p>
        </w:tc>
        <w:tc>
          <w:tcPr>
            <w:tcW w:w="1832" w:type="dxa"/>
            <w:gridSpan w:val="2"/>
            <w:noWrap w:val="0"/>
            <w:vAlign w:val="center"/>
          </w:tcPr>
          <w:p>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pPr>
              <w:widowControl/>
              <w:jc w:val="center"/>
              <w:rPr>
                <w:rFonts w:hint="eastAsia" w:ascii="仿宋" w:hAnsi="仿宋" w:eastAsia="仿宋" w:cs="仿宋"/>
                <w:b w:val="0"/>
                <w:bCs w:val="0"/>
                <w:color w:val="FF0000"/>
                <w:kern w:val="0"/>
                <w:sz w:val="20"/>
                <w:szCs w:val="20"/>
              </w:rPr>
            </w:pPr>
            <w:r>
              <w:rPr>
                <w:rFonts w:hint="eastAsia" w:ascii="Times New Roman" w:hAnsi="Times New Roman" w:eastAsia="仿宋_GB2312" w:cs="Times New Roman"/>
                <w:sz w:val="20"/>
                <w:szCs w:val="20"/>
                <w:lang w:val="en-US" w:eastAsia="zh-CN"/>
              </w:rPr>
              <w:t>　87.72</w:t>
            </w:r>
          </w:p>
        </w:tc>
        <w:tc>
          <w:tcPr>
            <w:tcW w:w="2240" w:type="dxa"/>
            <w:gridSpan w:val="2"/>
            <w:noWrap w:val="0"/>
            <w:vAlign w:val="center"/>
          </w:tcPr>
          <w:p>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1832" w:type="dxa"/>
            <w:gridSpan w:val="2"/>
            <w:noWrap w:val="0"/>
            <w:vAlign w:val="center"/>
          </w:tcPr>
          <w:p>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pPr>
              <w:widowControl/>
              <w:jc w:val="center"/>
              <w:rPr>
                <w:rFonts w:hint="eastAsia" w:ascii="仿宋" w:hAnsi="仿宋" w:eastAsia="仿宋" w:cs="仿宋"/>
                <w:b w:val="0"/>
                <w:bCs w:val="0"/>
                <w:color w:val="FF0000"/>
                <w:kern w:val="0"/>
                <w:sz w:val="20"/>
                <w:szCs w:val="20"/>
              </w:rPr>
            </w:pPr>
            <w:r>
              <w:rPr>
                <w:rFonts w:hint="eastAsia" w:ascii="Times New Roman" w:hAnsi="Times New Roman" w:eastAsia="仿宋_GB2312" w:cs="Times New Roman"/>
                <w:sz w:val="20"/>
                <w:szCs w:val="20"/>
                <w:lang w:val="en-US" w:eastAsia="zh-CN"/>
              </w:rPr>
              <w:t>　4.88</w:t>
            </w:r>
          </w:p>
        </w:tc>
        <w:tc>
          <w:tcPr>
            <w:tcW w:w="2240" w:type="dxa"/>
            <w:gridSpan w:val="2"/>
            <w:noWrap w:val="0"/>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410.25</w:t>
            </w:r>
            <w:r>
              <w:rPr>
                <w:rFonts w:hint="eastAsia" w:ascii="仿宋" w:hAnsi="仿宋" w:eastAsia="仿宋" w:cs="仿宋"/>
                <w:b w:val="0"/>
                <w:bCs w:val="0"/>
                <w:color w:val="auto"/>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3354" w:type="dxa"/>
            <w:vMerge w:val="restart"/>
            <w:noWrap w:val="0"/>
            <w:vAlign w:val="center"/>
          </w:tcPr>
          <w:p>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3354" w:type="dxa"/>
            <w:vMerge w:val="continue"/>
            <w:noWrap w:val="0"/>
            <w:vAlign w:val="center"/>
          </w:tcPr>
          <w:p>
            <w:pPr>
              <w:widowControl/>
              <w:jc w:val="left"/>
              <w:rPr>
                <w:rFonts w:hint="eastAsia" w:ascii="仿宋" w:hAnsi="仿宋" w:eastAsia="仿宋" w:cs="仿宋"/>
                <w:b w:val="0"/>
                <w:bCs w:val="0"/>
                <w:kern w:val="0"/>
                <w:sz w:val="20"/>
                <w:szCs w:val="20"/>
              </w:rPr>
            </w:pPr>
          </w:p>
        </w:tc>
        <w:tc>
          <w:tcPr>
            <w:tcW w:w="1189" w:type="dxa"/>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849" w:type="dxa"/>
            <w:noWrap w:val="0"/>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969" w:type="dxa"/>
            <w:noWrap w:val="0"/>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63" w:type="dxa"/>
            <w:noWrap w:val="0"/>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354" w:type="dxa"/>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eastAsia="zh-CN"/>
              </w:rPr>
              <w:t>从严控制预算编制，无预算不支出，加强政府采购审核。</w:t>
            </w:r>
          </w:p>
        </w:tc>
      </w:tr>
    </w:tbl>
    <w:p>
      <w:pPr>
        <w:pStyle w:val="20"/>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王喆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 2025.5.12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2721066 </w:t>
      </w:r>
    </w:p>
    <w:p>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jc w:val="left"/>
        <w:textAlignment w:val="auto"/>
        <w:rPr>
          <w:rFonts w:hint="eastAsia" w:ascii="方正小标宋简体" w:hAnsi="方正小标宋简体" w:eastAsia="方正小标宋简体" w:cs="方正小标宋简体"/>
          <w:color w:val="000000"/>
          <w:kern w:val="0"/>
          <w:sz w:val="32"/>
          <w:szCs w:val="32"/>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2"/>
          <w:szCs w:val="32"/>
          <w:lang w:val="en-US" w:eastAsia="zh-CN"/>
        </w:rPr>
        <w:t>部门整体支出绩效自评表</w:t>
      </w:r>
    </w:p>
    <w:tbl>
      <w:tblPr>
        <w:tblStyle w:val="12"/>
        <w:tblW w:w="9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872"/>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w:t>
            </w:r>
            <w:r>
              <w:rPr>
                <w:rFonts w:hint="eastAsia" w:ascii="仿宋" w:hAnsi="仿宋" w:eastAsia="仿宋" w:cs="仿宋"/>
                <w:color w:val="000000"/>
                <w:kern w:val="0"/>
                <w:sz w:val="18"/>
                <w:szCs w:val="18"/>
                <w:lang w:eastAsia="zh-CN"/>
              </w:rPr>
              <w:t>部门</w:t>
            </w:r>
            <w:r>
              <w:rPr>
                <w:rFonts w:hint="eastAsia" w:ascii="仿宋" w:hAnsi="仿宋" w:eastAsia="仿宋" w:cs="仿宋"/>
                <w:color w:val="000000"/>
                <w:kern w:val="0"/>
                <w:sz w:val="18"/>
                <w:szCs w:val="18"/>
              </w:rPr>
              <w:t>名称</w:t>
            </w:r>
          </w:p>
        </w:tc>
        <w:tc>
          <w:tcPr>
            <w:tcW w:w="8093"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Times New Roman" w:hAnsi="Times New Roman" w:eastAsia="仿宋_GB2312" w:cs="Times New Roman"/>
                <w:color w:val="000000"/>
                <w:sz w:val="18"/>
                <w:szCs w:val="18"/>
                <w:lang w:eastAsia="zh-CN"/>
              </w:rPr>
              <w:t>怀化市财政局</w:t>
            </w:r>
            <w:r>
              <w:rPr>
                <w:rFonts w:ascii="Times New Roman" w:hAnsi="Times New Roman" w:eastAsia="仿宋_GB2312" w:cs="Times New Roman"/>
                <w:color w:val="000000"/>
                <w:sz w:val="18"/>
                <w:szCs w:val="18"/>
              </w:rPr>
              <w:t>　</w:t>
            </w: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1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算申请</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（万元）</w:t>
            </w:r>
          </w:p>
        </w:tc>
        <w:tc>
          <w:tcPr>
            <w:tcW w:w="23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99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预算数</w:t>
            </w:r>
          </w:p>
        </w:tc>
        <w:tc>
          <w:tcPr>
            <w:tcW w:w="129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全年预算数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执行数</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分值</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执行率</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23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color w:val="000000"/>
                <w:kern w:val="0"/>
                <w:sz w:val="18"/>
                <w:szCs w:val="18"/>
              </w:rPr>
              <w:t>年度资金总额</w:t>
            </w:r>
          </w:p>
        </w:tc>
        <w:tc>
          <w:tcPr>
            <w:tcW w:w="99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5369.17</w:t>
            </w:r>
          </w:p>
        </w:tc>
        <w:tc>
          <w:tcPr>
            <w:tcW w:w="129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5369.17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4880.55</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10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90.90%</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按收入性质分：</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xml:space="preserve">  其中：  一般公共预算</w:t>
            </w:r>
            <w:r>
              <w:rPr>
                <w:rFonts w:hint="eastAsia" w:ascii="仿宋" w:hAnsi="仿宋" w:eastAsia="仿宋" w:cs="仿宋"/>
                <w:color w:val="000000"/>
                <w:kern w:val="0"/>
                <w:sz w:val="18"/>
                <w:szCs w:val="18"/>
                <w:lang w:val="en-US" w:eastAsia="zh-CN"/>
              </w:rPr>
              <w:t>4880.55</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其中：基本支出：</w:t>
            </w:r>
            <w:r>
              <w:rPr>
                <w:rFonts w:hint="eastAsia" w:ascii="仿宋" w:hAnsi="仿宋" w:eastAsia="仿宋" w:cs="仿宋"/>
                <w:color w:val="000000"/>
                <w:kern w:val="0"/>
                <w:sz w:val="18"/>
                <w:szCs w:val="18"/>
                <w:lang w:val="en-US" w:eastAsia="zh-CN"/>
              </w:rPr>
              <w:t>3504.93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720" w:firstLineChars="40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政府性基金拨款：</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540" w:firstLineChars="30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项目支出：</w:t>
            </w:r>
            <w:r>
              <w:rPr>
                <w:rFonts w:hint="eastAsia" w:ascii="仿宋" w:hAnsi="仿宋" w:eastAsia="仿宋" w:cs="仿宋"/>
                <w:color w:val="000000"/>
                <w:kern w:val="0"/>
                <w:sz w:val="18"/>
                <w:szCs w:val="18"/>
                <w:lang w:val="en-US" w:eastAsia="zh-CN"/>
              </w:rPr>
              <w:t>1375.62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纳入专户管理的非税收入拨款：</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260" w:firstLineChars="70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其他资金：</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1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年度总体目标</w:t>
            </w: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预期目标</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597"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 xml:space="preserve"> </w:t>
            </w:r>
            <w:r>
              <w:rPr>
                <w:rFonts w:hint="default" w:ascii="仿宋" w:hAnsi="仿宋" w:eastAsia="仿宋" w:cs="仿宋"/>
                <w:color w:val="000000"/>
                <w:kern w:val="0"/>
                <w:sz w:val="18"/>
                <w:szCs w:val="18"/>
                <w:lang w:val="en-US" w:eastAsia="zh-CN"/>
              </w:rPr>
              <w:t>在市委、市政府的坚强领导下，自觉接受人大及其常委会监督</w:t>
            </w:r>
            <w:r>
              <w:rPr>
                <w:rFonts w:hint="eastAsia" w:ascii="仿宋" w:hAnsi="仿宋" w:eastAsia="仿宋" w:cs="仿宋"/>
                <w:color w:val="000000"/>
                <w:kern w:val="0"/>
                <w:sz w:val="18"/>
                <w:szCs w:val="18"/>
                <w:lang w:val="en-US" w:eastAsia="zh-CN"/>
              </w:rPr>
              <w:t>，</w:t>
            </w:r>
            <w:r>
              <w:rPr>
                <w:rFonts w:hint="default" w:ascii="仿宋" w:hAnsi="仿宋" w:eastAsia="仿宋" w:cs="仿宋"/>
                <w:color w:val="000000"/>
                <w:kern w:val="0"/>
                <w:sz w:val="18"/>
                <w:szCs w:val="18"/>
                <w:lang w:val="en-US" w:eastAsia="zh-CN"/>
              </w:rPr>
              <w:t>锚定“三高四新”美好蓝图，深入实施“五新四城”战略，强化措施稳增长、惠民生、防风险、促发展，</w:t>
            </w:r>
            <w:r>
              <w:rPr>
                <w:rFonts w:hint="default" w:ascii="仿宋" w:hAnsi="仿宋" w:eastAsia="仿宋" w:cs="仿宋"/>
                <w:color w:val="000000"/>
                <w:kern w:val="0"/>
                <w:sz w:val="18"/>
                <w:szCs w:val="18"/>
              </w:rPr>
              <w:t>为全市经济社会高质量发展提供财政保障</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　</w:t>
            </w:r>
          </w:p>
        </w:tc>
        <w:tc>
          <w:tcPr>
            <w:tcW w:w="349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1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标</w:t>
            </w:r>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一级指标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二级指标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三级指标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完成值</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c>
          <w:tcPr>
            <w:tcW w:w="781"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成本指标</w:t>
            </w:r>
          </w:p>
        </w:tc>
        <w:tc>
          <w:tcPr>
            <w:tcW w:w="11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经济成本指标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基本支出成本控制</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≤3301.17</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3504.93</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项目支出成本控制</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≤2068</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1375.62</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社会成本指标</w:t>
            </w:r>
          </w:p>
        </w:tc>
        <w:tc>
          <w:tcPr>
            <w:tcW w:w="1093" w:type="dxa"/>
            <w:gridSpan w:val="2"/>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社会成本节约率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≥0</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生态成本指标</w:t>
            </w:r>
          </w:p>
        </w:tc>
        <w:tc>
          <w:tcPr>
            <w:tcW w:w="5789"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地方收入增长率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4.33</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11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非税占比收入</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≤45%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42.71</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11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财政政策得到完善及积极实施</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完善实施</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完善实施</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11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严格把关费用支出及资金运用</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严格把关</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严格把关</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履职目标及时性</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2024年12月之前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2024年12月之前</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财政工作经济效益</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有效</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有效</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财政工作社会效益</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有效</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有效</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 w:firstLineChars="100"/>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益指标</w:t>
            </w:r>
          </w:p>
        </w:tc>
        <w:tc>
          <w:tcPr>
            <w:tcW w:w="5789"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可持续影响指标</w:t>
            </w:r>
          </w:p>
        </w:tc>
        <w:tc>
          <w:tcPr>
            <w:tcW w:w="5789"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6"/>
                <w:szCs w:val="16"/>
              </w:rPr>
              <w:t>服务对象满意度指标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社会公众满意度</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≥95%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100%</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10</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0"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8"/>
          <w:szCs w:val="28"/>
          <w:lang w:val="en-US" w:eastAsia="zh-CN" w:bidi="ar-SA"/>
        </w:rPr>
      </w:pPr>
      <w:r>
        <w:rPr>
          <w:rFonts w:hint="default" w:ascii="Times New Roman" w:hAnsi="Times New Roman" w:eastAsia="仿宋_GB2312" w:cs="Times New Roman"/>
          <w:snapToGrid/>
          <w:color w:val="000000"/>
          <w:kern w:val="0"/>
          <w:sz w:val="22"/>
          <w:szCs w:val="22"/>
          <w:lang w:val="en-US" w:eastAsia="zh-CN" w:bidi="ar-SA"/>
        </w:rPr>
        <w:t>填表人：</w:t>
      </w:r>
      <w:r>
        <w:rPr>
          <w:rFonts w:hint="eastAsia" w:ascii="Times New Roman" w:hAnsi="Times New Roman" w:eastAsia="仿宋_GB2312" w:cs="Times New Roman"/>
          <w:snapToGrid/>
          <w:color w:val="000000"/>
          <w:kern w:val="0"/>
          <w:sz w:val="22"/>
          <w:szCs w:val="22"/>
          <w:lang w:val="en-US" w:eastAsia="zh-CN" w:bidi="ar-SA"/>
        </w:rPr>
        <w:t xml:space="preserve"> 王喆           </w:t>
      </w:r>
      <w:r>
        <w:rPr>
          <w:rFonts w:hint="default" w:ascii="Times New Roman" w:hAnsi="Times New Roman" w:eastAsia="仿宋_GB2312" w:cs="Times New Roman"/>
          <w:snapToGrid/>
          <w:color w:val="000000"/>
          <w:kern w:val="0"/>
          <w:sz w:val="22"/>
          <w:szCs w:val="22"/>
          <w:lang w:val="en-US" w:eastAsia="zh-CN" w:bidi="ar-SA"/>
        </w:rPr>
        <w:t>填报日期：</w:t>
      </w:r>
      <w:r>
        <w:rPr>
          <w:rFonts w:hint="eastAsia" w:ascii="Times New Roman" w:hAnsi="Times New Roman" w:eastAsia="仿宋_GB2312" w:cs="Times New Roman"/>
          <w:snapToGrid/>
          <w:color w:val="000000"/>
          <w:kern w:val="0"/>
          <w:sz w:val="22"/>
          <w:szCs w:val="22"/>
          <w:lang w:val="en-US" w:eastAsia="zh-CN" w:bidi="ar-SA"/>
        </w:rPr>
        <w:t xml:space="preserve">2025.5.12          </w:t>
      </w:r>
      <w:r>
        <w:rPr>
          <w:rFonts w:hint="default" w:ascii="Times New Roman" w:hAnsi="Times New Roman" w:eastAsia="仿宋_GB2312" w:cs="Times New Roman"/>
          <w:snapToGrid/>
          <w:color w:val="000000"/>
          <w:kern w:val="0"/>
          <w:sz w:val="22"/>
          <w:szCs w:val="22"/>
          <w:lang w:val="en-US" w:eastAsia="zh-CN" w:bidi="ar-SA"/>
        </w:rPr>
        <w:t xml:space="preserve"> 联系电话：</w:t>
      </w:r>
      <w:r>
        <w:rPr>
          <w:rFonts w:hint="eastAsia" w:ascii="Times New Roman" w:hAnsi="Times New Roman" w:eastAsia="仿宋_GB2312" w:cs="Times New Roman"/>
          <w:snapToGrid/>
          <w:color w:val="000000"/>
          <w:kern w:val="0"/>
          <w:sz w:val="22"/>
          <w:szCs w:val="22"/>
          <w:lang w:val="en-US" w:eastAsia="zh-CN" w:bidi="ar-SA"/>
        </w:rPr>
        <w:t xml:space="preserve">2721066 </w:t>
      </w:r>
    </w:p>
    <w:p>
      <w:pPr>
        <w:rPr>
          <w:rFonts w:hint="eastAsia" w:ascii="方正仿宋_GB2312" w:hAnsi="方正仿宋_GB2312" w:eastAsia="方正仿宋_GB2312" w:cs="方正仿宋_GB2312"/>
          <w:sz w:val="15"/>
          <w:szCs w:val="15"/>
        </w:rPr>
      </w:pPr>
    </w:p>
    <w:p>
      <w:pPr>
        <w:ind w:firstLine="640" w:firstLineChars="200"/>
        <w:jc w:val="left"/>
        <w:rPr>
          <w:rFonts w:hint="eastAsia" w:ascii="仿宋" w:hAnsi="仿宋" w:eastAsia="仿宋" w:cs="仿宋"/>
          <w:color w:val="000000"/>
          <w:kern w:val="0"/>
          <w:sz w:val="32"/>
          <w:szCs w:val="32"/>
        </w:rPr>
      </w:pPr>
    </w:p>
    <w:sectPr>
      <w:pgSz w:w="11906" w:h="16838"/>
      <w:pgMar w:top="1117" w:right="1117" w:bottom="1117" w:left="1684" w:header="851" w:footer="992" w:gutter="0"/>
      <w:cols w:space="0" w:num="1"/>
      <w:rtlGutter w:val="0"/>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Noto Color Emoj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方正楷体_GBK">
    <w:panose1 w:val="02000000000000000000"/>
    <w:charset w:val="86"/>
    <w:family w:val="auto"/>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00000" w:csb1="00000000"/>
  </w:font>
  <w:font w:name="仿宋_GB2312">
    <w:panose1 w:val="0201060903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60257"/>
    <w:multiLevelType w:val="singleLevel"/>
    <w:tmpl w:val="AF560257"/>
    <w:lvl w:ilvl="0" w:tentative="0">
      <w:start w:val="1"/>
      <w:numFmt w:val="decimal"/>
      <w:suff w:val="nothing"/>
      <w:lvlText w:val="%1、"/>
      <w:lvlJc w:val="left"/>
    </w:lvl>
  </w:abstractNum>
  <w:abstractNum w:abstractNumId="1">
    <w:nsid w:val="EAFDAEA8"/>
    <w:multiLevelType w:val="singleLevel"/>
    <w:tmpl w:val="EAFDAEA8"/>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6AAF07"/>
    <w:multiLevelType w:val="singleLevel"/>
    <w:tmpl w:val="4E6AAF07"/>
    <w:lvl w:ilvl="0" w:tentative="0">
      <w:start w:val="9"/>
      <w:numFmt w:val="chineseCounting"/>
      <w:suff w:val="nothing"/>
      <w:lvlText w:val="%1、"/>
      <w:lvlJc w:val="left"/>
      <w:rPr>
        <w:rFonts w:hint="eastAsia"/>
      </w:rPr>
    </w:lvl>
  </w:abstractNum>
  <w:abstractNum w:abstractNumId="4">
    <w:nsid w:val="63312B1C"/>
    <w:multiLevelType w:val="singleLevel"/>
    <w:tmpl w:val="63312B1C"/>
    <w:lvl w:ilvl="0" w:tentative="0">
      <w:start w:val="3"/>
      <w:numFmt w:val="decimal"/>
      <w:suff w:val="nothing"/>
      <w:lvlText w:val="%1、"/>
      <w:lvlJc w:val="left"/>
    </w:lvl>
  </w:abstractNum>
  <w:abstractNum w:abstractNumId="5">
    <w:nsid w:val="6864FFC2"/>
    <w:multiLevelType w:val="singleLevel"/>
    <w:tmpl w:val="6864FFC2"/>
    <w:lvl w:ilvl="0" w:tentative="0">
      <w:start w:val="3"/>
      <w:numFmt w:val="decimal"/>
      <w:suff w:val="nothing"/>
      <w:lvlText w:val="%1、"/>
      <w:lvlJc w:val="left"/>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YTRlZDM0MjA5ZmExODljOTA5Y2M5Njk5YTAwZjc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56A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CD48EF"/>
    <w:rsid w:val="01D73D24"/>
    <w:rsid w:val="027A3F9F"/>
    <w:rsid w:val="04D83AA2"/>
    <w:rsid w:val="05492A09"/>
    <w:rsid w:val="068D542C"/>
    <w:rsid w:val="07BE1E87"/>
    <w:rsid w:val="0922716F"/>
    <w:rsid w:val="09675DDF"/>
    <w:rsid w:val="0A0F740B"/>
    <w:rsid w:val="0AA32D57"/>
    <w:rsid w:val="0B3800FB"/>
    <w:rsid w:val="0E91014D"/>
    <w:rsid w:val="0F8E6BDA"/>
    <w:rsid w:val="11E34606"/>
    <w:rsid w:val="11FC17BB"/>
    <w:rsid w:val="12381967"/>
    <w:rsid w:val="14306623"/>
    <w:rsid w:val="161C1328"/>
    <w:rsid w:val="16261FCA"/>
    <w:rsid w:val="16967775"/>
    <w:rsid w:val="173C240D"/>
    <w:rsid w:val="1800662E"/>
    <w:rsid w:val="183B3A1C"/>
    <w:rsid w:val="185C5D20"/>
    <w:rsid w:val="19D96074"/>
    <w:rsid w:val="1B1D58B9"/>
    <w:rsid w:val="1C4B7BB0"/>
    <w:rsid w:val="229936AC"/>
    <w:rsid w:val="23EE4D23"/>
    <w:rsid w:val="25780558"/>
    <w:rsid w:val="27977377"/>
    <w:rsid w:val="27CA30E6"/>
    <w:rsid w:val="27D03952"/>
    <w:rsid w:val="28447728"/>
    <w:rsid w:val="2928510B"/>
    <w:rsid w:val="29791CBC"/>
    <w:rsid w:val="29D335AD"/>
    <w:rsid w:val="2AB2303B"/>
    <w:rsid w:val="2ACC36BA"/>
    <w:rsid w:val="2ADD7FFF"/>
    <w:rsid w:val="2B15770E"/>
    <w:rsid w:val="2C4505A6"/>
    <w:rsid w:val="2D186215"/>
    <w:rsid w:val="2FA115CE"/>
    <w:rsid w:val="30317E7B"/>
    <w:rsid w:val="30A01476"/>
    <w:rsid w:val="31AE3E8B"/>
    <w:rsid w:val="31C630DD"/>
    <w:rsid w:val="34AE2726"/>
    <w:rsid w:val="35F852CD"/>
    <w:rsid w:val="37567261"/>
    <w:rsid w:val="384D3F5E"/>
    <w:rsid w:val="389971BC"/>
    <w:rsid w:val="39CB7D2A"/>
    <w:rsid w:val="3C3A423B"/>
    <w:rsid w:val="3DDC2ADF"/>
    <w:rsid w:val="3E1A0908"/>
    <w:rsid w:val="412D4EB9"/>
    <w:rsid w:val="41476B15"/>
    <w:rsid w:val="42404971"/>
    <w:rsid w:val="43AB5C2E"/>
    <w:rsid w:val="4431694C"/>
    <w:rsid w:val="45A17DC0"/>
    <w:rsid w:val="46297382"/>
    <w:rsid w:val="475752E9"/>
    <w:rsid w:val="478118FC"/>
    <w:rsid w:val="481E3452"/>
    <w:rsid w:val="48BE631B"/>
    <w:rsid w:val="4A6D69B1"/>
    <w:rsid w:val="4C9154F6"/>
    <w:rsid w:val="4D72759D"/>
    <w:rsid w:val="4E0C4C05"/>
    <w:rsid w:val="4E253CF1"/>
    <w:rsid w:val="4ECF4FDD"/>
    <w:rsid w:val="4EEE450B"/>
    <w:rsid w:val="4F0D7AA5"/>
    <w:rsid w:val="4F4A5EC4"/>
    <w:rsid w:val="506B4561"/>
    <w:rsid w:val="5095479B"/>
    <w:rsid w:val="5232031F"/>
    <w:rsid w:val="533E118D"/>
    <w:rsid w:val="5432066E"/>
    <w:rsid w:val="55051CF5"/>
    <w:rsid w:val="55B5130F"/>
    <w:rsid w:val="55F03A3D"/>
    <w:rsid w:val="576019A6"/>
    <w:rsid w:val="579234FE"/>
    <w:rsid w:val="592A154F"/>
    <w:rsid w:val="598C1D71"/>
    <w:rsid w:val="59984374"/>
    <w:rsid w:val="59F26EC0"/>
    <w:rsid w:val="5AD03C8C"/>
    <w:rsid w:val="5B050632"/>
    <w:rsid w:val="5B2E1AA7"/>
    <w:rsid w:val="5B3042FA"/>
    <w:rsid w:val="5C0B3FA9"/>
    <w:rsid w:val="5E96582C"/>
    <w:rsid w:val="5F4E2A69"/>
    <w:rsid w:val="5FB21B23"/>
    <w:rsid w:val="61011D57"/>
    <w:rsid w:val="61883466"/>
    <w:rsid w:val="618F1A51"/>
    <w:rsid w:val="62530F38"/>
    <w:rsid w:val="62E442FD"/>
    <w:rsid w:val="632968FB"/>
    <w:rsid w:val="6493686F"/>
    <w:rsid w:val="67D9349C"/>
    <w:rsid w:val="693B7E76"/>
    <w:rsid w:val="695A1469"/>
    <w:rsid w:val="69C6791E"/>
    <w:rsid w:val="6A6D681F"/>
    <w:rsid w:val="6BBD3A50"/>
    <w:rsid w:val="6CDC29EB"/>
    <w:rsid w:val="6CF647A7"/>
    <w:rsid w:val="6DE916B1"/>
    <w:rsid w:val="6E0D77F4"/>
    <w:rsid w:val="6FC856F1"/>
    <w:rsid w:val="70354C77"/>
    <w:rsid w:val="71703E88"/>
    <w:rsid w:val="73DF2189"/>
    <w:rsid w:val="74052766"/>
    <w:rsid w:val="74A35B43"/>
    <w:rsid w:val="750B19F8"/>
    <w:rsid w:val="754A4B7D"/>
    <w:rsid w:val="75685721"/>
    <w:rsid w:val="75AE4888"/>
    <w:rsid w:val="761562A9"/>
    <w:rsid w:val="76F43D5A"/>
    <w:rsid w:val="783B609F"/>
    <w:rsid w:val="7886401B"/>
    <w:rsid w:val="7A8E4D86"/>
    <w:rsid w:val="7B0F0F60"/>
    <w:rsid w:val="7B182183"/>
    <w:rsid w:val="7C41214B"/>
    <w:rsid w:val="7DD11FEB"/>
    <w:rsid w:val="7F675E51"/>
    <w:rsid w:val="7FC6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line="560" w:lineRule="exact"/>
      <w:ind w:firstLine="200" w:firstLineChars="200"/>
      <w:outlineLvl w:val="1"/>
    </w:pPr>
    <w:rPr>
      <w:rFonts w:ascii="Cambria" w:hAnsi="Cambria" w:eastAsia="楷体_GB2312" w:cs="Times New Roman"/>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15"/>
    <w:unhideWhenUsed/>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99"/>
    <w:pPr>
      <w:ind w:left="1680"/>
    </w:pPr>
  </w:style>
  <w:style w:type="paragraph" w:styleId="5">
    <w:name w:val="Body Text"/>
    <w:basedOn w:val="1"/>
    <w:next w:val="1"/>
    <w:qFormat/>
    <w:uiPriority w:val="0"/>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8"/>
    <w:unhideWhenUsed/>
    <w:qFormat/>
    <w:uiPriority w:val="99"/>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7"/>
    <w:semiHidden/>
    <w:qFormat/>
    <w:uiPriority w:val="0"/>
    <w:pPr>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4">
    <w:name w:val="页眉 Char"/>
    <w:basedOn w:val="13"/>
    <w:link w:val="9"/>
    <w:qFormat/>
    <w:uiPriority w:val="99"/>
    <w:rPr>
      <w:sz w:val="18"/>
      <w:szCs w:val="18"/>
    </w:rPr>
  </w:style>
  <w:style w:type="character" w:customStyle="1" w:styleId="15">
    <w:name w:val="页脚 Char"/>
    <w:basedOn w:val="13"/>
    <w:link w:val="2"/>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7">
    <w:name w:val="List Paragraph"/>
    <w:basedOn w:val="1"/>
    <w:qFormat/>
    <w:uiPriority w:val="34"/>
    <w:pPr>
      <w:ind w:firstLine="420" w:firstLineChars="200"/>
    </w:pPr>
  </w:style>
  <w:style w:type="character" w:customStyle="1" w:styleId="18">
    <w:name w:val="批注框文本 Char"/>
    <w:basedOn w:val="13"/>
    <w:link w:val="8"/>
    <w:semiHidden/>
    <w:qFormat/>
    <w:uiPriority w:val="99"/>
    <w:rPr>
      <w:sz w:val="18"/>
      <w:szCs w:val="18"/>
    </w:rPr>
  </w:style>
  <w:style w:type="paragraph" w:customStyle="1" w:styleId="19">
    <w:name w:val="UserStyle_0"/>
    <w:basedOn w:val="1"/>
    <w:qFormat/>
    <w:uiPriority w:val="0"/>
    <w:pPr>
      <w:spacing w:after="120"/>
    </w:pPr>
    <w:rPr>
      <w:rFonts w:ascii="Times New Roman" w:hAnsi="Times New Roman"/>
    </w:rPr>
  </w:style>
  <w:style w:type="paragraph" w:customStyle="1" w:styleId="20">
    <w:name w:val="标题1"/>
    <w:basedOn w:val="4"/>
    <w:qFormat/>
    <w:uiPriority w:val="0"/>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10111</Words>
  <Characters>10873</Characters>
  <Lines>69</Lines>
  <Paragraphs>19</Paragraphs>
  <TotalTime>139</TotalTime>
  <ScaleCrop>false</ScaleCrop>
  <LinksUpToDate>false</LinksUpToDate>
  <CharactersWithSpaces>10923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2022-09-26T07:27:00Z</cp:lastPrinted>
  <dcterms:modified xsi:type="dcterms:W3CDTF">2025-09-29T01:11:52Z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6BC89757A7804701859B2194A558B31F</vt:lpwstr>
  </property>
</Properties>
</file>