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FF12E">
      <w:pPr>
        <w:pStyle w:val="17"/>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43CCDCB">
      <w:pPr>
        <w:pStyle w:val="17"/>
        <w:jc w:val="center"/>
        <w:rPr>
          <w:rFonts w:ascii="Times New Roman" w:hAnsi="Times New Roman" w:cs="Times New Roman"/>
          <w:sz w:val="56"/>
          <w:szCs w:val="56"/>
        </w:rPr>
      </w:pPr>
    </w:p>
    <w:p w14:paraId="7952BEAC">
      <w:pPr>
        <w:pStyle w:val="17"/>
        <w:jc w:val="center"/>
        <w:rPr>
          <w:rFonts w:ascii="Times New Roman" w:hAnsi="Times New Roman" w:cs="Times New Roman"/>
          <w:sz w:val="84"/>
          <w:szCs w:val="84"/>
        </w:rPr>
      </w:pPr>
    </w:p>
    <w:p w14:paraId="3882AA55">
      <w:pPr>
        <w:pStyle w:val="17"/>
        <w:jc w:val="center"/>
        <w:rPr>
          <w:rFonts w:ascii="Times New Roman" w:hAnsi="Times New Roman" w:cs="Times New Roman"/>
          <w:sz w:val="84"/>
          <w:szCs w:val="84"/>
        </w:rPr>
      </w:pPr>
    </w:p>
    <w:p w14:paraId="34E5A286">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28CAB69">
      <w:pPr>
        <w:pStyle w:val="17"/>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市征收安置事务中心</w:t>
      </w:r>
      <w:r>
        <w:rPr>
          <w:rFonts w:ascii="Times New Roman" w:hAnsi="Times New Roman" w:eastAsia="方正小标宋简体" w:cs="Times New Roman"/>
          <w:sz w:val="72"/>
          <w:szCs w:val="72"/>
        </w:rPr>
        <w:t>（单位）部门决算</w:t>
      </w:r>
    </w:p>
    <w:p w14:paraId="5C3F503D">
      <w:pPr>
        <w:pStyle w:val="17"/>
        <w:jc w:val="center"/>
        <w:rPr>
          <w:rFonts w:ascii="Times New Roman" w:hAnsi="Times New Roman" w:eastAsia="方正小标宋_GBK" w:cs="Times New Roman"/>
          <w:sz w:val="56"/>
          <w:szCs w:val="56"/>
        </w:rPr>
      </w:pPr>
    </w:p>
    <w:p w14:paraId="1E3E38BE">
      <w:pPr>
        <w:pStyle w:val="17"/>
        <w:jc w:val="center"/>
        <w:rPr>
          <w:rFonts w:ascii="Times New Roman" w:hAnsi="Times New Roman" w:cs="Times New Roman"/>
          <w:sz w:val="56"/>
          <w:szCs w:val="56"/>
        </w:rPr>
      </w:pPr>
    </w:p>
    <w:p w14:paraId="703E5463">
      <w:pPr>
        <w:pStyle w:val="17"/>
        <w:rPr>
          <w:rFonts w:ascii="Times New Roman" w:hAnsi="Times New Roman" w:cs="Times New Roman"/>
          <w:sz w:val="56"/>
          <w:szCs w:val="56"/>
        </w:rPr>
      </w:pPr>
    </w:p>
    <w:p w14:paraId="6265E74E">
      <w:pPr>
        <w:pStyle w:val="17"/>
        <w:jc w:val="center"/>
        <w:rPr>
          <w:rFonts w:ascii="Times New Roman" w:hAnsi="Times New Roman" w:cs="Times New Roman"/>
          <w:sz w:val="32"/>
          <w:szCs w:val="32"/>
        </w:rPr>
      </w:pPr>
    </w:p>
    <w:p w14:paraId="222E10F8">
      <w:pPr>
        <w:pStyle w:val="17"/>
        <w:jc w:val="center"/>
        <w:rPr>
          <w:rFonts w:ascii="Times New Roman" w:hAnsi="Times New Roman" w:cs="Times New Roman"/>
          <w:sz w:val="32"/>
          <w:szCs w:val="32"/>
        </w:rPr>
      </w:pPr>
    </w:p>
    <w:p w14:paraId="621A1B0B">
      <w:pPr>
        <w:pStyle w:val="17"/>
        <w:jc w:val="center"/>
        <w:rPr>
          <w:rFonts w:ascii="Times New Roman" w:hAnsi="Times New Roman" w:cs="Times New Roman"/>
          <w:sz w:val="32"/>
          <w:szCs w:val="32"/>
        </w:rPr>
      </w:pPr>
    </w:p>
    <w:p w14:paraId="7E927D98">
      <w:pPr>
        <w:pStyle w:val="17"/>
        <w:jc w:val="center"/>
        <w:rPr>
          <w:rFonts w:ascii="Times New Roman" w:hAnsi="Times New Roman" w:cs="Times New Roman"/>
          <w:sz w:val="32"/>
          <w:szCs w:val="32"/>
        </w:rPr>
      </w:pPr>
    </w:p>
    <w:p w14:paraId="028FC665">
      <w:pPr>
        <w:pStyle w:val="17"/>
        <w:jc w:val="center"/>
        <w:rPr>
          <w:rFonts w:ascii="Times New Roman" w:hAnsi="Times New Roman" w:cs="Times New Roman"/>
          <w:sz w:val="32"/>
          <w:szCs w:val="32"/>
        </w:rPr>
      </w:pPr>
    </w:p>
    <w:p w14:paraId="46E28696">
      <w:pPr>
        <w:pStyle w:val="17"/>
        <w:jc w:val="center"/>
        <w:rPr>
          <w:rFonts w:ascii="Times New Roman" w:hAnsi="Times New Roman" w:cs="Times New Roman"/>
          <w:sz w:val="32"/>
          <w:szCs w:val="32"/>
        </w:rPr>
      </w:pPr>
    </w:p>
    <w:p w14:paraId="1D57D1C9">
      <w:pPr>
        <w:pStyle w:val="17"/>
        <w:spacing w:line="540" w:lineRule="exact"/>
        <w:jc w:val="center"/>
        <w:rPr>
          <w:rFonts w:ascii="Times New Roman" w:hAnsi="Times New Roman" w:cs="Times New Roman"/>
          <w:sz w:val="56"/>
          <w:szCs w:val="56"/>
        </w:rPr>
      </w:pPr>
    </w:p>
    <w:p w14:paraId="2C3260AA">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CB3229B">
      <w:pPr>
        <w:pStyle w:val="17"/>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9B15287">
      <w:pPr>
        <w:pStyle w:val="17"/>
        <w:spacing w:line="600" w:lineRule="exact"/>
        <w:jc w:val="both"/>
        <w:rPr>
          <w:rFonts w:ascii="Times New Roman" w:hAnsi="Times New Roman" w:cs="Times New Roman"/>
          <w:b/>
          <w:sz w:val="36"/>
          <w:szCs w:val="28"/>
        </w:rPr>
      </w:pPr>
    </w:p>
    <w:p w14:paraId="6BB603CC">
      <w:pPr>
        <w:pStyle w:val="17"/>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1ECAA67">
      <w:pPr>
        <w:pStyle w:val="17"/>
        <w:spacing w:line="600" w:lineRule="exact"/>
        <w:jc w:val="center"/>
        <w:rPr>
          <w:rFonts w:ascii="Times New Roman" w:hAnsi="Times New Roman" w:cs="Times New Roman"/>
          <w:b/>
          <w:sz w:val="36"/>
          <w:szCs w:val="28"/>
        </w:rPr>
      </w:pPr>
    </w:p>
    <w:p w14:paraId="35829E37">
      <w:pPr>
        <w:pStyle w:val="17"/>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市征收安置事务中心</w:t>
      </w:r>
      <w:r>
        <w:rPr>
          <w:rFonts w:ascii="Times New Roman" w:hAnsi="Times New Roman" w:cs="Times New Roman"/>
          <w:bCs/>
          <w:sz w:val="32"/>
          <w:szCs w:val="32"/>
        </w:rPr>
        <w:t>部门（单位）概况</w:t>
      </w:r>
    </w:p>
    <w:p w14:paraId="6252A8DF">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68FF252">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CBAED17">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EB17C8">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C56DC0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444D5F5">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E04626">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7B483BD">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D8BA8CF">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9D08EC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F25DFD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6BFA2FE">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D2F7DE1">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704617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CC8DA2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964B94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B4202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709086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C171A3B">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A310C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E85418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6C294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1347126">
      <w:pPr>
        <w:pStyle w:val="2"/>
        <w:ind w:left="0" w:leftChars="0" w:firstLine="0" w:firstLineChars="0"/>
        <w:rPr>
          <w:sz w:val="32"/>
          <w:szCs w:val="32"/>
        </w:rPr>
      </w:pPr>
      <w:r>
        <w:rPr>
          <w:rFonts w:hint="eastAsia" w:ascii="仿宋" w:hAnsi="仿宋" w:eastAsia="仿宋" w:cs="仿宋"/>
          <w:sz w:val="32"/>
          <w:szCs w:val="32"/>
          <w:lang w:val="en-US" w:eastAsia="zh-CN"/>
        </w:rPr>
        <w:t>九、国有资本经营预算财政拨款支出</w:t>
      </w:r>
      <w:r>
        <w:rPr>
          <w:rFonts w:hint="eastAsia" w:ascii="仿宋" w:hAnsi="仿宋" w:eastAsia="仿宋" w:cs="仿宋"/>
          <w:sz w:val="32"/>
          <w:szCs w:val="32"/>
        </w:rPr>
        <w:t>决算情况</w:t>
      </w:r>
      <w:r>
        <w:rPr>
          <w:rFonts w:hint="eastAsia" w:ascii="仿宋" w:hAnsi="仿宋" w:eastAsia="仿宋" w:cs="仿宋"/>
          <w:sz w:val="32"/>
          <w:szCs w:val="32"/>
          <w:lang w:val="en-US" w:eastAsia="zh-CN"/>
        </w:rPr>
        <w:t>说明</w:t>
      </w:r>
    </w:p>
    <w:p w14:paraId="257991E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5D5A693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673D874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166D0E2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1235DD9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5609B9F">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FC3CFC0">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E9B105E">
      <w:pPr>
        <w:pStyle w:val="17"/>
        <w:spacing w:line="600" w:lineRule="exact"/>
        <w:rPr>
          <w:rFonts w:ascii="Times New Roman" w:hAnsi="Times New Roman" w:cs="Times New Roman"/>
          <w:bCs/>
          <w:sz w:val="28"/>
          <w:szCs w:val="28"/>
        </w:rPr>
      </w:pPr>
    </w:p>
    <w:p w14:paraId="52F5F50D">
      <w:pPr>
        <w:jc w:val="center"/>
        <w:rPr>
          <w:rFonts w:ascii="Times New Roman" w:hAnsi="Times New Roman" w:cs="Times New Roman"/>
          <w:sz w:val="72"/>
          <w:szCs w:val="72"/>
        </w:rPr>
      </w:pPr>
    </w:p>
    <w:p w14:paraId="51299C28">
      <w:pPr>
        <w:jc w:val="center"/>
        <w:rPr>
          <w:rFonts w:ascii="Times New Roman" w:hAnsi="Times New Roman" w:cs="Times New Roman"/>
          <w:sz w:val="72"/>
          <w:szCs w:val="72"/>
        </w:rPr>
      </w:pPr>
    </w:p>
    <w:p w14:paraId="17061302">
      <w:pPr>
        <w:jc w:val="center"/>
        <w:rPr>
          <w:rFonts w:ascii="Times New Roman" w:hAnsi="Times New Roman" w:cs="Times New Roman"/>
          <w:sz w:val="72"/>
          <w:szCs w:val="72"/>
        </w:rPr>
      </w:pPr>
    </w:p>
    <w:p w14:paraId="4ACA3DAB">
      <w:pPr>
        <w:pStyle w:val="11"/>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170BE06">
      <w:pPr>
        <w:rPr>
          <w:rFonts w:ascii="Times New Roman" w:hAnsi="Times New Roman" w:eastAsia="方正小标宋_GBK" w:cs="Times New Roman"/>
          <w:sz w:val="72"/>
          <w:szCs w:val="72"/>
        </w:rPr>
      </w:pPr>
    </w:p>
    <w:p w14:paraId="159266EE">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3D32817">
      <w:pPr>
        <w:pStyle w:val="17"/>
        <w:spacing w:line="360" w:lineRule="auto"/>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市征收安置事务中心</w:t>
      </w:r>
    </w:p>
    <w:p w14:paraId="1A6F4A75">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部门（单位）概况</w:t>
      </w:r>
    </w:p>
    <w:p w14:paraId="0ADE8EC4">
      <w:pPr>
        <w:pStyle w:val="7"/>
        <w:ind w:left="0" w:leftChars="0" w:firstLine="0" w:firstLineChars="0"/>
        <w:rPr>
          <w:rFonts w:ascii="Times New Roman" w:hAnsi="Times New Roman" w:cs="Times New Roman"/>
        </w:rPr>
      </w:pPr>
    </w:p>
    <w:p w14:paraId="2AFBCCE2">
      <w:pPr>
        <w:pStyle w:val="18"/>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15E5CD64">
      <w:pPr>
        <w:pStyle w:val="1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黑体" w:cs="Times New Roman"/>
          <w:sz w:val="32"/>
          <w:szCs w:val="32"/>
        </w:rPr>
      </w:pPr>
      <w:r>
        <w:rPr>
          <w:rFonts w:hint="eastAsia" w:ascii="仿宋_GB2312" w:hAnsi="宋体" w:eastAsia="仿宋_GB2312" w:cs="宋体"/>
          <w:kern w:val="0"/>
          <w:sz w:val="32"/>
          <w:szCs w:val="32"/>
        </w:rPr>
        <w:t>根据怀</w:t>
      </w:r>
      <w:r>
        <w:rPr>
          <w:rFonts w:hint="eastAsia" w:ascii="仿宋_GB2312" w:hAnsi="宋体" w:eastAsia="仿宋_GB2312" w:cs="宋体"/>
          <w:kern w:val="0"/>
          <w:sz w:val="32"/>
          <w:szCs w:val="32"/>
          <w:lang w:eastAsia="zh-CN"/>
        </w:rPr>
        <w:t>编</w:t>
      </w:r>
      <w:r>
        <w:rPr>
          <w:rFonts w:hint="eastAsia" w:ascii="仿宋_GB2312" w:hAnsi="宋体" w:eastAsia="仿宋_GB2312" w:cs="宋体"/>
          <w:kern w:val="0"/>
          <w:sz w:val="32"/>
          <w:szCs w:val="32"/>
        </w:rPr>
        <w:t>〔20</w:t>
      </w:r>
      <w:r>
        <w:rPr>
          <w:rFonts w:hint="eastAsia" w:ascii="仿宋_GB2312" w:hAnsi="宋体" w:eastAsia="仿宋_GB2312" w:cs="宋体"/>
          <w:kern w:val="0"/>
          <w:sz w:val="32"/>
          <w:szCs w:val="32"/>
          <w:lang w:val="en-US" w:eastAsia="zh-CN"/>
        </w:rPr>
        <w:t>21</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79</w:t>
      </w:r>
      <w:r>
        <w:rPr>
          <w:rFonts w:hint="eastAsia" w:ascii="仿宋_GB2312" w:hAnsi="宋体" w:eastAsia="仿宋_GB2312" w:cs="宋体"/>
          <w:kern w:val="0"/>
          <w:sz w:val="32"/>
          <w:szCs w:val="32"/>
        </w:rPr>
        <w:t>号</w:t>
      </w:r>
      <w:r>
        <w:rPr>
          <w:rFonts w:hint="eastAsia" w:ascii="仿宋_GB2312" w:hAnsi="宋体" w:eastAsia="仿宋_GB2312" w:cs="仿宋_GB2312"/>
          <w:kern w:val="0"/>
          <w:sz w:val="32"/>
          <w:szCs w:val="32"/>
          <w:lang w:val="zh-CN"/>
        </w:rPr>
        <w:t>文件</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市征收安置事务中心贯彻落实党中央和省委、市委关于土地和房屋征收补偿安置工作的方针政策和决策部署。只要职责是：</w:t>
      </w:r>
    </w:p>
    <w:p w14:paraId="46C6FC40">
      <w:pPr>
        <w:autoSpaceDE w:val="0"/>
        <w:spacing w:line="600" w:lineRule="exac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（一）国有土地上房屋征收</w:t>
      </w:r>
      <w:r>
        <w:rPr>
          <w:rFonts w:hint="eastAsia" w:ascii="仿宋_GB2312" w:hAnsi="宋体" w:eastAsia="仿宋_GB2312" w:cs="宋体"/>
          <w:kern w:val="0"/>
          <w:sz w:val="32"/>
          <w:szCs w:val="32"/>
          <w:lang w:eastAsia="zh-CN"/>
        </w:rPr>
        <w:t>与补偿</w:t>
      </w:r>
      <w:r>
        <w:rPr>
          <w:rFonts w:hint="eastAsia" w:ascii="仿宋_GB2312" w:hAnsi="宋体" w:eastAsia="仿宋_GB2312" w:cs="宋体"/>
          <w:kern w:val="0"/>
          <w:sz w:val="32"/>
          <w:szCs w:val="32"/>
        </w:rPr>
        <w:t>工作</w:t>
      </w:r>
      <w:r>
        <w:rPr>
          <w:rFonts w:hint="eastAsia" w:ascii="仿宋_GB2312" w:hAnsi="宋体" w:eastAsia="仿宋_GB2312" w:cs="宋体"/>
          <w:kern w:val="0"/>
          <w:sz w:val="32"/>
          <w:szCs w:val="32"/>
          <w:lang w:eastAsia="zh-CN"/>
        </w:rPr>
        <w:t>职责：</w:t>
      </w:r>
    </w:p>
    <w:p w14:paraId="6FCD5F68">
      <w:pPr>
        <w:numPr>
          <w:ilvl w:val="0"/>
          <w:numId w:val="2"/>
        </w:numPr>
        <w:autoSpaceDE w:val="0"/>
        <w:spacing w:line="60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为怀化市城市规划区国有土地上房屋征收补偿相关配套政策的拟定提供相关服务；承担市城市规划区国有土地上房屋征收与补偿中长期规划、年度房屋征收实施计划拟制、呈报的相关事务性工作。</w:t>
      </w:r>
    </w:p>
    <w:p w14:paraId="38404B53">
      <w:pPr>
        <w:numPr>
          <w:ilvl w:val="0"/>
          <w:numId w:val="2"/>
        </w:numPr>
        <w:autoSpaceDE w:val="0"/>
        <w:spacing w:line="60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承担市人民政府国有土地上房屋征收与补偿任务交办书拟制、下达和统一监管的相关事务性工作；承担确需由市人民政府作为征收主体的国有土地上房屋征收与补偿的事务性工作。</w:t>
      </w:r>
    </w:p>
    <w:p w14:paraId="55319C8E">
      <w:pPr>
        <w:numPr>
          <w:ilvl w:val="0"/>
          <w:numId w:val="2"/>
        </w:numPr>
        <w:autoSpaceDE w:val="0"/>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承担国有土地上房屋征收拟实施项目相关资料的受理、审查的事务性工作；协助做好对征收范围内未登记的建筑进行调查、认定和处理等相关工作。</w:t>
      </w:r>
    </w:p>
    <w:p w14:paraId="06C1F566">
      <w:pPr>
        <w:numPr>
          <w:ilvl w:val="0"/>
          <w:numId w:val="2"/>
        </w:numPr>
        <w:autoSpaceDE w:val="0"/>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承担怀化市城市规划国有土地上房屋征收项目补偿费用预算及归集项目征收补偿费用的相关事务性工作；承担市城市规划国有土地上房屋征收项目征收补偿资金、工作经费、房屋拆除费、奖励基金、不可预见费的审核、拨付以及使用监管的相关事务性工作；承担临时安置费审核发放的事务性工作；会同有关部门开展核定征收成本。</w:t>
      </w:r>
    </w:p>
    <w:p w14:paraId="740D2DCA">
      <w:pPr>
        <w:numPr>
          <w:ilvl w:val="0"/>
          <w:numId w:val="2"/>
        </w:numPr>
        <w:autoSpaceDE w:val="0"/>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承担怀化市城市规划国有土地上房屋征收项目补偿方案审核、评估报告备案、房屋征收补偿协议备案的相关事务性工作；承担房屋征收与补偿信息统计、公开和档案管理的事务性工作。</w:t>
      </w:r>
    </w:p>
    <w:p w14:paraId="7FD1F45E">
      <w:pPr>
        <w:numPr>
          <w:ilvl w:val="0"/>
          <w:numId w:val="2"/>
        </w:numPr>
        <w:autoSpaceDE w:val="0"/>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承担市国有土地上房屋征收评估机构备选库建设的事务性工作；承担怀化市城市规划国有土地上房屋征收项目已腾空房屋拆除的施工备案的相关事务性工作。</w:t>
      </w:r>
    </w:p>
    <w:p w14:paraId="651C6B6E">
      <w:pPr>
        <w:numPr>
          <w:ilvl w:val="0"/>
          <w:numId w:val="2"/>
        </w:numPr>
        <w:autoSpaceDE w:val="0"/>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承担统筹、管理产权调换房源，产权调换房源管理信息系统建设等事务性工作。</w:t>
      </w:r>
    </w:p>
    <w:p w14:paraId="35949FA1">
      <w:pPr>
        <w:numPr>
          <w:ilvl w:val="0"/>
          <w:numId w:val="2"/>
        </w:numPr>
        <w:autoSpaceDE w:val="0"/>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为县市区国有土地上房屋征收与补偿提供业务指导及培训等服务。</w:t>
      </w:r>
    </w:p>
    <w:p w14:paraId="0B578B08">
      <w:pPr>
        <w:numPr>
          <w:ilvl w:val="0"/>
          <w:numId w:val="0"/>
        </w:numPr>
        <w:autoSpaceDE w:val="0"/>
        <w:spacing w:line="600" w:lineRule="exact"/>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二</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集体土地征用和村民房屋征收安置工作职责：</w:t>
      </w:r>
    </w:p>
    <w:p w14:paraId="2BD98319">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1、承担集体土地征收补偿安置中长期规划、年度工作计划实施的相关事务性工作。</w:t>
      </w:r>
    </w:p>
    <w:p w14:paraId="2A93DCE7">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2、承担由市人民政府委托的市城市规划区集体土地征收补偿安置任务下达和统一监管的相关事务性工作。</w:t>
      </w:r>
    </w:p>
    <w:p w14:paraId="3FE5F243">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3、承担编制怀化市城市规划区集体土地征收项目的项目概预算委托、审查和归集征地补偿安置费用的相关事务性工作；承担怀化市城市规划区集体土地征收项目的征收补偿资金、工作经费和安置房建设资金的核拨、监管的相关性事务性工作；会同有关部门开展核定征收安置建设成本工作。</w:t>
      </w:r>
    </w:p>
    <w:p w14:paraId="1CC8918C">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4、承担怀化市城市规划区集体土地征收项目村民安置资格审核备案的相关事务性工作。</w:t>
      </w:r>
    </w:p>
    <w:p w14:paraId="2506FB9E">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5、承担怀化市城市规划区集体土地征收项目征收补偿安置方案审核、征地拆迁补偿安置协议备案的相关事务性工作；承担征收安置信息统计、公开和档案管理的事务性工作。</w:t>
      </w:r>
    </w:p>
    <w:p w14:paraId="5888EE9D">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6、承担组织实施怀化市城市规划区集体土地征收项目评估、测绘的事务性工作。</w:t>
      </w:r>
    </w:p>
    <w:p w14:paraId="43EB5E93">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7、为县市区集体土地征收工作提供业务指导及培训等服务。</w:t>
      </w:r>
    </w:p>
    <w:p w14:paraId="527E1A37">
      <w:pPr>
        <w:keepNext w:val="0"/>
        <w:keepLines w:val="0"/>
        <w:pageBreakBefore w:val="0"/>
        <w:widowControl w:val="0"/>
        <w:kinsoku/>
        <w:wordWrap/>
        <w:overflowPunct/>
        <w:topLinePunct w:val="0"/>
        <w:autoSpaceDE w:val="0"/>
        <w:autoSpaceDN/>
        <w:bidi w:val="0"/>
        <w:adjustRightInd/>
        <w:snapToGrid/>
        <w:spacing w:line="600" w:lineRule="exact"/>
        <w:ind w:firstLine="640" w:firstLineChars="200"/>
        <w:textAlignment w:val="auto"/>
        <w:rPr>
          <w:rFonts w:hint="eastAsia" w:ascii="仿宋" w:hAnsi="仿宋" w:eastAsia="仿宋" w:cs="仿宋"/>
          <w:b/>
          <w:bCs/>
          <w:sz w:val="32"/>
          <w:szCs w:val="32"/>
          <w:lang w:eastAsia="zh-CN"/>
        </w:rPr>
      </w:pP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三</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完成</w:t>
      </w:r>
      <w:r>
        <w:rPr>
          <w:rFonts w:hint="eastAsia" w:ascii="仿宋_GB2312" w:hAnsi="宋体" w:eastAsia="仿宋_GB2312" w:cs="宋体"/>
          <w:kern w:val="0"/>
          <w:sz w:val="32"/>
          <w:szCs w:val="32"/>
        </w:rPr>
        <w:t>市人民政府交办的其他</w:t>
      </w:r>
      <w:r>
        <w:rPr>
          <w:rFonts w:hint="eastAsia" w:ascii="仿宋_GB2312" w:hAnsi="宋体" w:eastAsia="仿宋_GB2312" w:cs="宋体"/>
          <w:kern w:val="0"/>
          <w:sz w:val="32"/>
          <w:szCs w:val="32"/>
          <w:lang w:eastAsia="zh-CN"/>
        </w:rPr>
        <w:t>任务</w:t>
      </w:r>
      <w:r>
        <w:rPr>
          <w:rFonts w:hint="eastAsia" w:ascii="仿宋_GB2312" w:hAnsi="宋体" w:eastAsia="仿宋_GB2312" w:cs="宋体"/>
          <w:kern w:val="0"/>
          <w:sz w:val="32"/>
          <w:szCs w:val="32"/>
        </w:rPr>
        <w:t>。</w:t>
      </w:r>
    </w:p>
    <w:p w14:paraId="076DE96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D8051AB">
      <w:pPr>
        <w:autoSpaceDE w:val="0"/>
        <w:spacing w:line="600" w:lineRule="exact"/>
        <w:ind w:firstLine="640" w:firstLineChars="200"/>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（一）内设机构设置。</w:t>
      </w:r>
      <w:r>
        <w:rPr>
          <w:rFonts w:hint="eastAsia" w:ascii="仿宋_GB2312" w:hAnsi="宋体" w:eastAsia="仿宋_GB2312" w:cs="宋体"/>
          <w:kern w:val="0"/>
          <w:sz w:val="32"/>
          <w:szCs w:val="32"/>
          <w:lang w:eastAsia="zh-CN"/>
        </w:rPr>
        <w:t>市征收安置事务中心为市人民政府办公室管理的公益一类事业单位，机构规格相当于副处级。作为二级部门预算单位，内设科室为：财务综合部、征收一部、征收二部、安置部、政策法规部、人事教育部。</w:t>
      </w:r>
    </w:p>
    <w:p w14:paraId="54E3E564">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27" w:firstLineChars="196"/>
        <w:jc w:val="left"/>
        <w:textAlignment w:val="auto"/>
        <w:outlineLvl w:val="9"/>
        <w:rPr>
          <w:rFonts w:hint="eastAsia" w:eastAsia="仿宋_GB2312"/>
          <w:b/>
          <w:bCs/>
          <w:sz w:val="32"/>
          <w:szCs w:val="32"/>
          <w:lang w:val="en-US" w:eastAsia="zh-CN"/>
        </w:rPr>
      </w:pPr>
      <w:r>
        <w:rPr>
          <w:rFonts w:ascii="Times New Roman" w:hAnsi="Times New Roman" w:eastAsia="仿宋_GB2312" w:cs="Times New Roman"/>
          <w:bCs/>
          <w:kern w:val="0"/>
          <w:sz w:val="32"/>
          <w:szCs w:val="32"/>
        </w:rPr>
        <w:t>（二）决算单位构成。</w:t>
      </w:r>
      <w:r>
        <w:rPr>
          <w:rFonts w:hint="eastAsia" w:eastAsia="仿宋_GB2312"/>
          <w:b w:val="0"/>
          <w:bCs w:val="0"/>
          <w:sz w:val="32"/>
          <w:szCs w:val="32"/>
          <w:lang w:val="en-US" w:eastAsia="zh-CN"/>
        </w:rPr>
        <w:t>本部门隶属于市人民政府办二级预算单位，因此，纳入2025年部门决算编制范围的只有</w:t>
      </w:r>
      <w:r>
        <w:rPr>
          <w:rFonts w:hint="eastAsia" w:ascii="仿宋_GB2312" w:hAnsi="宋体" w:eastAsia="仿宋_GB2312" w:cs="宋体"/>
          <w:kern w:val="0"/>
          <w:sz w:val="32"/>
          <w:szCs w:val="32"/>
          <w:lang w:eastAsia="zh-CN"/>
        </w:rPr>
        <w:t>市征收安置事务中心</w:t>
      </w:r>
      <w:r>
        <w:rPr>
          <w:rFonts w:hint="eastAsia" w:eastAsia="仿宋_GB2312"/>
          <w:b/>
          <w:bCs/>
          <w:sz w:val="32"/>
          <w:szCs w:val="32"/>
          <w:lang w:val="en-US" w:eastAsia="zh-CN"/>
        </w:rPr>
        <w:t>。</w:t>
      </w:r>
    </w:p>
    <w:p w14:paraId="072B3668">
      <w:pPr>
        <w:widowControl/>
        <w:spacing w:line="600" w:lineRule="exact"/>
        <w:rPr>
          <w:rFonts w:ascii="Times New Roman" w:hAnsi="Times New Roman" w:eastAsia="仿宋_GB2312" w:cs="Times New Roman"/>
          <w:bCs/>
          <w:kern w:val="0"/>
          <w:sz w:val="32"/>
          <w:szCs w:val="32"/>
        </w:rPr>
      </w:pPr>
    </w:p>
    <w:p w14:paraId="11E51E14">
      <w:pPr>
        <w:jc w:val="left"/>
        <w:rPr>
          <w:rFonts w:ascii="Times New Roman" w:hAnsi="Times New Roman" w:eastAsia="仿宋_GB2312" w:cs="Times New Roman"/>
          <w:sz w:val="28"/>
          <w:szCs w:val="32"/>
        </w:rPr>
      </w:pPr>
    </w:p>
    <w:p w14:paraId="73A25CF8">
      <w:pPr>
        <w:jc w:val="center"/>
        <w:rPr>
          <w:rFonts w:ascii="Times New Roman" w:hAnsi="Times New Roman" w:eastAsia="黑体" w:cs="Times New Roman"/>
          <w:sz w:val="28"/>
          <w:szCs w:val="28"/>
        </w:rPr>
      </w:pPr>
    </w:p>
    <w:p w14:paraId="349FD731">
      <w:pPr>
        <w:jc w:val="center"/>
        <w:rPr>
          <w:rFonts w:ascii="Times New Roman" w:hAnsi="Times New Roman" w:eastAsia="黑体" w:cs="Times New Roman"/>
          <w:sz w:val="28"/>
          <w:szCs w:val="28"/>
        </w:rPr>
      </w:pPr>
    </w:p>
    <w:p w14:paraId="6E70B783">
      <w:pPr>
        <w:jc w:val="center"/>
        <w:rPr>
          <w:rFonts w:ascii="Times New Roman" w:hAnsi="Times New Roman" w:eastAsia="黑体" w:cs="Times New Roman"/>
          <w:sz w:val="28"/>
          <w:szCs w:val="28"/>
        </w:rPr>
      </w:pPr>
    </w:p>
    <w:p w14:paraId="09177B4F">
      <w:pPr>
        <w:jc w:val="center"/>
        <w:rPr>
          <w:rFonts w:ascii="Times New Roman" w:hAnsi="Times New Roman" w:eastAsia="黑体" w:cs="Times New Roman"/>
          <w:sz w:val="28"/>
          <w:szCs w:val="28"/>
        </w:rPr>
      </w:pPr>
    </w:p>
    <w:p w14:paraId="39998530">
      <w:pPr>
        <w:jc w:val="center"/>
        <w:rPr>
          <w:rFonts w:ascii="Times New Roman" w:hAnsi="Times New Roman" w:eastAsia="黑体" w:cs="Times New Roman"/>
          <w:sz w:val="28"/>
          <w:szCs w:val="28"/>
        </w:rPr>
      </w:pPr>
    </w:p>
    <w:p w14:paraId="342423F9">
      <w:pPr>
        <w:pStyle w:val="11"/>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3BAE45F">
      <w:pPr>
        <w:pStyle w:val="17"/>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84BB5B4">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AF804A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C630A0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怀化市征收安置事务中心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2"/>
        <w:tblW w:w="14896" w:type="dxa"/>
        <w:jc w:val="center"/>
        <w:tblLayout w:type="autofit"/>
        <w:tblCellMar>
          <w:top w:w="0" w:type="dxa"/>
          <w:left w:w="108" w:type="dxa"/>
          <w:bottom w:w="0" w:type="dxa"/>
          <w:right w:w="108" w:type="dxa"/>
        </w:tblCellMar>
      </w:tblPr>
      <w:tblGrid>
        <w:gridCol w:w="5114"/>
        <w:gridCol w:w="754"/>
        <w:gridCol w:w="2035"/>
        <w:gridCol w:w="5126"/>
        <w:gridCol w:w="651"/>
        <w:gridCol w:w="1216"/>
      </w:tblGrid>
      <w:tr w14:paraId="00F34D52">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BE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5574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4EAAE0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A8B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64BC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841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7DD2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442A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90A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4E210D1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E03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31524">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CF7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65B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0FAE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5D4E9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5F24F23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973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94F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7A2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1047.15</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AA5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B9F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BEC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208.95</w:t>
            </w:r>
          </w:p>
        </w:tc>
      </w:tr>
      <w:tr w14:paraId="411F2F9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240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C21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9EB0E">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583A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7B8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4E90E">
            <w:pPr>
              <w:jc w:val="right"/>
              <w:rPr>
                <w:rFonts w:ascii="Times New Roman" w:hAnsi="Times New Roman" w:eastAsia="仿宋_GB2312" w:cs="Times New Roman"/>
                <w:color w:val="000000"/>
                <w:sz w:val="22"/>
              </w:rPr>
            </w:pPr>
          </w:p>
        </w:tc>
      </w:tr>
      <w:tr w14:paraId="58C695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A0B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883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8443F">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DD5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6A0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2541A">
            <w:pPr>
              <w:jc w:val="right"/>
              <w:rPr>
                <w:rFonts w:ascii="Times New Roman" w:hAnsi="Times New Roman" w:eastAsia="仿宋_GB2312" w:cs="Times New Roman"/>
                <w:color w:val="000000"/>
                <w:sz w:val="22"/>
              </w:rPr>
            </w:pPr>
          </w:p>
        </w:tc>
      </w:tr>
      <w:tr w14:paraId="798F428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5D8B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4AB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2513">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7D71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710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5255">
            <w:pPr>
              <w:jc w:val="right"/>
              <w:rPr>
                <w:rFonts w:ascii="Times New Roman" w:hAnsi="Times New Roman" w:eastAsia="仿宋_GB2312" w:cs="Times New Roman"/>
                <w:color w:val="000000"/>
                <w:sz w:val="22"/>
              </w:rPr>
            </w:pPr>
          </w:p>
        </w:tc>
      </w:tr>
      <w:tr w14:paraId="438C227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830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BC6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59B4">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2B8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704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A266">
            <w:pPr>
              <w:jc w:val="right"/>
              <w:rPr>
                <w:rFonts w:ascii="Times New Roman" w:hAnsi="Times New Roman" w:eastAsia="仿宋_GB2312" w:cs="Times New Roman"/>
                <w:color w:val="000000"/>
                <w:sz w:val="22"/>
              </w:rPr>
            </w:pPr>
          </w:p>
        </w:tc>
      </w:tr>
      <w:tr w14:paraId="137E05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5658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DAF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1E2E8">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22F3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仿宋" w:hAnsi="仿宋" w:eastAsia="仿宋" w:cs="仿宋"/>
                <w:i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840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AD1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89.91</w:t>
            </w:r>
          </w:p>
        </w:tc>
      </w:tr>
      <w:tr w14:paraId="5482773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5BBD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B4A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DCF5B">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CC353">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bidi="ar"/>
              </w:rPr>
              <w:t>七、卫生健康支出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9AC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6EB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38.51</w:t>
            </w:r>
          </w:p>
        </w:tc>
      </w:tr>
      <w:tr w14:paraId="299D3BC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BBA4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F9D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20C7B">
            <w:pPr>
              <w:ind w:firstLine="880" w:firstLineChars="400"/>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164.95</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E3C8">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325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1ABF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   870.21</w:t>
            </w:r>
          </w:p>
        </w:tc>
      </w:tr>
      <w:tr w14:paraId="197ABA7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919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2BC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66094">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C1854">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8C0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1D99">
            <w:pPr>
              <w:ind w:firstLine="440" w:firstLineChars="200"/>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4.51</w:t>
            </w:r>
          </w:p>
        </w:tc>
      </w:tr>
      <w:tr w14:paraId="044BAF7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296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11A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C35C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1212.10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2B60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D76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0627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1212.10</w:t>
            </w:r>
          </w:p>
        </w:tc>
      </w:tr>
      <w:tr w14:paraId="1C301B8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C28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2D3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30469">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74C7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94D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9302">
            <w:pPr>
              <w:rPr>
                <w:rFonts w:ascii="Times New Roman" w:hAnsi="Times New Roman" w:eastAsia="仿宋_GB2312" w:cs="Times New Roman"/>
                <w:color w:val="000000"/>
                <w:sz w:val="22"/>
              </w:rPr>
            </w:pPr>
          </w:p>
        </w:tc>
      </w:tr>
      <w:tr w14:paraId="3BB272F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8305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2D1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FE56">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855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340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CF675">
            <w:pPr>
              <w:rPr>
                <w:rFonts w:ascii="Times New Roman" w:hAnsi="Times New Roman" w:eastAsia="仿宋_GB2312" w:cs="Times New Roman"/>
                <w:color w:val="000000"/>
                <w:sz w:val="22"/>
              </w:rPr>
            </w:pPr>
          </w:p>
        </w:tc>
      </w:tr>
      <w:tr w14:paraId="05ABB28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B901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5CA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7849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1212.10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0A28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2C5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1D44">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1212.10</w:t>
            </w:r>
          </w:p>
        </w:tc>
      </w:tr>
    </w:tbl>
    <w:p w14:paraId="3C378430">
      <w:pPr>
        <w:widowControl/>
        <w:jc w:val="left"/>
        <w:textAlignment w:val="center"/>
        <w:rPr>
          <w:rFonts w:ascii="Times New Roman" w:hAnsi="Times New Roman" w:eastAsia="宋体" w:cs="Times New Roman"/>
          <w:color w:val="000000"/>
          <w:kern w:val="0"/>
          <w:sz w:val="24"/>
          <w:szCs w:val="24"/>
          <w:lang w:bidi="ar"/>
        </w:rPr>
      </w:pPr>
    </w:p>
    <w:p w14:paraId="72B3ABD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AD0F47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37BA43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AA8C53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C26CB2E">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0146C0B">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bidi="ar"/>
        </w:rPr>
        <w:t>怀化市征收安置事务中心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2"/>
        <w:tblW w:w="14666" w:type="dxa"/>
        <w:jc w:val="center"/>
        <w:tblLayout w:type="fixed"/>
        <w:tblCellMar>
          <w:top w:w="0" w:type="dxa"/>
          <w:left w:w="0" w:type="dxa"/>
          <w:bottom w:w="0" w:type="dxa"/>
          <w:right w:w="0" w:type="dxa"/>
        </w:tblCellMar>
      </w:tblPr>
      <w:tblGrid>
        <w:gridCol w:w="906"/>
        <w:gridCol w:w="2516"/>
        <w:gridCol w:w="1404"/>
        <w:gridCol w:w="1640"/>
        <w:gridCol w:w="1640"/>
        <w:gridCol w:w="1640"/>
        <w:gridCol w:w="1640"/>
        <w:gridCol w:w="1897"/>
        <w:gridCol w:w="1383"/>
      </w:tblGrid>
      <w:tr w14:paraId="68A0A36C">
        <w:tblPrEx>
          <w:tblCellMar>
            <w:top w:w="0" w:type="dxa"/>
            <w:left w:w="0" w:type="dxa"/>
            <w:bottom w:w="0" w:type="dxa"/>
            <w:right w:w="0" w:type="dxa"/>
          </w:tblCellMar>
        </w:tblPrEx>
        <w:trPr>
          <w:trHeight w:val="450" w:hRule="atLeast"/>
          <w:jc w:val="center"/>
        </w:trPr>
        <w:tc>
          <w:tcPr>
            <w:tcW w:w="342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F10E9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0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FE479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538F76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1AC74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CA3FF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F25EB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75769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3E029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02FB0A87">
        <w:tblPrEx>
          <w:tblCellMar>
            <w:top w:w="0" w:type="dxa"/>
            <w:left w:w="0" w:type="dxa"/>
            <w:bottom w:w="0" w:type="dxa"/>
            <w:right w:w="0" w:type="dxa"/>
          </w:tblCellMar>
        </w:tblPrEx>
        <w:trPr>
          <w:trHeight w:val="334" w:hRule="exact"/>
          <w:jc w:val="center"/>
        </w:trPr>
        <w:tc>
          <w:tcPr>
            <w:tcW w:w="9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D3A8D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51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85FB4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04" w:type="dxa"/>
            <w:vMerge w:val="continue"/>
            <w:tcBorders>
              <w:top w:val="single" w:color="auto" w:sz="4" w:space="0"/>
              <w:left w:val="single" w:color="auto" w:sz="4" w:space="0"/>
              <w:bottom w:val="single" w:color="auto" w:sz="4" w:space="0"/>
              <w:right w:val="single" w:color="auto" w:sz="4" w:space="0"/>
            </w:tcBorders>
            <w:vAlign w:val="center"/>
          </w:tcPr>
          <w:p w14:paraId="053353A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C93246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6247F1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6784A8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95D217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364D3B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29D928E">
            <w:pPr>
              <w:rPr>
                <w:rFonts w:ascii="Times New Roman" w:hAnsi="Times New Roman" w:eastAsia="仿宋_GB2312" w:cs="Times New Roman"/>
                <w:sz w:val="24"/>
                <w:szCs w:val="24"/>
              </w:rPr>
            </w:pPr>
          </w:p>
        </w:tc>
      </w:tr>
      <w:tr w14:paraId="1DF30691">
        <w:tblPrEx>
          <w:tblCellMar>
            <w:top w:w="0" w:type="dxa"/>
            <w:left w:w="0" w:type="dxa"/>
            <w:bottom w:w="0" w:type="dxa"/>
            <w:right w:w="0" w:type="dxa"/>
          </w:tblCellMar>
        </w:tblPrEx>
        <w:trPr>
          <w:trHeight w:val="312" w:hRule="atLeast"/>
          <w:jc w:val="center"/>
        </w:trPr>
        <w:tc>
          <w:tcPr>
            <w:tcW w:w="906" w:type="dxa"/>
            <w:vMerge w:val="continue"/>
            <w:tcBorders>
              <w:top w:val="single" w:color="auto" w:sz="4" w:space="0"/>
              <w:left w:val="single" w:color="auto" w:sz="4" w:space="0"/>
              <w:bottom w:val="single" w:color="auto" w:sz="4" w:space="0"/>
              <w:right w:val="single" w:color="auto" w:sz="4" w:space="0"/>
            </w:tcBorders>
            <w:vAlign w:val="center"/>
          </w:tcPr>
          <w:p w14:paraId="3F43F52E">
            <w:pPr>
              <w:rPr>
                <w:rFonts w:ascii="Times New Roman" w:hAnsi="Times New Roman" w:eastAsia="仿宋_GB2312" w:cs="Times New Roman"/>
                <w:sz w:val="24"/>
                <w:szCs w:val="24"/>
              </w:rPr>
            </w:pPr>
          </w:p>
        </w:tc>
        <w:tc>
          <w:tcPr>
            <w:tcW w:w="2516" w:type="dxa"/>
            <w:vMerge w:val="continue"/>
            <w:tcBorders>
              <w:top w:val="nil"/>
              <w:left w:val="single" w:color="auto" w:sz="4" w:space="0"/>
              <w:bottom w:val="single" w:color="auto" w:sz="4" w:space="0"/>
              <w:right w:val="single" w:color="auto" w:sz="4" w:space="0"/>
            </w:tcBorders>
            <w:vAlign w:val="center"/>
          </w:tcPr>
          <w:p w14:paraId="11FB5F96">
            <w:pPr>
              <w:rPr>
                <w:rFonts w:ascii="Times New Roman" w:hAnsi="Times New Roman" w:eastAsia="仿宋_GB2312" w:cs="Times New Roman"/>
                <w:sz w:val="24"/>
                <w:szCs w:val="24"/>
              </w:rPr>
            </w:pPr>
          </w:p>
        </w:tc>
        <w:tc>
          <w:tcPr>
            <w:tcW w:w="1404" w:type="dxa"/>
            <w:vMerge w:val="continue"/>
            <w:tcBorders>
              <w:top w:val="single" w:color="auto" w:sz="4" w:space="0"/>
              <w:left w:val="single" w:color="auto" w:sz="4" w:space="0"/>
              <w:bottom w:val="single" w:color="auto" w:sz="4" w:space="0"/>
              <w:right w:val="single" w:color="auto" w:sz="4" w:space="0"/>
            </w:tcBorders>
            <w:vAlign w:val="center"/>
          </w:tcPr>
          <w:p w14:paraId="56D428C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1B011B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1C8A89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5B3DBE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C6CA46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F3668C1">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9A8F975">
            <w:pPr>
              <w:rPr>
                <w:rFonts w:ascii="Times New Roman" w:hAnsi="Times New Roman" w:eastAsia="仿宋_GB2312" w:cs="Times New Roman"/>
                <w:sz w:val="24"/>
                <w:szCs w:val="24"/>
              </w:rPr>
            </w:pPr>
          </w:p>
        </w:tc>
      </w:tr>
      <w:tr w14:paraId="36448113">
        <w:tblPrEx>
          <w:tblCellMar>
            <w:top w:w="0" w:type="dxa"/>
            <w:left w:w="0" w:type="dxa"/>
            <w:bottom w:w="0" w:type="dxa"/>
            <w:right w:w="0" w:type="dxa"/>
          </w:tblCellMar>
        </w:tblPrEx>
        <w:trPr>
          <w:trHeight w:val="450" w:hRule="atLeast"/>
          <w:jc w:val="center"/>
        </w:trPr>
        <w:tc>
          <w:tcPr>
            <w:tcW w:w="342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92177A">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BC63EC">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56ACD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17F823">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1F072D">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7AA29">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698B2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200831">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8C4CBBF">
        <w:tblPrEx>
          <w:tblCellMar>
            <w:top w:w="0" w:type="dxa"/>
            <w:left w:w="0" w:type="dxa"/>
            <w:bottom w:w="0" w:type="dxa"/>
            <w:right w:w="0" w:type="dxa"/>
          </w:tblCellMar>
        </w:tblPrEx>
        <w:trPr>
          <w:trHeight w:val="450" w:hRule="atLeast"/>
          <w:jc w:val="center"/>
        </w:trPr>
        <w:tc>
          <w:tcPr>
            <w:tcW w:w="342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F57B8C">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288CE4">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1212.10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AFF2B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1047.15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890C9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549C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B289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7FAA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D2EEE8">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164.95</w:t>
            </w:r>
            <w:r>
              <w:rPr>
                <w:rFonts w:ascii="Times New Roman" w:hAnsi="Times New Roman" w:eastAsia="仿宋_GB2312" w:cs="Times New Roman"/>
              </w:rPr>
              <w:t>　</w:t>
            </w:r>
          </w:p>
        </w:tc>
      </w:tr>
      <w:tr w14:paraId="5FDD4A67">
        <w:tblPrEx>
          <w:tblCellMar>
            <w:top w:w="0" w:type="dxa"/>
            <w:left w:w="0" w:type="dxa"/>
            <w:bottom w:w="0" w:type="dxa"/>
            <w:right w:w="0" w:type="dxa"/>
          </w:tblCellMar>
        </w:tblPrEx>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5E95FD">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宋体" w:hAnsi="宋体" w:eastAsia="宋体" w:cs="宋体"/>
                <w:i w:val="0"/>
                <w:color w:val="000000"/>
                <w:kern w:val="0"/>
                <w:sz w:val="22"/>
                <w:szCs w:val="22"/>
                <w:u w:val="none"/>
                <w:lang w:val="en-US" w:eastAsia="zh-CN" w:bidi="ar"/>
              </w:rPr>
              <w:t>2019999</w:t>
            </w:r>
          </w:p>
        </w:tc>
        <w:tc>
          <w:tcPr>
            <w:tcW w:w="25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00DEB4">
            <w:pP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其他一般公共服务支出</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71071B">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208.95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43CE2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DF87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CB2CC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41C55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0F8C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91CEA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164.95</w:t>
            </w:r>
            <w:r>
              <w:rPr>
                <w:rFonts w:ascii="Times New Roman" w:hAnsi="Times New Roman" w:eastAsia="仿宋_GB2312" w:cs="Times New Roman"/>
              </w:rPr>
              <w:t>　</w:t>
            </w:r>
          </w:p>
        </w:tc>
      </w:tr>
      <w:tr w14:paraId="638772C5">
        <w:tblPrEx>
          <w:tblCellMar>
            <w:top w:w="0" w:type="dxa"/>
            <w:left w:w="0" w:type="dxa"/>
            <w:bottom w:w="0" w:type="dxa"/>
            <w:right w:w="0" w:type="dxa"/>
          </w:tblCellMar>
        </w:tblPrEx>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F52DDC">
            <w:pP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2080505</w:t>
            </w:r>
            <w:r>
              <w:rPr>
                <w:rFonts w:ascii="Times New Roman" w:hAnsi="Times New Roman" w:eastAsia="仿宋_GB2312" w:cs="Times New Roman"/>
              </w:rPr>
              <w:t>　</w:t>
            </w:r>
          </w:p>
        </w:tc>
        <w:tc>
          <w:tcPr>
            <w:tcW w:w="25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F69EAF">
            <w:pP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r>
              <w:rPr>
                <w:rFonts w:ascii="Times New Roman" w:hAnsi="Times New Roman" w:eastAsia="仿宋_GB2312" w:cs="Times New Roman"/>
              </w:rPr>
              <w:t>　</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5FDEEB">
            <w:pPr>
              <w:ind w:firstLine="420" w:firstLineChars="200"/>
              <w:jc w:val="both"/>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89.91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84298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89.91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C1CC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0B69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DF11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A356D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87F80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95A13EC">
        <w:tblPrEx>
          <w:tblCellMar>
            <w:top w:w="0" w:type="dxa"/>
            <w:left w:w="0" w:type="dxa"/>
            <w:bottom w:w="0" w:type="dxa"/>
            <w:right w:w="0" w:type="dxa"/>
          </w:tblCellMar>
        </w:tblPrEx>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56B6B5">
            <w:pP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2101101</w:t>
            </w:r>
            <w:r>
              <w:rPr>
                <w:rFonts w:ascii="Times New Roman" w:hAnsi="Times New Roman" w:eastAsia="仿宋_GB2312" w:cs="Times New Roman"/>
              </w:rPr>
              <w:t>　</w:t>
            </w:r>
          </w:p>
        </w:tc>
        <w:tc>
          <w:tcPr>
            <w:tcW w:w="25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1B1823">
            <w:pP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行政单位医疗</w:t>
            </w:r>
            <w:r>
              <w:rPr>
                <w:rFonts w:ascii="Times New Roman" w:hAnsi="Times New Roman" w:eastAsia="仿宋_GB2312" w:cs="Times New Roman"/>
              </w:rPr>
              <w:t>　</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7C6F6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9BBD8">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1B92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36AD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7816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3AE0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7AF5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1FF3A51">
        <w:tblPrEx>
          <w:tblCellMar>
            <w:top w:w="0" w:type="dxa"/>
            <w:left w:w="0" w:type="dxa"/>
            <w:bottom w:w="0" w:type="dxa"/>
            <w:right w:w="0" w:type="dxa"/>
          </w:tblCellMar>
        </w:tblPrEx>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E309FE">
            <w:pP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2101102</w:t>
            </w:r>
            <w:r>
              <w:rPr>
                <w:rFonts w:ascii="Times New Roman" w:hAnsi="Times New Roman" w:eastAsia="仿宋_GB2312" w:cs="Times New Roman"/>
              </w:rPr>
              <w:t>　</w:t>
            </w:r>
          </w:p>
        </w:tc>
        <w:tc>
          <w:tcPr>
            <w:tcW w:w="25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CB6029">
            <w:pP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事业单位医疗</w:t>
            </w:r>
            <w:r>
              <w:rPr>
                <w:rFonts w:ascii="Times New Roman" w:hAnsi="Times New Roman" w:eastAsia="仿宋_GB2312" w:cs="Times New Roman"/>
              </w:rPr>
              <w:t>　</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8F95D">
            <w:pPr>
              <w:ind w:firstLine="420" w:firstLineChars="200"/>
              <w:jc w:val="both"/>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36.89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830DCB">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36.89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82811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0A924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8E951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C67C3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568F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80F533D">
        <w:tblPrEx>
          <w:tblCellMar>
            <w:top w:w="0" w:type="dxa"/>
            <w:left w:w="0" w:type="dxa"/>
            <w:bottom w:w="0" w:type="dxa"/>
            <w:right w:w="0" w:type="dxa"/>
          </w:tblCellMar>
        </w:tblPrEx>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A32462">
            <w:pP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2120101</w:t>
            </w:r>
            <w:r>
              <w:rPr>
                <w:rFonts w:ascii="Times New Roman" w:hAnsi="Times New Roman" w:eastAsia="仿宋_GB2312" w:cs="Times New Roman"/>
              </w:rPr>
              <w:t>　</w:t>
            </w:r>
          </w:p>
        </w:tc>
        <w:tc>
          <w:tcPr>
            <w:tcW w:w="25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8457A6">
            <w:pP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 xml:space="preserve"> 行政运行</w:t>
            </w:r>
            <w:r>
              <w:rPr>
                <w:rFonts w:ascii="Times New Roman" w:hAnsi="Times New Roman" w:eastAsia="仿宋_GB2312" w:cs="Times New Roman"/>
              </w:rPr>
              <w:t>　</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CB250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810.89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E5FA2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810.89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6460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7C4BA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5A49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0A28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1030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B1D6AC7">
        <w:tblPrEx>
          <w:tblCellMar>
            <w:top w:w="0" w:type="dxa"/>
            <w:left w:w="0" w:type="dxa"/>
            <w:bottom w:w="0" w:type="dxa"/>
            <w:right w:w="0" w:type="dxa"/>
          </w:tblCellMar>
        </w:tblPrEx>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4BFAA6">
            <w:pP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2120102</w:t>
            </w:r>
            <w:r>
              <w:rPr>
                <w:rFonts w:ascii="Times New Roman" w:hAnsi="Times New Roman" w:eastAsia="仿宋_GB2312" w:cs="Times New Roman"/>
              </w:rPr>
              <w:t>　</w:t>
            </w:r>
          </w:p>
        </w:tc>
        <w:tc>
          <w:tcPr>
            <w:tcW w:w="25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4292C9">
            <w:pP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一般行政管理事务</w:t>
            </w:r>
            <w:r>
              <w:rPr>
                <w:rFonts w:ascii="Times New Roman" w:hAnsi="Times New Roman" w:eastAsia="仿宋_GB2312" w:cs="Times New Roman"/>
              </w:rPr>
              <w:t>　</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761F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59.33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58AEE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59.33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A8306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8BFE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7AB271">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3205DE">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C44396">
            <w:pPr>
              <w:jc w:val="right"/>
              <w:rPr>
                <w:rFonts w:ascii="Times New Roman" w:hAnsi="Times New Roman" w:eastAsia="仿宋_GB2312" w:cs="Times New Roman"/>
              </w:rPr>
            </w:pPr>
          </w:p>
        </w:tc>
      </w:tr>
      <w:tr w14:paraId="161750A3">
        <w:tblPrEx>
          <w:tblCellMar>
            <w:top w:w="0" w:type="dxa"/>
            <w:left w:w="0" w:type="dxa"/>
            <w:bottom w:w="0" w:type="dxa"/>
            <w:right w:w="0" w:type="dxa"/>
          </w:tblCellMar>
        </w:tblPrEx>
        <w:trPr>
          <w:trHeight w:val="450" w:hRule="atLeast"/>
          <w:jc w:val="center"/>
        </w:trPr>
        <w:tc>
          <w:tcPr>
            <w:tcW w:w="9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66AB0A">
            <w:pP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2210201</w:t>
            </w:r>
            <w:r>
              <w:rPr>
                <w:rFonts w:ascii="Times New Roman" w:hAnsi="Times New Roman" w:eastAsia="仿宋_GB2312" w:cs="Times New Roman"/>
              </w:rPr>
              <w:t>　</w:t>
            </w:r>
          </w:p>
        </w:tc>
        <w:tc>
          <w:tcPr>
            <w:tcW w:w="25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8FC015">
            <w:pP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住房公积金</w:t>
            </w:r>
            <w:r>
              <w:rPr>
                <w:rFonts w:ascii="Times New Roman" w:hAnsi="Times New Roman" w:eastAsia="仿宋_GB2312" w:cs="Times New Roman"/>
              </w:rPr>
              <w:t>　</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063246">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4.51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63BF4">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4.51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1A518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6B82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7EC6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2DCE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12109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768D7906">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6EEA062">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27914745">
      <w:pPr>
        <w:widowControl/>
        <w:jc w:val="center"/>
        <w:textAlignment w:val="center"/>
        <w:rPr>
          <w:rFonts w:ascii="Times New Roman" w:hAnsi="Times New Roman" w:eastAsia="黑体" w:cs="Times New Roman"/>
          <w:color w:val="000000"/>
          <w:kern w:val="0"/>
          <w:sz w:val="32"/>
          <w:szCs w:val="32"/>
          <w:lang w:bidi="ar"/>
        </w:rPr>
      </w:pPr>
    </w:p>
    <w:p w14:paraId="160700A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59094C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3F6792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怀化市征收安置事务中心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2"/>
        <w:tblW w:w="4996" w:type="pct"/>
        <w:jc w:val="center"/>
        <w:tblLayout w:type="fixed"/>
        <w:tblCellMar>
          <w:top w:w="0" w:type="dxa"/>
          <w:left w:w="108" w:type="dxa"/>
          <w:bottom w:w="0" w:type="dxa"/>
          <w:right w:w="108" w:type="dxa"/>
        </w:tblCellMar>
      </w:tblPr>
      <w:tblGrid>
        <w:gridCol w:w="1037"/>
        <w:gridCol w:w="2722"/>
        <w:gridCol w:w="1877"/>
        <w:gridCol w:w="1334"/>
        <w:gridCol w:w="1334"/>
        <w:gridCol w:w="1877"/>
        <w:gridCol w:w="1334"/>
        <w:gridCol w:w="2696"/>
      </w:tblGrid>
      <w:tr w14:paraId="21515A6F">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882A27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97289A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82161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E0D9D0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B183E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50250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F7D27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CE7C770">
        <w:tblPrEx>
          <w:tblCellMar>
            <w:top w:w="0" w:type="dxa"/>
            <w:left w:w="108" w:type="dxa"/>
            <w:bottom w:w="0" w:type="dxa"/>
            <w:right w:w="108" w:type="dxa"/>
          </w:tblCellMar>
        </w:tblPrEx>
        <w:trPr>
          <w:trHeight w:val="312" w:hRule="exact"/>
          <w:jc w:val="center"/>
        </w:trPr>
        <w:tc>
          <w:tcPr>
            <w:tcW w:w="3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D241A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57" w:type="pct"/>
            <w:vMerge w:val="restart"/>
            <w:tcBorders>
              <w:top w:val="nil"/>
              <w:left w:val="single" w:color="auto" w:sz="4" w:space="0"/>
              <w:bottom w:val="single" w:color="auto" w:sz="4" w:space="0"/>
              <w:right w:val="single" w:color="auto" w:sz="4" w:space="0"/>
            </w:tcBorders>
            <w:shd w:val="clear" w:color="000000" w:fill="FFFFFF"/>
            <w:vAlign w:val="center"/>
          </w:tcPr>
          <w:p w14:paraId="71B4847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7B18DDF">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E31970A">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5B1A87B">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AFA34D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0C8815F">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CE66C48">
            <w:pPr>
              <w:widowControl/>
              <w:jc w:val="left"/>
              <w:rPr>
                <w:rFonts w:ascii="Times New Roman" w:hAnsi="Times New Roman" w:eastAsia="仿宋_GB2312" w:cs="Times New Roman"/>
                <w:b/>
                <w:bCs/>
                <w:kern w:val="0"/>
                <w:sz w:val="24"/>
                <w:szCs w:val="24"/>
              </w:rPr>
            </w:pPr>
          </w:p>
        </w:tc>
      </w:tr>
      <w:tr w14:paraId="62F82E6D">
        <w:tblPrEx>
          <w:tblCellMar>
            <w:top w:w="0" w:type="dxa"/>
            <w:left w:w="108" w:type="dxa"/>
            <w:bottom w:w="0" w:type="dxa"/>
            <w:right w:w="108" w:type="dxa"/>
          </w:tblCellMar>
        </w:tblPrEx>
        <w:trPr>
          <w:trHeight w:val="595" w:hRule="atLeast"/>
          <w:jc w:val="center"/>
        </w:trPr>
        <w:tc>
          <w:tcPr>
            <w:tcW w:w="364" w:type="pct"/>
            <w:vMerge w:val="continue"/>
            <w:tcBorders>
              <w:top w:val="single" w:color="auto" w:sz="4" w:space="0"/>
              <w:left w:val="single" w:color="auto" w:sz="4" w:space="0"/>
              <w:bottom w:val="single" w:color="auto" w:sz="4" w:space="0"/>
              <w:right w:val="single" w:color="auto" w:sz="4" w:space="0"/>
            </w:tcBorders>
            <w:vAlign w:val="center"/>
          </w:tcPr>
          <w:p w14:paraId="037E8285">
            <w:pPr>
              <w:widowControl/>
              <w:jc w:val="left"/>
              <w:rPr>
                <w:rFonts w:ascii="Times New Roman" w:hAnsi="Times New Roman" w:eastAsia="仿宋_GB2312" w:cs="Times New Roman"/>
                <w:kern w:val="0"/>
                <w:sz w:val="24"/>
                <w:szCs w:val="24"/>
              </w:rPr>
            </w:pPr>
          </w:p>
        </w:tc>
        <w:tc>
          <w:tcPr>
            <w:tcW w:w="957" w:type="pct"/>
            <w:vMerge w:val="continue"/>
            <w:tcBorders>
              <w:top w:val="nil"/>
              <w:left w:val="single" w:color="auto" w:sz="4" w:space="0"/>
              <w:bottom w:val="single" w:color="auto" w:sz="4" w:space="0"/>
              <w:right w:val="single" w:color="auto" w:sz="4" w:space="0"/>
            </w:tcBorders>
            <w:vAlign w:val="center"/>
          </w:tcPr>
          <w:p w14:paraId="51E3FD95">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BC9063E">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36E3A36">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A6459AD">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5D36009">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DF73833">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35D1B29">
            <w:pPr>
              <w:widowControl/>
              <w:jc w:val="left"/>
              <w:rPr>
                <w:rFonts w:ascii="Times New Roman" w:hAnsi="Times New Roman" w:eastAsia="仿宋_GB2312" w:cs="Times New Roman"/>
                <w:kern w:val="0"/>
                <w:sz w:val="24"/>
                <w:szCs w:val="24"/>
              </w:rPr>
            </w:pPr>
          </w:p>
        </w:tc>
      </w:tr>
      <w:tr w14:paraId="4DB83542">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67BCE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735F8C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500A23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00844F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7A4272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28DFC8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37C4F59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9B1E7E0">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F8DB4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6CF086B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1212.10</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ECDFD3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1102.64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09CE2C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109.46</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F3F15C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4F5A73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10FA6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808F0B7">
        <w:tblPrEx>
          <w:tblCellMar>
            <w:top w:w="0" w:type="dxa"/>
            <w:left w:w="108" w:type="dxa"/>
            <w:bottom w:w="0" w:type="dxa"/>
            <w:right w:w="108" w:type="dxa"/>
          </w:tblCellMar>
        </w:tblPrEx>
        <w:trPr>
          <w:trHeight w:val="595" w:hRule="atLeast"/>
          <w:jc w:val="center"/>
        </w:trPr>
        <w:tc>
          <w:tcPr>
            <w:tcW w:w="3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3057E45">
            <w:pPr>
              <w:widowControl/>
              <w:jc w:val="left"/>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2019999</w:t>
            </w:r>
          </w:p>
        </w:tc>
        <w:tc>
          <w:tcPr>
            <w:tcW w:w="957" w:type="pct"/>
            <w:tcBorders>
              <w:top w:val="nil"/>
              <w:left w:val="nil"/>
              <w:bottom w:val="single" w:color="auto" w:sz="4" w:space="0"/>
              <w:right w:val="single" w:color="auto" w:sz="4" w:space="0"/>
            </w:tcBorders>
            <w:shd w:val="clear" w:color="000000" w:fill="FFFFFF"/>
            <w:noWrap/>
            <w:vAlign w:val="center"/>
          </w:tcPr>
          <w:p w14:paraId="4BA801B7">
            <w:pPr>
              <w:widowControl/>
              <w:jc w:val="left"/>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其他一般公共服务支出</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BCE482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208.95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C45400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164.95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172F0D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44</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18D25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FA13F7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83B2F4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BDC9F80">
        <w:tblPrEx>
          <w:tblCellMar>
            <w:top w:w="0" w:type="dxa"/>
            <w:left w:w="108" w:type="dxa"/>
            <w:bottom w:w="0" w:type="dxa"/>
            <w:right w:w="108" w:type="dxa"/>
          </w:tblCellMar>
        </w:tblPrEx>
        <w:trPr>
          <w:trHeight w:val="595" w:hRule="atLeast"/>
          <w:jc w:val="center"/>
        </w:trPr>
        <w:tc>
          <w:tcPr>
            <w:tcW w:w="3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0B794F">
            <w:pPr>
              <w:widowControl/>
              <w:jc w:val="left"/>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2080505</w:t>
            </w:r>
            <w:r>
              <w:rPr>
                <w:rFonts w:ascii="Times New Roman" w:hAnsi="Times New Roman" w:eastAsia="仿宋_GB2312" w:cs="Times New Roman"/>
                <w:kern w:val="0"/>
                <w:sz w:val="24"/>
                <w:szCs w:val="24"/>
              </w:rPr>
              <w:t>　</w:t>
            </w:r>
          </w:p>
        </w:tc>
        <w:tc>
          <w:tcPr>
            <w:tcW w:w="957" w:type="pct"/>
            <w:tcBorders>
              <w:top w:val="nil"/>
              <w:left w:val="nil"/>
              <w:bottom w:val="single" w:color="auto" w:sz="4" w:space="0"/>
              <w:right w:val="single" w:color="auto" w:sz="4" w:space="0"/>
            </w:tcBorders>
            <w:shd w:val="clear" w:color="000000" w:fill="FFFFFF"/>
            <w:noWrap/>
            <w:vAlign w:val="center"/>
          </w:tcPr>
          <w:p w14:paraId="606A7326">
            <w:pPr>
              <w:widowControl/>
              <w:jc w:val="left"/>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0C58B4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89.91</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8112E6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89.91</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F3EE6B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189867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C6A99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BB39E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8FA2ACD">
        <w:tblPrEx>
          <w:tblCellMar>
            <w:top w:w="0" w:type="dxa"/>
            <w:left w:w="108" w:type="dxa"/>
            <w:bottom w:w="0" w:type="dxa"/>
            <w:right w:w="108" w:type="dxa"/>
          </w:tblCellMar>
        </w:tblPrEx>
        <w:trPr>
          <w:trHeight w:val="595" w:hRule="atLeast"/>
          <w:jc w:val="center"/>
        </w:trPr>
        <w:tc>
          <w:tcPr>
            <w:tcW w:w="3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31788D">
            <w:pPr>
              <w:widowControl/>
              <w:jc w:val="left"/>
              <w:rPr>
                <w:rFonts w:ascii="Times New Roman" w:hAnsi="Times New Roman" w:eastAsia="仿宋_GB2312" w:cs="Times New Roman"/>
                <w:kern w:val="0"/>
                <w:sz w:val="24"/>
                <w:szCs w:val="24"/>
              </w:rPr>
            </w:pPr>
            <w:r>
              <w:rPr>
                <w:rFonts w:hint="eastAsia" w:asciiTheme="majorEastAsia" w:hAnsiTheme="majorEastAsia" w:eastAsiaTheme="majorEastAsia" w:cstheme="majorEastAsia"/>
                <w:kern w:val="0"/>
                <w:sz w:val="22"/>
                <w:szCs w:val="22"/>
              </w:rPr>
              <w:t>2101101　</w:t>
            </w:r>
          </w:p>
        </w:tc>
        <w:tc>
          <w:tcPr>
            <w:tcW w:w="957" w:type="pct"/>
            <w:tcBorders>
              <w:top w:val="nil"/>
              <w:left w:val="nil"/>
              <w:bottom w:val="single" w:color="auto" w:sz="4" w:space="0"/>
              <w:right w:val="single" w:color="auto" w:sz="4" w:space="0"/>
            </w:tcBorders>
            <w:shd w:val="clear" w:color="000000" w:fill="FFFFFF"/>
            <w:noWrap/>
            <w:vAlign w:val="center"/>
          </w:tcPr>
          <w:p w14:paraId="01333ABE">
            <w:pPr>
              <w:widowControl/>
              <w:jc w:val="left"/>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行政单位医疗</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F8B3E1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1.62</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9484EC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156348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1.62</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61469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09FBDC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25012B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B0B3245">
        <w:tblPrEx>
          <w:tblCellMar>
            <w:top w:w="0" w:type="dxa"/>
            <w:left w:w="108" w:type="dxa"/>
            <w:bottom w:w="0" w:type="dxa"/>
            <w:right w:w="108" w:type="dxa"/>
          </w:tblCellMar>
        </w:tblPrEx>
        <w:trPr>
          <w:trHeight w:val="595" w:hRule="atLeast"/>
          <w:jc w:val="center"/>
        </w:trPr>
        <w:tc>
          <w:tcPr>
            <w:tcW w:w="3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0A6924">
            <w:pPr>
              <w:widowControl/>
              <w:jc w:val="left"/>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2101102</w:t>
            </w:r>
            <w:r>
              <w:rPr>
                <w:rFonts w:ascii="Times New Roman" w:hAnsi="Times New Roman" w:eastAsia="仿宋_GB2312" w:cs="Times New Roman"/>
                <w:kern w:val="0"/>
                <w:sz w:val="24"/>
                <w:szCs w:val="24"/>
              </w:rPr>
              <w:t>　</w:t>
            </w:r>
          </w:p>
        </w:tc>
        <w:tc>
          <w:tcPr>
            <w:tcW w:w="957" w:type="pct"/>
            <w:tcBorders>
              <w:top w:val="nil"/>
              <w:left w:val="nil"/>
              <w:bottom w:val="single" w:color="auto" w:sz="4" w:space="0"/>
              <w:right w:val="single" w:color="auto" w:sz="4" w:space="0"/>
            </w:tcBorders>
            <w:shd w:val="clear" w:color="000000" w:fill="FFFFFF"/>
            <w:noWrap/>
            <w:vAlign w:val="center"/>
          </w:tcPr>
          <w:p w14:paraId="51382A3F">
            <w:pPr>
              <w:widowControl/>
              <w:jc w:val="left"/>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事业单位医疗</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CFCB38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36.89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0E39D5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36.89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95E6D1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71C67F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10FAA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D3DD4B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6ED8CAF">
        <w:tblPrEx>
          <w:tblCellMar>
            <w:top w:w="0" w:type="dxa"/>
            <w:left w:w="108" w:type="dxa"/>
            <w:bottom w:w="0" w:type="dxa"/>
            <w:right w:w="108" w:type="dxa"/>
          </w:tblCellMar>
        </w:tblPrEx>
        <w:trPr>
          <w:trHeight w:val="595" w:hRule="atLeast"/>
          <w:jc w:val="center"/>
        </w:trPr>
        <w:tc>
          <w:tcPr>
            <w:tcW w:w="3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A04575">
            <w:pPr>
              <w:widowControl/>
              <w:jc w:val="left"/>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2120101</w:t>
            </w:r>
            <w:r>
              <w:rPr>
                <w:rFonts w:ascii="Times New Roman" w:hAnsi="Times New Roman" w:eastAsia="仿宋_GB2312" w:cs="Times New Roman"/>
                <w:kern w:val="0"/>
                <w:sz w:val="24"/>
                <w:szCs w:val="24"/>
              </w:rPr>
              <w:t>　</w:t>
            </w:r>
          </w:p>
        </w:tc>
        <w:tc>
          <w:tcPr>
            <w:tcW w:w="957" w:type="pct"/>
            <w:tcBorders>
              <w:top w:val="nil"/>
              <w:left w:val="nil"/>
              <w:bottom w:val="single" w:color="auto" w:sz="4" w:space="0"/>
              <w:right w:val="single" w:color="auto" w:sz="4" w:space="0"/>
            </w:tcBorders>
            <w:shd w:val="clear" w:color="000000" w:fill="FFFFFF"/>
            <w:noWrap/>
            <w:vAlign w:val="center"/>
          </w:tcPr>
          <w:p w14:paraId="30595ED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宋体" w:hAnsi="宋体" w:eastAsia="宋体" w:cs="宋体"/>
                <w:i w:val="0"/>
                <w:color w:val="000000"/>
                <w:kern w:val="0"/>
                <w:sz w:val="22"/>
                <w:szCs w:val="22"/>
                <w:u w:val="none"/>
                <w:lang w:val="en-US" w:eastAsia="zh-CN" w:bidi="ar"/>
              </w:rPr>
              <w:t>行政运行</w:t>
            </w:r>
          </w:p>
        </w:tc>
        <w:tc>
          <w:tcPr>
            <w:tcW w:w="660" w:type="pct"/>
            <w:tcBorders>
              <w:top w:val="nil"/>
              <w:left w:val="nil"/>
              <w:bottom w:val="single" w:color="auto" w:sz="4" w:space="0"/>
              <w:right w:val="single" w:color="auto" w:sz="4" w:space="0"/>
            </w:tcBorders>
            <w:shd w:val="clear" w:color="auto" w:fill="auto"/>
            <w:noWrap/>
            <w:vAlign w:val="center"/>
          </w:tcPr>
          <w:p w14:paraId="5BC1CF1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810.89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D8C4E7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810.89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655D77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8D1A42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BD8CC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CF247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C7427C">
        <w:tblPrEx>
          <w:tblCellMar>
            <w:top w:w="0" w:type="dxa"/>
            <w:left w:w="108" w:type="dxa"/>
            <w:bottom w:w="0" w:type="dxa"/>
            <w:right w:w="108" w:type="dxa"/>
          </w:tblCellMar>
        </w:tblPrEx>
        <w:trPr>
          <w:trHeight w:val="595" w:hRule="atLeast"/>
          <w:jc w:val="center"/>
        </w:trPr>
        <w:tc>
          <w:tcPr>
            <w:tcW w:w="36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F1E556">
            <w:pPr>
              <w:widowControl/>
              <w:jc w:val="left"/>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2120102</w:t>
            </w:r>
            <w:r>
              <w:rPr>
                <w:rFonts w:ascii="Times New Roman" w:hAnsi="Times New Roman" w:eastAsia="仿宋_GB2312" w:cs="Times New Roman"/>
                <w:kern w:val="0"/>
                <w:sz w:val="24"/>
                <w:szCs w:val="24"/>
              </w:rPr>
              <w:t>　</w:t>
            </w:r>
          </w:p>
        </w:tc>
        <w:tc>
          <w:tcPr>
            <w:tcW w:w="957" w:type="pct"/>
            <w:tcBorders>
              <w:top w:val="nil"/>
              <w:left w:val="nil"/>
              <w:bottom w:val="nil"/>
              <w:right w:val="single" w:color="auto" w:sz="4" w:space="0"/>
            </w:tcBorders>
            <w:shd w:val="clear" w:color="000000" w:fill="FFFFFF"/>
            <w:noWrap/>
            <w:vAlign w:val="center"/>
          </w:tcPr>
          <w:p w14:paraId="46CCA347">
            <w:pPr>
              <w:widowControl/>
              <w:jc w:val="left"/>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一般行政管理事务</w:t>
            </w:r>
            <w:r>
              <w:rPr>
                <w:rFonts w:ascii="Times New Roman" w:hAnsi="Times New Roman" w:eastAsia="仿宋_GB2312" w:cs="Times New Roman"/>
                <w:kern w:val="0"/>
                <w:sz w:val="24"/>
                <w:szCs w:val="24"/>
              </w:rPr>
              <w:t>　</w:t>
            </w:r>
          </w:p>
        </w:tc>
        <w:tc>
          <w:tcPr>
            <w:tcW w:w="660" w:type="pct"/>
            <w:tcBorders>
              <w:top w:val="nil"/>
              <w:left w:val="nil"/>
              <w:bottom w:val="nil"/>
              <w:right w:val="single" w:color="auto" w:sz="4" w:space="0"/>
            </w:tcBorders>
            <w:shd w:val="clear" w:color="auto" w:fill="auto"/>
            <w:noWrap/>
            <w:vAlign w:val="center"/>
          </w:tcPr>
          <w:p w14:paraId="270E081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59.33</w:t>
            </w:r>
            <w:r>
              <w:rPr>
                <w:rFonts w:ascii="Times New Roman" w:hAnsi="Times New Roman" w:eastAsia="仿宋_GB2312" w:cs="Times New Roman"/>
                <w:kern w:val="0"/>
                <w:sz w:val="24"/>
                <w:szCs w:val="24"/>
              </w:rPr>
              <w:t>　</w:t>
            </w:r>
          </w:p>
        </w:tc>
        <w:tc>
          <w:tcPr>
            <w:tcW w:w="469" w:type="pct"/>
            <w:tcBorders>
              <w:top w:val="nil"/>
              <w:left w:val="nil"/>
              <w:bottom w:val="nil"/>
              <w:right w:val="single" w:color="auto" w:sz="4" w:space="0"/>
            </w:tcBorders>
            <w:shd w:val="clear" w:color="auto" w:fill="auto"/>
            <w:noWrap/>
            <w:vAlign w:val="center"/>
          </w:tcPr>
          <w:p w14:paraId="713632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nil"/>
              <w:right w:val="single" w:color="auto" w:sz="4" w:space="0"/>
            </w:tcBorders>
            <w:shd w:val="clear" w:color="auto" w:fill="auto"/>
            <w:noWrap/>
            <w:vAlign w:val="center"/>
          </w:tcPr>
          <w:p w14:paraId="709B4EB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59.33</w:t>
            </w:r>
            <w:r>
              <w:rPr>
                <w:rFonts w:ascii="Times New Roman" w:hAnsi="Times New Roman" w:eastAsia="仿宋_GB2312" w:cs="Times New Roman"/>
                <w:kern w:val="0"/>
                <w:sz w:val="24"/>
                <w:szCs w:val="24"/>
              </w:rPr>
              <w:t>　</w:t>
            </w:r>
          </w:p>
        </w:tc>
        <w:tc>
          <w:tcPr>
            <w:tcW w:w="660" w:type="pct"/>
            <w:tcBorders>
              <w:top w:val="nil"/>
              <w:left w:val="nil"/>
              <w:bottom w:val="nil"/>
              <w:right w:val="single" w:color="auto" w:sz="4" w:space="0"/>
            </w:tcBorders>
            <w:shd w:val="clear" w:color="auto" w:fill="auto"/>
            <w:noWrap/>
            <w:vAlign w:val="center"/>
          </w:tcPr>
          <w:p w14:paraId="2FE7DF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nil"/>
              <w:right w:val="single" w:color="auto" w:sz="4" w:space="0"/>
            </w:tcBorders>
            <w:shd w:val="clear" w:color="auto" w:fill="auto"/>
            <w:noWrap/>
            <w:vAlign w:val="center"/>
          </w:tcPr>
          <w:p w14:paraId="67FFFAA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nil"/>
              <w:right w:val="single" w:color="auto" w:sz="4" w:space="0"/>
            </w:tcBorders>
            <w:shd w:val="clear" w:color="auto" w:fill="auto"/>
            <w:noWrap/>
            <w:vAlign w:val="center"/>
          </w:tcPr>
          <w:p w14:paraId="176C92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802C519">
        <w:tblPrEx>
          <w:tblCellMar>
            <w:top w:w="0" w:type="dxa"/>
            <w:left w:w="108" w:type="dxa"/>
            <w:bottom w:w="0" w:type="dxa"/>
            <w:right w:w="108" w:type="dxa"/>
          </w:tblCellMar>
        </w:tblPrEx>
        <w:trPr>
          <w:trHeight w:val="595" w:hRule="atLeast"/>
          <w:jc w:val="center"/>
        </w:trPr>
        <w:tc>
          <w:tcPr>
            <w:tcW w:w="10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0CC289">
            <w:pP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2210201</w:t>
            </w:r>
            <w:r>
              <w:rPr>
                <w:rFonts w:ascii="Times New Roman" w:hAnsi="Times New Roman" w:eastAsia="仿宋_GB2312" w:cs="Times New Roman"/>
              </w:rPr>
              <w:t>　</w:t>
            </w:r>
          </w:p>
        </w:tc>
        <w:tc>
          <w:tcPr>
            <w:tcW w:w="2722" w:type="dxa"/>
            <w:tcBorders>
              <w:top w:val="nil"/>
              <w:left w:val="nil"/>
              <w:bottom w:val="single" w:color="auto" w:sz="4" w:space="0"/>
              <w:right w:val="single" w:color="auto" w:sz="4" w:space="0"/>
            </w:tcBorders>
            <w:shd w:val="clear" w:color="000000" w:fill="FFFFFF"/>
            <w:noWrap/>
            <w:vAlign w:val="center"/>
          </w:tcPr>
          <w:p w14:paraId="369626E7">
            <w:pP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住房公积金</w:t>
            </w:r>
            <w:r>
              <w:rPr>
                <w:rFonts w:ascii="Times New Roman" w:hAnsi="Times New Roman" w:eastAsia="仿宋_GB2312" w:cs="Times New Roman"/>
              </w:rPr>
              <w:t>　</w:t>
            </w:r>
          </w:p>
        </w:tc>
        <w:tc>
          <w:tcPr>
            <w:tcW w:w="660" w:type="pct"/>
            <w:tcBorders>
              <w:top w:val="nil"/>
              <w:left w:val="nil"/>
              <w:bottom w:val="single" w:color="auto" w:sz="4" w:space="0"/>
              <w:right w:val="single" w:color="auto" w:sz="4" w:space="0"/>
            </w:tcBorders>
            <w:shd w:val="clear" w:color="auto" w:fill="auto"/>
            <w:noWrap/>
            <w:vAlign w:val="center"/>
          </w:tcPr>
          <w:p w14:paraId="230B473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4.51</w:t>
            </w:r>
          </w:p>
        </w:tc>
        <w:tc>
          <w:tcPr>
            <w:tcW w:w="469" w:type="pct"/>
            <w:tcBorders>
              <w:top w:val="nil"/>
              <w:left w:val="nil"/>
              <w:bottom w:val="single" w:color="auto" w:sz="4" w:space="0"/>
              <w:right w:val="single" w:color="auto" w:sz="4" w:space="0"/>
            </w:tcBorders>
            <w:shd w:val="clear" w:color="auto" w:fill="auto"/>
            <w:noWrap/>
            <w:vAlign w:val="center"/>
          </w:tcPr>
          <w:p w14:paraId="551DF538">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73971FB">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4.51</w:t>
            </w:r>
          </w:p>
        </w:tc>
        <w:tc>
          <w:tcPr>
            <w:tcW w:w="660" w:type="pct"/>
            <w:tcBorders>
              <w:top w:val="nil"/>
              <w:left w:val="nil"/>
              <w:bottom w:val="single" w:color="auto" w:sz="4" w:space="0"/>
              <w:right w:val="single" w:color="auto" w:sz="4" w:space="0"/>
            </w:tcBorders>
            <w:shd w:val="clear" w:color="auto" w:fill="auto"/>
            <w:noWrap/>
            <w:vAlign w:val="center"/>
          </w:tcPr>
          <w:p w14:paraId="4C7C6DF7">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F8ED199">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C7856A5">
            <w:pPr>
              <w:widowControl/>
              <w:jc w:val="right"/>
              <w:rPr>
                <w:rFonts w:ascii="Times New Roman" w:hAnsi="Times New Roman" w:eastAsia="仿宋_GB2312" w:cs="Times New Roman"/>
                <w:kern w:val="0"/>
                <w:sz w:val="24"/>
                <w:szCs w:val="24"/>
              </w:rPr>
            </w:pPr>
          </w:p>
        </w:tc>
      </w:tr>
    </w:tbl>
    <w:p w14:paraId="1B17DA4C">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53DC1B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71C928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411DBD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5487FE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9D214F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怀化市征收安置事务中心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2"/>
        <w:tblW w:w="0" w:type="auto"/>
        <w:jc w:val="center"/>
        <w:tblLayout w:type="autofit"/>
        <w:tblCellMar>
          <w:top w:w="0" w:type="dxa"/>
          <w:left w:w="108" w:type="dxa"/>
          <w:bottom w:w="0" w:type="dxa"/>
          <w:right w:w="108" w:type="dxa"/>
        </w:tblCellMar>
      </w:tblPr>
      <w:tblGrid>
        <w:gridCol w:w="3516"/>
        <w:gridCol w:w="616"/>
        <w:gridCol w:w="931"/>
        <w:gridCol w:w="2636"/>
        <w:gridCol w:w="616"/>
        <w:gridCol w:w="1151"/>
        <w:gridCol w:w="1660"/>
        <w:gridCol w:w="1495"/>
        <w:gridCol w:w="1599"/>
      </w:tblGrid>
      <w:tr w14:paraId="62E30899">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D1534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F008A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7C157A5">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74AE4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37D721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C5680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1E4817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A21C9D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81C56D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707FED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C8907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4C735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44EFB8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21998D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8F5179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758806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30072BD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94691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A0835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7FDDE8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245B8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57CF71F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0C463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87ECC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19870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6A5AB3A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1047.15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2CD2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1333C0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0687D3F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270AB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1FF4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16468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B073E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D118A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163B2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73B6C56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5F93C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2DBB41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1B6A5F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6987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AD23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60D0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9633E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D2076F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118AF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12E895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8982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3F5756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5643AF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2927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5080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3D850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92A9AD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16F5E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DA4E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4623788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106F7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42A98D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1DCFBD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7B5F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2107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837D8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66B14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F75B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8690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2704019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A4967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62AF51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38609B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593B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4019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4E38F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158AD1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99FD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EA13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198D24D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50EA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389D4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666F21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CCF8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6AF7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77C2A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21FD6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107B47">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A67EAE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81366E8">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A251C1B">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337FFF24">
            <w:pPr>
              <w:widowControl/>
              <w:jc w:val="center"/>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33B7973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89.91</w:t>
            </w:r>
          </w:p>
        </w:tc>
        <w:tc>
          <w:tcPr>
            <w:tcW w:w="0" w:type="auto"/>
            <w:tcBorders>
              <w:top w:val="nil"/>
              <w:left w:val="nil"/>
              <w:bottom w:val="single" w:color="auto" w:sz="4" w:space="0"/>
              <w:right w:val="single" w:color="auto" w:sz="4" w:space="0"/>
            </w:tcBorders>
            <w:shd w:val="clear" w:color="auto" w:fill="auto"/>
            <w:noWrap/>
            <w:vAlign w:val="center"/>
          </w:tcPr>
          <w:p w14:paraId="19CBB4C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89.91</w:t>
            </w:r>
          </w:p>
        </w:tc>
        <w:tc>
          <w:tcPr>
            <w:tcW w:w="0" w:type="auto"/>
            <w:tcBorders>
              <w:top w:val="nil"/>
              <w:left w:val="nil"/>
              <w:bottom w:val="single" w:color="auto" w:sz="4" w:space="0"/>
              <w:right w:val="single" w:color="auto" w:sz="4" w:space="0"/>
            </w:tcBorders>
            <w:shd w:val="clear" w:color="auto" w:fill="auto"/>
            <w:noWrap/>
            <w:vAlign w:val="center"/>
          </w:tcPr>
          <w:p w14:paraId="7EE6430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1434C14">
            <w:pPr>
              <w:widowControl/>
              <w:jc w:val="right"/>
              <w:rPr>
                <w:rFonts w:ascii="Times New Roman" w:hAnsi="Times New Roman" w:eastAsia="仿宋_GB2312" w:cs="Times New Roman"/>
                <w:kern w:val="0"/>
                <w:sz w:val="22"/>
              </w:rPr>
            </w:pPr>
          </w:p>
        </w:tc>
      </w:tr>
      <w:tr w14:paraId="4EBB456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DDB160">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1801FC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344B5AD">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C29CA22">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八、卫生健康支出</w:t>
            </w:r>
          </w:p>
        </w:tc>
        <w:tc>
          <w:tcPr>
            <w:tcW w:w="0" w:type="auto"/>
            <w:tcBorders>
              <w:top w:val="nil"/>
              <w:left w:val="nil"/>
              <w:bottom w:val="single" w:color="auto" w:sz="4" w:space="0"/>
              <w:right w:val="single" w:color="auto" w:sz="4" w:space="0"/>
            </w:tcBorders>
            <w:shd w:val="clear" w:color="auto" w:fill="auto"/>
            <w:noWrap/>
            <w:vAlign w:val="center"/>
          </w:tcPr>
          <w:p w14:paraId="662E486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148243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38.51</w:t>
            </w:r>
          </w:p>
        </w:tc>
        <w:tc>
          <w:tcPr>
            <w:tcW w:w="0" w:type="auto"/>
            <w:tcBorders>
              <w:top w:val="nil"/>
              <w:left w:val="nil"/>
              <w:bottom w:val="single" w:color="auto" w:sz="4" w:space="0"/>
              <w:right w:val="single" w:color="auto" w:sz="4" w:space="0"/>
            </w:tcBorders>
            <w:shd w:val="clear" w:color="auto" w:fill="auto"/>
            <w:noWrap/>
            <w:vAlign w:val="center"/>
          </w:tcPr>
          <w:p w14:paraId="00AFFF8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38.51</w:t>
            </w:r>
          </w:p>
        </w:tc>
        <w:tc>
          <w:tcPr>
            <w:tcW w:w="0" w:type="auto"/>
            <w:tcBorders>
              <w:top w:val="nil"/>
              <w:left w:val="nil"/>
              <w:bottom w:val="single" w:color="auto" w:sz="4" w:space="0"/>
              <w:right w:val="single" w:color="auto" w:sz="4" w:space="0"/>
            </w:tcBorders>
            <w:shd w:val="clear" w:color="auto" w:fill="auto"/>
            <w:noWrap/>
            <w:vAlign w:val="center"/>
          </w:tcPr>
          <w:p w14:paraId="79AE35D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FC8C8A5">
            <w:pPr>
              <w:widowControl/>
              <w:jc w:val="right"/>
              <w:rPr>
                <w:rFonts w:ascii="Times New Roman" w:hAnsi="Times New Roman" w:eastAsia="仿宋_GB2312" w:cs="Times New Roman"/>
                <w:kern w:val="0"/>
                <w:sz w:val="22"/>
              </w:rPr>
            </w:pPr>
          </w:p>
        </w:tc>
      </w:tr>
      <w:tr w14:paraId="12B028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487AEA4">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A49339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840DD39">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9532194">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九、城乡社区支出</w:t>
            </w:r>
          </w:p>
        </w:tc>
        <w:tc>
          <w:tcPr>
            <w:tcW w:w="0" w:type="auto"/>
            <w:tcBorders>
              <w:top w:val="nil"/>
              <w:left w:val="nil"/>
              <w:bottom w:val="single" w:color="auto" w:sz="4" w:space="0"/>
              <w:right w:val="single" w:color="auto" w:sz="4" w:space="0"/>
            </w:tcBorders>
            <w:shd w:val="clear" w:color="auto" w:fill="auto"/>
            <w:noWrap/>
            <w:vAlign w:val="center"/>
          </w:tcPr>
          <w:p w14:paraId="6F36115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C49728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870.21</w:t>
            </w:r>
          </w:p>
        </w:tc>
        <w:tc>
          <w:tcPr>
            <w:tcW w:w="0" w:type="auto"/>
            <w:tcBorders>
              <w:top w:val="nil"/>
              <w:left w:val="nil"/>
              <w:bottom w:val="single" w:color="auto" w:sz="4" w:space="0"/>
              <w:right w:val="single" w:color="auto" w:sz="4" w:space="0"/>
            </w:tcBorders>
            <w:shd w:val="clear" w:color="auto" w:fill="auto"/>
            <w:noWrap/>
            <w:vAlign w:val="center"/>
          </w:tcPr>
          <w:p w14:paraId="733BFF8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870.21</w:t>
            </w:r>
          </w:p>
        </w:tc>
        <w:tc>
          <w:tcPr>
            <w:tcW w:w="0" w:type="auto"/>
            <w:tcBorders>
              <w:top w:val="nil"/>
              <w:left w:val="nil"/>
              <w:bottom w:val="single" w:color="auto" w:sz="4" w:space="0"/>
              <w:right w:val="single" w:color="auto" w:sz="4" w:space="0"/>
            </w:tcBorders>
            <w:shd w:val="clear" w:color="auto" w:fill="auto"/>
            <w:noWrap/>
            <w:vAlign w:val="center"/>
          </w:tcPr>
          <w:p w14:paraId="597F88C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A8291A5">
            <w:pPr>
              <w:widowControl/>
              <w:jc w:val="right"/>
              <w:rPr>
                <w:rFonts w:ascii="Times New Roman" w:hAnsi="Times New Roman" w:eastAsia="仿宋_GB2312" w:cs="Times New Roman"/>
                <w:kern w:val="0"/>
                <w:sz w:val="22"/>
              </w:rPr>
            </w:pPr>
          </w:p>
        </w:tc>
      </w:tr>
      <w:tr w14:paraId="14D525B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F8FC4F">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9B4F85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2B7F00A">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6047C37">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十、住房保障支出</w:t>
            </w:r>
          </w:p>
        </w:tc>
        <w:tc>
          <w:tcPr>
            <w:tcW w:w="0" w:type="auto"/>
            <w:tcBorders>
              <w:top w:val="nil"/>
              <w:left w:val="nil"/>
              <w:bottom w:val="single" w:color="auto" w:sz="4" w:space="0"/>
              <w:right w:val="single" w:color="auto" w:sz="4" w:space="0"/>
            </w:tcBorders>
            <w:shd w:val="clear" w:color="auto" w:fill="auto"/>
            <w:noWrap/>
            <w:vAlign w:val="center"/>
          </w:tcPr>
          <w:p w14:paraId="34D7DEF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6E3A16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4.51</w:t>
            </w:r>
          </w:p>
        </w:tc>
        <w:tc>
          <w:tcPr>
            <w:tcW w:w="0" w:type="auto"/>
            <w:tcBorders>
              <w:top w:val="nil"/>
              <w:left w:val="nil"/>
              <w:bottom w:val="single" w:color="auto" w:sz="4" w:space="0"/>
              <w:right w:val="single" w:color="auto" w:sz="4" w:space="0"/>
            </w:tcBorders>
            <w:shd w:val="clear" w:color="auto" w:fill="auto"/>
            <w:noWrap/>
            <w:vAlign w:val="center"/>
          </w:tcPr>
          <w:p w14:paraId="12D152E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4.51</w:t>
            </w:r>
          </w:p>
        </w:tc>
        <w:tc>
          <w:tcPr>
            <w:tcW w:w="0" w:type="auto"/>
            <w:tcBorders>
              <w:top w:val="nil"/>
              <w:left w:val="nil"/>
              <w:bottom w:val="single" w:color="auto" w:sz="4" w:space="0"/>
              <w:right w:val="single" w:color="auto" w:sz="4" w:space="0"/>
            </w:tcBorders>
            <w:shd w:val="clear" w:color="auto" w:fill="auto"/>
            <w:noWrap/>
            <w:vAlign w:val="center"/>
          </w:tcPr>
          <w:p w14:paraId="6B4EEABC">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835857F">
            <w:pPr>
              <w:widowControl/>
              <w:jc w:val="right"/>
              <w:rPr>
                <w:rFonts w:ascii="Times New Roman" w:hAnsi="Times New Roman" w:eastAsia="仿宋_GB2312" w:cs="Times New Roman"/>
                <w:kern w:val="0"/>
                <w:sz w:val="22"/>
              </w:rPr>
            </w:pPr>
          </w:p>
        </w:tc>
      </w:tr>
      <w:tr w14:paraId="082E06D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9E3FE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8D6F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5CA51C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C937A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32EF86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0BC482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4709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116F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AE8D2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05199A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47EA0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499A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8D52A1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CD025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590E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432DB1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85F6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A392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9C87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3701A9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B77230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E63EC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4C54701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1047.15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DFE70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32222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5D9CFFB1">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1047.15</w:t>
            </w:r>
          </w:p>
        </w:tc>
        <w:tc>
          <w:tcPr>
            <w:tcW w:w="0" w:type="auto"/>
            <w:tcBorders>
              <w:top w:val="nil"/>
              <w:left w:val="nil"/>
              <w:bottom w:val="single" w:color="auto" w:sz="4" w:space="0"/>
              <w:right w:val="single" w:color="auto" w:sz="4" w:space="0"/>
            </w:tcBorders>
            <w:shd w:val="clear" w:color="auto" w:fill="auto"/>
            <w:noWrap/>
            <w:vAlign w:val="center"/>
          </w:tcPr>
          <w:p w14:paraId="1BC3314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1047.15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3BEA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CBEC5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2B1708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DA5F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5EB2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225BBE8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B782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3115E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0FD7A9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7D3B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A1F3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4704D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1121E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6E9A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263D0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3C6E2E9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F7C70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4B64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D13C2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F748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1626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5345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0C08C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72AF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F8A2F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47DA131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00CAC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1F42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536060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CED7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9A73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0CF5C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A8588A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CE9C2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1D51A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5FCA819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571CC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32A5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E734F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FC8D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2A00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A85C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AAD84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6F53F15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5F577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6537468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1047.15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1CA27C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5A91AD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4644D170">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1047.15</w:t>
            </w:r>
          </w:p>
        </w:tc>
        <w:tc>
          <w:tcPr>
            <w:tcW w:w="0" w:type="auto"/>
            <w:tcBorders>
              <w:top w:val="nil"/>
              <w:left w:val="nil"/>
              <w:bottom w:val="single" w:color="auto" w:sz="4" w:space="0"/>
              <w:right w:val="single" w:color="auto" w:sz="4" w:space="0"/>
            </w:tcBorders>
            <w:shd w:val="clear" w:color="000000" w:fill="FFFFFF"/>
            <w:noWrap/>
            <w:vAlign w:val="center"/>
          </w:tcPr>
          <w:p w14:paraId="7F348B1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1047.15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47DDA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34BEC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934F9B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1CC7503">
      <w:pPr>
        <w:widowControl/>
        <w:jc w:val="center"/>
        <w:rPr>
          <w:rFonts w:ascii="Times New Roman" w:hAnsi="Times New Roman" w:eastAsia="方正小标宋_GBK" w:cs="Times New Roman"/>
          <w:kern w:val="0"/>
          <w:sz w:val="36"/>
          <w:szCs w:val="36"/>
        </w:rPr>
      </w:pPr>
    </w:p>
    <w:p w14:paraId="1C0F6D4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6850404D">
      <w:pPr>
        <w:widowControl/>
        <w:spacing w:after="156" w:afterLines="50"/>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怀化市征收安置事务中心</w:t>
      </w:r>
      <w:r>
        <w:rPr>
          <w:rFonts w:ascii="Times New Roman" w:hAnsi="Times New Roman" w:eastAsia="仿宋_GB2312" w:cs="Times New Roman"/>
          <w:color w:val="000000"/>
          <w:kern w:val="0"/>
          <w:szCs w:val="21"/>
        </w:rPr>
        <w:t xml:space="preserve">                                                                                               公开05表</w:t>
      </w:r>
    </w:p>
    <w:p w14:paraId="58737CEE">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2"/>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67BD2297">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F88352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F0D748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3A87DDD">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BC6C57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E090DA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B6DCC3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9BE7F4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DBED32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636893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75EB00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23C43B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E754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B0C9DC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63AC841">
            <w:pPr>
              <w:widowControl/>
              <w:jc w:val="left"/>
              <w:rPr>
                <w:rFonts w:ascii="Times New Roman" w:hAnsi="Times New Roman" w:eastAsia="仿宋_GB2312" w:cs="Times New Roman"/>
                <w:kern w:val="0"/>
                <w:szCs w:val="21"/>
              </w:rPr>
            </w:pPr>
          </w:p>
        </w:tc>
      </w:tr>
      <w:tr w14:paraId="20B9F961">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FE90A8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7A1A2F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B8ADDC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DBD2C6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B126759">
            <w:pPr>
              <w:widowControl/>
              <w:jc w:val="left"/>
              <w:rPr>
                <w:rFonts w:ascii="Times New Roman" w:hAnsi="Times New Roman" w:eastAsia="仿宋_GB2312" w:cs="Times New Roman"/>
                <w:kern w:val="0"/>
                <w:szCs w:val="21"/>
              </w:rPr>
            </w:pPr>
          </w:p>
        </w:tc>
      </w:tr>
      <w:tr w14:paraId="648C207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B0F2F4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BFABFA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264CE1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C74FB3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BBFBCF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9D5C9D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3DF3FF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1047.15</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018A342A">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937.69</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7FD006A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109.46</w:t>
            </w:r>
            <w:r>
              <w:rPr>
                <w:rFonts w:ascii="Times New Roman" w:hAnsi="Times New Roman" w:eastAsia="仿宋_GB2312" w:cs="Times New Roman"/>
                <w:kern w:val="0"/>
                <w:szCs w:val="21"/>
              </w:rPr>
              <w:t>　</w:t>
            </w:r>
          </w:p>
        </w:tc>
      </w:tr>
      <w:tr w14:paraId="1C2C28C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5BCA954">
            <w:pPr>
              <w:widowControl/>
              <w:jc w:val="left"/>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4FDF9B20">
            <w:pPr>
              <w:widowControl/>
              <w:jc w:val="left"/>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其他一般公共服务支出</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4" w:space="0"/>
            </w:tcBorders>
            <w:shd w:val="clear" w:color="auto" w:fill="auto"/>
            <w:vAlign w:val="center"/>
          </w:tcPr>
          <w:p w14:paraId="3020674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44</w:t>
            </w:r>
          </w:p>
        </w:tc>
        <w:tc>
          <w:tcPr>
            <w:tcW w:w="3492" w:type="dxa"/>
            <w:tcBorders>
              <w:top w:val="nil"/>
              <w:left w:val="nil"/>
              <w:bottom w:val="single" w:color="auto" w:sz="4" w:space="0"/>
              <w:right w:val="single" w:color="auto" w:sz="4" w:space="0"/>
            </w:tcBorders>
            <w:shd w:val="clear" w:color="auto" w:fill="auto"/>
            <w:vAlign w:val="center"/>
          </w:tcPr>
          <w:p w14:paraId="5964116F">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14254F2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44</w:t>
            </w:r>
          </w:p>
        </w:tc>
      </w:tr>
      <w:tr w14:paraId="5D13AE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A529A6">
            <w:pPr>
              <w:widowControl/>
              <w:jc w:val="left"/>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2080505</w:t>
            </w:r>
            <w:r>
              <w:rPr>
                <w:rFonts w:ascii="Times New Roman" w:hAnsi="Times New Roman" w:eastAsia="仿宋_GB2312" w:cs="Times New Roman"/>
                <w:kern w:val="0"/>
                <w:sz w:val="24"/>
                <w:szCs w:val="24"/>
              </w:rPr>
              <w:t>　</w:t>
            </w:r>
          </w:p>
        </w:tc>
        <w:tc>
          <w:tcPr>
            <w:tcW w:w="3527" w:type="dxa"/>
            <w:tcBorders>
              <w:top w:val="nil"/>
              <w:left w:val="nil"/>
              <w:bottom w:val="single" w:color="auto" w:sz="4" w:space="0"/>
              <w:right w:val="single" w:color="auto" w:sz="4" w:space="0"/>
            </w:tcBorders>
            <w:shd w:val="clear" w:color="auto" w:fill="auto"/>
            <w:vAlign w:val="center"/>
          </w:tcPr>
          <w:p w14:paraId="2BC962E6">
            <w:pPr>
              <w:widowControl/>
              <w:jc w:val="left"/>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机关事业单位基本养老保险缴费支出</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4" w:space="0"/>
            </w:tcBorders>
            <w:shd w:val="clear" w:color="auto" w:fill="auto"/>
            <w:vAlign w:val="center"/>
          </w:tcPr>
          <w:p w14:paraId="6EADC97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89.91</w:t>
            </w:r>
          </w:p>
        </w:tc>
        <w:tc>
          <w:tcPr>
            <w:tcW w:w="3492" w:type="dxa"/>
            <w:tcBorders>
              <w:top w:val="nil"/>
              <w:left w:val="nil"/>
              <w:bottom w:val="single" w:color="auto" w:sz="4" w:space="0"/>
              <w:right w:val="single" w:color="auto" w:sz="4" w:space="0"/>
            </w:tcBorders>
            <w:shd w:val="clear" w:color="auto" w:fill="auto"/>
            <w:vAlign w:val="center"/>
          </w:tcPr>
          <w:p w14:paraId="492F89B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89.91</w:t>
            </w:r>
          </w:p>
        </w:tc>
        <w:tc>
          <w:tcPr>
            <w:tcW w:w="3000" w:type="dxa"/>
            <w:tcBorders>
              <w:top w:val="nil"/>
              <w:left w:val="nil"/>
              <w:bottom w:val="single" w:color="auto" w:sz="4" w:space="0"/>
              <w:right w:val="single" w:color="auto" w:sz="8" w:space="0"/>
            </w:tcBorders>
            <w:shd w:val="clear" w:color="auto" w:fill="auto"/>
            <w:vAlign w:val="center"/>
          </w:tcPr>
          <w:p w14:paraId="7EA59D2C">
            <w:pPr>
              <w:widowControl/>
              <w:jc w:val="center"/>
              <w:rPr>
                <w:rFonts w:ascii="Times New Roman" w:hAnsi="Times New Roman" w:eastAsia="仿宋_GB2312" w:cs="Times New Roman"/>
                <w:kern w:val="0"/>
                <w:szCs w:val="21"/>
              </w:rPr>
            </w:pPr>
          </w:p>
        </w:tc>
      </w:tr>
      <w:tr w14:paraId="2170A24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24ABA9">
            <w:pPr>
              <w:widowControl/>
              <w:jc w:val="left"/>
              <w:rPr>
                <w:rFonts w:ascii="Times New Roman" w:hAnsi="Times New Roman" w:eastAsia="仿宋_GB2312" w:cs="Times New Roman"/>
                <w:kern w:val="0"/>
                <w:szCs w:val="21"/>
              </w:rPr>
            </w:pPr>
            <w:r>
              <w:rPr>
                <w:rFonts w:hint="eastAsia" w:asciiTheme="majorEastAsia" w:hAnsiTheme="majorEastAsia" w:eastAsiaTheme="majorEastAsia" w:cstheme="majorEastAsia"/>
                <w:kern w:val="0"/>
                <w:sz w:val="22"/>
                <w:szCs w:val="22"/>
              </w:rPr>
              <w:t>2101101　</w:t>
            </w:r>
          </w:p>
        </w:tc>
        <w:tc>
          <w:tcPr>
            <w:tcW w:w="3527" w:type="dxa"/>
            <w:tcBorders>
              <w:top w:val="nil"/>
              <w:left w:val="nil"/>
              <w:bottom w:val="single" w:color="auto" w:sz="4" w:space="0"/>
              <w:right w:val="single" w:color="auto" w:sz="4" w:space="0"/>
            </w:tcBorders>
            <w:shd w:val="clear" w:color="auto" w:fill="auto"/>
            <w:vAlign w:val="center"/>
          </w:tcPr>
          <w:p w14:paraId="18C57DCA">
            <w:pPr>
              <w:widowControl/>
              <w:jc w:val="left"/>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行政单位医疗</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4" w:space="0"/>
            </w:tcBorders>
            <w:shd w:val="clear" w:color="auto" w:fill="auto"/>
            <w:vAlign w:val="center"/>
          </w:tcPr>
          <w:p w14:paraId="26F0AAA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1.62</w:t>
            </w:r>
          </w:p>
        </w:tc>
        <w:tc>
          <w:tcPr>
            <w:tcW w:w="3492" w:type="dxa"/>
            <w:tcBorders>
              <w:top w:val="nil"/>
              <w:left w:val="nil"/>
              <w:bottom w:val="single" w:color="auto" w:sz="4" w:space="0"/>
              <w:right w:val="single" w:color="auto" w:sz="4" w:space="0"/>
            </w:tcBorders>
            <w:shd w:val="clear" w:color="auto" w:fill="auto"/>
            <w:vAlign w:val="center"/>
          </w:tcPr>
          <w:p w14:paraId="77F4E96A">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7C9DA4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1.62</w:t>
            </w:r>
          </w:p>
        </w:tc>
      </w:tr>
      <w:tr w14:paraId="262BD10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578191">
            <w:pPr>
              <w:widowControl/>
              <w:jc w:val="left"/>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2101102</w:t>
            </w:r>
            <w:r>
              <w:rPr>
                <w:rFonts w:ascii="Times New Roman" w:hAnsi="Times New Roman" w:eastAsia="仿宋_GB2312" w:cs="Times New Roman"/>
                <w:kern w:val="0"/>
                <w:sz w:val="24"/>
                <w:szCs w:val="24"/>
              </w:rPr>
              <w:t>　</w:t>
            </w:r>
          </w:p>
        </w:tc>
        <w:tc>
          <w:tcPr>
            <w:tcW w:w="3527" w:type="dxa"/>
            <w:tcBorders>
              <w:top w:val="nil"/>
              <w:left w:val="nil"/>
              <w:bottom w:val="single" w:color="auto" w:sz="4" w:space="0"/>
              <w:right w:val="single" w:color="auto" w:sz="4" w:space="0"/>
            </w:tcBorders>
            <w:shd w:val="clear" w:color="auto" w:fill="auto"/>
            <w:vAlign w:val="center"/>
          </w:tcPr>
          <w:p w14:paraId="1499C36A">
            <w:pPr>
              <w:widowControl/>
              <w:jc w:val="left"/>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事业单位医疗</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4" w:space="0"/>
            </w:tcBorders>
            <w:shd w:val="clear" w:color="auto" w:fill="auto"/>
            <w:vAlign w:val="center"/>
          </w:tcPr>
          <w:p w14:paraId="5B50F16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36.89</w:t>
            </w:r>
          </w:p>
        </w:tc>
        <w:tc>
          <w:tcPr>
            <w:tcW w:w="3492" w:type="dxa"/>
            <w:tcBorders>
              <w:top w:val="nil"/>
              <w:left w:val="nil"/>
              <w:bottom w:val="single" w:color="auto" w:sz="4" w:space="0"/>
              <w:right w:val="single" w:color="auto" w:sz="4" w:space="0"/>
            </w:tcBorders>
            <w:shd w:val="clear" w:color="auto" w:fill="auto"/>
            <w:vAlign w:val="center"/>
          </w:tcPr>
          <w:p w14:paraId="6BA668D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36.89</w:t>
            </w:r>
          </w:p>
        </w:tc>
        <w:tc>
          <w:tcPr>
            <w:tcW w:w="3000" w:type="dxa"/>
            <w:tcBorders>
              <w:top w:val="nil"/>
              <w:left w:val="nil"/>
              <w:bottom w:val="single" w:color="auto" w:sz="4" w:space="0"/>
              <w:right w:val="single" w:color="auto" w:sz="8" w:space="0"/>
            </w:tcBorders>
            <w:shd w:val="clear" w:color="auto" w:fill="auto"/>
            <w:vAlign w:val="center"/>
          </w:tcPr>
          <w:p w14:paraId="4DE3ACAF">
            <w:pPr>
              <w:widowControl/>
              <w:jc w:val="center"/>
              <w:rPr>
                <w:rFonts w:ascii="Times New Roman" w:hAnsi="Times New Roman" w:eastAsia="仿宋_GB2312" w:cs="Times New Roman"/>
                <w:kern w:val="0"/>
                <w:szCs w:val="21"/>
              </w:rPr>
            </w:pPr>
          </w:p>
        </w:tc>
      </w:tr>
      <w:tr w14:paraId="6CEB1E6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113D0F0">
            <w:pPr>
              <w:widowControl/>
              <w:jc w:val="left"/>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2120101</w:t>
            </w:r>
            <w:r>
              <w:rPr>
                <w:rFonts w:ascii="Times New Roman" w:hAnsi="Times New Roman" w:eastAsia="仿宋_GB2312" w:cs="Times New Roman"/>
                <w:kern w:val="0"/>
                <w:sz w:val="24"/>
                <w:szCs w:val="24"/>
              </w:rPr>
              <w:t>　</w:t>
            </w:r>
          </w:p>
        </w:tc>
        <w:tc>
          <w:tcPr>
            <w:tcW w:w="3527" w:type="dxa"/>
            <w:tcBorders>
              <w:top w:val="nil"/>
              <w:left w:val="nil"/>
              <w:bottom w:val="single" w:color="auto" w:sz="4" w:space="0"/>
              <w:right w:val="single" w:color="auto" w:sz="4" w:space="0"/>
            </w:tcBorders>
            <w:shd w:val="clear" w:color="auto" w:fill="auto"/>
            <w:vAlign w:val="center"/>
          </w:tcPr>
          <w:p w14:paraId="6ED0268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宋体" w:hAnsi="宋体" w:eastAsia="宋体" w:cs="宋体"/>
                <w:i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4B12528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810.89</w:t>
            </w:r>
          </w:p>
        </w:tc>
        <w:tc>
          <w:tcPr>
            <w:tcW w:w="3492" w:type="dxa"/>
            <w:tcBorders>
              <w:top w:val="nil"/>
              <w:left w:val="nil"/>
              <w:bottom w:val="single" w:color="auto" w:sz="4" w:space="0"/>
              <w:right w:val="single" w:color="auto" w:sz="4" w:space="0"/>
            </w:tcBorders>
            <w:shd w:val="clear" w:color="auto" w:fill="auto"/>
            <w:vAlign w:val="center"/>
          </w:tcPr>
          <w:p w14:paraId="58D946C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810.89</w:t>
            </w:r>
          </w:p>
        </w:tc>
        <w:tc>
          <w:tcPr>
            <w:tcW w:w="3000" w:type="dxa"/>
            <w:tcBorders>
              <w:top w:val="nil"/>
              <w:left w:val="nil"/>
              <w:bottom w:val="single" w:color="auto" w:sz="4" w:space="0"/>
              <w:right w:val="single" w:color="auto" w:sz="8" w:space="0"/>
            </w:tcBorders>
            <w:shd w:val="clear" w:color="auto" w:fill="auto"/>
            <w:vAlign w:val="center"/>
          </w:tcPr>
          <w:p w14:paraId="7A1DB355">
            <w:pPr>
              <w:widowControl/>
              <w:jc w:val="center"/>
              <w:rPr>
                <w:rFonts w:ascii="Times New Roman" w:hAnsi="Times New Roman" w:eastAsia="仿宋_GB2312" w:cs="Times New Roman"/>
                <w:kern w:val="0"/>
                <w:szCs w:val="21"/>
              </w:rPr>
            </w:pPr>
          </w:p>
        </w:tc>
      </w:tr>
      <w:tr w14:paraId="25D2827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297C822">
            <w:pPr>
              <w:widowControl/>
              <w:jc w:val="left"/>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2120102</w:t>
            </w:r>
            <w:r>
              <w:rPr>
                <w:rFonts w:ascii="Times New Roman" w:hAnsi="Times New Roman" w:eastAsia="仿宋_GB2312" w:cs="Times New Roman"/>
                <w:kern w:val="0"/>
                <w:sz w:val="24"/>
                <w:szCs w:val="24"/>
              </w:rPr>
              <w:t>　</w:t>
            </w:r>
          </w:p>
        </w:tc>
        <w:tc>
          <w:tcPr>
            <w:tcW w:w="3527" w:type="dxa"/>
            <w:tcBorders>
              <w:top w:val="nil"/>
              <w:left w:val="nil"/>
              <w:bottom w:val="nil"/>
              <w:right w:val="single" w:color="auto" w:sz="4" w:space="0"/>
            </w:tcBorders>
            <w:shd w:val="clear" w:color="auto" w:fill="auto"/>
            <w:vAlign w:val="center"/>
          </w:tcPr>
          <w:p w14:paraId="78271845">
            <w:pPr>
              <w:widowControl/>
              <w:jc w:val="left"/>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一般行政管理事务</w:t>
            </w:r>
            <w:r>
              <w:rPr>
                <w:rFonts w:ascii="Times New Roman" w:hAnsi="Times New Roman" w:eastAsia="仿宋_GB2312" w:cs="Times New Roman"/>
                <w:kern w:val="0"/>
                <w:sz w:val="24"/>
                <w:szCs w:val="24"/>
              </w:rPr>
              <w:t>　</w:t>
            </w:r>
          </w:p>
        </w:tc>
        <w:tc>
          <w:tcPr>
            <w:tcW w:w="3000" w:type="dxa"/>
            <w:tcBorders>
              <w:top w:val="nil"/>
              <w:left w:val="nil"/>
              <w:bottom w:val="nil"/>
              <w:right w:val="single" w:color="auto" w:sz="4" w:space="0"/>
            </w:tcBorders>
            <w:shd w:val="clear" w:color="auto" w:fill="auto"/>
            <w:vAlign w:val="center"/>
          </w:tcPr>
          <w:p w14:paraId="049D419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59.33</w:t>
            </w:r>
          </w:p>
        </w:tc>
        <w:tc>
          <w:tcPr>
            <w:tcW w:w="3492" w:type="dxa"/>
            <w:tcBorders>
              <w:top w:val="nil"/>
              <w:left w:val="nil"/>
              <w:bottom w:val="nil"/>
              <w:right w:val="single" w:color="auto" w:sz="4" w:space="0"/>
            </w:tcBorders>
            <w:shd w:val="clear" w:color="auto" w:fill="auto"/>
            <w:vAlign w:val="center"/>
          </w:tcPr>
          <w:p w14:paraId="48A53CED">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shd w:val="clear" w:color="auto" w:fill="auto"/>
            <w:vAlign w:val="center"/>
          </w:tcPr>
          <w:p w14:paraId="620D4B2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59.33</w:t>
            </w:r>
          </w:p>
        </w:tc>
      </w:tr>
      <w:tr w14:paraId="4EA3B93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AA359B4">
            <w:pP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2210201</w:t>
            </w:r>
            <w:r>
              <w:rPr>
                <w:rFonts w:ascii="Times New Roman" w:hAnsi="Times New Roman" w:eastAsia="仿宋_GB2312" w:cs="Times New Roman"/>
              </w:rPr>
              <w:t>　</w:t>
            </w:r>
          </w:p>
        </w:tc>
        <w:tc>
          <w:tcPr>
            <w:tcW w:w="3527" w:type="dxa"/>
            <w:tcBorders>
              <w:top w:val="nil"/>
              <w:left w:val="nil"/>
              <w:bottom w:val="single" w:color="auto" w:sz="8" w:space="0"/>
              <w:right w:val="single" w:color="auto" w:sz="4" w:space="0"/>
            </w:tcBorders>
            <w:shd w:val="clear" w:color="auto" w:fill="auto"/>
            <w:vAlign w:val="center"/>
          </w:tcPr>
          <w:p w14:paraId="45BBA3EF">
            <w:pP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住房公积金</w:t>
            </w:r>
            <w:r>
              <w:rPr>
                <w:rFonts w:ascii="Times New Roman" w:hAnsi="Times New Roman" w:eastAsia="仿宋_GB2312" w:cs="Times New Roman"/>
              </w:rPr>
              <w:t>　</w:t>
            </w:r>
          </w:p>
        </w:tc>
        <w:tc>
          <w:tcPr>
            <w:tcW w:w="3000" w:type="dxa"/>
            <w:tcBorders>
              <w:top w:val="nil"/>
              <w:left w:val="nil"/>
              <w:bottom w:val="single" w:color="auto" w:sz="8" w:space="0"/>
              <w:right w:val="single" w:color="auto" w:sz="4" w:space="0"/>
            </w:tcBorders>
            <w:shd w:val="clear" w:color="auto" w:fill="auto"/>
            <w:vAlign w:val="center"/>
          </w:tcPr>
          <w:p w14:paraId="3512561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4.51</w:t>
            </w:r>
          </w:p>
        </w:tc>
        <w:tc>
          <w:tcPr>
            <w:tcW w:w="3492" w:type="dxa"/>
            <w:tcBorders>
              <w:top w:val="nil"/>
              <w:left w:val="nil"/>
              <w:bottom w:val="single" w:color="auto" w:sz="8" w:space="0"/>
              <w:right w:val="single" w:color="auto" w:sz="4" w:space="0"/>
            </w:tcBorders>
            <w:shd w:val="clear" w:color="auto" w:fill="auto"/>
            <w:vAlign w:val="center"/>
          </w:tcPr>
          <w:p w14:paraId="2BCC7861">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2FE4513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4.51</w:t>
            </w:r>
          </w:p>
        </w:tc>
      </w:tr>
    </w:tbl>
    <w:p w14:paraId="193DBA0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23B7B91">
      <w:pPr>
        <w:widowControl/>
        <w:jc w:val="left"/>
        <w:rPr>
          <w:rFonts w:ascii="Times New Roman" w:hAnsi="Times New Roman" w:eastAsia="仿宋_GB2312" w:cs="Times New Roman"/>
          <w:bCs/>
          <w:kern w:val="0"/>
          <w:szCs w:val="21"/>
        </w:rPr>
      </w:pPr>
    </w:p>
    <w:p w14:paraId="2F2A51E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1EB5F4C">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31C321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怀化市征收安置事务中心</w:t>
      </w:r>
      <w:r>
        <w:rPr>
          <w:rFonts w:ascii="Times New Roman" w:hAnsi="Times New Roman" w:eastAsia="仿宋_GB2312" w:cs="Times New Roman"/>
          <w:color w:val="000000"/>
          <w:kern w:val="0"/>
          <w:szCs w:val="21"/>
        </w:rPr>
        <w:t xml:space="preserve">                                                                                                                公开06表</w:t>
      </w:r>
    </w:p>
    <w:p w14:paraId="05511B6A">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2"/>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04E6C45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835A07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53A1510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4032DE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CBA66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B9944E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F3FC19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CC485F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DB1FF0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2A0254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D65A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04AC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52E820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3BF6BE1">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813.51</w:t>
            </w:r>
          </w:p>
        </w:tc>
        <w:tc>
          <w:tcPr>
            <w:tcW w:w="1116" w:type="dxa"/>
            <w:tcBorders>
              <w:top w:val="nil"/>
              <w:left w:val="nil"/>
              <w:bottom w:val="single" w:color="auto" w:sz="4" w:space="0"/>
              <w:right w:val="single" w:color="auto" w:sz="4" w:space="0"/>
            </w:tcBorders>
            <w:shd w:val="clear" w:color="auto" w:fill="auto"/>
            <w:noWrap/>
            <w:vAlign w:val="center"/>
          </w:tcPr>
          <w:p w14:paraId="448066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63CFA2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3A405E2">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83.31</w:t>
            </w:r>
          </w:p>
        </w:tc>
        <w:tc>
          <w:tcPr>
            <w:tcW w:w="1217" w:type="dxa"/>
            <w:tcBorders>
              <w:top w:val="nil"/>
              <w:left w:val="nil"/>
              <w:bottom w:val="single" w:color="auto" w:sz="4" w:space="0"/>
              <w:right w:val="single" w:color="auto" w:sz="4" w:space="0"/>
            </w:tcBorders>
            <w:shd w:val="clear" w:color="auto" w:fill="auto"/>
            <w:noWrap/>
            <w:vAlign w:val="center"/>
          </w:tcPr>
          <w:p w14:paraId="248ED1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14425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44F206C8">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634F42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9022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376DBE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2DBA3F40">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285.77</w:t>
            </w:r>
          </w:p>
        </w:tc>
        <w:tc>
          <w:tcPr>
            <w:tcW w:w="1116" w:type="dxa"/>
            <w:tcBorders>
              <w:top w:val="nil"/>
              <w:left w:val="nil"/>
              <w:bottom w:val="single" w:color="auto" w:sz="4" w:space="0"/>
              <w:right w:val="single" w:color="auto" w:sz="4" w:space="0"/>
            </w:tcBorders>
            <w:shd w:val="clear" w:color="auto" w:fill="auto"/>
            <w:noWrap/>
            <w:vAlign w:val="center"/>
          </w:tcPr>
          <w:p w14:paraId="5E7F2C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BBBF9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771B2B4">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13.37</w:t>
            </w:r>
          </w:p>
        </w:tc>
        <w:tc>
          <w:tcPr>
            <w:tcW w:w="1217" w:type="dxa"/>
            <w:tcBorders>
              <w:top w:val="nil"/>
              <w:left w:val="nil"/>
              <w:bottom w:val="single" w:color="auto" w:sz="4" w:space="0"/>
              <w:right w:val="single" w:color="auto" w:sz="4" w:space="0"/>
            </w:tcBorders>
            <w:shd w:val="clear" w:color="auto" w:fill="auto"/>
            <w:noWrap/>
            <w:vAlign w:val="center"/>
          </w:tcPr>
          <w:p w14:paraId="0E44E8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50F50B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6D01618">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1791F3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9204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0F60DB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8062300">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1.66</w:t>
            </w:r>
          </w:p>
        </w:tc>
        <w:tc>
          <w:tcPr>
            <w:tcW w:w="1116" w:type="dxa"/>
            <w:tcBorders>
              <w:top w:val="nil"/>
              <w:left w:val="nil"/>
              <w:bottom w:val="single" w:color="auto" w:sz="4" w:space="0"/>
              <w:right w:val="single" w:color="auto" w:sz="4" w:space="0"/>
            </w:tcBorders>
            <w:shd w:val="clear" w:color="auto" w:fill="auto"/>
            <w:noWrap/>
            <w:vAlign w:val="center"/>
          </w:tcPr>
          <w:p w14:paraId="4A80A6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76E97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37A5721">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AC557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4B140B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41F07F9B">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76AF1A2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6A4D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A142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5CEF03F2">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168.19</w:t>
            </w:r>
          </w:p>
        </w:tc>
        <w:tc>
          <w:tcPr>
            <w:tcW w:w="1116" w:type="dxa"/>
            <w:tcBorders>
              <w:top w:val="nil"/>
              <w:left w:val="nil"/>
              <w:bottom w:val="single" w:color="auto" w:sz="4" w:space="0"/>
              <w:right w:val="single" w:color="auto" w:sz="4" w:space="0"/>
            </w:tcBorders>
            <w:shd w:val="clear" w:color="auto" w:fill="auto"/>
            <w:noWrap/>
            <w:vAlign w:val="center"/>
          </w:tcPr>
          <w:p w14:paraId="1D00AC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00D8D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5BC9C8C">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B6A31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2EB12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B3A18A0">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7541AAF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CC72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5EEB2C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7443E8D">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1281D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71451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C9892AD">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99678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8345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AB02265">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15F5CE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DCE6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B1C42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1871B4C5">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147.96</w:t>
            </w:r>
          </w:p>
        </w:tc>
        <w:tc>
          <w:tcPr>
            <w:tcW w:w="1116" w:type="dxa"/>
            <w:tcBorders>
              <w:top w:val="nil"/>
              <w:left w:val="nil"/>
              <w:bottom w:val="single" w:color="auto" w:sz="4" w:space="0"/>
              <w:right w:val="single" w:color="auto" w:sz="4" w:space="0"/>
            </w:tcBorders>
            <w:shd w:val="clear" w:color="auto" w:fill="auto"/>
            <w:noWrap/>
            <w:vAlign w:val="center"/>
          </w:tcPr>
          <w:p w14:paraId="701A41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FED66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43D7163">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02156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82E1B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EAC50E7">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17883F1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F30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D3647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7D965FB">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89.91</w:t>
            </w:r>
          </w:p>
        </w:tc>
        <w:tc>
          <w:tcPr>
            <w:tcW w:w="1116" w:type="dxa"/>
            <w:tcBorders>
              <w:top w:val="nil"/>
              <w:left w:val="nil"/>
              <w:bottom w:val="single" w:color="auto" w:sz="4" w:space="0"/>
              <w:right w:val="single" w:color="auto" w:sz="4" w:space="0"/>
            </w:tcBorders>
            <w:shd w:val="clear" w:color="auto" w:fill="auto"/>
            <w:noWrap/>
            <w:vAlign w:val="center"/>
          </w:tcPr>
          <w:p w14:paraId="16D51B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32CFD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B4EA894">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79BFD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2F7E57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236C0F82">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73C507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A1EE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04BAC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4DEA0154">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35B6A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6697A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3C14BBF6">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0.10</w:t>
            </w:r>
          </w:p>
        </w:tc>
        <w:tc>
          <w:tcPr>
            <w:tcW w:w="1217" w:type="dxa"/>
            <w:tcBorders>
              <w:top w:val="nil"/>
              <w:left w:val="nil"/>
              <w:bottom w:val="single" w:color="auto" w:sz="4" w:space="0"/>
              <w:right w:val="single" w:color="auto" w:sz="4" w:space="0"/>
            </w:tcBorders>
            <w:shd w:val="clear" w:color="auto" w:fill="auto"/>
            <w:noWrap/>
            <w:vAlign w:val="center"/>
          </w:tcPr>
          <w:p w14:paraId="78EB28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DEF74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4509BAAA">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0913A2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6CC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03E7AE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01CC45D3">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36.89</w:t>
            </w:r>
          </w:p>
        </w:tc>
        <w:tc>
          <w:tcPr>
            <w:tcW w:w="1116" w:type="dxa"/>
            <w:tcBorders>
              <w:top w:val="nil"/>
              <w:left w:val="nil"/>
              <w:bottom w:val="single" w:color="auto" w:sz="4" w:space="0"/>
              <w:right w:val="single" w:color="auto" w:sz="4" w:space="0"/>
            </w:tcBorders>
            <w:shd w:val="clear" w:color="auto" w:fill="auto"/>
            <w:noWrap/>
            <w:vAlign w:val="center"/>
          </w:tcPr>
          <w:p w14:paraId="02073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F5B1D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787A823B">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365DA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72C47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4E2E7E9D">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6A3848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D456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E86D2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16688609">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E7148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721101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D54F135">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E286E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C5426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68984C5D">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170B6B8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ED1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636920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1B26D062">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8.97</w:t>
            </w:r>
          </w:p>
        </w:tc>
        <w:tc>
          <w:tcPr>
            <w:tcW w:w="1116" w:type="dxa"/>
            <w:tcBorders>
              <w:top w:val="nil"/>
              <w:left w:val="nil"/>
              <w:bottom w:val="single" w:color="auto" w:sz="4" w:space="0"/>
              <w:right w:val="single" w:color="auto" w:sz="4" w:space="0"/>
            </w:tcBorders>
            <w:shd w:val="clear" w:color="auto" w:fill="auto"/>
            <w:noWrap/>
            <w:vAlign w:val="center"/>
          </w:tcPr>
          <w:p w14:paraId="6418F4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8ABF5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3E1C55A3">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4.45</w:t>
            </w:r>
          </w:p>
        </w:tc>
        <w:tc>
          <w:tcPr>
            <w:tcW w:w="1217" w:type="dxa"/>
            <w:tcBorders>
              <w:top w:val="nil"/>
              <w:left w:val="nil"/>
              <w:bottom w:val="single" w:color="auto" w:sz="4" w:space="0"/>
              <w:right w:val="single" w:color="auto" w:sz="4" w:space="0"/>
            </w:tcBorders>
            <w:shd w:val="clear" w:color="auto" w:fill="auto"/>
            <w:noWrap/>
            <w:vAlign w:val="center"/>
          </w:tcPr>
          <w:p w14:paraId="0729D0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35393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E98F785">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250DC3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EDD7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53AE5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3D3A2912">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74.16</w:t>
            </w:r>
          </w:p>
        </w:tc>
        <w:tc>
          <w:tcPr>
            <w:tcW w:w="1116" w:type="dxa"/>
            <w:tcBorders>
              <w:top w:val="nil"/>
              <w:left w:val="nil"/>
              <w:bottom w:val="single" w:color="auto" w:sz="4" w:space="0"/>
              <w:right w:val="single" w:color="auto" w:sz="4" w:space="0"/>
            </w:tcBorders>
            <w:shd w:val="clear" w:color="auto" w:fill="auto"/>
            <w:noWrap/>
            <w:vAlign w:val="center"/>
          </w:tcPr>
          <w:p w14:paraId="160999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EDAC7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5FD424D">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08063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705641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5DB2864">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61C19FF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7B87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6BADCC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C5D3A33">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1D686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F28E1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C94B884">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0.26</w:t>
            </w:r>
          </w:p>
        </w:tc>
        <w:tc>
          <w:tcPr>
            <w:tcW w:w="1217" w:type="dxa"/>
            <w:tcBorders>
              <w:top w:val="nil"/>
              <w:left w:val="nil"/>
              <w:bottom w:val="single" w:color="auto" w:sz="4" w:space="0"/>
              <w:right w:val="single" w:color="auto" w:sz="4" w:space="0"/>
            </w:tcBorders>
            <w:shd w:val="clear" w:color="auto" w:fill="auto"/>
            <w:noWrap/>
            <w:vAlign w:val="center"/>
          </w:tcPr>
          <w:p w14:paraId="56B77D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480473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DA419C1">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180B16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4211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442DD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E98BA74">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64C321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C891E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6FCEF08">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353FA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27CCC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2D2D409">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1135E4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E40F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356EB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418D244">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40.87</w:t>
            </w:r>
          </w:p>
        </w:tc>
        <w:tc>
          <w:tcPr>
            <w:tcW w:w="1116" w:type="dxa"/>
            <w:tcBorders>
              <w:top w:val="nil"/>
              <w:left w:val="nil"/>
              <w:bottom w:val="single" w:color="auto" w:sz="4" w:space="0"/>
              <w:right w:val="single" w:color="auto" w:sz="4" w:space="0"/>
            </w:tcBorders>
            <w:shd w:val="clear" w:color="auto" w:fill="auto"/>
            <w:noWrap/>
            <w:vAlign w:val="center"/>
          </w:tcPr>
          <w:p w14:paraId="0AF953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52A9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0BB0444C">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02BAD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3E6FD2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0257F814">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4EA228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93E4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96A4E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85123A0">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8BC71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BEA3F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DA290AF">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1.30</w:t>
            </w:r>
          </w:p>
        </w:tc>
        <w:tc>
          <w:tcPr>
            <w:tcW w:w="1217" w:type="dxa"/>
            <w:tcBorders>
              <w:top w:val="nil"/>
              <w:left w:val="nil"/>
              <w:bottom w:val="single" w:color="auto" w:sz="4" w:space="0"/>
              <w:right w:val="single" w:color="auto" w:sz="4" w:space="0"/>
            </w:tcBorders>
            <w:shd w:val="clear" w:color="auto" w:fill="auto"/>
            <w:noWrap/>
            <w:vAlign w:val="center"/>
          </w:tcPr>
          <w:p w14:paraId="121A70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FDE7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6CB8075">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1E485B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F50A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7178F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6AC2922F">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C8E90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1D16D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6A078F6">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2D252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498B38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30298F4E">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4CD0B4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4682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6A085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A8F8434">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4FE3C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79707F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F0331B9">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4A84F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4CAE8A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51D11817">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15745E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DAAA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66AE18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8F1CCAE">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ADA99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06D5C6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472AE61B">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87DE8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775A45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2FAFE3A">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08ACA7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9E96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20077C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EFD9320">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40.87</w:t>
            </w:r>
          </w:p>
        </w:tc>
        <w:tc>
          <w:tcPr>
            <w:tcW w:w="1116" w:type="dxa"/>
            <w:tcBorders>
              <w:top w:val="nil"/>
              <w:left w:val="nil"/>
              <w:bottom w:val="single" w:color="auto" w:sz="4" w:space="0"/>
              <w:right w:val="single" w:color="auto" w:sz="4" w:space="0"/>
            </w:tcBorders>
            <w:shd w:val="clear" w:color="auto" w:fill="auto"/>
            <w:noWrap/>
            <w:vAlign w:val="center"/>
          </w:tcPr>
          <w:p w14:paraId="494E30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40362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AAFF60A">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8E15F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725CD7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A8879A7">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1C99CD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2050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7C516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7B0C4FDF">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38CE6E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4C76E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6A4CEDBB">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4.94</w:t>
            </w:r>
          </w:p>
        </w:tc>
        <w:tc>
          <w:tcPr>
            <w:tcW w:w="1217" w:type="dxa"/>
            <w:tcBorders>
              <w:top w:val="nil"/>
              <w:left w:val="nil"/>
              <w:bottom w:val="single" w:color="auto" w:sz="4" w:space="0"/>
              <w:right w:val="single" w:color="auto" w:sz="4" w:space="0"/>
            </w:tcBorders>
            <w:shd w:val="clear" w:color="auto" w:fill="auto"/>
            <w:noWrap/>
            <w:vAlign w:val="center"/>
          </w:tcPr>
          <w:p w14:paraId="070BE8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418B27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26D0D69">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5220A1E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EC0D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DB037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7DBCAA8F">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93CA7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CE24E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C474DE4">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523B3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A507C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DA1BC7F">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15C559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710A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A0370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3356BC73">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274429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B1500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4573CA71">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27.91</w:t>
            </w:r>
          </w:p>
        </w:tc>
        <w:tc>
          <w:tcPr>
            <w:tcW w:w="1217" w:type="dxa"/>
            <w:tcBorders>
              <w:top w:val="nil"/>
              <w:left w:val="nil"/>
              <w:bottom w:val="single" w:color="auto" w:sz="4" w:space="0"/>
              <w:right w:val="single" w:color="auto" w:sz="4" w:space="0"/>
            </w:tcBorders>
            <w:shd w:val="clear" w:color="auto" w:fill="auto"/>
            <w:noWrap/>
            <w:vAlign w:val="center"/>
          </w:tcPr>
          <w:p w14:paraId="5B97DA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205A31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33FE5581">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33961D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E69B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55C5FF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47884427">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7ACD3B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59BCC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265AA2B">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3.63</w:t>
            </w:r>
          </w:p>
        </w:tc>
        <w:tc>
          <w:tcPr>
            <w:tcW w:w="1217" w:type="dxa"/>
            <w:tcBorders>
              <w:top w:val="nil"/>
              <w:left w:val="nil"/>
              <w:bottom w:val="single" w:color="auto" w:sz="4" w:space="0"/>
              <w:right w:val="single" w:color="auto" w:sz="4" w:space="0"/>
            </w:tcBorders>
            <w:shd w:val="clear" w:color="auto" w:fill="auto"/>
            <w:noWrap/>
            <w:vAlign w:val="center"/>
          </w:tcPr>
          <w:p w14:paraId="53FBB9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69AEA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696EE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8EE5B5E">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387E1CB7">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53C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EDD6C6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BFF5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AD65648">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77683395">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1298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79892A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80D2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91F553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42F71B99">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287530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DFC4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666F3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5A61997">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1BB1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1B38A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5D97767">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1A98C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2EBC4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110DF25C">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084005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D88F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3EDF3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940C996">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2A7D7D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6FEA0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80D8C9A">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17.54</w:t>
            </w:r>
          </w:p>
        </w:tc>
        <w:tc>
          <w:tcPr>
            <w:tcW w:w="1217" w:type="dxa"/>
            <w:tcBorders>
              <w:top w:val="nil"/>
              <w:left w:val="nil"/>
              <w:bottom w:val="single" w:color="auto" w:sz="4" w:space="0"/>
              <w:right w:val="single" w:color="auto" w:sz="4" w:space="0"/>
            </w:tcBorders>
            <w:shd w:val="clear" w:color="auto" w:fill="auto"/>
            <w:noWrap/>
            <w:vAlign w:val="center"/>
          </w:tcPr>
          <w:p w14:paraId="4B1303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7FD62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009393B">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r>
      <w:tr w14:paraId="7584CB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1A08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4D7198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7632F00">
            <w:pPr>
              <w:keepNext w:val="0"/>
              <w:keepLines w:val="0"/>
              <w:widowControl/>
              <w:suppressLineNumbers w:val="0"/>
              <w:jc w:val="right"/>
              <w:textAlignment w:val="center"/>
              <w:rPr>
                <w:rFonts w:ascii="Times New Roman" w:hAnsi="Times New Roman" w:eastAsia="仿宋_GB2312" w:cs="Times New Roman"/>
                <w:color w:val="000000"/>
                <w:kern w:val="0"/>
                <w:sz w:val="21"/>
                <w:szCs w:val="21"/>
              </w:rPr>
            </w:pPr>
            <w:r>
              <w:rPr>
                <w:rFonts w:hint="eastAsia" w:ascii="宋体" w:hAnsi="宋体" w:eastAsia="宋体" w:cs="宋体"/>
                <w:i w:val="0"/>
                <w:iCs w:val="0"/>
                <w:color w:val="000000"/>
                <w:kern w:val="0"/>
                <w:sz w:val="21"/>
                <w:szCs w:val="21"/>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1A3F5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15838E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92F377A">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AF8B20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41DA16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CD431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8387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43F1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A4141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73E714B7">
            <w:pPr>
              <w:widowControl/>
              <w:jc w:val="left"/>
              <w:rPr>
                <w:rFonts w:ascii="Times New Roman" w:hAnsi="Times New Roman" w:eastAsia="仿宋_GB2312" w:cs="Times New Roman"/>
                <w:color w:val="000000"/>
                <w:kern w:val="0"/>
                <w:sz w:val="21"/>
                <w:szCs w:val="21"/>
              </w:rPr>
            </w:pPr>
            <w:r>
              <w:rPr>
                <w:rFonts w:ascii="Times New Roman" w:hAnsi="Times New Roman" w:eastAsia="仿宋_GB2312" w:cs="Times New Roman"/>
                <w:color w:val="000000"/>
                <w:kern w:val="0"/>
                <w:sz w:val="21"/>
                <w:szCs w:val="21"/>
              </w:rPr>
              <w:t>　</w:t>
            </w:r>
          </w:p>
        </w:tc>
        <w:tc>
          <w:tcPr>
            <w:tcW w:w="1116" w:type="dxa"/>
            <w:tcBorders>
              <w:top w:val="nil"/>
              <w:left w:val="nil"/>
              <w:bottom w:val="single" w:color="auto" w:sz="4" w:space="0"/>
              <w:right w:val="single" w:color="auto" w:sz="4" w:space="0"/>
            </w:tcBorders>
            <w:shd w:val="clear" w:color="auto" w:fill="auto"/>
            <w:noWrap/>
            <w:vAlign w:val="center"/>
          </w:tcPr>
          <w:p w14:paraId="195FBE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E4CBE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7D95D3C">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lang w:val="en-US"/>
              </w:rPr>
            </w:pPr>
            <w:r>
              <w:rPr>
                <w:rFonts w:hint="eastAsia" w:ascii="宋体" w:hAnsi="宋体" w:eastAsia="宋体" w:cs="宋体"/>
                <w:i w:val="0"/>
                <w:iCs w:val="0"/>
                <w:color w:val="000000"/>
                <w:kern w:val="0"/>
                <w:sz w:val="21"/>
                <w:szCs w:val="21"/>
                <w:u w:val="none"/>
                <w:lang w:val="en-US" w:eastAsia="zh-CN" w:bidi="ar"/>
              </w:rPr>
              <w:t>9.82</w:t>
            </w:r>
          </w:p>
        </w:tc>
        <w:tc>
          <w:tcPr>
            <w:tcW w:w="1217" w:type="dxa"/>
            <w:tcBorders>
              <w:top w:val="nil"/>
              <w:left w:val="nil"/>
              <w:bottom w:val="single" w:color="auto" w:sz="4" w:space="0"/>
              <w:right w:val="single" w:color="auto" w:sz="4" w:space="0"/>
            </w:tcBorders>
            <w:shd w:val="clear" w:color="auto" w:fill="auto"/>
            <w:noWrap/>
            <w:vAlign w:val="center"/>
          </w:tcPr>
          <w:p w14:paraId="7C51E64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A95775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05508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D2F301">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5120BE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EF94123">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Times New Roman" w:eastAsia="仿宋_GB2312" w:cs="Times New Roman"/>
                <w:color w:val="000000"/>
                <w:kern w:val="0"/>
                <w:sz w:val="21"/>
                <w:szCs w:val="21"/>
              </w:rPr>
              <w:t>　</w:t>
            </w:r>
            <w:r>
              <w:rPr>
                <w:rFonts w:hint="eastAsia" w:ascii="Times New Roman" w:hAnsi="Times New Roman" w:eastAsia="仿宋_GB2312" w:cs="Times New Roman"/>
                <w:color w:val="000000"/>
                <w:kern w:val="0"/>
                <w:sz w:val="21"/>
                <w:szCs w:val="21"/>
                <w:lang w:val="en-US" w:eastAsia="zh-CN"/>
              </w:rPr>
              <w:t>88888854.38</w:t>
            </w:r>
            <w:r>
              <w:rPr>
                <w:rFonts w:hint="eastAsia" w:ascii="宋体" w:hAnsi="宋体" w:eastAsia="宋体" w:cs="宋体"/>
                <w:i w:val="0"/>
                <w:color w:val="000000"/>
                <w:kern w:val="0"/>
                <w:sz w:val="21"/>
                <w:szCs w:val="21"/>
                <w:u w:val="none"/>
                <w:lang w:val="en-US" w:eastAsia="zh-CN" w:bidi="ar"/>
              </w:rPr>
              <w:t>723.26723.26</w:t>
            </w:r>
            <w:r>
              <w:rPr>
                <w:rFonts w:hint="eastAsia" w:ascii="Times New Roman" w:hAnsi="Times New Roman" w:eastAsia="仿宋_GB2312" w:cs="Times New Roman"/>
                <w:color w:val="000000"/>
                <w:kern w:val="0"/>
                <w:sz w:val="21"/>
                <w:szCs w:val="21"/>
                <w:lang w:val="en-US" w:eastAsia="zh-CN"/>
              </w:rPr>
              <w:t>854.38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8FA584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593575B">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83.31</w:t>
            </w:r>
          </w:p>
        </w:tc>
      </w:tr>
    </w:tbl>
    <w:p w14:paraId="21F2183A">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128EFA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149554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E5D969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2BE57F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怀化市征收安置事务中心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1BDB2B7">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49F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20"/>
                <w:rFonts w:hint="default" w:ascii="Times New Roman" w:hAnsi="Times New Roman" w:eastAsia="仿宋_GB2312" w:cs="Times New Roman"/>
                <w:b/>
                <w:bCs/>
                <w:lang w:bidi="ar"/>
              </w:rPr>
              <w:t xml:space="preserve">   </w:t>
            </w:r>
            <w:r>
              <w:rPr>
                <w:rStyle w:val="21"/>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205A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DC10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1EDB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E258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E5E120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753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EDE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B1CB5">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A5B08">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2687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1F70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6694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8FC2A">
            <w:pPr>
              <w:widowControl/>
              <w:jc w:val="center"/>
              <w:rPr>
                <w:rFonts w:ascii="Times New Roman" w:hAnsi="Times New Roman" w:eastAsia="仿宋_GB2312" w:cs="Times New Roman"/>
                <w:color w:val="000000"/>
                <w:sz w:val="24"/>
                <w:szCs w:val="24"/>
              </w:rPr>
            </w:pPr>
          </w:p>
        </w:tc>
      </w:tr>
      <w:tr w14:paraId="45802DF2">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009D3">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ED13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F884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6A51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D3CF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2586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3AC2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A486F">
            <w:pPr>
              <w:jc w:val="center"/>
              <w:rPr>
                <w:rFonts w:ascii="Times New Roman" w:hAnsi="Times New Roman" w:eastAsia="仿宋_GB2312" w:cs="Times New Roman"/>
                <w:color w:val="000000"/>
                <w:sz w:val="24"/>
                <w:szCs w:val="24"/>
              </w:rPr>
            </w:pPr>
          </w:p>
        </w:tc>
      </w:tr>
      <w:tr w14:paraId="56EBF990">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D9EA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B8A6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D8FB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BCD9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E71D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02E6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76BB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4DDCA">
            <w:pPr>
              <w:jc w:val="center"/>
              <w:rPr>
                <w:rFonts w:ascii="Times New Roman" w:hAnsi="Times New Roman" w:eastAsia="仿宋_GB2312" w:cs="Times New Roman"/>
                <w:color w:val="000000"/>
                <w:sz w:val="24"/>
                <w:szCs w:val="24"/>
              </w:rPr>
            </w:pPr>
          </w:p>
        </w:tc>
      </w:tr>
      <w:tr w14:paraId="099E7D7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6A05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ED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54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23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DE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D03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54E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73CC36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A74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65C7">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07FA">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ECA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C64E">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D69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D624">
            <w:pPr>
              <w:jc w:val="center"/>
              <w:rPr>
                <w:rFonts w:ascii="Times New Roman" w:hAnsi="Times New Roman" w:eastAsia="仿宋_GB2312" w:cs="Times New Roman"/>
                <w:color w:val="000000"/>
                <w:sz w:val="24"/>
                <w:szCs w:val="24"/>
              </w:rPr>
            </w:pPr>
          </w:p>
        </w:tc>
      </w:tr>
      <w:tr w14:paraId="0E92427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C2E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614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7B4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A7A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F50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A3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5BF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0742">
            <w:pPr>
              <w:rPr>
                <w:rFonts w:ascii="Times New Roman" w:hAnsi="Times New Roman" w:eastAsia="仿宋_GB2312" w:cs="Times New Roman"/>
                <w:color w:val="000000"/>
                <w:sz w:val="24"/>
                <w:szCs w:val="24"/>
              </w:rPr>
            </w:pPr>
          </w:p>
        </w:tc>
      </w:tr>
      <w:tr w14:paraId="4EF53E6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D1B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EC5A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FEA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4D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B97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86C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8D4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D642">
            <w:pPr>
              <w:rPr>
                <w:rFonts w:ascii="Times New Roman" w:hAnsi="Times New Roman" w:eastAsia="仿宋_GB2312" w:cs="Times New Roman"/>
                <w:color w:val="000000"/>
                <w:sz w:val="24"/>
                <w:szCs w:val="24"/>
              </w:rPr>
            </w:pPr>
          </w:p>
        </w:tc>
      </w:tr>
      <w:tr w14:paraId="4E8E8F5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BFF4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27F8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DEB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F1A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3E6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34C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0DB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C80A">
            <w:pPr>
              <w:rPr>
                <w:rFonts w:ascii="Times New Roman" w:hAnsi="Times New Roman" w:eastAsia="仿宋_GB2312" w:cs="Times New Roman"/>
                <w:color w:val="000000"/>
                <w:sz w:val="24"/>
                <w:szCs w:val="24"/>
              </w:rPr>
            </w:pPr>
          </w:p>
        </w:tc>
      </w:tr>
      <w:tr w14:paraId="4A7233E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E348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F4F9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03D2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E38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D99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A82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733B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3791">
            <w:pPr>
              <w:rPr>
                <w:rFonts w:ascii="Times New Roman" w:hAnsi="Times New Roman" w:eastAsia="仿宋_GB2312" w:cs="Times New Roman"/>
                <w:color w:val="000000"/>
                <w:sz w:val="24"/>
                <w:szCs w:val="24"/>
              </w:rPr>
            </w:pPr>
          </w:p>
        </w:tc>
      </w:tr>
      <w:tr w14:paraId="2C7A8C5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BF63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957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C72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C09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6EB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6D1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A65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EE31">
            <w:pPr>
              <w:rPr>
                <w:rFonts w:ascii="Times New Roman" w:hAnsi="Times New Roman" w:eastAsia="仿宋_GB2312" w:cs="Times New Roman"/>
                <w:color w:val="000000"/>
                <w:sz w:val="24"/>
                <w:szCs w:val="24"/>
              </w:rPr>
            </w:pPr>
          </w:p>
        </w:tc>
      </w:tr>
      <w:tr w14:paraId="19040E1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652D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DB8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7F5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259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887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7A3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A80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33254">
            <w:pPr>
              <w:rPr>
                <w:rFonts w:ascii="Times New Roman" w:hAnsi="Times New Roman" w:eastAsia="仿宋_GB2312" w:cs="Times New Roman"/>
                <w:color w:val="000000"/>
                <w:sz w:val="24"/>
                <w:szCs w:val="24"/>
              </w:rPr>
            </w:pPr>
          </w:p>
        </w:tc>
      </w:tr>
    </w:tbl>
    <w:p w14:paraId="7475ED8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FFD8B41">
      <w:pPr>
        <w:widowControl/>
        <w:jc w:val="left"/>
        <w:textAlignment w:val="center"/>
        <w:rPr>
          <w:rFonts w:ascii="Times New Roman" w:hAnsi="Times New Roman" w:eastAsia="仿宋_GB2312" w:cs="Times New Roman"/>
          <w:color w:val="000000"/>
          <w:kern w:val="0"/>
          <w:sz w:val="24"/>
          <w:szCs w:val="24"/>
          <w:lang w:bidi="ar"/>
        </w:rPr>
      </w:pPr>
    </w:p>
    <w:p w14:paraId="783C26A4">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1339F8C0">
      <w:pPr>
        <w:widowControl/>
        <w:jc w:val="center"/>
        <w:rPr>
          <w:rFonts w:ascii="Times New Roman" w:hAnsi="Times New Roman" w:eastAsia="方正小标宋_GBK" w:cs="Times New Roman"/>
          <w:color w:val="000000"/>
          <w:kern w:val="0"/>
          <w:sz w:val="36"/>
          <w:szCs w:val="36"/>
        </w:rPr>
      </w:pPr>
    </w:p>
    <w:p w14:paraId="1B8F2CB8">
      <w:pPr>
        <w:widowControl/>
        <w:spacing w:line="400" w:lineRule="exact"/>
        <w:textAlignment w:val="center"/>
        <w:rPr>
          <w:rFonts w:ascii="Times New Roman" w:hAnsi="Times New Roman" w:eastAsia="黑体" w:cs="Times New Roman"/>
          <w:color w:val="000000"/>
          <w:kern w:val="0"/>
          <w:sz w:val="36"/>
          <w:szCs w:val="36"/>
          <w:lang w:bidi="ar"/>
        </w:rPr>
      </w:pPr>
    </w:p>
    <w:p w14:paraId="63415A7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E3292D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89E6CD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怀化市征收安置事务中心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B8F226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665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2"/>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A546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098D9E0">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6981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6F0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0BD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98C1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DBFCE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D514B2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D4F0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8002A">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02D7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02A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B929D">
            <w:pPr>
              <w:jc w:val="center"/>
              <w:rPr>
                <w:rFonts w:ascii="Times New Roman" w:hAnsi="Times New Roman" w:eastAsia="仿宋_GB2312" w:cs="Times New Roman"/>
                <w:color w:val="000000"/>
                <w:sz w:val="24"/>
                <w:szCs w:val="24"/>
              </w:rPr>
            </w:pPr>
          </w:p>
        </w:tc>
      </w:tr>
      <w:tr w14:paraId="0C88F354">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D629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BB0F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178A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2976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D513A">
            <w:pPr>
              <w:jc w:val="center"/>
              <w:rPr>
                <w:rFonts w:ascii="Times New Roman" w:hAnsi="Times New Roman" w:eastAsia="仿宋_GB2312" w:cs="Times New Roman"/>
                <w:color w:val="000000"/>
                <w:sz w:val="24"/>
                <w:szCs w:val="24"/>
              </w:rPr>
            </w:pPr>
          </w:p>
        </w:tc>
      </w:tr>
      <w:tr w14:paraId="343A4BC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08BD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A961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5C9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60C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B34E58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0F1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0CC1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402E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0BA41">
            <w:pPr>
              <w:jc w:val="center"/>
              <w:rPr>
                <w:rFonts w:ascii="Times New Roman" w:hAnsi="Times New Roman" w:eastAsia="仿宋_GB2312" w:cs="Times New Roman"/>
                <w:color w:val="000000"/>
                <w:sz w:val="24"/>
                <w:szCs w:val="24"/>
              </w:rPr>
            </w:pPr>
          </w:p>
        </w:tc>
      </w:tr>
      <w:tr w14:paraId="4F34E0A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A04D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D3E86">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0663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6582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53128">
            <w:pPr>
              <w:rPr>
                <w:rFonts w:ascii="Times New Roman" w:hAnsi="Times New Roman" w:eastAsia="仿宋_GB2312" w:cs="Times New Roman"/>
                <w:color w:val="000000"/>
                <w:sz w:val="24"/>
                <w:szCs w:val="24"/>
              </w:rPr>
            </w:pPr>
          </w:p>
        </w:tc>
      </w:tr>
      <w:tr w14:paraId="2729261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84AB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F3B53">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C929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921F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CDEF7">
            <w:pPr>
              <w:rPr>
                <w:rFonts w:ascii="Times New Roman" w:hAnsi="Times New Roman" w:eastAsia="仿宋_GB2312" w:cs="Times New Roman"/>
                <w:color w:val="000000"/>
                <w:sz w:val="24"/>
                <w:szCs w:val="24"/>
              </w:rPr>
            </w:pPr>
          </w:p>
        </w:tc>
      </w:tr>
      <w:tr w14:paraId="44A4E97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E0A0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A3E16">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655D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FF49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62CA5">
            <w:pPr>
              <w:rPr>
                <w:rFonts w:ascii="Times New Roman" w:hAnsi="Times New Roman" w:eastAsia="宋体" w:cs="Times New Roman"/>
                <w:color w:val="000000"/>
                <w:sz w:val="24"/>
                <w:szCs w:val="24"/>
              </w:rPr>
            </w:pPr>
          </w:p>
        </w:tc>
      </w:tr>
      <w:tr w14:paraId="67D1475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7707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BFA1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F8E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F226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8C17A">
            <w:pPr>
              <w:rPr>
                <w:rFonts w:ascii="Times New Roman" w:hAnsi="Times New Roman" w:eastAsia="宋体" w:cs="Times New Roman"/>
                <w:color w:val="000000"/>
                <w:sz w:val="24"/>
                <w:szCs w:val="24"/>
              </w:rPr>
            </w:pPr>
          </w:p>
        </w:tc>
      </w:tr>
      <w:tr w14:paraId="7910C8E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AB38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4128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7416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4010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0D44A">
            <w:pPr>
              <w:rPr>
                <w:rFonts w:ascii="Times New Roman" w:hAnsi="Times New Roman" w:eastAsia="宋体" w:cs="Times New Roman"/>
                <w:color w:val="000000"/>
                <w:sz w:val="24"/>
                <w:szCs w:val="24"/>
              </w:rPr>
            </w:pPr>
          </w:p>
        </w:tc>
      </w:tr>
      <w:tr w14:paraId="1821121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B89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7B5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5A5B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C7AB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B70D7">
            <w:pPr>
              <w:rPr>
                <w:rFonts w:ascii="Times New Roman" w:hAnsi="Times New Roman" w:eastAsia="宋体" w:cs="Times New Roman"/>
                <w:color w:val="000000"/>
                <w:sz w:val="24"/>
                <w:szCs w:val="24"/>
              </w:rPr>
            </w:pPr>
          </w:p>
        </w:tc>
      </w:tr>
    </w:tbl>
    <w:p w14:paraId="6CE2E2A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1C9ED509">
      <w:pPr>
        <w:widowControl/>
        <w:jc w:val="left"/>
        <w:textAlignment w:val="center"/>
        <w:rPr>
          <w:rFonts w:ascii="Times New Roman" w:hAnsi="Times New Roman" w:eastAsia="宋体" w:cs="Times New Roman"/>
          <w:color w:val="000000"/>
          <w:kern w:val="0"/>
          <w:sz w:val="24"/>
          <w:szCs w:val="24"/>
          <w:lang w:bidi="ar"/>
        </w:rPr>
      </w:pPr>
    </w:p>
    <w:p w14:paraId="057A3C9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6A417604">
      <w:pPr>
        <w:widowControl/>
        <w:jc w:val="center"/>
        <w:rPr>
          <w:rFonts w:ascii="Times New Roman" w:hAnsi="Times New Roman" w:eastAsia="方正小标宋_GBK" w:cs="Times New Roman"/>
          <w:color w:val="000000"/>
          <w:kern w:val="0"/>
          <w:sz w:val="36"/>
          <w:szCs w:val="36"/>
        </w:rPr>
      </w:pPr>
    </w:p>
    <w:p w14:paraId="41FB3817">
      <w:pPr>
        <w:pStyle w:val="11"/>
        <w:spacing w:line="400" w:lineRule="exact"/>
        <w:rPr>
          <w:rFonts w:ascii="Times New Roman" w:hAnsi="Times New Roman" w:eastAsia="华文中宋" w:cs="Times New Roman"/>
          <w:color w:val="000000"/>
          <w:kern w:val="0"/>
          <w:sz w:val="32"/>
          <w:szCs w:val="32"/>
          <w:lang w:bidi="ar"/>
        </w:rPr>
      </w:pPr>
    </w:p>
    <w:p w14:paraId="58050E9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61FD54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662A83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怀化市征收安置事务中心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2"/>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5EDC92C">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C495D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BEFB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E1635BC">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3C32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53E0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4A9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307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F18B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917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136C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7ED8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4E79017">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6538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AA88E">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995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DD7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E3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F46EC">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172E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0D7D8">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A584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AB9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76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4CE74">
            <w:pPr>
              <w:jc w:val="center"/>
              <w:rPr>
                <w:rFonts w:ascii="Times New Roman" w:hAnsi="Times New Roman" w:eastAsia="仿宋_GB2312" w:cs="Times New Roman"/>
                <w:color w:val="000000"/>
                <w:sz w:val="22"/>
              </w:rPr>
            </w:pPr>
          </w:p>
        </w:tc>
      </w:tr>
      <w:tr w14:paraId="3CE8A3D2">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364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4A8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498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43F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B8B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A93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817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FCD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704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C33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185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C8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9183FFF">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5D46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2202E">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C071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4DFD4">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3532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8171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9813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BF78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9562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F689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5D1C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9D6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bl>
    <w:p w14:paraId="62D77579">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B331E3C">
      <w:pPr>
        <w:autoSpaceDE w:val="0"/>
        <w:autoSpaceDN w:val="0"/>
        <w:adjustRightInd w:val="0"/>
        <w:ind w:left="315" w:leftChars="150"/>
        <w:jc w:val="left"/>
        <w:rPr>
          <w:rFonts w:ascii="Times New Roman" w:hAnsi="Times New Roman" w:eastAsia="宋体" w:cs="Times New Roman"/>
          <w:kern w:val="0"/>
          <w:sz w:val="24"/>
          <w:szCs w:val="24"/>
        </w:rPr>
      </w:pPr>
    </w:p>
    <w:p w14:paraId="6BFDFF62">
      <w:pPr>
        <w:autoSpaceDE w:val="0"/>
        <w:autoSpaceDN w:val="0"/>
        <w:adjustRightInd w:val="0"/>
        <w:ind w:left="315" w:leftChars="150"/>
        <w:jc w:val="left"/>
        <w:rPr>
          <w:rFonts w:ascii="Times New Roman" w:hAnsi="Times New Roman" w:eastAsia="宋体" w:cs="Times New Roman"/>
          <w:kern w:val="0"/>
          <w:sz w:val="24"/>
          <w:szCs w:val="24"/>
        </w:rPr>
      </w:pPr>
    </w:p>
    <w:p w14:paraId="30DD7FB2">
      <w:pPr>
        <w:autoSpaceDE w:val="0"/>
        <w:autoSpaceDN w:val="0"/>
        <w:adjustRightInd w:val="0"/>
        <w:ind w:left="315" w:leftChars="150"/>
        <w:jc w:val="left"/>
        <w:rPr>
          <w:rFonts w:ascii="Times New Roman" w:hAnsi="Times New Roman" w:eastAsia="宋体" w:cs="Times New Roman"/>
          <w:kern w:val="0"/>
          <w:sz w:val="24"/>
          <w:szCs w:val="24"/>
        </w:rPr>
      </w:pPr>
    </w:p>
    <w:p w14:paraId="19FD0526">
      <w:pPr>
        <w:autoSpaceDE w:val="0"/>
        <w:autoSpaceDN w:val="0"/>
        <w:adjustRightInd w:val="0"/>
        <w:ind w:left="315" w:leftChars="150"/>
        <w:jc w:val="left"/>
        <w:rPr>
          <w:rFonts w:ascii="Times New Roman" w:hAnsi="Times New Roman" w:eastAsia="宋体" w:cs="Times New Roman"/>
          <w:kern w:val="0"/>
          <w:sz w:val="24"/>
          <w:szCs w:val="24"/>
        </w:rPr>
      </w:pPr>
    </w:p>
    <w:p w14:paraId="3A3791E8">
      <w:pPr>
        <w:autoSpaceDE w:val="0"/>
        <w:autoSpaceDN w:val="0"/>
        <w:adjustRightInd w:val="0"/>
        <w:ind w:left="315" w:leftChars="150"/>
        <w:jc w:val="left"/>
        <w:rPr>
          <w:rFonts w:ascii="Times New Roman" w:hAnsi="Times New Roman" w:eastAsia="宋体" w:cs="Times New Roman"/>
          <w:kern w:val="0"/>
          <w:sz w:val="24"/>
          <w:szCs w:val="24"/>
        </w:rPr>
      </w:pPr>
    </w:p>
    <w:p w14:paraId="188D5863">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B12FC8E">
      <w:pPr>
        <w:pStyle w:val="17"/>
        <w:rPr>
          <w:rFonts w:ascii="Times New Roman" w:hAnsi="Times New Roman" w:cs="Times New Roman"/>
          <w:sz w:val="72"/>
          <w:szCs w:val="72"/>
        </w:rPr>
      </w:pPr>
    </w:p>
    <w:p w14:paraId="196DFE31">
      <w:pPr>
        <w:pStyle w:val="17"/>
        <w:rPr>
          <w:rFonts w:ascii="Times New Roman" w:hAnsi="Times New Roman" w:cs="Times New Roman"/>
          <w:sz w:val="72"/>
          <w:szCs w:val="72"/>
        </w:rPr>
      </w:pPr>
    </w:p>
    <w:p w14:paraId="431692BE">
      <w:pPr>
        <w:pStyle w:val="17"/>
        <w:rPr>
          <w:rFonts w:ascii="Times New Roman" w:hAnsi="Times New Roman" w:cs="Times New Roman"/>
          <w:sz w:val="72"/>
          <w:szCs w:val="72"/>
        </w:rPr>
      </w:pPr>
    </w:p>
    <w:p w14:paraId="44140142">
      <w:pPr>
        <w:pStyle w:val="17"/>
        <w:jc w:val="center"/>
        <w:rPr>
          <w:rFonts w:ascii="Times New Roman" w:hAnsi="Times New Roman" w:cs="Times New Roman"/>
          <w:sz w:val="72"/>
          <w:szCs w:val="72"/>
        </w:rPr>
      </w:pPr>
    </w:p>
    <w:p w14:paraId="7DABFD07">
      <w:pPr>
        <w:pStyle w:val="17"/>
        <w:jc w:val="center"/>
        <w:rPr>
          <w:rFonts w:ascii="Times New Roman" w:hAnsi="Times New Roman" w:eastAsia="方正小标宋_GBK" w:cs="Times New Roman"/>
          <w:sz w:val="72"/>
          <w:szCs w:val="72"/>
        </w:rPr>
      </w:pPr>
    </w:p>
    <w:p w14:paraId="686A93E5">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F74954E">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DE3E4E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AC64E95">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D67561F">
      <w:pPr>
        <w:keepNext w:val="0"/>
        <w:keepLines w:val="0"/>
        <w:pageBreakBefore w:val="0"/>
        <w:widowControl/>
        <w:numPr>
          <w:ilvl w:val="0"/>
          <w:numId w:val="3"/>
        </w:numPr>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1212.10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104.09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9.39</w:t>
      </w:r>
      <w:r>
        <w:rPr>
          <w:rFonts w:ascii="Times New Roman" w:hAnsi="Times New Roman" w:eastAsia="仿宋_GB2312" w:cs="Times New Roman"/>
          <w:sz w:val="32"/>
          <w:szCs w:val="32"/>
        </w:rPr>
        <w:t>%，</w:t>
      </w:r>
      <w:r>
        <w:rPr>
          <w:rFonts w:hint="eastAsia" w:ascii="Times New Roman" w:hAnsi="Times New Roman" w:eastAsia="仿宋_GB2312"/>
          <w:sz w:val="32"/>
          <w:szCs w:val="32"/>
        </w:rPr>
        <w:t>主要是因为</w:t>
      </w:r>
      <w:r>
        <w:rPr>
          <w:rFonts w:hint="eastAsia" w:ascii="仿宋_GB2312" w:hAnsi="仿宋_GB2312" w:eastAsia="仿宋_GB2312" w:cs="仿宋_GB2312"/>
          <w:b w:val="0"/>
          <w:bCs w:val="0"/>
          <w:sz w:val="32"/>
          <w:szCs w:val="32"/>
          <w:lang w:eastAsia="zh-CN"/>
        </w:rPr>
        <w:t>本年度工资福利支出、商品和服务支出有所增加。</w:t>
      </w:r>
    </w:p>
    <w:p w14:paraId="69F93FE3">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工资、社保、单位正常运转等重点支出，体现在有关支出科目中。</w:t>
      </w:r>
    </w:p>
    <w:p w14:paraId="55FC5FF4">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2436657">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1212.10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1047.15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86.39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万元；其他收入</w:t>
      </w:r>
      <w:r>
        <w:rPr>
          <w:rFonts w:hint="eastAsia" w:ascii="Times New Roman" w:hAnsi="Times New Roman" w:eastAsia="仿宋_GB2312" w:cs="Times New Roman"/>
          <w:sz w:val="32"/>
          <w:szCs w:val="32"/>
          <w:lang w:val="en-US" w:eastAsia="zh-CN"/>
        </w:rPr>
        <w:t>164.95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13.61</w:t>
      </w:r>
      <w:r>
        <w:rPr>
          <w:rFonts w:ascii="Times New Roman" w:hAnsi="Times New Roman" w:eastAsia="仿宋_GB2312" w:cs="Times New Roman"/>
          <w:sz w:val="32"/>
          <w:szCs w:val="32"/>
        </w:rPr>
        <w:t>%。</w:t>
      </w:r>
    </w:p>
    <w:p w14:paraId="28DAF19B">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FCD0E35">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1212.10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1102.64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90.97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109.46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5FF8647D">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F00F212">
      <w:pPr>
        <w:keepNext w:val="0"/>
        <w:keepLines w:val="0"/>
        <w:pageBreakBefore w:val="0"/>
        <w:widowControl/>
        <w:numPr>
          <w:ilvl w:val="0"/>
          <w:numId w:val="3"/>
        </w:numPr>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1047.15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106.04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11.27</w:t>
      </w:r>
      <w:r>
        <w:rPr>
          <w:rFonts w:ascii="Times New Roman" w:hAnsi="Times New Roman" w:eastAsia="仿宋_GB2312" w:cs="Times New Roman"/>
          <w:sz w:val="32"/>
          <w:szCs w:val="32"/>
        </w:rPr>
        <w:t>%，主要是因为</w:t>
      </w:r>
      <w:r>
        <w:rPr>
          <w:rFonts w:hint="eastAsia" w:ascii="仿宋_GB2312" w:hAnsi="仿宋_GB2312" w:eastAsia="仿宋_GB2312" w:cs="仿宋_GB2312"/>
          <w:b w:val="0"/>
          <w:bCs w:val="0"/>
          <w:sz w:val="32"/>
          <w:szCs w:val="32"/>
          <w:lang w:eastAsia="zh-CN"/>
        </w:rPr>
        <w:t>本年度工资福利支出、商品和服务支出有所增加。</w:t>
      </w:r>
    </w:p>
    <w:p w14:paraId="1D7A2D60">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1A66F4B2">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A54208A">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F2102E1">
      <w:pPr>
        <w:keepNext w:val="0"/>
        <w:keepLines w:val="0"/>
        <w:pageBreakBefore w:val="0"/>
        <w:widowControl/>
        <w:numPr>
          <w:ilvl w:val="0"/>
          <w:numId w:val="3"/>
        </w:numPr>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1047.15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96.39</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106.04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11.27</w:t>
      </w:r>
      <w:r>
        <w:rPr>
          <w:rFonts w:ascii="Times New Roman" w:hAnsi="Times New Roman" w:eastAsia="仿宋_GB2312" w:cs="Times New Roman"/>
          <w:sz w:val="32"/>
          <w:szCs w:val="32"/>
        </w:rPr>
        <w:t>%，主要是因为</w:t>
      </w:r>
      <w:r>
        <w:rPr>
          <w:rFonts w:hint="eastAsia" w:ascii="仿宋_GB2312" w:hAnsi="仿宋_GB2312" w:eastAsia="仿宋_GB2312" w:cs="仿宋_GB2312"/>
          <w:b w:val="0"/>
          <w:bCs w:val="0"/>
          <w:sz w:val="32"/>
          <w:szCs w:val="32"/>
          <w:lang w:eastAsia="zh-CN"/>
        </w:rPr>
        <w:t>本年度工资福利支出、商品和服务支出有所增加。</w:t>
      </w:r>
    </w:p>
    <w:p w14:paraId="0D7983CB">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5B46046">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1047.15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w:t>
      </w:r>
      <w:r>
        <w:rPr>
          <w:rFonts w:hint="eastAsia" w:ascii="Times New Roman" w:hAnsi="Times New Roman" w:eastAsia="仿宋_GB2312"/>
          <w:sz w:val="32"/>
          <w:szCs w:val="32"/>
        </w:rPr>
        <w:t>教育（类）支出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万元；社会保障和就业（类）支出</w:t>
      </w:r>
      <w:r>
        <w:rPr>
          <w:rFonts w:hint="eastAsia" w:ascii="Times New Roman" w:hAnsi="Times New Roman" w:eastAsia="仿宋_GB2312"/>
          <w:sz w:val="32"/>
          <w:szCs w:val="32"/>
          <w:lang w:val="en-US" w:eastAsia="zh-CN"/>
        </w:rPr>
        <w:t>89.91</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8.59</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val="en-US" w:eastAsia="zh-CN"/>
        </w:rPr>
        <w:t>38.51</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3.68</w:t>
      </w:r>
      <w:r>
        <w:rPr>
          <w:rFonts w:hint="eastAsia" w:ascii="Times New Roman" w:hAnsi="Times New Roman" w:eastAsia="仿宋_GB2312"/>
          <w:sz w:val="32"/>
          <w:szCs w:val="32"/>
        </w:rPr>
        <w:t>%；城乡社区（类）支出</w:t>
      </w:r>
      <w:r>
        <w:rPr>
          <w:rFonts w:hint="eastAsia" w:ascii="Times New Roman" w:hAnsi="Times New Roman" w:eastAsia="仿宋_GB2312"/>
          <w:sz w:val="32"/>
          <w:szCs w:val="32"/>
          <w:lang w:val="en-US" w:eastAsia="zh-CN"/>
        </w:rPr>
        <w:t>870.21</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93.10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住房保障（类）支出</w:t>
      </w:r>
      <w:r>
        <w:rPr>
          <w:rFonts w:hint="eastAsia" w:ascii="Times New Roman" w:hAnsi="Times New Roman" w:eastAsia="仿宋_GB2312"/>
          <w:sz w:val="32"/>
          <w:szCs w:val="32"/>
          <w:lang w:val="en-US" w:eastAsia="zh-CN"/>
        </w:rPr>
        <w:t>4.51万元，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0.43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4ED24181">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EBE55FF">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976.50</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1047.15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107.24</w:t>
      </w:r>
      <w:r>
        <w:rPr>
          <w:rFonts w:ascii="Times New Roman" w:hAnsi="Times New Roman" w:eastAsia="仿宋_GB2312" w:cs="Times New Roman"/>
          <w:sz w:val="32"/>
          <w:szCs w:val="32"/>
        </w:rPr>
        <w:t>%，其中：</w:t>
      </w:r>
    </w:p>
    <w:p w14:paraId="5CD2E76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sz w:val="32"/>
          <w:szCs w:val="32"/>
        </w:rPr>
        <w:t>其他一般公共服务支出</w:t>
      </w:r>
      <w:r>
        <w:rPr>
          <w:rFonts w:ascii="Times New Roman" w:hAnsi="Times New Roman" w:eastAsia="仿宋_GB2312" w:cs="Times New Roman"/>
          <w:sz w:val="32"/>
          <w:szCs w:val="32"/>
        </w:rPr>
        <w:t>（项）。</w:t>
      </w:r>
    </w:p>
    <w:p w14:paraId="08313FAC">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万元，</w:t>
      </w:r>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本年度接收到资金指标的功能分类放在该类。</w:t>
      </w:r>
    </w:p>
    <w:p w14:paraId="415D6B66">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rPr>
        <w:t>社会保障和就业支出（类）行政事业单位养老支出（款）机关事业单位基本养老保险缴费支出（项）。</w:t>
      </w:r>
    </w:p>
    <w:p w14:paraId="00F5F54D">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91.87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89.91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97.87</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本年度有退休人员（退休人员只需缴纳大病互助）。</w:t>
      </w:r>
    </w:p>
    <w:p w14:paraId="261E280B">
      <w:pPr>
        <w:pStyle w:val="17"/>
        <w:numPr>
          <w:ilvl w:val="0"/>
          <w:numId w:val="4"/>
        </w:numPr>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仿宋_GB2312" w:hAnsi="仿宋_GB2312" w:eastAsia="仿宋_GB2312" w:cs="仿宋_GB2312"/>
          <w:sz w:val="32"/>
          <w:szCs w:val="32"/>
          <w:lang w:val="en-US" w:eastAsia="zh-CN"/>
        </w:rPr>
        <w:t>卫生健康支出</w:t>
      </w:r>
      <w:r>
        <w:rPr>
          <w:rFonts w:hint="eastAsia" w:ascii="Times New Roman" w:hAnsi="Times New Roman" w:eastAsia="仿宋_GB2312"/>
          <w:sz w:val="32"/>
          <w:szCs w:val="32"/>
        </w:rPr>
        <w:t>（类）行政事业单位医疗（款）行政单位医疗（项）。</w:t>
      </w:r>
    </w:p>
    <w:p w14:paraId="7A9B1F79">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无法计算百分比。</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cs="Times New Roman"/>
          <w:sz w:val="32"/>
          <w:szCs w:val="32"/>
          <w:lang w:eastAsia="zh-CN"/>
        </w:rPr>
        <w:t>本年度接收到资金指标的功能分类放在该类。</w:t>
      </w:r>
    </w:p>
    <w:p w14:paraId="2E304D94">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eastAsia" w:ascii="仿宋_GB2312" w:hAnsi="仿宋_GB2312" w:eastAsia="仿宋_GB2312" w:cs="仿宋_GB2312"/>
          <w:sz w:val="32"/>
          <w:szCs w:val="32"/>
          <w:lang w:val="en-US" w:eastAsia="zh-CN"/>
        </w:rPr>
        <w:t>卫生健康支出</w:t>
      </w:r>
      <w:r>
        <w:rPr>
          <w:rFonts w:hint="eastAsia" w:ascii="Times New Roman" w:hAnsi="Times New Roman" w:eastAsia="仿宋_GB2312"/>
          <w:sz w:val="32"/>
          <w:szCs w:val="32"/>
        </w:rPr>
        <w:t>（类）行政事业单位医疗（款）</w:t>
      </w:r>
      <w:r>
        <w:rPr>
          <w:rFonts w:hint="eastAsia" w:ascii="Times New Roman" w:hAnsi="Times New Roman" w:eastAsia="仿宋_GB2312"/>
          <w:sz w:val="32"/>
          <w:szCs w:val="32"/>
          <w:lang w:eastAsia="zh-CN"/>
        </w:rPr>
        <w:t>事业</w:t>
      </w:r>
      <w:r>
        <w:rPr>
          <w:rFonts w:hint="eastAsia" w:ascii="Times New Roman" w:hAnsi="Times New Roman" w:eastAsia="仿宋_GB2312"/>
          <w:sz w:val="32"/>
          <w:szCs w:val="32"/>
        </w:rPr>
        <w:t>单位医疗（项）。</w:t>
      </w:r>
    </w:p>
    <w:p w14:paraId="27E62245">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36.89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36.89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完成年初预算数的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，该项支出严格按照年初预算执行。</w:t>
      </w:r>
    </w:p>
    <w:p w14:paraId="20CCFFE4">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cs="Times New Roman"/>
          <w:sz w:val="32"/>
          <w:szCs w:val="32"/>
          <w:lang w:val="en-US" w:eastAsia="zh-CN"/>
        </w:rPr>
        <w:t>5、</w:t>
      </w:r>
      <w:r>
        <w:rPr>
          <w:rFonts w:hint="eastAsia" w:ascii="仿宋_GB2312" w:hAnsi="仿宋_GB2312" w:eastAsia="仿宋_GB2312" w:cs="仿宋_GB2312"/>
          <w:sz w:val="32"/>
          <w:szCs w:val="32"/>
          <w:lang w:val="en-US" w:eastAsia="zh-CN"/>
        </w:rPr>
        <w:t>城乡社区支出</w:t>
      </w:r>
      <w:r>
        <w:rPr>
          <w:rFonts w:hint="eastAsia" w:ascii="Times New Roman" w:hAnsi="Times New Roman" w:eastAsia="仿宋_GB2312"/>
          <w:sz w:val="32"/>
          <w:szCs w:val="32"/>
        </w:rPr>
        <w:t>（类）城乡社区管理事务（款）行政运行（项）。</w:t>
      </w:r>
    </w:p>
    <w:p w14:paraId="51DCC9CB">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847.74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810.89</w:t>
      </w:r>
      <w:r>
        <w:rPr>
          <w:rFonts w:hint="eastAsia" w:ascii="Times New Roman" w:hAnsi="Times New Roman" w:eastAsia="仿宋_GB2312"/>
          <w:sz w:val="32"/>
          <w:szCs w:val="32"/>
        </w:rPr>
        <w:t>万元，完成年初预算</w:t>
      </w:r>
      <w:r>
        <w:rPr>
          <w:rFonts w:hint="eastAsia" w:ascii="Times New Roman" w:hAnsi="Times New Roman" w:eastAsia="仿宋_GB2312"/>
          <w:sz w:val="32"/>
          <w:szCs w:val="32"/>
          <w:lang w:eastAsia="zh-CN"/>
        </w:rPr>
        <w:t>数</w:t>
      </w:r>
      <w:r>
        <w:rPr>
          <w:rFonts w:hint="eastAsia" w:ascii="Times New Roman" w:hAnsi="Times New Roman" w:eastAsia="仿宋_GB2312"/>
          <w:sz w:val="32"/>
          <w:szCs w:val="32"/>
        </w:rPr>
        <w:t>的</w:t>
      </w:r>
      <w:r>
        <w:rPr>
          <w:rFonts w:hint="eastAsia" w:ascii="Times New Roman" w:hAnsi="Times New Roman" w:eastAsia="仿宋_GB2312"/>
          <w:sz w:val="32"/>
          <w:szCs w:val="32"/>
          <w:lang w:val="en-US" w:eastAsia="zh-CN"/>
        </w:rPr>
        <w:t>95.65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仿宋_GB2312" w:hAnsi="仿宋_GB2312" w:eastAsia="仿宋_GB2312" w:cs="仿宋_GB2312"/>
          <w:sz w:val="32"/>
          <w:szCs w:val="32"/>
          <w:lang w:eastAsia="zh-CN"/>
        </w:rPr>
        <w:t>实际发生的该类收入减少，从而导致该类支出减少。</w:t>
      </w:r>
    </w:p>
    <w:p w14:paraId="304BAC02">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cs="Times New Roman"/>
          <w:sz w:val="32"/>
          <w:szCs w:val="32"/>
          <w:lang w:val="en-US" w:eastAsia="zh-CN"/>
        </w:rPr>
        <w:t>6、</w:t>
      </w:r>
      <w:r>
        <w:rPr>
          <w:rFonts w:hint="eastAsia" w:ascii="仿宋_GB2312" w:hAnsi="仿宋_GB2312" w:eastAsia="仿宋_GB2312" w:cs="仿宋_GB2312"/>
          <w:sz w:val="32"/>
          <w:szCs w:val="32"/>
          <w:lang w:val="en-US" w:eastAsia="zh-CN"/>
        </w:rPr>
        <w:t>城乡社区支出</w:t>
      </w:r>
      <w:r>
        <w:rPr>
          <w:rFonts w:hint="eastAsia" w:ascii="Times New Roman" w:hAnsi="Times New Roman" w:eastAsia="仿宋_GB2312"/>
          <w:sz w:val="32"/>
          <w:szCs w:val="32"/>
        </w:rPr>
        <w:t>（类）城乡社区管理事务（款） 一般行政管理事务（项）。</w:t>
      </w:r>
    </w:p>
    <w:p w14:paraId="179DDE9F">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59.33</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无法计算百分比。</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仿宋_GB2312" w:hAnsi="仿宋_GB2312" w:eastAsia="仿宋_GB2312" w:cs="仿宋_GB2312"/>
          <w:sz w:val="32"/>
          <w:szCs w:val="32"/>
          <w:lang w:eastAsia="zh-CN"/>
        </w:rPr>
        <w:t>实际发生的该类收入增加，从而导致该类支出增加。</w:t>
      </w:r>
    </w:p>
    <w:p w14:paraId="75D54D40">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w:t>
      </w:r>
      <w:r>
        <w:rPr>
          <w:rFonts w:hint="eastAsia" w:ascii="仿宋_GB2312" w:hAnsi="仿宋_GB2312" w:eastAsia="仿宋_GB2312" w:cs="仿宋_GB2312"/>
          <w:sz w:val="32"/>
          <w:szCs w:val="32"/>
          <w:lang w:val="en-US" w:eastAsia="zh-CN"/>
        </w:rPr>
        <w:t>住房保障支出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住房改革支出</w:t>
      </w:r>
      <w:r>
        <w:rPr>
          <w:rFonts w:hint="eastAsia" w:ascii="Times New Roman" w:hAnsi="Times New Roman" w:eastAsia="仿宋_GB2312"/>
          <w:sz w:val="32"/>
          <w:szCs w:val="32"/>
        </w:rPr>
        <w:t xml:space="preserve">（款） </w:t>
      </w:r>
      <w:r>
        <w:rPr>
          <w:rFonts w:hint="eastAsia" w:ascii="Times New Roman" w:hAnsi="Times New Roman" w:eastAsia="仿宋_GB2312"/>
          <w:sz w:val="32"/>
          <w:szCs w:val="32"/>
          <w:lang w:eastAsia="zh-CN"/>
        </w:rPr>
        <w:t>住房公积金</w:t>
      </w:r>
      <w:r>
        <w:rPr>
          <w:rFonts w:hint="eastAsia" w:ascii="Times New Roman" w:hAnsi="Times New Roman" w:eastAsia="仿宋_GB2312"/>
          <w:sz w:val="32"/>
          <w:szCs w:val="32"/>
        </w:rPr>
        <w:t>（项）。</w:t>
      </w:r>
    </w:p>
    <w:p w14:paraId="2AF27BD4">
      <w:pPr>
        <w:pStyle w:val="17"/>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4.51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无法计算百分比。</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仿宋_GB2312" w:hAnsi="仿宋_GB2312" w:eastAsia="仿宋_GB2312" w:cs="仿宋_GB2312"/>
          <w:sz w:val="32"/>
          <w:szCs w:val="32"/>
          <w:lang w:eastAsia="zh-CN"/>
        </w:rPr>
        <w:t>实际发生的该类收入增加，从而导致该类支出增加。</w:t>
      </w:r>
    </w:p>
    <w:p w14:paraId="376868D9">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4DB26A6">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937.69</w:t>
      </w:r>
      <w:r>
        <w:rPr>
          <w:rFonts w:ascii="Times New Roman" w:hAnsi="Times New Roman" w:eastAsia="仿宋_GB2312" w:cs="Times New Roman"/>
          <w:sz w:val="32"/>
          <w:szCs w:val="32"/>
        </w:rPr>
        <w:t>万元，其中：</w:t>
      </w:r>
    </w:p>
    <w:p w14:paraId="52C77DB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854.38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91.12</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机关事业单位基本养老保险缴费、职工基本医疗保险缴费、其他社会保障缴费</w:t>
      </w:r>
      <w:r>
        <w:rPr>
          <w:rFonts w:hint="eastAsia" w:ascii="Times New Roman" w:hAnsi="Times New Roman" w:eastAsia="仿宋_GB2312"/>
          <w:sz w:val="32"/>
          <w:szCs w:val="32"/>
          <w:lang w:eastAsia="zh-CN"/>
        </w:rPr>
        <w:t>、住房公积金、对个人和家庭的补助支出等</w:t>
      </w:r>
      <w:r>
        <w:rPr>
          <w:rFonts w:ascii="Times New Roman" w:hAnsi="Times New Roman" w:eastAsia="仿宋_GB2312" w:cs="Times New Roman"/>
          <w:sz w:val="32"/>
          <w:szCs w:val="32"/>
        </w:rPr>
        <w:t>。</w:t>
      </w:r>
    </w:p>
    <w:p w14:paraId="248C25F8">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83.31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8.88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邮电费、差旅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培训</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工会经</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、车补、其他商品和服务支出等</w:t>
      </w:r>
      <w:r>
        <w:rPr>
          <w:rFonts w:ascii="Times New Roman" w:hAnsi="Times New Roman" w:eastAsia="仿宋_GB2312" w:cs="Times New Roman"/>
          <w:sz w:val="32"/>
          <w:szCs w:val="32"/>
        </w:rPr>
        <w:t>。</w:t>
      </w:r>
    </w:p>
    <w:p w14:paraId="47559C1C">
      <w:pPr>
        <w:pStyle w:val="17"/>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0D72E354">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F8B58E7">
      <w:pPr>
        <w:pStyle w:val="17"/>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lang w:eastAsia="zh-CN"/>
        </w:rPr>
        <w:t>由于支出决算数为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无法计算百分比</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cs="仿宋_GB2312"/>
          <w:sz w:val="32"/>
          <w:szCs w:val="32"/>
          <w:lang w:eastAsia="zh-CN"/>
        </w:rPr>
        <w:t>我单位始终坚持厉行节约原则，严格控制“三公”经费的支出</w:t>
      </w:r>
      <w:r>
        <w:rPr>
          <w:rFonts w:ascii="Times New Roman" w:hAnsi="Times New Roman" w:eastAsia="仿宋_GB2312" w:cs="Times New Roman"/>
          <w:sz w:val="32"/>
          <w:szCs w:val="32"/>
        </w:rPr>
        <w:t>。</w:t>
      </w:r>
    </w:p>
    <w:p w14:paraId="62A38728">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86BE292">
      <w:pPr>
        <w:pStyle w:val="17"/>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eastAsia="zh-CN"/>
        </w:rPr>
        <w:t>由于预算数和支出决算数都为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无法计算百分比。</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Times New Roman" w:hAnsi="Times New Roman" w:eastAsia="仿宋_GB2312"/>
          <w:sz w:val="32"/>
          <w:szCs w:val="32"/>
        </w:rPr>
        <w:t>预算数的主要原因是</w:t>
      </w:r>
      <w:r>
        <w:rPr>
          <w:rFonts w:hint="eastAsia" w:ascii="Times New Roman" w:hAnsi="Times New Roman" w:eastAsia="仿宋_GB2312"/>
          <w:sz w:val="32"/>
          <w:szCs w:val="32"/>
          <w:lang w:eastAsia="zh-CN"/>
        </w:rPr>
        <w:t>我单位没有该项开支内容</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保持一致，我单位没有该项开支内容</w:t>
      </w:r>
      <w:r>
        <w:rPr>
          <w:rFonts w:hint="eastAsia" w:ascii="Times New Roman" w:hAnsi="Times New Roman" w:eastAsia="仿宋_GB2312"/>
          <w:sz w:val="32"/>
          <w:szCs w:val="32"/>
        </w:rPr>
        <w:t>。</w:t>
      </w:r>
    </w:p>
    <w:p w14:paraId="03A8B4C3">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3.38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eastAsia="zh-CN"/>
        </w:rPr>
        <w:t>由于支出决算数为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无法计算百分比</w:t>
      </w:r>
      <w:r>
        <w:rPr>
          <w:rFonts w:ascii="Times New Roman" w:hAnsi="Times New Roman" w:eastAsia="仿宋_GB2312" w:cs="Times New Roman"/>
          <w:sz w:val="32"/>
          <w:szCs w:val="32"/>
        </w:rPr>
        <w:t>。其中：</w:t>
      </w:r>
    </w:p>
    <w:p w14:paraId="5B1DC1EB">
      <w:pPr>
        <w:pStyle w:val="17"/>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lang w:eastAsia="zh-CN"/>
        </w:rPr>
        <w:t>由于预算数和支出决算数都为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无法计算百分比。</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Times New Roman" w:hAnsi="Times New Roman" w:eastAsia="仿宋_GB2312"/>
          <w:sz w:val="32"/>
          <w:szCs w:val="32"/>
        </w:rPr>
        <w:t>预算数的主要原因是</w:t>
      </w:r>
      <w:r>
        <w:rPr>
          <w:rFonts w:hint="eastAsia" w:ascii="Times New Roman" w:hAnsi="Times New Roman" w:eastAsia="仿宋_GB2312"/>
          <w:sz w:val="32"/>
          <w:szCs w:val="32"/>
          <w:lang w:eastAsia="zh-CN"/>
        </w:rPr>
        <w:t>我单位没有该项开支内容</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保持一致</w:t>
      </w:r>
      <w:r>
        <w:rPr>
          <w:rFonts w:hint="eastAsia" w:ascii="Times New Roman" w:hAnsi="Times New Roman" w:eastAsia="仿宋_GB2312"/>
          <w:sz w:val="32"/>
          <w:szCs w:val="32"/>
        </w:rPr>
        <w:t>。</w:t>
      </w:r>
    </w:p>
    <w:p w14:paraId="23706429">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3.38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eastAsia="zh-CN"/>
        </w:rPr>
        <w:t>由于支出决算数为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无法计算百分比</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我单位严格把控“三公”经费的开支</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2FEAB5E7">
      <w:pPr>
        <w:pStyle w:val="17"/>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由于支出决算数为</w:t>
      </w:r>
      <w:r>
        <w:rPr>
          <w:rFonts w:hint="eastAsia" w:ascii="Times New Roman" w:hAnsi="Times New Roman" w:eastAsia="仿宋_GB2312" w:cs="Times New Roman"/>
          <w:sz w:val="32"/>
          <w:szCs w:val="32"/>
          <w:lang w:val="en-US" w:eastAsia="zh-CN"/>
        </w:rPr>
        <w:t>0，无法计算百分比</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我单位严格把控“三公”经费的开支</w:t>
      </w:r>
      <w:r>
        <w:rPr>
          <w:rFonts w:ascii="Times New Roman" w:hAnsi="Times New Roman" w:eastAsia="仿宋_GB2312" w:cs="Times New Roman"/>
          <w:sz w:val="32"/>
          <w:szCs w:val="32"/>
        </w:rPr>
        <w:t>。</w:t>
      </w:r>
    </w:p>
    <w:p w14:paraId="00081D74">
      <w:pPr>
        <w:pStyle w:val="17"/>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B5EB60F">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（本单位无政府性基金收支）</w:t>
      </w:r>
    </w:p>
    <w:p w14:paraId="5155AA7F">
      <w:pPr>
        <w:autoSpaceDE w:val="0"/>
        <w:autoSpaceDN w:val="0"/>
        <w:adjustRightInd w:val="0"/>
        <w:spacing w:line="500" w:lineRule="exact"/>
        <w:ind w:firstLine="640" w:firstLineChars="200"/>
        <w:jc w:val="left"/>
        <w:rPr>
          <w:rFonts w:hint="eastAsia" w:ascii="黑体" w:hAnsi="黑体" w:eastAsia="黑体" w:cs="黑体"/>
          <w:color w:val="000000"/>
          <w:kern w:val="0"/>
          <w:sz w:val="32"/>
          <w:szCs w:val="32"/>
        </w:rPr>
      </w:pPr>
      <w:r>
        <w:rPr>
          <w:rFonts w:hint="eastAsia" w:ascii="黑体" w:hAnsi="黑体" w:eastAsia="黑体" w:cs="黑体"/>
          <w:sz w:val="32"/>
          <w:szCs w:val="32"/>
          <w:lang w:val="en-US" w:eastAsia="zh-CN"/>
        </w:rPr>
        <w:t>九、国有资本经营预算财政拨款支出</w:t>
      </w:r>
      <w:r>
        <w:rPr>
          <w:rFonts w:hint="eastAsia" w:ascii="黑体" w:hAnsi="黑体" w:eastAsia="黑体" w:cs="黑体"/>
          <w:sz w:val="32"/>
          <w:szCs w:val="32"/>
        </w:rPr>
        <w:t>决算情况</w:t>
      </w:r>
      <w:r>
        <w:rPr>
          <w:rFonts w:hint="eastAsia" w:ascii="黑体" w:hAnsi="黑体" w:eastAsia="黑体" w:cs="黑体"/>
          <w:sz w:val="32"/>
          <w:szCs w:val="32"/>
          <w:lang w:val="en-US" w:eastAsia="zh-CN"/>
        </w:rPr>
        <w:t>说明</w:t>
      </w:r>
    </w:p>
    <w:p w14:paraId="0003ECD3">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仿宋_GB2312" w:hAnsi="仿宋_GB2312" w:eastAsia="仿宋_GB2312" w:cs="仿宋_GB2312"/>
          <w:b w:val="0"/>
          <w:bCs w:val="0"/>
          <w:color w:val="auto"/>
          <w:sz w:val="32"/>
          <w:szCs w:val="32"/>
          <w:highlight w:val="none"/>
          <w:lang w:val="en-US" w:eastAsia="zh-CN"/>
        </w:rPr>
        <w:t>2025</w:t>
      </w:r>
      <w:r>
        <w:rPr>
          <w:rFonts w:hint="eastAsia" w:ascii="仿宋_GB2312" w:hAnsi="仿宋_GB2312" w:eastAsia="仿宋_GB2312" w:cs="仿宋_GB2312"/>
          <w:b w:val="0"/>
          <w:bCs w:val="0"/>
          <w:color w:val="auto"/>
          <w:sz w:val="32"/>
          <w:szCs w:val="32"/>
          <w:highlight w:val="none"/>
        </w:rPr>
        <w:t>年度</w:t>
      </w:r>
      <w:r>
        <w:rPr>
          <w:rFonts w:hint="eastAsia" w:ascii="仿宋_GB2312" w:hAnsi="仿宋_GB2312" w:eastAsia="仿宋_GB2312" w:cs="仿宋_GB2312"/>
          <w:b w:val="0"/>
          <w:bCs w:val="0"/>
          <w:sz w:val="32"/>
          <w:szCs w:val="32"/>
          <w:highlight w:val="none"/>
          <w:lang w:val="en-US" w:eastAsia="zh-CN"/>
        </w:rPr>
        <w:t>国有资本经营预算财政拨款支出0</w:t>
      </w:r>
      <w:r>
        <w:rPr>
          <w:rFonts w:hint="eastAsia" w:ascii="仿宋_GB2312" w:hAnsi="仿宋_GB2312" w:eastAsia="仿宋_GB2312" w:cs="仿宋_GB2312"/>
          <w:b w:val="0"/>
          <w:bCs w:val="0"/>
          <w:color w:val="auto"/>
          <w:sz w:val="32"/>
          <w:szCs w:val="32"/>
          <w:highlight w:val="none"/>
        </w:rPr>
        <w:t>万元；支出</w:t>
      </w:r>
      <w:r>
        <w:rPr>
          <w:rFonts w:hint="eastAsia" w:ascii="仿宋_GB2312" w:hAnsi="仿宋_GB2312" w:eastAsia="仿宋_GB2312" w:cs="仿宋_GB2312"/>
          <w:b w:val="0"/>
          <w:bCs w:val="0"/>
          <w:color w:val="auto"/>
          <w:sz w:val="32"/>
          <w:szCs w:val="32"/>
          <w:highlight w:val="none"/>
          <w:lang w:val="en-US" w:eastAsia="zh-CN"/>
        </w:rPr>
        <w:t>0</w:t>
      </w:r>
      <w:r>
        <w:rPr>
          <w:rFonts w:hint="eastAsia" w:ascii="仿宋_GB2312" w:hAnsi="仿宋_GB2312" w:eastAsia="仿宋_GB2312" w:cs="仿宋_GB2312"/>
          <w:b w:val="0"/>
          <w:bCs w:val="0"/>
          <w:color w:val="auto"/>
          <w:sz w:val="32"/>
          <w:szCs w:val="32"/>
          <w:highlight w:val="none"/>
        </w:rPr>
        <w:t>万元，其中基本支出</w:t>
      </w:r>
      <w:r>
        <w:rPr>
          <w:rFonts w:hint="eastAsia" w:ascii="仿宋_GB2312" w:hAnsi="仿宋_GB2312" w:eastAsia="仿宋_GB2312" w:cs="仿宋_GB2312"/>
          <w:b w:val="0"/>
          <w:bCs w:val="0"/>
          <w:color w:val="auto"/>
          <w:sz w:val="32"/>
          <w:szCs w:val="32"/>
          <w:highlight w:val="none"/>
          <w:lang w:val="en-US" w:eastAsia="zh-CN"/>
        </w:rPr>
        <w:t>0</w:t>
      </w:r>
      <w:r>
        <w:rPr>
          <w:rFonts w:hint="eastAsia" w:ascii="仿宋_GB2312" w:hAnsi="仿宋_GB2312" w:eastAsia="仿宋_GB2312" w:cs="仿宋_GB2312"/>
          <w:b w:val="0"/>
          <w:bCs w:val="0"/>
          <w:color w:val="auto"/>
          <w:sz w:val="32"/>
          <w:szCs w:val="32"/>
          <w:highlight w:val="none"/>
        </w:rPr>
        <w:t>万元，项目支出</w:t>
      </w:r>
      <w:r>
        <w:rPr>
          <w:rFonts w:hint="eastAsia" w:ascii="仿宋_GB2312" w:hAnsi="仿宋_GB2312" w:eastAsia="仿宋_GB2312" w:cs="仿宋_GB2312"/>
          <w:b w:val="0"/>
          <w:bCs w:val="0"/>
          <w:color w:val="auto"/>
          <w:sz w:val="32"/>
          <w:szCs w:val="32"/>
          <w:highlight w:val="none"/>
          <w:lang w:val="en-US" w:eastAsia="zh-CN"/>
        </w:rPr>
        <w:t>0</w:t>
      </w:r>
      <w:r>
        <w:rPr>
          <w:rFonts w:hint="eastAsia" w:ascii="仿宋_GB2312" w:hAnsi="仿宋_GB2312" w:eastAsia="仿宋_GB2312" w:cs="仿宋_GB2312"/>
          <w:b w:val="0"/>
          <w:bCs w:val="0"/>
          <w:color w:val="auto"/>
          <w:sz w:val="32"/>
          <w:szCs w:val="32"/>
          <w:highlight w:val="none"/>
        </w:rPr>
        <w:t>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即</w:t>
      </w:r>
      <w:r>
        <w:rPr>
          <w:rFonts w:hint="eastAsia" w:ascii="仿宋_GB2312" w:hAnsi="仿宋_GB2312" w:eastAsia="仿宋_GB2312" w:cs="仿宋_GB2312"/>
          <w:b w:val="0"/>
          <w:bCs w:val="0"/>
          <w:color w:val="auto"/>
          <w:sz w:val="32"/>
          <w:szCs w:val="32"/>
          <w:highlight w:val="none"/>
        </w:rPr>
        <w:t>本单位无</w:t>
      </w:r>
      <w:r>
        <w:rPr>
          <w:rFonts w:hint="eastAsia" w:ascii="仿宋_GB2312" w:hAnsi="仿宋_GB2312" w:eastAsia="仿宋_GB2312" w:cs="仿宋_GB2312"/>
          <w:b w:val="0"/>
          <w:bCs w:val="0"/>
          <w:sz w:val="32"/>
          <w:szCs w:val="32"/>
          <w:highlight w:val="none"/>
          <w:lang w:val="en-US" w:eastAsia="zh-CN"/>
        </w:rPr>
        <w:t>国有资本经营预算财政拨款支出</w:t>
      </w:r>
      <w:r>
        <w:rPr>
          <w:rFonts w:hint="eastAsia" w:ascii="仿宋_GB2312" w:hAnsi="仿宋_GB2312" w:eastAsia="仿宋_GB2312" w:cs="仿宋_GB2312"/>
          <w:sz w:val="32"/>
          <w:szCs w:val="32"/>
        </w:rPr>
        <w:t>。</w:t>
      </w:r>
    </w:p>
    <w:p w14:paraId="08ED5400">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1DB9B1F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83.31</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12.68</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13.21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差旅费、维修费、工会经费、福利费、车补、其他商品和服务支出相应减少，特别是我单位的“三公”经费的开支为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落实过紧日子要求</w:t>
      </w:r>
      <w:r>
        <w:rPr>
          <w:rFonts w:ascii="Times New Roman" w:hAnsi="Times New Roman" w:eastAsia="仿宋_GB2312" w:cs="Times New Roman"/>
          <w:sz w:val="32"/>
          <w:szCs w:val="32"/>
        </w:rPr>
        <w:t>。</w:t>
      </w:r>
    </w:p>
    <w:p w14:paraId="157D7450">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2B048BAC">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1.30</w:t>
      </w:r>
      <w:r>
        <w:rPr>
          <w:rFonts w:ascii="Times New Roman" w:hAnsi="Times New Roman" w:eastAsia="仿宋_GB2312" w:cs="Times New Roman"/>
          <w:sz w:val="32"/>
          <w:szCs w:val="32"/>
        </w:rPr>
        <w:t>万元，</w:t>
      </w:r>
      <w:r>
        <w:rPr>
          <w:rFonts w:hint="eastAsia" w:ascii="仿宋_GB2312" w:hAnsi="仿宋_GB2312" w:eastAsia="仿宋_GB2312" w:cs="仿宋_GB2312"/>
          <w:color w:val="auto"/>
          <w:sz w:val="32"/>
          <w:szCs w:val="32"/>
        </w:rPr>
        <w:t>用于开展学习房屋征收政策培训，人数</w:t>
      </w:r>
      <w:r>
        <w:rPr>
          <w:rFonts w:hint="eastAsia" w:ascii="仿宋_GB2312" w:hAnsi="仿宋_GB2312" w:eastAsia="仿宋_GB2312" w:cs="仿宋_GB2312"/>
          <w:color w:val="auto"/>
          <w:sz w:val="32"/>
          <w:szCs w:val="32"/>
          <w:lang w:val="en-US" w:eastAsia="zh-CN"/>
        </w:rPr>
        <w:t>55</w:t>
      </w:r>
      <w:r>
        <w:rPr>
          <w:rFonts w:hint="eastAsia" w:ascii="仿宋_GB2312" w:hAnsi="仿宋_GB2312" w:eastAsia="仿宋_GB2312" w:cs="仿宋_GB2312"/>
          <w:color w:val="auto"/>
          <w:sz w:val="32"/>
          <w:szCs w:val="32"/>
        </w:rPr>
        <w:t>人，内容为组织本单位工作人员以及各征收项目的一线工作人员学习国有土地上房屋征收最新法律政策，提高业务水平，做到依法征收、阳光征收</w:t>
      </w:r>
      <w:r>
        <w:rPr>
          <w:rFonts w:ascii="Times New Roman" w:hAnsi="Times New Roman" w:eastAsia="仿宋_GB2312" w:cs="Times New Roman"/>
          <w:sz w:val="32"/>
          <w:szCs w:val="32"/>
        </w:rPr>
        <w:t>；</w:t>
      </w:r>
      <w:r>
        <w:rPr>
          <w:rFonts w:hint="eastAsia" w:ascii="仿宋_GB2312" w:hAnsi="仿宋_GB2312" w:eastAsia="仿宋_GB2312" w:cs="仿宋_GB2312"/>
          <w:color w:val="000000"/>
          <w:kern w:val="0"/>
          <w:sz w:val="32"/>
          <w:szCs w:val="32"/>
          <w:lang w:eastAsia="zh-CN"/>
        </w:rPr>
        <w:t>全年无</w:t>
      </w:r>
      <w:r>
        <w:rPr>
          <w:rFonts w:hint="eastAsia" w:ascii="仿宋_GB2312" w:hAnsi="仿宋_GB2312" w:eastAsia="仿宋_GB2312" w:cs="仿宋_GB2312"/>
          <w:color w:val="000000"/>
          <w:kern w:val="0"/>
          <w:sz w:val="32"/>
          <w:szCs w:val="32"/>
        </w:rPr>
        <w:t>节庆、晚会、论坛、赛事活动</w:t>
      </w:r>
      <w:r>
        <w:rPr>
          <w:rFonts w:hint="eastAsia" w:ascii="仿宋_GB2312" w:hAnsi="仿宋_GB2312" w:eastAsia="仿宋_GB2312" w:cs="仿宋_GB2312"/>
          <w:color w:val="000000"/>
          <w:kern w:val="0"/>
          <w:sz w:val="32"/>
          <w:szCs w:val="32"/>
          <w:lang w:eastAsia="zh-CN"/>
        </w:rPr>
        <w:t>的开支</w:t>
      </w:r>
      <w:r>
        <w:rPr>
          <w:rFonts w:ascii="Times New Roman" w:hAnsi="Times New Roman" w:eastAsia="仿宋_GB2312" w:cs="Times New Roman"/>
          <w:sz w:val="32"/>
          <w:szCs w:val="32"/>
        </w:rPr>
        <w:t>。</w:t>
      </w:r>
    </w:p>
    <w:p w14:paraId="7EE192D7">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254487E7">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535930B7">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6D8AB300">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8C93057">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58BE75B">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3FE51292">
      <w:pPr>
        <w:overflowPunct w:val="0"/>
        <w:spacing w:line="600" w:lineRule="exact"/>
        <w:ind w:firstLine="640" w:firstLineChars="200"/>
        <w:rPr>
          <w:rFonts w:hint="eastAsia" w:ascii="Times New Roman" w:hAnsi="Times New Roman" w:eastAsia="仿宋_GB2312" w:cs="Times New Roman"/>
          <w:bCs/>
          <w:sz w:val="32"/>
          <w:szCs w:val="32"/>
          <w:lang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976.5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1047.15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hint="eastAsia" w:ascii="Times New Roman" w:hAnsi="Times New Roman" w:eastAsia="仿宋_GB2312" w:cs="Times New Roman"/>
          <w:sz w:val="32"/>
          <w:szCs w:val="32"/>
          <w:lang w:eastAsia="zh-CN"/>
        </w:rPr>
        <w:t>（详见绩效自评报告）</w:t>
      </w:r>
    </w:p>
    <w:p w14:paraId="71C9D544">
      <w:pPr>
        <w:pStyle w:val="17"/>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6E560B6A">
      <w:pPr>
        <w:overflowPunct w:val="0"/>
        <w:spacing w:line="600" w:lineRule="exact"/>
        <w:ind w:firstLine="640" w:firstLineChars="200"/>
        <w:rPr>
          <w:rFonts w:hint="eastAsia" w:ascii="Times New Roman" w:hAnsi="Times New Roman" w:eastAsia="仿宋_GB2312" w:cs="Times New Roman"/>
          <w:bCs/>
          <w:sz w:val="32"/>
          <w:szCs w:val="32"/>
          <w:lang w:eastAsia="zh-CN"/>
        </w:rPr>
      </w:pPr>
      <w:r>
        <w:rPr>
          <w:rFonts w:hint="eastAsia" w:ascii="Times New Roman" w:hAnsi="Times New Roman" w:eastAsia="仿宋_GB2312" w:cs="Times New Roman"/>
          <w:sz w:val="32"/>
          <w:szCs w:val="32"/>
          <w:lang w:eastAsia="zh-CN"/>
        </w:rPr>
        <w:t>（详见绩效自评报告）</w:t>
      </w:r>
    </w:p>
    <w:p w14:paraId="2D1CB9AD">
      <w:pPr>
        <w:pStyle w:val="17"/>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14:paraId="339BAE43">
      <w:pPr>
        <w:pStyle w:val="17"/>
        <w:jc w:val="center"/>
        <w:rPr>
          <w:rFonts w:ascii="Times New Roman" w:hAnsi="Times New Roman" w:cs="Times New Roman"/>
          <w:sz w:val="72"/>
          <w:szCs w:val="72"/>
        </w:rPr>
      </w:pPr>
    </w:p>
    <w:p w14:paraId="1C1BC164">
      <w:pPr>
        <w:pStyle w:val="17"/>
        <w:jc w:val="center"/>
        <w:rPr>
          <w:rFonts w:ascii="Times New Roman" w:hAnsi="Times New Roman" w:cs="Times New Roman"/>
          <w:sz w:val="72"/>
          <w:szCs w:val="72"/>
        </w:rPr>
      </w:pPr>
    </w:p>
    <w:p w14:paraId="3461099B">
      <w:pPr>
        <w:pStyle w:val="17"/>
        <w:jc w:val="center"/>
        <w:rPr>
          <w:rFonts w:ascii="Times New Roman" w:hAnsi="Times New Roman" w:cs="Times New Roman"/>
          <w:sz w:val="72"/>
          <w:szCs w:val="72"/>
        </w:rPr>
      </w:pPr>
    </w:p>
    <w:p w14:paraId="581C94AE">
      <w:pPr>
        <w:pStyle w:val="17"/>
        <w:jc w:val="center"/>
        <w:rPr>
          <w:rFonts w:ascii="Times New Roman" w:hAnsi="Times New Roman" w:cs="Times New Roman"/>
          <w:sz w:val="72"/>
          <w:szCs w:val="72"/>
        </w:rPr>
      </w:pPr>
    </w:p>
    <w:p w14:paraId="2AB98DA9">
      <w:pPr>
        <w:pStyle w:val="17"/>
        <w:jc w:val="center"/>
        <w:rPr>
          <w:rFonts w:ascii="Times New Roman" w:hAnsi="Times New Roman" w:cs="Times New Roman"/>
          <w:sz w:val="72"/>
          <w:szCs w:val="72"/>
        </w:rPr>
      </w:pPr>
    </w:p>
    <w:p w14:paraId="0F327580">
      <w:pPr>
        <w:pStyle w:val="17"/>
        <w:jc w:val="center"/>
        <w:rPr>
          <w:rFonts w:ascii="Times New Roman" w:hAnsi="Times New Roman" w:cs="Times New Roman"/>
          <w:sz w:val="72"/>
          <w:szCs w:val="72"/>
        </w:rPr>
      </w:pPr>
    </w:p>
    <w:p w14:paraId="653EF138">
      <w:pPr>
        <w:pStyle w:val="17"/>
        <w:jc w:val="center"/>
        <w:rPr>
          <w:rFonts w:ascii="Times New Roman" w:hAnsi="Times New Roman" w:cs="Times New Roman"/>
          <w:sz w:val="72"/>
          <w:szCs w:val="72"/>
        </w:rPr>
      </w:pPr>
    </w:p>
    <w:p w14:paraId="1308C972">
      <w:pPr>
        <w:pStyle w:val="17"/>
        <w:jc w:val="center"/>
        <w:rPr>
          <w:rFonts w:ascii="Times New Roman" w:hAnsi="Times New Roman" w:cs="Times New Roman"/>
          <w:sz w:val="72"/>
          <w:szCs w:val="72"/>
        </w:rPr>
      </w:pPr>
    </w:p>
    <w:p w14:paraId="56401064">
      <w:pPr>
        <w:pStyle w:val="17"/>
        <w:jc w:val="center"/>
        <w:rPr>
          <w:rFonts w:ascii="Times New Roman" w:hAnsi="Times New Roman" w:cs="Times New Roman"/>
          <w:sz w:val="72"/>
          <w:szCs w:val="72"/>
        </w:rPr>
      </w:pPr>
    </w:p>
    <w:p w14:paraId="2BC6638C">
      <w:pPr>
        <w:pStyle w:val="17"/>
        <w:jc w:val="center"/>
        <w:rPr>
          <w:rFonts w:ascii="Times New Roman" w:hAnsi="Times New Roman" w:cs="Times New Roman"/>
          <w:sz w:val="72"/>
          <w:szCs w:val="72"/>
        </w:rPr>
      </w:pPr>
    </w:p>
    <w:p w14:paraId="29B37168">
      <w:pPr>
        <w:pStyle w:val="17"/>
        <w:jc w:val="both"/>
        <w:rPr>
          <w:rFonts w:ascii="Times New Roman" w:hAnsi="Times New Roman" w:cs="Times New Roman"/>
          <w:sz w:val="72"/>
          <w:szCs w:val="72"/>
        </w:rPr>
      </w:pPr>
    </w:p>
    <w:p w14:paraId="1F812DCE">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91E0DC7">
      <w:pPr>
        <w:widowControl/>
        <w:jc w:val="left"/>
        <w:rPr>
          <w:rFonts w:ascii="Times New Roman" w:hAnsi="Times New Roman" w:cs="Times New Roman"/>
          <w:color w:val="000000"/>
          <w:kern w:val="0"/>
          <w:sz w:val="32"/>
          <w:szCs w:val="32"/>
        </w:rPr>
      </w:pPr>
    </w:p>
    <w:p w14:paraId="641121BB">
      <w:pPr>
        <w:widowControl/>
        <w:shd w:val="clear" w:color="auto" w:fill="FFFFFF"/>
        <w:spacing w:line="396" w:lineRule="atLeast"/>
        <w:ind w:firstLine="640" w:firstLineChars="200"/>
        <w:jc w:val="left"/>
        <w:rPr>
          <w:rFonts w:hint="eastAsia" w:ascii="仿宋" w:hAnsi="仿宋" w:eastAsia="仿宋" w:cs="仿宋"/>
          <w:color w:val="000000"/>
          <w:kern w:val="0"/>
          <w:sz w:val="32"/>
          <w:szCs w:val="32"/>
        </w:rPr>
      </w:pPr>
      <w:r>
        <w:rPr>
          <w:rFonts w:hint="eastAsia" w:ascii="仿宋" w:hAnsi="仿宋" w:eastAsia="仿宋" w:cs="仿宋"/>
          <w:color w:val="333333"/>
          <w:kern w:val="0"/>
          <w:sz w:val="32"/>
          <w:szCs w:val="32"/>
        </w:rPr>
        <w:t>1、基本支出：是指反映行政事业单位为保障其机构正常运转、完成日常工作任务所需的最基本的支出，具体包括工资福利支出、一般商品和服务支出、对个人和家庭的补助。</w:t>
      </w:r>
    </w:p>
    <w:p w14:paraId="7E6E611E">
      <w:pPr>
        <w:widowControl/>
        <w:jc w:val="left"/>
        <w:rPr>
          <w:rFonts w:hint="eastAsia" w:ascii="仿宋" w:hAnsi="仿宋" w:eastAsia="仿宋" w:cs="仿宋"/>
          <w:kern w:val="0"/>
          <w:sz w:val="32"/>
          <w:szCs w:val="32"/>
        </w:rPr>
      </w:pPr>
      <w:r>
        <w:rPr>
          <w:rFonts w:hint="eastAsia" w:ascii="仿宋" w:hAnsi="仿宋" w:eastAsia="仿宋" w:cs="仿宋"/>
          <w:color w:val="333333"/>
          <w:kern w:val="0"/>
          <w:sz w:val="32"/>
          <w:szCs w:val="32"/>
          <w:shd w:val="clear" w:color="auto" w:fill="FFFFFF"/>
        </w:rPr>
        <w:t>    2、因公出国（境）支出：是指单位工作人员公务出国（境）的住宿费、旅费、伙食补助费、杂费、培训费等支出。</w:t>
      </w:r>
      <w:r>
        <w:rPr>
          <w:rFonts w:hint="eastAsia" w:ascii="仿宋" w:hAnsi="仿宋" w:eastAsia="仿宋" w:cs="仿宋"/>
          <w:color w:val="000000"/>
          <w:kern w:val="0"/>
          <w:sz w:val="32"/>
          <w:szCs w:val="32"/>
          <w:shd w:val="clear" w:color="auto" w:fill="FFFFFF"/>
        </w:rPr>
        <w:t>  </w:t>
      </w:r>
    </w:p>
    <w:p w14:paraId="7E5CC084">
      <w:pPr>
        <w:widowControl/>
        <w:shd w:val="clear" w:color="auto" w:fill="FFFFFF"/>
        <w:spacing w:line="480" w:lineRule="atLeast"/>
        <w:jc w:val="left"/>
        <w:rPr>
          <w:rFonts w:hint="eastAsia" w:ascii="仿宋" w:hAnsi="仿宋" w:eastAsia="仿宋" w:cs="仿宋"/>
          <w:color w:val="000000"/>
          <w:kern w:val="0"/>
          <w:sz w:val="32"/>
          <w:szCs w:val="32"/>
        </w:rPr>
      </w:pPr>
      <w:r>
        <w:rPr>
          <w:rFonts w:hint="eastAsia" w:ascii="仿宋" w:hAnsi="仿宋" w:eastAsia="仿宋" w:cs="仿宋"/>
          <w:color w:val="333333"/>
          <w:kern w:val="0"/>
          <w:sz w:val="32"/>
          <w:szCs w:val="32"/>
        </w:rPr>
        <w:t>    3、公务用车购置支出：是指公务用车车辆购置支出（含车辆购置税）。</w:t>
      </w:r>
    </w:p>
    <w:p w14:paraId="01C2E1B7">
      <w:pPr>
        <w:widowControl/>
        <w:shd w:val="clear" w:color="auto" w:fill="FFFFFF"/>
        <w:spacing w:line="480" w:lineRule="atLeast"/>
        <w:jc w:val="left"/>
        <w:rPr>
          <w:rFonts w:hint="eastAsia" w:ascii="仿宋" w:hAnsi="仿宋" w:eastAsia="仿宋" w:cs="仿宋"/>
          <w:color w:val="000000"/>
          <w:kern w:val="0"/>
          <w:sz w:val="32"/>
          <w:szCs w:val="32"/>
        </w:rPr>
      </w:pPr>
      <w:r>
        <w:rPr>
          <w:rFonts w:hint="eastAsia" w:ascii="仿宋" w:hAnsi="仿宋" w:eastAsia="仿宋" w:cs="仿宋"/>
          <w:color w:val="333333"/>
          <w:kern w:val="0"/>
          <w:sz w:val="32"/>
          <w:szCs w:val="32"/>
        </w:rPr>
        <w:t>    4、公务用车运行维护费支出：是指公务用车租用费、燃料费、维修费、过桥过路费、保险费、安全奖励费等支出。</w:t>
      </w:r>
    </w:p>
    <w:p w14:paraId="2DEBD809">
      <w:pPr>
        <w:widowControl/>
        <w:shd w:val="clear" w:color="auto" w:fill="FFFFFF"/>
        <w:spacing w:line="480" w:lineRule="atLeast"/>
        <w:ind w:firstLine="64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5、公务接待费支出：是指单位按规定开支的各类公务接待（含外宾接待）费用。</w:t>
      </w:r>
    </w:p>
    <w:p w14:paraId="415665EC">
      <w:pPr>
        <w:widowControl/>
        <w:shd w:val="clear" w:color="auto" w:fill="FFFFFF"/>
        <w:spacing w:line="480" w:lineRule="atLeast"/>
        <w:ind w:firstLine="640"/>
        <w:jc w:val="left"/>
        <w:rPr>
          <w:rFonts w:hint="eastAsia" w:ascii="仿宋" w:hAnsi="仿宋" w:eastAsia="仿宋" w:cs="仿宋"/>
          <w:color w:val="333333"/>
          <w:kern w:val="0"/>
          <w:sz w:val="32"/>
          <w:szCs w:val="32"/>
          <w:lang w:val="en-US" w:eastAsia="zh-CN"/>
        </w:rPr>
      </w:pPr>
      <w:r>
        <w:rPr>
          <w:rFonts w:hint="eastAsia" w:ascii="仿宋" w:hAnsi="仿宋" w:eastAsia="仿宋" w:cs="仿宋"/>
          <w:color w:val="333333"/>
          <w:kern w:val="0"/>
          <w:sz w:val="32"/>
          <w:szCs w:val="32"/>
          <w:lang w:val="en-US" w:eastAsia="zh-CN"/>
        </w:rPr>
        <w:t>6、</w:t>
      </w:r>
      <w:r>
        <w:rPr>
          <w:rFonts w:hint="eastAsia" w:ascii="仿宋" w:hAnsi="仿宋" w:eastAsia="仿宋" w:cs="仿宋"/>
          <w:sz w:val="32"/>
          <w:szCs w:val="32"/>
          <w:lang w:val="en-US" w:eastAsia="zh-CN"/>
        </w:rPr>
        <w:t>机关运行经费：为保障行政单位（包括参照公务员法管理的事业单位）运行，用一般公共预算拨款安排用于购买货物和服务的各项资金，包括办公及印刷费、邮电费、差旅费、会议费、福利费、日常维修费、办公用房物业管理费、公务用车运行维护费以及其他费用。</w:t>
      </w:r>
    </w:p>
    <w:p w14:paraId="6222E8B5">
      <w:pPr>
        <w:pStyle w:val="17"/>
        <w:spacing w:line="600" w:lineRule="exact"/>
        <w:ind w:firstLine="640" w:firstLineChars="200"/>
        <w:rPr>
          <w:rFonts w:ascii="Times New Roman" w:hAnsi="Times New Roman" w:eastAsia="楷体_GB2312" w:cs="Times New Roman"/>
          <w:b/>
          <w:bCs/>
          <w:i/>
          <w:color w:val="auto"/>
          <w:sz w:val="32"/>
          <w:szCs w:val="32"/>
        </w:rPr>
      </w:pPr>
    </w:p>
    <w:p w14:paraId="243ABCA1">
      <w:pPr>
        <w:pStyle w:val="17"/>
        <w:jc w:val="center"/>
        <w:rPr>
          <w:rFonts w:ascii="Times New Roman" w:hAnsi="Times New Roman" w:cs="Times New Roman"/>
          <w:sz w:val="72"/>
          <w:szCs w:val="72"/>
        </w:rPr>
      </w:pPr>
    </w:p>
    <w:p w14:paraId="4274ECD9">
      <w:pPr>
        <w:pStyle w:val="17"/>
        <w:jc w:val="center"/>
        <w:rPr>
          <w:rFonts w:ascii="Times New Roman" w:hAnsi="Times New Roman" w:cs="Times New Roman"/>
          <w:sz w:val="72"/>
          <w:szCs w:val="72"/>
        </w:rPr>
      </w:pPr>
    </w:p>
    <w:p w14:paraId="0E881AA9">
      <w:pPr>
        <w:pStyle w:val="17"/>
        <w:jc w:val="both"/>
        <w:rPr>
          <w:rFonts w:ascii="Times New Roman" w:hAnsi="Times New Roman" w:cs="Times New Roman"/>
          <w:sz w:val="72"/>
          <w:szCs w:val="72"/>
        </w:rPr>
      </w:pPr>
    </w:p>
    <w:p w14:paraId="2232B67B">
      <w:pPr>
        <w:pStyle w:val="17"/>
        <w:jc w:val="both"/>
        <w:rPr>
          <w:rFonts w:ascii="Times New Roman" w:hAnsi="Times New Roman" w:cs="Times New Roman"/>
          <w:sz w:val="72"/>
          <w:szCs w:val="72"/>
        </w:rPr>
      </w:pPr>
    </w:p>
    <w:p w14:paraId="581939EF">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5B9AB1E">
      <w:pPr>
        <w:rPr>
          <w:rFonts w:ascii="Times New Roman" w:hAnsi="Times New Roman" w:cs="Times New Roman"/>
          <w:sz w:val="72"/>
          <w:szCs w:val="72"/>
        </w:rPr>
      </w:pPr>
    </w:p>
    <w:p w14:paraId="59DC34A6">
      <w:pPr>
        <w:pStyle w:val="17"/>
        <w:spacing w:line="600" w:lineRule="exact"/>
        <w:ind w:firstLine="640" w:firstLineChars="20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1F16B620">
      <w:pPr>
        <w:keepNext w:val="0"/>
        <w:keepLines w:val="0"/>
        <w:pageBreakBefore w:val="0"/>
        <w:widowControl w:val="0"/>
        <w:kinsoku/>
        <w:wordWrap/>
        <w:overflowPunct/>
        <w:topLinePunct w:val="0"/>
        <w:autoSpaceDE/>
        <w:autoSpaceDN/>
        <w:bidi w:val="0"/>
        <w:adjustRightInd/>
        <w:snapToGrid w:val="0"/>
        <w:spacing w:line="520" w:lineRule="exact"/>
        <w:ind w:firstLine="320" w:firstLineChars="1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035FD452">
      <w:pPr>
        <w:widowControl/>
        <w:shd w:val="clear" w:color="auto" w:fill="FFFFFF"/>
        <w:spacing w:after="75" w:line="600" w:lineRule="atLeast"/>
        <w:ind w:firstLine="640"/>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1、机构设置情况</w:t>
      </w:r>
    </w:p>
    <w:p w14:paraId="2A78259D">
      <w:pPr>
        <w:spacing w:line="600" w:lineRule="exact"/>
        <w:ind w:firstLine="640" w:firstLineChars="200"/>
        <w:rPr>
          <w:rFonts w:hint="eastAsia" w:ascii="仿宋_GB2312" w:eastAsia="仿宋_GB2312" w:cs="仿宋_GB2312"/>
          <w:color w:val="000000"/>
          <w:sz w:val="32"/>
          <w:szCs w:val="32"/>
        </w:rPr>
      </w:pPr>
      <w:r>
        <w:rPr>
          <w:rFonts w:hint="eastAsia" w:ascii="仿宋_GB2312" w:eastAsia="仿宋_GB2312" w:cs="仿宋_GB2312"/>
          <w:color w:val="000000"/>
          <w:sz w:val="32"/>
          <w:szCs w:val="32"/>
        </w:rPr>
        <w:t>市征收安置事务中心成立于2021年10月20日，为市人民政府办公室管理的相当于副处级的公益一类全额拨款事业单位，由原市国有土地上房屋征收办（正处级）、市征收安置办（高配正处级）、市征地事务所（副处级）三家单位组建而成，主要承担怀化市区（鹤城区、国际陆港经开区）国有及集体土地上房屋和土地征收补偿安置工作的监管、指导，具体承担政策</w:t>
      </w:r>
      <w:r>
        <w:rPr>
          <w:rFonts w:hint="default" w:ascii="仿宋_GB2312" w:eastAsia="仿宋_GB2312" w:cs="仿宋_GB2312"/>
          <w:color w:val="000000"/>
          <w:sz w:val="32"/>
          <w:szCs w:val="32"/>
        </w:rPr>
        <w:t>把关</w:t>
      </w:r>
      <w:r>
        <w:rPr>
          <w:rFonts w:hint="eastAsia" w:ascii="仿宋_GB2312" w:eastAsia="仿宋_GB2312" w:cs="仿宋_GB2312"/>
          <w:color w:val="000000"/>
          <w:sz w:val="32"/>
          <w:szCs w:val="32"/>
        </w:rPr>
        <w:t>、拟定年度征收计划、起草并下达征收</w:t>
      </w:r>
      <w:r>
        <w:rPr>
          <w:rFonts w:hint="default" w:ascii="仿宋_GB2312" w:eastAsia="仿宋_GB2312" w:cs="仿宋_GB2312"/>
          <w:color w:val="000000"/>
          <w:sz w:val="32"/>
          <w:szCs w:val="32"/>
        </w:rPr>
        <w:t>项目</w:t>
      </w:r>
      <w:r>
        <w:rPr>
          <w:rFonts w:hint="eastAsia" w:ascii="仿宋_GB2312" w:eastAsia="仿宋_GB2312" w:cs="仿宋_GB2312"/>
          <w:color w:val="000000"/>
          <w:sz w:val="32"/>
          <w:szCs w:val="32"/>
        </w:rPr>
        <w:t>任务</w:t>
      </w:r>
      <w:r>
        <w:rPr>
          <w:rFonts w:hint="default" w:ascii="仿宋_GB2312" w:eastAsia="仿宋_GB2312" w:cs="仿宋_GB2312"/>
          <w:color w:val="000000"/>
          <w:sz w:val="32"/>
          <w:szCs w:val="32"/>
        </w:rPr>
        <w:t>交办</w:t>
      </w:r>
      <w:r>
        <w:rPr>
          <w:rFonts w:hint="eastAsia" w:ascii="仿宋_GB2312" w:eastAsia="仿宋_GB2312" w:cs="仿宋_GB2312"/>
          <w:color w:val="000000"/>
          <w:sz w:val="32"/>
          <w:szCs w:val="32"/>
        </w:rPr>
        <w:t>书、征收补偿安置预存款的</w:t>
      </w:r>
      <w:r>
        <w:rPr>
          <w:rFonts w:hint="default" w:ascii="仿宋_GB2312" w:eastAsia="仿宋_GB2312" w:cs="仿宋_GB2312"/>
          <w:color w:val="000000"/>
          <w:sz w:val="32"/>
          <w:szCs w:val="32"/>
        </w:rPr>
        <w:t>归集</w:t>
      </w:r>
      <w:r>
        <w:rPr>
          <w:rFonts w:hint="eastAsia" w:ascii="仿宋_GB2312" w:eastAsia="仿宋_GB2312" w:cs="仿宋_GB2312"/>
          <w:color w:val="000000"/>
          <w:sz w:val="32"/>
          <w:szCs w:val="32"/>
        </w:rPr>
        <w:t>、拨付与管理等事务性工作，并承担对县市区征收与补偿安置工作的指导与培训等服务性工作。核定编制59名，内设6个工作部门</w:t>
      </w:r>
      <w:r>
        <w:rPr>
          <w:rFonts w:hint="default" w:ascii="仿宋_GB2312" w:eastAsia="仿宋_GB2312" w:cs="仿宋_GB2312"/>
          <w:color w:val="000000"/>
          <w:sz w:val="32"/>
          <w:szCs w:val="32"/>
        </w:rPr>
        <w:t>，</w:t>
      </w:r>
      <w:r>
        <w:rPr>
          <w:rFonts w:hint="eastAsia" w:ascii="仿宋_GB2312" w:eastAsia="仿宋_GB2312" w:cs="仿宋_GB2312"/>
          <w:color w:val="000000"/>
          <w:sz w:val="32"/>
          <w:szCs w:val="32"/>
        </w:rPr>
        <w:t>核定中心领导4名，其中，主任1名，副主任3名。现实有在职在编</w:t>
      </w:r>
      <w:r>
        <w:rPr>
          <w:rFonts w:hint="eastAsia" w:ascii="仿宋_GB2312" w:eastAsia="仿宋_GB2312" w:cs="仿宋_GB2312"/>
          <w:color w:val="000000"/>
          <w:sz w:val="32"/>
          <w:szCs w:val="32"/>
          <w:lang w:val="en-US" w:eastAsia="zh-CN"/>
        </w:rPr>
        <w:t>55</w:t>
      </w:r>
      <w:r>
        <w:rPr>
          <w:rFonts w:hint="eastAsia" w:ascii="仿宋_GB2312" w:eastAsia="仿宋_GB2312" w:cs="仿宋_GB2312"/>
          <w:color w:val="000000"/>
          <w:sz w:val="32"/>
          <w:szCs w:val="32"/>
        </w:rPr>
        <w:t>人</w:t>
      </w:r>
      <w:r>
        <w:rPr>
          <w:rFonts w:hint="default" w:ascii="仿宋_GB2312" w:eastAsia="仿宋_GB2312" w:cs="仿宋_GB2312"/>
          <w:color w:val="000000"/>
          <w:sz w:val="32"/>
          <w:szCs w:val="32"/>
        </w:rPr>
        <w:t>（未任职正处级干部</w:t>
      </w:r>
      <w:r>
        <w:rPr>
          <w:rFonts w:hint="eastAsia" w:ascii="仿宋_GB2312" w:eastAsia="仿宋_GB2312" w:cs="仿宋_GB2312"/>
          <w:color w:val="000000"/>
          <w:sz w:val="32"/>
          <w:szCs w:val="32"/>
          <w:lang w:val="en-US" w:eastAsia="zh-CN"/>
        </w:rPr>
        <w:t>1</w:t>
      </w:r>
      <w:r>
        <w:rPr>
          <w:rFonts w:hint="default" w:ascii="仿宋_GB2312" w:eastAsia="仿宋_GB2312" w:cs="仿宋_GB2312"/>
          <w:color w:val="000000"/>
          <w:sz w:val="32"/>
          <w:szCs w:val="32"/>
        </w:rPr>
        <w:t>人，副处级干部</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人）</w:t>
      </w:r>
      <w:r>
        <w:rPr>
          <w:rFonts w:hint="eastAsia" w:ascii="仿宋_GB2312" w:eastAsia="仿宋_GB2312" w:cs="仿宋_GB2312"/>
          <w:color w:val="000000"/>
          <w:sz w:val="32"/>
          <w:szCs w:val="32"/>
        </w:rPr>
        <w:t>，退休2</w:t>
      </w:r>
      <w:r>
        <w:rPr>
          <w:rFonts w:hint="eastAsia" w:ascii="仿宋_GB2312" w:eastAsia="仿宋_GB2312" w:cs="仿宋_GB2312"/>
          <w:color w:val="000000"/>
          <w:sz w:val="32"/>
          <w:szCs w:val="32"/>
          <w:lang w:val="en-US" w:eastAsia="zh-CN"/>
        </w:rPr>
        <w:t>9</w:t>
      </w:r>
      <w:r>
        <w:rPr>
          <w:rFonts w:hint="eastAsia" w:ascii="仿宋_GB2312" w:eastAsia="仿宋_GB2312" w:cs="仿宋_GB2312"/>
          <w:color w:val="000000"/>
          <w:sz w:val="32"/>
          <w:szCs w:val="32"/>
        </w:rPr>
        <w:t>人。</w:t>
      </w:r>
    </w:p>
    <w:p w14:paraId="5161D73E">
      <w:pPr>
        <w:autoSpaceDE w:val="0"/>
        <w:spacing w:line="600" w:lineRule="exact"/>
        <w:ind w:firstLine="640" w:firstLineChars="200"/>
        <w:rPr>
          <w:rFonts w:hint="eastAsia" w:ascii="仿宋_GB2312" w:hAnsi="宋体" w:eastAsia="仿宋_GB2312" w:cs="宋体"/>
          <w:kern w:val="0"/>
          <w:sz w:val="32"/>
          <w:szCs w:val="32"/>
          <w:lang w:val="en-US" w:eastAsia="zh-CN"/>
        </w:rPr>
      </w:pPr>
      <w:r>
        <w:rPr>
          <w:rFonts w:hint="eastAsia" w:ascii="仿宋_GB2312" w:eastAsia="仿宋_GB2312" w:cs="仿宋_GB2312"/>
          <w:color w:val="000000"/>
          <w:sz w:val="32"/>
          <w:szCs w:val="32"/>
        </w:rPr>
        <w:t>市征收安置事务中心</w:t>
      </w:r>
      <w:r>
        <w:rPr>
          <w:rFonts w:hint="eastAsia" w:ascii="仿宋_GB2312" w:hAnsi="宋体" w:eastAsia="仿宋_GB2312" w:cs="宋体"/>
          <w:kern w:val="0"/>
          <w:sz w:val="32"/>
          <w:szCs w:val="32"/>
          <w:lang w:eastAsia="zh-CN"/>
        </w:rPr>
        <w:t>作为二级部门预算单位，内设科室为：财务综合部、征收一部、征收二部、安置部、政策法规部、人事教育部。</w:t>
      </w:r>
    </w:p>
    <w:p w14:paraId="4AE8F10E">
      <w:pPr>
        <w:widowControl/>
        <w:shd w:val="clear" w:color="auto" w:fill="FFFFFF"/>
        <w:spacing w:after="75" w:line="600" w:lineRule="atLeast"/>
        <w:ind w:firstLine="640" w:firstLineChars="200"/>
        <w:rPr>
          <w:rFonts w:hint="eastAsia" w:ascii="微软雅黑" w:hAnsi="微软雅黑" w:eastAsia="微软雅黑" w:cs="宋体"/>
          <w:color w:val="3D3D3D"/>
          <w:kern w:val="0"/>
          <w:sz w:val="24"/>
        </w:rPr>
      </w:pPr>
      <w:r>
        <w:rPr>
          <w:rFonts w:hint="eastAsia" w:ascii="仿宋_GB2312" w:hAnsi="微软雅黑" w:eastAsia="仿宋_GB2312" w:cs="宋体"/>
          <w:color w:val="000000"/>
          <w:kern w:val="0"/>
          <w:sz w:val="32"/>
          <w:szCs w:val="32"/>
        </w:rPr>
        <w:t>2、</w:t>
      </w:r>
      <w:r>
        <w:rPr>
          <w:rFonts w:hint="eastAsia" w:ascii="仿宋_GB2312" w:hAnsi="宋体" w:eastAsia="仿宋_GB2312" w:cs="宋体"/>
          <w:kern w:val="0"/>
          <w:sz w:val="32"/>
          <w:szCs w:val="32"/>
          <w:lang w:eastAsia="zh-CN"/>
        </w:rPr>
        <w:t>怀化</w:t>
      </w:r>
      <w:r>
        <w:rPr>
          <w:rFonts w:hint="eastAsia" w:ascii="仿宋_GB2312" w:eastAsia="仿宋_GB2312" w:cs="仿宋_GB2312"/>
          <w:color w:val="000000"/>
          <w:sz w:val="32"/>
          <w:szCs w:val="32"/>
        </w:rPr>
        <w:t>市征收安置事务中心</w:t>
      </w:r>
      <w:r>
        <w:rPr>
          <w:rFonts w:hint="eastAsia" w:ascii="仿宋_GB2312" w:hAnsi="微软雅黑" w:eastAsia="仿宋_GB2312" w:cs="宋体"/>
          <w:color w:val="000000"/>
          <w:kern w:val="0"/>
          <w:sz w:val="32"/>
          <w:szCs w:val="32"/>
        </w:rPr>
        <w:t>主要职责:</w:t>
      </w:r>
    </w:p>
    <w:p w14:paraId="30408CA5">
      <w:pPr>
        <w:autoSpaceDE w:val="0"/>
        <w:spacing w:line="600" w:lineRule="exact"/>
        <w:ind w:firstLine="560" w:firstLineChars="200"/>
        <w:rPr>
          <w:rFonts w:hint="eastAsia" w:ascii="仿宋_GB2312" w:hAnsi="宋体" w:eastAsia="仿宋_GB2312" w:cs="宋体"/>
          <w:kern w:val="0"/>
          <w:sz w:val="32"/>
          <w:szCs w:val="32"/>
          <w:lang w:eastAsia="zh-CN"/>
        </w:rPr>
      </w:pPr>
      <w:r>
        <w:rPr>
          <w:rFonts w:hint="eastAsia" w:ascii="仿宋_GB2312" w:hAnsi="宋体" w:eastAsia="仿宋_GB2312"/>
          <w:sz w:val="28"/>
          <w:szCs w:val="32"/>
          <w:lang w:val="en-US" w:eastAsia="zh-CN"/>
        </w:rPr>
        <w:t xml:space="preserve"> </w:t>
      </w:r>
      <w:r>
        <w:rPr>
          <w:rFonts w:hint="eastAsia" w:ascii="仿宋_GB2312" w:hAnsi="宋体" w:eastAsia="仿宋_GB2312" w:cs="宋体"/>
          <w:kern w:val="0"/>
          <w:sz w:val="32"/>
          <w:szCs w:val="32"/>
        </w:rPr>
        <w:t>根据怀</w:t>
      </w:r>
      <w:r>
        <w:rPr>
          <w:rFonts w:hint="eastAsia" w:ascii="仿宋_GB2312" w:hAnsi="宋体" w:eastAsia="仿宋_GB2312" w:cs="宋体"/>
          <w:kern w:val="0"/>
          <w:sz w:val="32"/>
          <w:szCs w:val="32"/>
          <w:lang w:eastAsia="zh-CN"/>
        </w:rPr>
        <w:t>编</w:t>
      </w:r>
      <w:r>
        <w:rPr>
          <w:rFonts w:hint="eastAsia" w:ascii="仿宋_GB2312" w:hAnsi="宋体" w:eastAsia="仿宋_GB2312" w:cs="宋体"/>
          <w:kern w:val="0"/>
          <w:sz w:val="32"/>
          <w:szCs w:val="32"/>
        </w:rPr>
        <w:t>〔20</w:t>
      </w:r>
      <w:r>
        <w:rPr>
          <w:rFonts w:hint="eastAsia" w:ascii="仿宋_GB2312" w:hAnsi="宋体" w:eastAsia="仿宋_GB2312" w:cs="宋体"/>
          <w:kern w:val="0"/>
          <w:sz w:val="32"/>
          <w:szCs w:val="32"/>
          <w:lang w:val="en-US" w:eastAsia="zh-CN"/>
        </w:rPr>
        <w:t>21</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79</w:t>
      </w:r>
      <w:r>
        <w:rPr>
          <w:rFonts w:hint="eastAsia" w:ascii="仿宋_GB2312" w:hAnsi="宋体" w:eastAsia="仿宋_GB2312" w:cs="宋体"/>
          <w:kern w:val="0"/>
          <w:sz w:val="32"/>
          <w:szCs w:val="32"/>
        </w:rPr>
        <w:t>号</w:t>
      </w:r>
      <w:r>
        <w:rPr>
          <w:rFonts w:hint="eastAsia" w:ascii="仿宋_GB2312" w:hAnsi="宋体" w:eastAsia="仿宋_GB2312" w:cs="仿宋_GB2312"/>
          <w:kern w:val="0"/>
          <w:sz w:val="32"/>
          <w:szCs w:val="32"/>
          <w:lang w:val="zh-CN"/>
        </w:rPr>
        <w:t>文件</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市征收安置事务中心贯彻落实党中央和省委、市委关于土地和房屋征收补偿安置工作的方针政策和决策部署。主要</w:t>
      </w:r>
      <w:bookmarkStart w:id="3" w:name="_GoBack"/>
      <w:bookmarkEnd w:id="3"/>
      <w:r>
        <w:rPr>
          <w:rFonts w:hint="eastAsia" w:ascii="仿宋_GB2312" w:hAnsi="宋体" w:eastAsia="仿宋_GB2312" w:cs="宋体"/>
          <w:kern w:val="0"/>
          <w:sz w:val="32"/>
          <w:szCs w:val="32"/>
          <w:lang w:eastAsia="zh-CN"/>
        </w:rPr>
        <w:t>职责是：</w:t>
      </w:r>
    </w:p>
    <w:p w14:paraId="3747A5DF">
      <w:pPr>
        <w:autoSpaceDE w:val="0"/>
        <w:spacing w:line="60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rPr>
        <w:t>国有土地上房屋征收</w:t>
      </w:r>
      <w:r>
        <w:rPr>
          <w:rFonts w:hint="eastAsia" w:ascii="仿宋_GB2312" w:hAnsi="宋体" w:eastAsia="仿宋_GB2312" w:cs="宋体"/>
          <w:kern w:val="0"/>
          <w:sz w:val="32"/>
          <w:szCs w:val="32"/>
          <w:lang w:eastAsia="zh-CN"/>
        </w:rPr>
        <w:t>与补偿</w:t>
      </w:r>
      <w:r>
        <w:rPr>
          <w:rFonts w:hint="eastAsia" w:ascii="仿宋_GB2312" w:hAnsi="宋体" w:eastAsia="仿宋_GB2312" w:cs="宋体"/>
          <w:kern w:val="0"/>
          <w:sz w:val="32"/>
          <w:szCs w:val="32"/>
        </w:rPr>
        <w:t>工作</w:t>
      </w:r>
      <w:r>
        <w:rPr>
          <w:rFonts w:hint="eastAsia" w:ascii="仿宋_GB2312" w:hAnsi="宋体" w:eastAsia="仿宋_GB2312" w:cs="宋体"/>
          <w:kern w:val="0"/>
          <w:sz w:val="32"/>
          <w:szCs w:val="32"/>
          <w:lang w:eastAsia="zh-CN"/>
        </w:rPr>
        <w:t>方面：</w:t>
      </w:r>
    </w:p>
    <w:p w14:paraId="1EF6B2F9">
      <w:pPr>
        <w:numPr>
          <w:ilvl w:val="0"/>
          <w:numId w:val="0"/>
        </w:numPr>
        <w:autoSpaceDE w:val="0"/>
        <w:spacing w:line="60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1）</w:t>
      </w:r>
      <w:r>
        <w:rPr>
          <w:rFonts w:hint="eastAsia" w:ascii="仿宋_GB2312" w:hAnsi="宋体" w:eastAsia="仿宋_GB2312" w:cs="宋体"/>
          <w:kern w:val="0"/>
          <w:sz w:val="32"/>
          <w:szCs w:val="32"/>
          <w:lang w:eastAsia="zh-CN"/>
        </w:rPr>
        <w:t>为怀化市城市规划区国有土地上房屋征收补偿相关配套政策的拟定提供相关服务；承担市城市规划区国有土地上房屋征收与补偿中长期规划、年度房屋征收实施计划拟制、呈报的相关事务性工作。</w:t>
      </w:r>
    </w:p>
    <w:p w14:paraId="214F0D07">
      <w:pPr>
        <w:numPr>
          <w:ilvl w:val="0"/>
          <w:numId w:val="0"/>
        </w:numPr>
        <w:autoSpaceDE w:val="0"/>
        <w:spacing w:line="60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lang w:eastAsia="zh-CN"/>
        </w:rPr>
        <w:t>）承担市人民政府国有土地上房屋征收与补偿任务交办书拟制、下达和统一监管的相关事务性工作；承担确需由市人民政府作为征收主体的国有土地上房屋征收与补偿的事务性工作。</w:t>
      </w:r>
    </w:p>
    <w:p w14:paraId="712B127F">
      <w:pPr>
        <w:numPr>
          <w:ilvl w:val="0"/>
          <w:numId w:val="0"/>
        </w:numPr>
        <w:autoSpaceDE w:val="0"/>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3</w:t>
      </w:r>
      <w:r>
        <w:rPr>
          <w:rFonts w:hint="eastAsia" w:ascii="仿宋_GB2312" w:hAnsi="宋体" w:eastAsia="仿宋_GB2312" w:cs="宋体"/>
          <w:kern w:val="0"/>
          <w:sz w:val="32"/>
          <w:szCs w:val="32"/>
          <w:lang w:eastAsia="zh-CN"/>
        </w:rPr>
        <w:t>）承担国有土地上房屋征收拟实施项目相关资料的受理、审查的事务性工作；协助做好对征收范围内未登记的建筑进行调查、认定和处理等相关工作。</w:t>
      </w:r>
    </w:p>
    <w:p w14:paraId="1AEA681D">
      <w:pPr>
        <w:numPr>
          <w:ilvl w:val="0"/>
          <w:numId w:val="0"/>
        </w:numPr>
        <w:autoSpaceDE w:val="0"/>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4</w:t>
      </w:r>
      <w:r>
        <w:rPr>
          <w:rFonts w:hint="eastAsia" w:ascii="仿宋_GB2312" w:hAnsi="宋体" w:eastAsia="仿宋_GB2312" w:cs="宋体"/>
          <w:kern w:val="0"/>
          <w:sz w:val="32"/>
          <w:szCs w:val="32"/>
          <w:lang w:eastAsia="zh-CN"/>
        </w:rPr>
        <w:t>）承担怀化市城市规划国有土地上房屋征收项目补偿费用预算及归集项目征收补偿费用的相关事务性工作；承担市城市规划国有土地上房屋征收项目征收补偿资金、工作经费、房屋拆除费、奖励基金、不可预见费的审核、拨付以及使用监管的相关事务性工作；承担临时安置费审核发放的事务性工作；会同有关部门开展核定征收成本。</w:t>
      </w:r>
    </w:p>
    <w:p w14:paraId="622AE249">
      <w:pPr>
        <w:numPr>
          <w:ilvl w:val="0"/>
          <w:numId w:val="0"/>
        </w:numPr>
        <w:autoSpaceDE w:val="0"/>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5</w:t>
      </w:r>
      <w:r>
        <w:rPr>
          <w:rFonts w:hint="eastAsia" w:ascii="仿宋_GB2312" w:hAnsi="宋体" w:eastAsia="仿宋_GB2312" w:cs="宋体"/>
          <w:kern w:val="0"/>
          <w:sz w:val="32"/>
          <w:szCs w:val="32"/>
          <w:lang w:eastAsia="zh-CN"/>
        </w:rPr>
        <w:t>）承担怀化市城市规划国有土地上房屋征收项目补偿方案审核、评估报告备案、房屋征收补偿协议备案的相关事务性工作；承担房屋征收与补偿信息统计、公开和档案管理的事务性工作。</w:t>
      </w:r>
    </w:p>
    <w:p w14:paraId="510E21B2">
      <w:pPr>
        <w:numPr>
          <w:ilvl w:val="0"/>
          <w:numId w:val="0"/>
        </w:numPr>
        <w:autoSpaceDE w:val="0"/>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lang w:eastAsia="zh-CN"/>
        </w:rPr>
        <w:t>）承担怀化市城市规划国有土地上房屋征收项目已腾空房屋拆除的施工备案的相关事务性工作。</w:t>
      </w:r>
    </w:p>
    <w:p w14:paraId="792DD267">
      <w:pPr>
        <w:numPr>
          <w:ilvl w:val="0"/>
          <w:numId w:val="0"/>
        </w:numPr>
        <w:autoSpaceDE w:val="0"/>
        <w:spacing w:line="60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7</w:t>
      </w:r>
      <w:r>
        <w:rPr>
          <w:rFonts w:hint="eastAsia" w:ascii="仿宋_GB2312" w:hAnsi="宋体" w:eastAsia="仿宋_GB2312" w:cs="宋体"/>
          <w:kern w:val="0"/>
          <w:sz w:val="32"/>
          <w:szCs w:val="32"/>
          <w:lang w:eastAsia="zh-CN"/>
        </w:rPr>
        <w:t>）承担统筹、管理产权调换房源，产权调换房源管理信息系统建设等事务性工作。</w:t>
      </w:r>
    </w:p>
    <w:p w14:paraId="370BCE1E">
      <w:pPr>
        <w:numPr>
          <w:ilvl w:val="0"/>
          <w:numId w:val="0"/>
        </w:numPr>
        <w:autoSpaceDE w:val="0"/>
        <w:spacing w:line="60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8</w:t>
      </w:r>
      <w:r>
        <w:rPr>
          <w:rFonts w:hint="eastAsia" w:ascii="仿宋_GB2312" w:hAnsi="宋体" w:eastAsia="仿宋_GB2312" w:cs="宋体"/>
          <w:kern w:val="0"/>
          <w:sz w:val="32"/>
          <w:szCs w:val="32"/>
          <w:lang w:eastAsia="zh-CN"/>
        </w:rPr>
        <w:t>）为县市区国有土地上房屋征收与补偿提供业务指导及培训等服务。</w:t>
      </w:r>
    </w:p>
    <w:p w14:paraId="3CFFB121">
      <w:pPr>
        <w:numPr>
          <w:ilvl w:val="0"/>
          <w:numId w:val="0"/>
        </w:numPr>
        <w:autoSpaceDE w:val="0"/>
        <w:spacing w:line="60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集体</w:t>
      </w:r>
      <w:r>
        <w:rPr>
          <w:rFonts w:hint="eastAsia" w:ascii="仿宋_GB2312" w:hAnsi="宋体" w:eastAsia="仿宋_GB2312" w:cs="宋体"/>
          <w:kern w:val="0"/>
          <w:sz w:val="32"/>
          <w:szCs w:val="32"/>
        </w:rPr>
        <w:t>土地上房屋征收</w:t>
      </w:r>
      <w:r>
        <w:rPr>
          <w:rFonts w:hint="eastAsia" w:ascii="仿宋_GB2312" w:hAnsi="宋体" w:eastAsia="仿宋_GB2312" w:cs="宋体"/>
          <w:kern w:val="0"/>
          <w:sz w:val="32"/>
          <w:szCs w:val="32"/>
          <w:lang w:eastAsia="zh-CN"/>
        </w:rPr>
        <w:t>与补偿</w:t>
      </w:r>
      <w:r>
        <w:rPr>
          <w:rFonts w:hint="eastAsia" w:ascii="仿宋_GB2312" w:hAnsi="宋体" w:eastAsia="仿宋_GB2312" w:cs="宋体"/>
          <w:kern w:val="0"/>
          <w:sz w:val="32"/>
          <w:szCs w:val="32"/>
        </w:rPr>
        <w:t>工作</w:t>
      </w:r>
      <w:r>
        <w:rPr>
          <w:rFonts w:hint="eastAsia" w:ascii="仿宋_GB2312" w:hAnsi="宋体" w:eastAsia="仿宋_GB2312" w:cs="宋体"/>
          <w:kern w:val="0"/>
          <w:sz w:val="32"/>
          <w:szCs w:val="32"/>
          <w:lang w:eastAsia="zh-CN"/>
        </w:rPr>
        <w:t>方面：</w:t>
      </w:r>
    </w:p>
    <w:p w14:paraId="4259C147">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（1）承担集体土地征收补偿安置中长期规划、年度工作计划实施的相关事务性工作。</w:t>
      </w:r>
    </w:p>
    <w:p w14:paraId="563B523E">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（2）承担由市人民政府委托的市城市规划区集体土地征收补偿安置任务下达和统一监管的相关事务性工作。</w:t>
      </w:r>
    </w:p>
    <w:p w14:paraId="1ADA3361">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3）承担编制怀化市城市规划区集体土地征收项目的项目概预算委托、审查和归集征地补偿安置费用的相关事务性工作；承担怀化市城市规划区集体土地征收项目的征收补偿资金、工作经费和安置房建设资金的核拨、监管的相关性事务性工作；会同有关部门开展核定征收安置建设成本工作。</w:t>
      </w:r>
    </w:p>
    <w:p w14:paraId="09901E73">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（4）承担怀化市城市规划区集体土地征收项目村民安置资格审核备案的相关事务性工作。</w:t>
      </w:r>
    </w:p>
    <w:p w14:paraId="19167DAB">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（5）承担怀化市城市规划区集体土地征收项目征收补偿安置方案审核、征地拆迁补偿安置协议备案的相关事务性工作；承担征收安置信息统计、公开和档案管理的事务性工作。</w:t>
      </w:r>
    </w:p>
    <w:p w14:paraId="4665EF08">
      <w:pPr>
        <w:autoSpaceDE w:val="0"/>
        <w:spacing w:line="600" w:lineRule="exact"/>
        <w:ind w:firstLine="640"/>
        <w:rPr>
          <w:rFonts w:hint="eastAsia" w:ascii="仿宋_GB2312" w:hAnsi="宋体" w:eastAsia="仿宋_GB2312" w:cs="宋体"/>
          <w:b w:val="0"/>
          <w:bCs w:val="0"/>
          <w:kern w:val="0"/>
          <w:sz w:val="32"/>
          <w:szCs w:val="32"/>
          <w:lang w:val="en-US" w:eastAsia="zh-CN"/>
        </w:rPr>
      </w:pPr>
      <w:r>
        <w:rPr>
          <w:rFonts w:hint="eastAsia" w:ascii="仿宋_GB2312" w:hAnsi="宋体" w:eastAsia="仿宋_GB2312" w:cs="宋体"/>
          <w:kern w:val="0"/>
          <w:sz w:val="32"/>
          <w:szCs w:val="32"/>
          <w:lang w:val="en-US" w:eastAsia="zh-CN"/>
        </w:rPr>
        <w:t>（6）承担组织实施怀化市城市规划区集体土地征收项</w:t>
      </w:r>
      <w:r>
        <w:rPr>
          <w:rFonts w:hint="eastAsia" w:ascii="仿宋_GB2312" w:hAnsi="宋体" w:eastAsia="仿宋_GB2312" w:cs="宋体"/>
          <w:b w:val="0"/>
          <w:bCs w:val="0"/>
          <w:kern w:val="0"/>
          <w:sz w:val="32"/>
          <w:szCs w:val="32"/>
          <w:lang w:val="en-US" w:eastAsia="zh-CN"/>
        </w:rPr>
        <w:t>目评估、测绘的事务性工作。</w:t>
      </w:r>
    </w:p>
    <w:p w14:paraId="0F17C276">
      <w:pPr>
        <w:autoSpaceDE w:val="0"/>
        <w:spacing w:line="600" w:lineRule="exact"/>
        <w:ind w:firstLine="64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（7）为县市区集体土地征收工作提供业务指导及培训等服务。</w:t>
      </w:r>
    </w:p>
    <w:p w14:paraId="39912C0E">
      <w:pPr>
        <w:autoSpaceDE w:val="0"/>
        <w:spacing w:line="600" w:lineRule="exact"/>
        <w:ind w:firstLine="64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8</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完成</w:t>
      </w:r>
      <w:r>
        <w:rPr>
          <w:rFonts w:hint="eastAsia" w:ascii="仿宋_GB2312" w:hAnsi="宋体" w:eastAsia="仿宋_GB2312" w:cs="宋体"/>
          <w:kern w:val="0"/>
          <w:sz w:val="32"/>
          <w:szCs w:val="32"/>
        </w:rPr>
        <w:t>市人民政府交办的其他</w:t>
      </w:r>
      <w:r>
        <w:rPr>
          <w:rFonts w:hint="eastAsia" w:ascii="仿宋_GB2312" w:hAnsi="宋体" w:eastAsia="仿宋_GB2312" w:cs="宋体"/>
          <w:kern w:val="0"/>
          <w:sz w:val="32"/>
          <w:szCs w:val="32"/>
          <w:lang w:eastAsia="zh-CN"/>
        </w:rPr>
        <w:t>任务</w:t>
      </w:r>
      <w:r>
        <w:rPr>
          <w:rFonts w:hint="eastAsia" w:ascii="仿宋_GB2312" w:hAnsi="宋体" w:eastAsia="仿宋_GB2312" w:cs="宋体"/>
          <w:kern w:val="0"/>
          <w:sz w:val="32"/>
          <w:szCs w:val="32"/>
        </w:rPr>
        <w:t>。</w:t>
      </w:r>
    </w:p>
    <w:p w14:paraId="5AB2A55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42FF960B">
      <w:pPr>
        <w:keepNext w:val="0"/>
        <w:keepLines w:val="0"/>
        <w:pageBreakBefore w:val="0"/>
        <w:widowControl w:val="0"/>
        <w:numPr>
          <w:ilvl w:val="0"/>
          <w:numId w:val="5"/>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部门（单位）整体支出规模、使用方向和主要内容、涉及范围等。</w:t>
      </w:r>
    </w:p>
    <w:p w14:paraId="2E0F6605">
      <w:pPr>
        <w:widowControl/>
        <w:shd w:val="clear" w:color="auto" w:fill="FFFFFF"/>
        <w:spacing w:after="75" w:line="600" w:lineRule="atLeast"/>
        <w:ind w:firstLine="640"/>
        <w:rPr>
          <w:rFonts w:hint="eastAsia" w:ascii="仿宋_GB2312" w:eastAsia="仿宋_GB2312"/>
          <w:sz w:val="32"/>
          <w:szCs w:val="32"/>
          <w:lang w:val="en-US" w:eastAsia="zh-CN"/>
        </w:rPr>
      </w:pPr>
      <w:r>
        <w:rPr>
          <w:rFonts w:hint="eastAsia" w:ascii="仿宋_GB2312" w:hAnsi="微软雅黑" w:eastAsia="仿宋_GB2312" w:cs="宋体"/>
          <w:color w:val="000000"/>
          <w:kern w:val="0"/>
          <w:sz w:val="32"/>
          <w:szCs w:val="32"/>
        </w:rPr>
        <w:t>1</w:t>
      </w:r>
      <w:r>
        <w:rPr>
          <w:rFonts w:hint="eastAsia" w:ascii="仿宋_GB2312" w:hAnsi="微软雅黑" w:eastAsia="仿宋_GB2312" w:cs="宋体"/>
          <w:color w:val="000000"/>
          <w:kern w:val="0"/>
          <w:sz w:val="32"/>
          <w:szCs w:val="32"/>
          <w:lang w:eastAsia="zh-CN"/>
        </w:rPr>
        <w:t>、</w:t>
      </w:r>
      <w:r>
        <w:rPr>
          <w:rFonts w:hint="eastAsia" w:ascii="仿宋_GB2312" w:hAnsi="微软雅黑" w:eastAsia="仿宋_GB2312" w:cs="宋体"/>
          <w:color w:val="000000"/>
          <w:kern w:val="0"/>
          <w:sz w:val="32"/>
          <w:szCs w:val="32"/>
        </w:rPr>
        <w:t>支出规模：全年总</w:t>
      </w:r>
      <w:r>
        <w:rPr>
          <w:rFonts w:hint="eastAsia" w:ascii="仿宋_GB2312" w:eastAsia="仿宋_GB2312"/>
          <w:sz w:val="32"/>
          <w:szCs w:val="32"/>
        </w:rPr>
        <w:t>支出</w:t>
      </w:r>
      <w:r>
        <w:rPr>
          <w:rFonts w:hint="eastAsia" w:ascii="仿宋_GB2312" w:hAnsi="仿宋_GB2312" w:eastAsia="仿宋_GB2312" w:cs="仿宋_GB2312"/>
          <w:spacing w:val="11"/>
          <w:sz w:val="32"/>
          <w:szCs w:val="32"/>
          <w:lang w:val="en-US" w:eastAsia="zh-CN"/>
        </w:rPr>
        <w:t>1047</w:t>
      </w:r>
      <w:r>
        <w:rPr>
          <w:rFonts w:hint="eastAsia" w:ascii="仿宋_GB2312" w:hAnsi="仿宋_GB2312" w:eastAsia="仿宋_GB2312" w:cs="仿宋_GB2312"/>
          <w:spacing w:val="11"/>
          <w:sz w:val="32"/>
          <w:szCs w:val="32"/>
        </w:rPr>
        <w:t>.</w:t>
      </w:r>
      <w:r>
        <w:rPr>
          <w:rFonts w:hint="eastAsia" w:ascii="仿宋_GB2312" w:hAnsi="仿宋_GB2312" w:eastAsia="仿宋_GB2312" w:cs="仿宋_GB2312"/>
          <w:spacing w:val="11"/>
          <w:sz w:val="32"/>
          <w:szCs w:val="32"/>
          <w:lang w:val="en-US" w:eastAsia="zh-CN"/>
        </w:rPr>
        <w:t>15</w:t>
      </w:r>
      <w:r>
        <w:rPr>
          <w:rFonts w:hint="eastAsia" w:ascii="仿宋_GB2312" w:hAnsi="微软雅黑" w:eastAsia="仿宋_GB2312" w:cs="宋体"/>
          <w:color w:val="000000"/>
          <w:kern w:val="0"/>
          <w:sz w:val="32"/>
          <w:szCs w:val="32"/>
        </w:rPr>
        <w:t>万元。</w:t>
      </w:r>
      <w:r>
        <w:rPr>
          <w:rFonts w:hint="eastAsia" w:ascii="仿宋_GB2312" w:hAnsi="微软雅黑" w:eastAsia="仿宋_GB2312" w:cs="宋体"/>
          <w:color w:val="000000"/>
          <w:kern w:val="0"/>
          <w:sz w:val="32"/>
          <w:szCs w:val="32"/>
          <w:lang w:eastAsia="zh-CN"/>
        </w:rPr>
        <w:t>（一般公共预算财政拨款</w:t>
      </w:r>
      <w:r>
        <w:rPr>
          <w:rFonts w:hint="eastAsia" w:ascii="仿宋_GB2312" w:eastAsia="仿宋_GB2312"/>
          <w:sz w:val="32"/>
          <w:szCs w:val="32"/>
          <w:lang w:val="en-US" w:eastAsia="zh-CN"/>
        </w:rPr>
        <w:t>）</w:t>
      </w:r>
    </w:p>
    <w:p w14:paraId="617C76EE">
      <w:pPr>
        <w:widowControl/>
        <w:shd w:val="clear" w:color="auto" w:fill="FFFFFF"/>
        <w:spacing w:after="75" w:line="600" w:lineRule="atLeast"/>
        <w:ind w:firstLine="640"/>
        <w:rPr>
          <w:rFonts w:hint="eastAsia" w:ascii="微软雅黑" w:hAnsi="微软雅黑" w:eastAsia="微软雅黑" w:cs="宋体"/>
          <w:color w:val="3D3D3D"/>
          <w:kern w:val="0"/>
          <w:sz w:val="24"/>
        </w:rPr>
      </w:pPr>
      <w:r>
        <w:rPr>
          <w:rFonts w:hint="eastAsia" w:ascii="仿宋_GB2312" w:hAnsi="微软雅黑" w:eastAsia="仿宋_GB2312" w:cs="宋体"/>
          <w:color w:val="000000"/>
          <w:kern w:val="0"/>
          <w:sz w:val="32"/>
          <w:szCs w:val="32"/>
        </w:rPr>
        <w:t>2、主要内容、使用方向及范围：用于在职及离退休人员工资福利、机关公用</w:t>
      </w:r>
      <w:r>
        <w:rPr>
          <w:rFonts w:hint="eastAsia" w:ascii="仿宋_GB2312" w:hAnsi="微软雅黑" w:eastAsia="仿宋_GB2312" w:cs="宋体"/>
          <w:color w:val="000000"/>
          <w:kern w:val="0"/>
          <w:sz w:val="32"/>
          <w:szCs w:val="32"/>
          <w:lang w:eastAsia="zh-CN"/>
        </w:rPr>
        <w:t>经费</w:t>
      </w:r>
      <w:r>
        <w:rPr>
          <w:rFonts w:hint="eastAsia" w:ascii="仿宋_GB2312" w:hAnsi="微软雅黑" w:eastAsia="仿宋_GB2312" w:cs="宋体"/>
          <w:color w:val="000000"/>
          <w:kern w:val="0"/>
          <w:sz w:val="32"/>
          <w:szCs w:val="32"/>
        </w:rPr>
        <w:t>和运行经费</w:t>
      </w:r>
      <w:r>
        <w:rPr>
          <w:rFonts w:hint="eastAsia" w:ascii="仿宋_GB2312" w:hAnsi="微软雅黑" w:eastAsia="仿宋_GB2312" w:cs="宋体"/>
          <w:color w:val="000000"/>
          <w:kern w:val="0"/>
          <w:sz w:val="32"/>
          <w:szCs w:val="32"/>
          <w:lang w:eastAsia="zh-CN"/>
        </w:rPr>
        <w:t>等</w:t>
      </w:r>
      <w:r>
        <w:rPr>
          <w:rFonts w:hint="eastAsia" w:ascii="仿宋_GB2312" w:hAnsi="微软雅黑" w:eastAsia="仿宋_GB2312" w:cs="宋体"/>
          <w:color w:val="000000"/>
          <w:kern w:val="0"/>
          <w:sz w:val="32"/>
          <w:szCs w:val="32"/>
        </w:rPr>
        <w:t>。</w:t>
      </w:r>
    </w:p>
    <w:p w14:paraId="057F016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34AA3C00">
      <w:pPr>
        <w:widowControl/>
        <w:shd w:val="clear" w:color="auto" w:fill="FFFFFF"/>
        <w:spacing w:after="75" w:line="600" w:lineRule="atLeast"/>
        <w:ind w:firstLine="640"/>
        <w:rPr>
          <w:rFonts w:hint="eastAsia" w:ascii="微软雅黑" w:hAnsi="微软雅黑" w:eastAsia="微软雅黑" w:cs="宋体"/>
          <w:color w:val="3D3D3D"/>
          <w:kern w:val="0"/>
          <w:sz w:val="24"/>
        </w:rPr>
      </w:pPr>
      <w:r>
        <w:rPr>
          <w:rFonts w:hint="eastAsia" w:ascii="仿宋_GB2312" w:hAnsi="微软雅黑" w:eastAsia="仿宋_GB2312" w:cs="宋体"/>
          <w:color w:val="000000"/>
          <w:kern w:val="0"/>
          <w:sz w:val="32"/>
          <w:szCs w:val="32"/>
        </w:rPr>
        <w:t>基本支出</w:t>
      </w:r>
      <w:r>
        <w:rPr>
          <w:rFonts w:hint="eastAsia" w:ascii="仿宋_GB2312" w:hAnsi="仿宋_GB2312" w:eastAsia="仿宋_GB2312" w:cs="仿宋_GB2312"/>
          <w:spacing w:val="11"/>
          <w:sz w:val="32"/>
          <w:szCs w:val="32"/>
          <w:lang w:val="en-US" w:eastAsia="zh-CN"/>
        </w:rPr>
        <w:t>1047</w:t>
      </w:r>
      <w:r>
        <w:rPr>
          <w:rFonts w:hint="eastAsia" w:ascii="仿宋_GB2312" w:hAnsi="仿宋_GB2312" w:eastAsia="仿宋_GB2312" w:cs="仿宋_GB2312"/>
          <w:spacing w:val="11"/>
          <w:sz w:val="32"/>
          <w:szCs w:val="32"/>
        </w:rPr>
        <w:t>.</w:t>
      </w:r>
      <w:r>
        <w:rPr>
          <w:rFonts w:hint="eastAsia" w:ascii="仿宋_GB2312" w:hAnsi="仿宋_GB2312" w:eastAsia="仿宋_GB2312" w:cs="仿宋_GB2312"/>
          <w:spacing w:val="11"/>
          <w:sz w:val="32"/>
          <w:szCs w:val="32"/>
          <w:lang w:val="en-US" w:eastAsia="zh-CN"/>
        </w:rPr>
        <w:t>15</w:t>
      </w:r>
      <w:r>
        <w:rPr>
          <w:rFonts w:hint="eastAsia" w:ascii="仿宋_GB2312" w:hAnsi="微软雅黑" w:eastAsia="仿宋_GB2312" w:cs="宋体"/>
          <w:color w:val="000000"/>
          <w:kern w:val="0"/>
          <w:sz w:val="32"/>
          <w:szCs w:val="32"/>
        </w:rPr>
        <w:t>万元。其中人员经费开支</w:t>
      </w:r>
      <w:r>
        <w:rPr>
          <w:rFonts w:hint="eastAsia" w:ascii="仿宋_GB2312" w:hAnsi="仿宋_GB2312" w:eastAsia="仿宋_GB2312" w:cs="仿宋_GB2312"/>
          <w:sz w:val="32"/>
          <w:szCs w:val="32"/>
          <w:lang w:val="en-US" w:eastAsia="zh-CN"/>
        </w:rPr>
        <w:t>962.58</w:t>
      </w:r>
      <w:r>
        <w:rPr>
          <w:rFonts w:hint="eastAsia" w:ascii="仿宋_GB2312" w:hAnsi="微软雅黑" w:eastAsia="仿宋_GB2312" w:cs="宋体"/>
          <w:color w:val="000000"/>
          <w:kern w:val="0"/>
          <w:sz w:val="32"/>
          <w:szCs w:val="32"/>
        </w:rPr>
        <w:t>万元，日常公用经费开支</w:t>
      </w:r>
      <w:r>
        <w:rPr>
          <w:rFonts w:hint="eastAsia" w:ascii="仿宋_GB2312" w:hAnsi="仿宋_GB2312" w:eastAsia="仿宋_GB2312" w:cs="仿宋_GB2312"/>
          <w:sz w:val="32"/>
          <w:szCs w:val="32"/>
          <w:lang w:val="en-US" w:eastAsia="zh-CN"/>
        </w:rPr>
        <w:t>84.57</w:t>
      </w:r>
      <w:r>
        <w:rPr>
          <w:rFonts w:hint="eastAsia" w:ascii="仿宋_GB2312" w:hAnsi="微软雅黑" w:eastAsia="仿宋_GB2312" w:cs="宋体"/>
          <w:color w:val="000000"/>
          <w:kern w:val="0"/>
          <w:sz w:val="32"/>
          <w:szCs w:val="32"/>
        </w:rPr>
        <w:t>万元。缩减“三公”经费开支，其中招待费开支</w:t>
      </w:r>
      <w:r>
        <w:rPr>
          <w:rFonts w:hint="eastAsia" w:ascii="仿宋_GB2312" w:hAnsi="微软雅黑" w:eastAsia="仿宋_GB2312" w:cs="宋体"/>
          <w:color w:val="000000"/>
          <w:kern w:val="0"/>
          <w:sz w:val="32"/>
          <w:szCs w:val="32"/>
          <w:lang w:val="en-US" w:eastAsia="zh-CN"/>
        </w:rPr>
        <w:t>0</w:t>
      </w:r>
      <w:r>
        <w:rPr>
          <w:rFonts w:hint="eastAsia" w:ascii="仿宋_GB2312" w:hAnsi="微软雅黑" w:eastAsia="仿宋_GB2312" w:cs="宋体"/>
          <w:color w:val="000000"/>
          <w:kern w:val="0"/>
          <w:sz w:val="32"/>
          <w:szCs w:val="32"/>
        </w:rPr>
        <w:t>万元（指标</w:t>
      </w:r>
      <w:r>
        <w:rPr>
          <w:rFonts w:hint="eastAsia" w:ascii="仿宋_GB2312" w:hAnsi="微软雅黑" w:eastAsia="仿宋_GB2312" w:cs="宋体"/>
          <w:color w:val="000000"/>
          <w:kern w:val="0"/>
          <w:sz w:val="32"/>
          <w:szCs w:val="32"/>
          <w:lang w:val="en-US" w:eastAsia="zh-CN"/>
        </w:rPr>
        <w:t>0.5</w:t>
      </w:r>
      <w:r>
        <w:rPr>
          <w:rFonts w:hint="eastAsia" w:ascii="仿宋_GB2312" w:hAnsi="微软雅黑" w:eastAsia="仿宋_GB2312" w:cs="宋体"/>
          <w:color w:val="000000"/>
          <w:kern w:val="0"/>
          <w:sz w:val="32"/>
          <w:szCs w:val="32"/>
        </w:rPr>
        <w:t>万元）节约指标</w:t>
      </w:r>
      <w:r>
        <w:rPr>
          <w:rFonts w:hint="eastAsia" w:ascii="仿宋_GB2312" w:hAnsi="微软雅黑" w:eastAsia="仿宋_GB2312" w:cs="宋体"/>
          <w:color w:val="000000"/>
          <w:kern w:val="0"/>
          <w:sz w:val="32"/>
          <w:szCs w:val="32"/>
          <w:lang w:val="en-US" w:eastAsia="zh-CN"/>
        </w:rPr>
        <w:t>100</w:t>
      </w:r>
      <w:r>
        <w:rPr>
          <w:rFonts w:hint="eastAsia" w:ascii="仿宋_GB2312" w:hAnsi="微软雅黑" w:eastAsia="仿宋_GB2312" w:cs="宋体"/>
          <w:color w:val="000000"/>
          <w:kern w:val="0"/>
          <w:sz w:val="32"/>
          <w:szCs w:val="32"/>
        </w:rPr>
        <w:t>%；公务车辆运行经费开支</w:t>
      </w:r>
      <w:r>
        <w:rPr>
          <w:rFonts w:hint="eastAsia" w:ascii="仿宋_GB2312" w:hAnsi="微软雅黑" w:eastAsia="仿宋_GB2312" w:cs="宋体"/>
          <w:color w:val="000000"/>
          <w:kern w:val="0"/>
          <w:sz w:val="32"/>
          <w:szCs w:val="32"/>
          <w:lang w:val="en-US" w:eastAsia="zh-CN"/>
        </w:rPr>
        <w:t>0</w:t>
      </w:r>
      <w:r>
        <w:rPr>
          <w:rFonts w:hint="eastAsia" w:ascii="仿宋_GB2312" w:hAnsi="微软雅黑" w:eastAsia="仿宋_GB2312" w:cs="宋体"/>
          <w:color w:val="000000"/>
          <w:kern w:val="0"/>
          <w:sz w:val="32"/>
          <w:szCs w:val="32"/>
        </w:rPr>
        <w:t>万元（指标</w:t>
      </w:r>
      <w:r>
        <w:rPr>
          <w:rFonts w:hint="eastAsia" w:ascii="仿宋_GB2312" w:hAnsi="微软雅黑" w:eastAsia="仿宋_GB2312" w:cs="宋体"/>
          <w:color w:val="000000"/>
          <w:kern w:val="0"/>
          <w:sz w:val="32"/>
          <w:szCs w:val="32"/>
          <w:lang w:val="en-US" w:eastAsia="zh-CN"/>
        </w:rPr>
        <w:t>1</w:t>
      </w:r>
      <w:r>
        <w:rPr>
          <w:rFonts w:hint="eastAsia" w:ascii="仿宋_GB2312" w:hAnsi="微软雅黑" w:eastAsia="仿宋_GB2312" w:cs="宋体"/>
          <w:color w:val="000000"/>
          <w:kern w:val="0"/>
          <w:sz w:val="32"/>
          <w:szCs w:val="32"/>
        </w:rPr>
        <w:t>万元），节约指标</w:t>
      </w:r>
      <w:r>
        <w:rPr>
          <w:rFonts w:hint="eastAsia" w:ascii="仿宋_GB2312" w:hAnsi="微软雅黑" w:eastAsia="仿宋_GB2312" w:cs="宋体"/>
          <w:color w:val="000000"/>
          <w:kern w:val="0"/>
          <w:sz w:val="32"/>
          <w:szCs w:val="32"/>
          <w:lang w:val="en-US" w:eastAsia="zh-CN"/>
        </w:rPr>
        <w:t>100</w:t>
      </w:r>
      <w:r>
        <w:rPr>
          <w:rFonts w:hint="eastAsia" w:ascii="仿宋_GB2312" w:hAnsi="微软雅黑" w:eastAsia="仿宋_GB2312" w:cs="宋体"/>
          <w:color w:val="000000"/>
          <w:kern w:val="0"/>
          <w:sz w:val="32"/>
          <w:szCs w:val="32"/>
        </w:rPr>
        <w:t>%；因公出国（境）费用无。</w:t>
      </w:r>
    </w:p>
    <w:p w14:paraId="383D5B3F">
      <w:pPr>
        <w:widowControl/>
        <w:shd w:val="clear" w:color="auto" w:fill="FFFFFF"/>
        <w:spacing w:after="75" w:line="600" w:lineRule="atLeast"/>
        <w:ind w:firstLine="640"/>
        <w:rPr>
          <w:rFonts w:hint="eastAsia" w:ascii="微软雅黑" w:hAnsi="微软雅黑" w:eastAsia="微软雅黑" w:cs="宋体"/>
          <w:color w:val="3D3D3D"/>
          <w:kern w:val="0"/>
          <w:sz w:val="24"/>
        </w:rPr>
      </w:pPr>
      <w:r>
        <w:rPr>
          <w:rFonts w:hint="eastAsia" w:ascii="仿宋_GB2312" w:hAnsi="微软雅黑" w:eastAsia="仿宋_GB2312" w:cs="宋体"/>
          <w:color w:val="000000"/>
          <w:kern w:val="0"/>
          <w:sz w:val="32"/>
          <w:szCs w:val="32"/>
        </w:rPr>
        <w:t>（二）</w:t>
      </w:r>
      <w:r>
        <w:rPr>
          <w:rFonts w:hint="eastAsia" w:ascii="仿宋_GB2312" w:hAnsi="微软雅黑" w:eastAsia="仿宋_GB2312" w:cs="宋体"/>
          <w:color w:val="000000"/>
          <w:kern w:val="0"/>
          <w:sz w:val="32"/>
          <w:szCs w:val="32"/>
          <w:lang w:eastAsia="zh-CN"/>
        </w:rPr>
        <w:t>无</w:t>
      </w:r>
      <w:r>
        <w:rPr>
          <w:rFonts w:hint="eastAsia" w:ascii="仿宋_GB2312" w:hAnsi="微软雅黑" w:eastAsia="仿宋_GB2312" w:cs="宋体"/>
          <w:color w:val="000000"/>
          <w:kern w:val="0"/>
          <w:sz w:val="32"/>
          <w:szCs w:val="32"/>
        </w:rPr>
        <w:t>专项支出。</w:t>
      </w:r>
    </w:p>
    <w:p w14:paraId="676386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574B317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我单位无此类开支。</w:t>
      </w:r>
    </w:p>
    <w:p w14:paraId="1F94C084">
      <w:pPr>
        <w:keepNext w:val="0"/>
        <w:keepLines w:val="0"/>
        <w:pageBreakBefore w:val="0"/>
        <w:widowControl w:val="0"/>
        <w:numPr>
          <w:ilvl w:val="0"/>
          <w:numId w:val="6"/>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项目资金（主要指财政资金）实际使用情况分析。</w:t>
      </w:r>
    </w:p>
    <w:p w14:paraId="7E8C2CE3">
      <w:pPr>
        <w:keepNext w:val="0"/>
        <w:keepLines w:val="0"/>
        <w:pageBreakBefore w:val="0"/>
        <w:widowControl w:val="0"/>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我单位无此类开支。</w:t>
      </w:r>
    </w:p>
    <w:p w14:paraId="1D04E3C3">
      <w:pPr>
        <w:keepNext w:val="0"/>
        <w:keepLines w:val="0"/>
        <w:pageBreakBefore w:val="0"/>
        <w:widowControl w:val="0"/>
        <w:numPr>
          <w:ilvl w:val="0"/>
          <w:numId w:val="6"/>
        </w:numPr>
        <w:kinsoku/>
        <w:wordWrap/>
        <w:overflowPunct/>
        <w:topLinePunct w:val="0"/>
        <w:autoSpaceDE/>
        <w:autoSpaceDN/>
        <w:bidi w:val="0"/>
        <w:adjustRightInd/>
        <w:snapToGrid w:val="0"/>
        <w:spacing w:line="520" w:lineRule="exact"/>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项目资金管理情况分析，主要包括管理制度、办法的制订及执行情况。</w:t>
      </w:r>
    </w:p>
    <w:p w14:paraId="3E28B73F">
      <w:pPr>
        <w:keepNext w:val="0"/>
        <w:keepLines w:val="0"/>
        <w:pageBreakBefore w:val="0"/>
        <w:widowControl w:val="0"/>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我单位无此类开支。</w:t>
      </w:r>
    </w:p>
    <w:p w14:paraId="07C2831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3601C42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我单位无此类情况。</w:t>
      </w:r>
    </w:p>
    <w:p w14:paraId="4E7AEDC3">
      <w:pPr>
        <w:keepNext w:val="0"/>
        <w:keepLines w:val="0"/>
        <w:pageBreakBefore w:val="0"/>
        <w:widowControl w:val="0"/>
        <w:numPr>
          <w:ilvl w:val="0"/>
          <w:numId w:val="5"/>
        </w:numPr>
        <w:kinsoku/>
        <w:wordWrap/>
        <w:overflowPunct/>
        <w:topLinePunct w:val="0"/>
        <w:autoSpaceDE/>
        <w:autoSpaceDN/>
        <w:bidi w:val="0"/>
        <w:adjustRightInd/>
        <w:snapToGrid w:val="0"/>
        <w:spacing w:line="520" w:lineRule="exact"/>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项目管理情况分析，主要包括项目管理制度建设、日常检查监督管理等情况。</w:t>
      </w:r>
    </w:p>
    <w:p w14:paraId="1F9F514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我单位无此类情况。</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四、资产管理情况</w:t>
      </w:r>
    </w:p>
    <w:p w14:paraId="210AACA8">
      <w:pPr>
        <w:widowControl/>
        <w:shd w:val="clear" w:color="auto" w:fill="FFFFFF"/>
        <w:spacing w:after="75" w:line="600" w:lineRule="atLeast"/>
        <w:ind w:firstLine="640"/>
        <w:rPr>
          <w:rFonts w:hint="eastAsia" w:ascii="微软雅黑" w:hAnsi="微软雅黑" w:eastAsia="微软雅黑" w:cs="宋体"/>
          <w:color w:val="3D3D3D"/>
          <w:kern w:val="0"/>
          <w:sz w:val="24"/>
        </w:rPr>
      </w:pPr>
      <w:r>
        <w:rPr>
          <w:rFonts w:hint="eastAsia" w:ascii="仿宋_GB2312" w:hAnsi="微软雅黑" w:eastAsia="仿宋_GB2312" w:cs="宋体"/>
          <w:color w:val="000000"/>
          <w:kern w:val="0"/>
          <w:sz w:val="32"/>
          <w:szCs w:val="32"/>
        </w:rPr>
        <w:t>202</w:t>
      </w:r>
      <w:r>
        <w:rPr>
          <w:rFonts w:hint="eastAsia" w:ascii="仿宋_GB2312" w:hAnsi="微软雅黑" w:eastAsia="仿宋_GB2312" w:cs="宋体"/>
          <w:color w:val="000000"/>
          <w:kern w:val="0"/>
          <w:sz w:val="32"/>
          <w:szCs w:val="32"/>
          <w:lang w:val="en-US" w:eastAsia="zh-CN"/>
        </w:rPr>
        <w:t>5</w:t>
      </w:r>
      <w:r>
        <w:rPr>
          <w:rFonts w:hint="eastAsia" w:ascii="仿宋_GB2312" w:hAnsi="微软雅黑" w:eastAsia="仿宋_GB2312" w:cs="宋体"/>
          <w:color w:val="000000"/>
          <w:kern w:val="0"/>
          <w:sz w:val="32"/>
          <w:szCs w:val="32"/>
        </w:rPr>
        <w:t>年固定资产增加</w:t>
      </w:r>
      <w:r>
        <w:rPr>
          <w:rFonts w:hint="eastAsia" w:ascii="仿宋_GB2312" w:hAnsi="微软雅黑" w:eastAsia="仿宋_GB2312" w:cs="宋体"/>
          <w:color w:val="000000"/>
          <w:kern w:val="0"/>
          <w:sz w:val="32"/>
          <w:szCs w:val="32"/>
          <w:lang w:val="en-US" w:eastAsia="zh-CN"/>
        </w:rPr>
        <w:t>0</w:t>
      </w:r>
      <w:r>
        <w:rPr>
          <w:rFonts w:hint="eastAsia" w:ascii="仿宋_GB2312" w:hAnsi="微软雅黑" w:eastAsia="仿宋_GB2312" w:cs="宋体"/>
          <w:color w:val="000000"/>
          <w:kern w:val="0"/>
          <w:sz w:val="32"/>
          <w:szCs w:val="32"/>
        </w:rPr>
        <w:t>万元。本单位严格执行资产管理制度。对单位确需购置的固定资产，由使用部门提出申请，分管部门的</w:t>
      </w:r>
      <w:r>
        <w:rPr>
          <w:rFonts w:hint="eastAsia" w:ascii="仿宋_GB2312" w:hAnsi="微软雅黑" w:eastAsia="仿宋_GB2312" w:cs="宋体"/>
          <w:color w:val="000000"/>
          <w:kern w:val="0"/>
          <w:sz w:val="32"/>
          <w:szCs w:val="32"/>
          <w:lang w:eastAsia="zh-CN"/>
        </w:rPr>
        <w:t>领导</w:t>
      </w:r>
      <w:r>
        <w:rPr>
          <w:rFonts w:hint="eastAsia" w:ascii="仿宋_GB2312" w:hAnsi="微软雅黑" w:eastAsia="仿宋_GB2312" w:cs="宋体"/>
          <w:color w:val="000000"/>
          <w:kern w:val="0"/>
          <w:sz w:val="32"/>
          <w:szCs w:val="32"/>
        </w:rPr>
        <w:t>签署“拟同意购买”或“拟不同意购买”的意见后，报</w:t>
      </w:r>
      <w:r>
        <w:rPr>
          <w:rFonts w:hint="eastAsia" w:ascii="仿宋_GB2312" w:hAnsi="微软雅黑" w:eastAsia="仿宋_GB2312" w:cs="宋体"/>
          <w:color w:val="000000"/>
          <w:kern w:val="0"/>
          <w:sz w:val="32"/>
          <w:szCs w:val="32"/>
          <w:lang w:eastAsia="zh-CN"/>
        </w:rPr>
        <w:t>主任</w:t>
      </w:r>
      <w:r>
        <w:rPr>
          <w:rFonts w:hint="eastAsia" w:ascii="仿宋_GB2312" w:hAnsi="微软雅黑" w:eastAsia="仿宋_GB2312" w:cs="宋体"/>
          <w:color w:val="000000"/>
          <w:kern w:val="0"/>
          <w:sz w:val="32"/>
          <w:szCs w:val="32"/>
        </w:rPr>
        <w:t>审批或由</w:t>
      </w:r>
      <w:r>
        <w:rPr>
          <w:rFonts w:hint="eastAsia" w:ascii="仿宋_GB2312" w:hAnsi="微软雅黑" w:eastAsia="仿宋_GB2312" w:cs="宋体"/>
          <w:color w:val="000000"/>
          <w:kern w:val="0"/>
          <w:sz w:val="32"/>
          <w:szCs w:val="32"/>
          <w:lang w:eastAsia="zh-CN"/>
        </w:rPr>
        <w:t>办</w:t>
      </w:r>
      <w:r>
        <w:rPr>
          <w:rFonts w:hint="eastAsia" w:ascii="仿宋_GB2312" w:hAnsi="微软雅黑" w:eastAsia="仿宋_GB2312" w:cs="宋体"/>
          <w:color w:val="000000"/>
          <w:kern w:val="0"/>
          <w:sz w:val="32"/>
          <w:szCs w:val="32"/>
        </w:rPr>
        <w:t>党组集体讨论决定。对属于政府采购的项目必须执行政府采购。</w:t>
      </w:r>
    </w:p>
    <w:p w14:paraId="397CC91E">
      <w:pPr>
        <w:widowControl/>
        <w:shd w:val="clear" w:color="auto" w:fill="FFFFFF"/>
        <w:spacing w:after="75" w:line="600" w:lineRule="atLeast"/>
        <w:ind w:firstLine="640"/>
        <w:rPr>
          <w:rFonts w:hint="eastAsia" w:ascii="微软雅黑" w:hAnsi="微软雅黑" w:eastAsia="微软雅黑" w:cs="宋体"/>
          <w:color w:val="3D3D3D"/>
          <w:kern w:val="0"/>
          <w:sz w:val="24"/>
        </w:rPr>
      </w:pPr>
      <w:r>
        <w:rPr>
          <w:rFonts w:hint="eastAsia" w:ascii="仿宋_GB2312" w:hAnsi="微软雅黑" w:eastAsia="仿宋_GB2312" w:cs="宋体"/>
          <w:color w:val="000000"/>
          <w:kern w:val="0"/>
          <w:sz w:val="32"/>
          <w:szCs w:val="32"/>
        </w:rPr>
        <w:t>对除房屋、建筑物以外的固定资产实行“谁使用、谁维护”的原则；将责任落实到科室，对故意或者失职造成财产物资毁损的，应照价赔偿。</w:t>
      </w:r>
    </w:p>
    <w:p w14:paraId="446CB57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7C2AACF1">
      <w:pPr>
        <w:keepNext w:val="0"/>
        <w:keepLines w:val="0"/>
        <w:pageBreakBefore w:val="0"/>
        <w:widowControl w:val="0"/>
        <w:numPr>
          <w:ilvl w:val="0"/>
          <w:numId w:val="7"/>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政府性基金预算支出情况</w:t>
      </w:r>
    </w:p>
    <w:p w14:paraId="0336B2B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我单位无政府性基金预算支出。</w:t>
      </w:r>
    </w:p>
    <w:p w14:paraId="3488626E">
      <w:pPr>
        <w:keepNext w:val="0"/>
        <w:keepLines w:val="0"/>
        <w:pageBreakBefore w:val="0"/>
        <w:widowControl w:val="0"/>
        <w:numPr>
          <w:ilvl w:val="0"/>
          <w:numId w:val="7"/>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国有资本经营预算支出情况</w:t>
      </w:r>
    </w:p>
    <w:p w14:paraId="2B645EB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仿宋" w:hAnsi="仿宋" w:eastAsia="仿宋" w:cs="仿宋"/>
          <w:b w:val="0"/>
          <w:bCs w:val="0"/>
          <w:color w:val="auto"/>
          <w:sz w:val="32"/>
          <w:szCs w:val="32"/>
          <w:highlight w:val="none"/>
          <w:lang w:val="en-US" w:eastAsia="zh-CN"/>
        </w:rPr>
        <w:t>我单位无资本经营预算支出情况。</w:t>
      </w:r>
    </w:p>
    <w:p w14:paraId="3844A895">
      <w:pPr>
        <w:keepNext w:val="0"/>
        <w:keepLines w:val="0"/>
        <w:pageBreakBefore w:val="0"/>
        <w:widowControl w:val="0"/>
        <w:numPr>
          <w:ilvl w:val="0"/>
          <w:numId w:val="7"/>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社会保险基金预算支出情况</w:t>
      </w:r>
    </w:p>
    <w:p w14:paraId="49D785A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我单位无社会保险基金预算支出。</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w:t>
      </w:r>
      <w:r>
        <w:rPr>
          <w:rFonts w:hint="default" w:ascii="方正黑体_GBK" w:hAnsi="方正黑体_GBK" w:eastAsia="方正黑体_GBK" w:cs="方正黑体_GBK"/>
          <w:b w:val="0"/>
          <w:bCs w:val="0"/>
          <w:color w:val="auto"/>
          <w:sz w:val="32"/>
          <w:szCs w:val="32"/>
          <w:highlight w:val="none"/>
          <w:lang w:val="en-US" w:eastAsia="zh-CN"/>
        </w:rPr>
        <w:t>部门整体支出绩效情况</w:t>
      </w:r>
    </w:p>
    <w:p w14:paraId="6063F65F">
      <w:pPr>
        <w:widowControl/>
        <w:shd w:val="clear" w:color="auto" w:fill="FFFFFF"/>
        <w:spacing w:after="75" w:line="600" w:lineRule="atLeast"/>
        <w:ind w:firstLine="640"/>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我</w:t>
      </w:r>
      <w:r>
        <w:rPr>
          <w:rFonts w:hint="eastAsia" w:ascii="仿宋_GB2312" w:hAnsi="微软雅黑" w:eastAsia="仿宋_GB2312" w:cs="宋体"/>
          <w:color w:val="000000"/>
          <w:kern w:val="0"/>
          <w:sz w:val="32"/>
          <w:szCs w:val="32"/>
          <w:lang w:eastAsia="zh-CN"/>
        </w:rPr>
        <w:t>中心</w:t>
      </w:r>
      <w:r>
        <w:rPr>
          <w:rFonts w:hint="eastAsia" w:ascii="仿宋_GB2312" w:hAnsi="微软雅黑" w:eastAsia="仿宋_GB2312" w:cs="宋体"/>
          <w:color w:val="000000"/>
          <w:kern w:val="0"/>
          <w:sz w:val="32"/>
          <w:szCs w:val="32"/>
        </w:rPr>
        <w:t>收入主要分为财政供养人员工资福利、公用经费及</w:t>
      </w:r>
      <w:r>
        <w:rPr>
          <w:rFonts w:hint="eastAsia" w:ascii="仿宋_GB2312" w:hAnsi="微软雅黑" w:eastAsia="仿宋_GB2312" w:cs="宋体"/>
          <w:color w:val="000000"/>
          <w:kern w:val="0"/>
          <w:sz w:val="32"/>
          <w:szCs w:val="32"/>
          <w:lang w:eastAsia="zh-CN"/>
        </w:rPr>
        <w:t>征收工作经费收入</w:t>
      </w:r>
      <w:r>
        <w:rPr>
          <w:rFonts w:hint="eastAsia" w:ascii="仿宋_GB2312" w:hAnsi="微软雅黑" w:eastAsia="仿宋_GB2312" w:cs="宋体"/>
          <w:color w:val="000000"/>
          <w:kern w:val="0"/>
          <w:sz w:val="32"/>
          <w:szCs w:val="32"/>
        </w:rPr>
        <w:t>。全年严格按照预算控制支出，在全年内圆满完成工作任务。一是部门预算控制较好</w:t>
      </w:r>
      <w:r>
        <w:rPr>
          <w:rFonts w:hint="eastAsia" w:ascii="仿宋_GB2312" w:hAnsi="微软雅黑" w:eastAsia="仿宋_GB2312" w:cs="宋体"/>
          <w:color w:val="000000"/>
          <w:kern w:val="0"/>
          <w:sz w:val="32"/>
          <w:szCs w:val="32"/>
          <w:lang w:eastAsia="zh-CN"/>
        </w:rPr>
        <w:t>，</w:t>
      </w:r>
      <w:r>
        <w:rPr>
          <w:rFonts w:hint="eastAsia" w:ascii="仿宋_GB2312" w:hAnsi="微软雅黑" w:eastAsia="仿宋_GB2312" w:cs="宋体"/>
          <w:color w:val="000000"/>
          <w:kern w:val="0"/>
          <w:sz w:val="32"/>
          <w:szCs w:val="32"/>
        </w:rPr>
        <w:t>“三公”经费未超本年预算和上年决算支出，“三公”经费实际执行控制良好。二是资产管理方面，建立了资产管理制度，定期进行了盘点和资产清理，总体执行较好。三是预算管理方面，制度执行总体较为有效，为完成年度工作任务提供了有效保障。</w:t>
      </w:r>
    </w:p>
    <w:p w14:paraId="6638D296">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一、主要工作情况</w:t>
      </w:r>
    </w:p>
    <w:p w14:paraId="66C08718">
      <w:pPr>
        <w:pStyle w:val="4"/>
        <w:spacing w:before="0" w:after="0" w:line="400" w:lineRule="exact"/>
        <w:ind w:firstLine="640" w:firstLineChars="200"/>
        <w:jc w:val="both"/>
        <w:rPr>
          <w:rFonts w:ascii="仿宋" w:hAnsi="仿宋" w:eastAsia="仿宋"/>
          <w:b w:val="0"/>
          <w:sz w:val="32"/>
          <w:szCs w:val="32"/>
        </w:rPr>
      </w:pPr>
      <w:r>
        <w:rPr>
          <w:rFonts w:ascii="楷体" w:hAnsi="楷体" w:eastAsia="楷体"/>
          <w:b w:val="0"/>
          <w:sz w:val="32"/>
          <w:szCs w:val="32"/>
        </w:rPr>
        <w:t>（</w:t>
      </w:r>
      <w:r>
        <w:rPr>
          <w:rFonts w:hint="eastAsia" w:ascii="楷体" w:hAnsi="楷体" w:eastAsia="楷体"/>
          <w:b w:val="0"/>
          <w:sz w:val="32"/>
          <w:szCs w:val="32"/>
          <w:lang w:eastAsia="zh-CN"/>
        </w:rPr>
        <w:t>一</w:t>
      </w:r>
      <w:r>
        <w:rPr>
          <w:rFonts w:ascii="楷体" w:hAnsi="楷体" w:eastAsia="楷体"/>
          <w:b w:val="0"/>
          <w:sz w:val="32"/>
          <w:szCs w:val="32"/>
        </w:rPr>
        <w:t>）服务全市大局，保障重点项目落地</w:t>
      </w:r>
      <w:r>
        <w:rPr>
          <w:rFonts w:hint="eastAsia" w:ascii="楷体" w:hAnsi="楷体" w:eastAsia="楷体"/>
          <w:b w:val="0"/>
          <w:sz w:val="32"/>
          <w:szCs w:val="32"/>
        </w:rPr>
        <w:t>。</w:t>
      </w:r>
      <w:r>
        <w:rPr>
          <w:rFonts w:ascii="仿宋" w:hAnsi="仿宋" w:eastAsia="仿宋"/>
          <w:b w:val="0"/>
          <w:sz w:val="32"/>
          <w:szCs w:val="32"/>
        </w:rPr>
        <w:t>围绕鹤中一体化、高铁新城商圈等全市重点战略，全年完成土地征收1962.3亩，征收房屋面积23.81万平方米，其中：</w:t>
      </w:r>
    </w:p>
    <w:p w14:paraId="08331647">
      <w:pPr>
        <w:pStyle w:val="5"/>
        <w:tabs>
          <w:tab w:val="left" w:pos="709"/>
        </w:tabs>
        <w:spacing w:line="400" w:lineRule="exact"/>
        <w:ind w:firstLine="640" w:firstLineChars="200"/>
        <w:jc w:val="both"/>
        <w:rPr>
          <w:rFonts w:ascii="仿宋" w:hAnsi="仿宋" w:eastAsia="仿宋"/>
          <w:sz w:val="32"/>
          <w:szCs w:val="32"/>
        </w:rPr>
      </w:pPr>
      <w:r>
        <w:rPr>
          <w:rStyle w:val="14"/>
          <w:rFonts w:hint="eastAsia" w:ascii="仿宋" w:hAnsi="仿宋" w:eastAsia="仿宋"/>
          <w:b w:val="0"/>
          <w:sz w:val="32"/>
          <w:szCs w:val="32"/>
        </w:rPr>
        <w:t>1.</w:t>
      </w:r>
      <w:r>
        <w:rPr>
          <w:rStyle w:val="14"/>
          <w:rFonts w:ascii="仿宋" w:hAnsi="仿宋" w:eastAsia="仿宋"/>
          <w:b w:val="0"/>
          <w:sz w:val="32"/>
          <w:szCs w:val="32"/>
        </w:rPr>
        <w:t>鹤中一体化建设</w:t>
      </w:r>
      <w:r>
        <w:rPr>
          <w:rFonts w:ascii="仿宋" w:hAnsi="仿宋" w:eastAsia="仿宋"/>
          <w:b/>
          <w:sz w:val="32"/>
          <w:szCs w:val="32"/>
        </w:rPr>
        <w:t>：</w:t>
      </w:r>
      <w:r>
        <w:rPr>
          <w:rFonts w:ascii="仿宋" w:hAnsi="仿宋" w:eastAsia="仿宋"/>
          <w:sz w:val="32"/>
          <w:szCs w:val="32"/>
        </w:rPr>
        <w:t>推进13个关联项目，完成集体土地征收574户、房屋17.57万平方米；</w:t>
      </w:r>
    </w:p>
    <w:p w14:paraId="592DE980">
      <w:pPr>
        <w:pStyle w:val="5"/>
        <w:tabs>
          <w:tab w:val="left" w:pos="709"/>
        </w:tabs>
        <w:spacing w:line="400" w:lineRule="exact"/>
        <w:ind w:firstLine="640" w:firstLineChars="200"/>
        <w:jc w:val="both"/>
        <w:rPr>
          <w:rFonts w:ascii="仿宋" w:hAnsi="仿宋" w:eastAsia="仿宋"/>
          <w:sz w:val="32"/>
          <w:szCs w:val="32"/>
        </w:rPr>
      </w:pPr>
      <w:r>
        <w:rPr>
          <w:rStyle w:val="14"/>
          <w:rFonts w:hint="eastAsia" w:ascii="仿宋" w:hAnsi="仿宋" w:eastAsia="仿宋"/>
          <w:b w:val="0"/>
          <w:sz w:val="32"/>
          <w:szCs w:val="32"/>
        </w:rPr>
        <w:t>2.</w:t>
      </w:r>
      <w:r>
        <w:rPr>
          <w:rStyle w:val="14"/>
          <w:rFonts w:ascii="仿宋" w:hAnsi="仿宋" w:eastAsia="仿宋"/>
          <w:b w:val="0"/>
          <w:sz w:val="32"/>
          <w:szCs w:val="32"/>
        </w:rPr>
        <w:t>高铁新城商圈</w:t>
      </w:r>
      <w:r>
        <w:rPr>
          <w:rFonts w:ascii="仿宋" w:hAnsi="仿宋" w:eastAsia="仿宋"/>
          <w:b/>
          <w:sz w:val="32"/>
          <w:szCs w:val="32"/>
        </w:rPr>
        <w:t>：</w:t>
      </w:r>
      <w:r>
        <w:rPr>
          <w:rFonts w:ascii="仿宋" w:hAnsi="仿宋" w:eastAsia="仿宋"/>
          <w:sz w:val="32"/>
          <w:szCs w:val="32"/>
        </w:rPr>
        <w:t>征收集体土地428.56亩，涉及502户、房屋14.33万平方米，协议安置人口925人；</w:t>
      </w:r>
    </w:p>
    <w:p w14:paraId="2763B46F">
      <w:pPr>
        <w:pStyle w:val="5"/>
        <w:tabs>
          <w:tab w:val="left" w:pos="709"/>
        </w:tabs>
        <w:spacing w:line="400" w:lineRule="exact"/>
        <w:ind w:firstLine="640" w:firstLineChars="200"/>
        <w:jc w:val="both"/>
        <w:rPr>
          <w:rFonts w:ascii="仿宋" w:hAnsi="仿宋" w:eastAsia="仿宋"/>
          <w:sz w:val="32"/>
          <w:szCs w:val="32"/>
        </w:rPr>
      </w:pPr>
      <w:r>
        <w:rPr>
          <w:rStyle w:val="14"/>
          <w:rFonts w:hint="eastAsia" w:ascii="仿宋" w:hAnsi="仿宋" w:eastAsia="仿宋"/>
          <w:b w:val="0"/>
          <w:sz w:val="32"/>
          <w:szCs w:val="32"/>
        </w:rPr>
        <w:t>3.</w:t>
      </w:r>
      <w:r>
        <w:rPr>
          <w:rStyle w:val="14"/>
          <w:rFonts w:ascii="仿宋" w:hAnsi="仿宋" w:eastAsia="仿宋"/>
          <w:b w:val="0"/>
          <w:sz w:val="32"/>
          <w:szCs w:val="32"/>
        </w:rPr>
        <w:t>旅发大会配套项目</w:t>
      </w:r>
      <w:r>
        <w:rPr>
          <w:rFonts w:ascii="仿宋" w:hAnsi="仿宋" w:eastAsia="仿宋"/>
          <w:sz w:val="32"/>
          <w:szCs w:val="32"/>
        </w:rPr>
        <w:t>：高效完成榆树湾街区、天问广场等8个核心景点征收，涉及308户、房屋10.6万平方米，投入资金3.2亿元；</w:t>
      </w:r>
    </w:p>
    <w:p w14:paraId="18639A5C">
      <w:pPr>
        <w:pStyle w:val="5"/>
        <w:tabs>
          <w:tab w:val="left" w:pos="709"/>
        </w:tabs>
        <w:spacing w:line="400" w:lineRule="exact"/>
        <w:ind w:firstLine="640" w:firstLineChars="200"/>
        <w:jc w:val="both"/>
        <w:rPr>
          <w:rFonts w:ascii="仿宋" w:hAnsi="仿宋" w:eastAsia="仿宋"/>
          <w:sz w:val="32"/>
          <w:szCs w:val="32"/>
        </w:rPr>
      </w:pPr>
      <w:r>
        <w:rPr>
          <w:rStyle w:val="14"/>
          <w:rFonts w:hint="eastAsia" w:ascii="仿宋" w:hAnsi="仿宋" w:eastAsia="仿宋"/>
          <w:b w:val="0"/>
          <w:sz w:val="32"/>
          <w:szCs w:val="32"/>
        </w:rPr>
        <w:t>4.</w:t>
      </w:r>
      <w:r>
        <w:rPr>
          <w:rStyle w:val="14"/>
          <w:rFonts w:ascii="仿宋" w:hAnsi="仿宋" w:eastAsia="仿宋"/>
          <w:b w:val="0"/>
          <w:sz w:val="32"/>
          <w:szCs w:val="32"/>
        </w:rPr>
        <w:t>城东新型城镇化建设</w:t>
      </w:r>
      <w:r>
        <w:rPr>
          <w:rFonts w:ascii="仿宋" w:hAnsi="仿宋" w:eastAsia="仿宋"/>
          <w:b/>
          <w:sz w:val="32"/>
          <w:szCs w:val="32"/>
        </w:rPr>
        <w:t>：</w:t>
      </w:r>
      <w:r>
        <w:rPr>
          <w:rFonts w:ascii="仿宋" w:hAnsi="仿宋" w:eastAsia="仿宋"/>
          <w:sz w:val="32"/>
          <w:szCs w:val="32"/>
        </w:rPr>
        <w:t>征收集体土地1258.19亩，房屋9.49万平方米，为城市扩容提质奠定坚实基础。</w:t>
      </w:r>
    </w:p>
    <w:p w14:paraId="3904A09F">
      <w:pPr>
        <w:pStyle w:val="5"/>
        <w:tabs>
          <w:tab w:val="left" w:pos="709"/>
        </w:tabs>
        <w:spacing w:before="0" w:after="0" w:line="600" w:lineRule="exact"/>
        <w:ind w:firstLine="640" w:firstLineChars="200"/>
        <w:rPr>
          <w:rFonts w:ascii="仿宋" w:hAnsi="仿宋" w:eastAsia="仿宋"/>
          <w:sz w:val="32"/>
          <w:szCs w:val="32"/>
        </w:rPr>
      </w:pPr>
      <w:r>
        <w:rPr>
          <w:rFonts w:ascii="楷体" w:hAnsi="楷体" w:eastAsia="楷体"/>
          <w:sz w:val="32"/>
          <w:szCs w:val="32"/>
        </w:rPr>
        <w:t>（</w:t>
      </w:r>
      <w:r>
        <w:rPr>
          <w:rFonts w:hint="eastAsia" w:ascii="楷体" w:hAnsi="楷体" w:eastAsia="楷体"/>
          <w:sz w:val="32"/>
          <w:szCs w:val="32"/>
          <w:lang w:eastAsia="zh-CN"/>
        </w:rPr>
        <w:t>二</w:t>
      </w:r>
      <w:r>
        <w:rPr>
          <w:rFonts w:ascii="楷体" w:hAnsi="楷体" w:eastAsia="楷体"/>
          <w:sz w:val="32"/>
          <w:szCs w:val="32"/>
        </w:rPr>
        <w:t>）破解历史遗留，推动项目清零</w:t>
      </w:r>
      <w:r>
        <w:rPr>
          <w:rFonts w:hint="eastAsia" w:ascii="楷体" w:hAnsi="楷体" w:eastAsia="楷体"/>
          <w:sz w:val="32"/>
          <w:szCs w:val="32"/>
        </w:rPr>
        <w:t>。</w:t>
      </w:r>
      <w:r>
        <w:rPr>
          <w:rFonts w:ascii="仿宋" w:hAnsi="仿宋" w:eastAsia="仿宋"/>
          <w:sz w:val="32"/>
          <w:szCs w:val="32"/>
        </w:rPr>
        <w:t>全力推进人民西路（二期）暨步步高广场项目征收，完成114户中的89户签约，签约率达78%，归集资金1亿元，保障道路全面贯通。创新存量商品房安置模式，将03-05-08地块等项目244户700余人安置至江秀嘉苑等8个楼盘，已选房入住80余户。化解人民西路66户产权调换历史遗留问题，按3:3:4比例分期支付补偿款，首批款项已全部到位。</w:t>
      </w:r>
    </w:p>
    <w:p w14:paraId="43917BCD">
      <w:pPr>
        <w:pStyle w:val="4"/>
        <w:spacing w:before="0" w:after="0" w:line="600" w:lineRule="exact"/>
        <w:ind w:firstLine="640" w:firstLineChars="200"/>
        <w:rPr>
          <w:rFonts w:ascii="仿宋" w:hAnsi="仿宋" w:eastAsia="仿宋"/>
          <w:b w:val="0"/>
          <w:sz w:val="32"/>
          <w:szCs w:val="32"/>
        </w:rPr>
      </w:pPr>
      <w:r>
        <w:rPr>
          <w:rFonts w:ascii="楷体" w:hAnsi="楷体" w:eastAsia="楷体"/>
          <w:b w:val="0"/>
          <w:sz w:val="32"/>
          <w:szCs w:val="32"/>
        </w:rPr>
        <w:t>（</w:t>
      </w:r>
      <w:r>
        <w:rPr>
          <w:rFonts w:hint="eastAsia" w:ascii="楷体" w:hAnsi="楷体" w:eastAsia="楷体"/>
          <w:b w:val="0"/>
          <w:sz w:val="32"/>
          <w:szCs w:val="32"/>
          <w:lang w:eastAsia="zh-CN"/>
        </w:rPr>
        <w:t>三</w:t>
      </w:r>
      <w:r>
        <w:rPr>
          <w:rFonts w:ascii="楷体" w:hAnsi="楷体" w:eastAsia="楷体"/>
          <w:b w:val="0"/>
          <w:sz w:val="32"/>
          <w:szCs w:val="32"/>
        </w:rPr>
        <w:t>）强化安全监管，守牢安全底线</w:t>
      </w:r>
      <w:r>
        <w:rPr>
          <w:rFonts w:hint="eastAsia" w:ascii="楷体" w:hAnsi="楷体" w:eastAsia="楷体"/>
          <w:b w:val="0"/>
          <w:sz w:val="32"/>
          <w:szCs w:val="32"/>
        </w:rPr>
        <w:t>。</w:t>
      </w:r>
      <w:r>
        <w:rPr>
          <w:rFonts w:ascii="仿宋" w:hAnsi="仿宋" w:eastAsia="仿宋"/>
          <w:b w:val="0"/>
          <w:sz w:val="32"/>
          <w:szCs w:val="32"/>
        </w:rPr>
        <w:t>严格落实安全生产责任制，规范被征收房屋拆除流程，全年拆除国有土地房屋32037.64平方米，未发生安全事故。加强过渡安置保障，发放国有土地过渡安置费17户</w:t>
      </w:r>
      <w:r>
        <w:rPr>
          <w:rFonts w:hint="eastAsia" w:ascii="仿宋" w:hAnsi="仿宋" w:eastAsia="仿宋"/>
          <w:b w:val="0"/>
          <w:sz w:val="32"/>
          <w:szCs w:val="32"/>
        </w:rPr>
        <w:t>75.95</w:t>
      </w:r>
      <w:r>
        <w:rPr>
          <w:rFonts w:ascii="仿宋" w:hAnsi="仿宋" w:eastAsia="仿宋"/>
          <w:b w:val="0"/>
          <w:sz w:val="32"/>
          <w:szCs w:val="32"/>
        </w:rPr>
        <w:t>万元，集体土地安置资金804.54万元，确保被征收群众基本生活稳定。</w:t>
      </w:r>
    </w:p>
    <w:p w14:paraId="617A002F">
      <w:pPr>
        <w:pStyle w:val="4"/>
        <w:spacing w:before="0" w:after="0" w:line="600" w:lineRule="exact"/>
        <w:ind w:firstLine="640" w:firstLineChars="200"/>
        <w:rPr>
          <w:rFonts w:ascii="仿宋" w:hAnsi="仿宋" w:eastAsia="仿宋"/>
          <w:b w:val="0"/>
          <w:sz w:val="32"/>
          <w:szCs w:val="32"/>
        </w:rPr>
      </w:pPr>
      <w:r>
        <w:rPr>
          <w:rFonts w:ascii="楷体" w:hAnsi="楷体" w:eastAsia="楷体"/>
          <w:b w:val="0"/>
          <w:sz w:val="32"/>
          <w:szCs w:val="32"/>
        </w:rPr>
        <w:t>（</w:t>
      </w:r>
      <w:r>
        <w:rPr>
          <w:rFonts w:hint="eastAsia" w:ascii="楷体" w:hAnsi="楷体" w:eastAsia="楷体"/>
          <w:b w:val="0"/>
          <w:sz w:val="32"/>
          <w:szCs w:val="32"/>
          <w:lang w:eastAsia="zh-CN"/>
        </w:rPr>
        <w:t>四</w:t>
      </w:r>
      <w:r>
        <w:rPr>
          <w:rFonts w:ascii="楷体" w:hAnsi="楷体" w:eastAsia="楷体"/>
          <w:b w:val="0"/>
          <w:sz w:val="32"/>
          <w:szCs w:val="32"/>
        </w:rPr>
        <w:t>）推进乡村振兴，助力共同富裕</w:t>
      </w:r>
      <w:r>
        <w:rPr>
          <w:rFonts w:hint="eastAsia" w:ascii="楷体" w:hAnsi="楷体" w:eastAsia="楷体"/>
          <w:b w:val="0"/>
          <w:sz w:val="32"/>
          <w:szCs w:val="32"/>
        </w:rPr>
        <w:t>。</w:t>
      </w:r>
      <w:r>
        <w:rPr>
          <w:rFonts w:hint="eastAsia" w:ascii="仿宋" w:hAnsi="仿宋" w:eastAsia="仿宋" w:cs="宋体"/>
          <w:b w:val="0"/>
          <w:sz w:val="32"/>
          <w:szCs w:val="32"/>
        </w:rPr>
        <w:t>为确保帮扶工作“不跑偏、能落地”，工作队进驻后第一时间开展村情摸排，全面掌握天堂坪村基础情况。全村现有村支两委干部5名，党员队伍74人，下辖26个村民小组，共731户2101人，其中脱贫户154户535人、监测户19户49人。产业方面，村内传统经济作物以优质稻、烤烟、柑橘、葡萄为主，已初步形成“光伏+特色种植”的产业格局——包含2座60千瓦光伏发电站、120亩对外承包柑橘园、220亩雷竹笋基地，2025年预计实现村集体经济收入约8万元，其中光伏发电贡献6万元、柑橘园承包收入1.8万元、村小学闲置房出租收入1850元。基于这一底数，我们将“守底线、补短板、促增收”作为全年工作主线，为后续任务推进奠定基础。</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九、存在的问题及原因分析</w:t>
      </w:r>
    </w:p>
    <w:p w14:paraId="1939D47A">
      <w:pPr>
        <w:widowControl/>
        <w:shd w:val="clear" w:color="auto" w:fill="FFFFFF"/>
        <w:spacing w:after="75" w:line="600" w:lineRule="atLeast"/>
        <w:ind w:firstLine="640"/>
        <w:rPr>
          <w:rFonts w:hint="eastAsia" w:ascii="微软雅黑" w:hAnsi="微软雅黑" w:eastAsia="微软雅黑" w:cs="宋体"/>
          <w:color w:val="3D3D3D"/>
          <w:kern w:val="0"/>
          <w:sz w:val="24"/>
        </w:rPr>
      </w:pPr>
      <w:r>
        <w:rPr>
          <w:rFonts w:hint="eastAsia" w:ascii="仿宋_GB2312" w:hAnsi="微软雅黑" w:eastAsia="仿宋_GB2312" w:cs="宋体"/>
          <w:color w:val="000000"/>
          <w:kern w:val="0"/>
          <w:sz w:val="32"/>
          <w:szCs w:val="32"/>
        </w:rPr>
        <w:t>1、全年预算工作有待完善及精准；</w:t>
      </w:r>
    </w:p>
    <w:p w14:paraId="3E2E7EF0">
      <w:pPr>
        <w:widowControl/>
        <w:shd w:val="clear" w:color="auto" w:fill="FFFFFF"/>
        <w:spacing w:after="75" w:line="600" w:lineRule="atLeast"/>
        <w:ind w:firstLine="640"/>
        <w:rPr>
          <w:rFonts w:hint="eastAsia" w:ascii="微软雅黑" w:hAnsi="微软雅黑" w:eastAsia="微软雅黑" w:cs="宋体"/>
          <w:color w:val="3D3D3D"/>
          <w:kern w:val="0"/>
          <w:sz w:val="24"/>
        </w:rPr>
      </w:pPr>
      <w:r>
        <w:rPr>
          <w:rFonts w:hint="eastAsia" w:ascii="仿宋_GB2312" w:hAnsi="微软雅黑" w:eastAsia="仿宋_GB2312" w:cs="宋体"/>
          <w:color w:val="000000"/>
          <w:kern w:val="0"/>
          <w:sz w:val="32"/>
          <w:szCs w:val="32"/>
        </w:rPr>
        <w:t>2、需进一步加强预算管理，在预算内开展全年工作；</w:t>
      </w:r>
    </w:p>
    <w:p w14:paraId="0C562DE9">
      <w:pPr>
        <w:widowControl/>
        <w:shd w:val="clear" w:color="auto" w:fill="FFFFFF"/>
        <w:spacing w:after="75" w:line="600" w:lineRule="atLeast"/>
        <w:ind w:firstLine="640"/>
        <w:rPr>
          <w:rFonts w:hint="eastAsia" w:ascii="仿宋_GB2312" w:eastAsia="仿宋_GB2312"/>
          <w:sz w:val="32"/>
          <w:szCs w:val="32"/>
          <w:lang w:eastAsia="zh-CN"/>
        </w:rPr>
      </w:pPr>
      <w:r>
        <w:rPr>
          <w:rFonts w:hint="eastAsia" w:ascii="仿宋_GB2312" w:hAnsi="微软雅黑" w:eastAsia="仿宋_GB2312" w:cs="宋体"/>
          <w:color w:val="000000"/>
          <w:kern w:val="0"/>
          <w:sz w:val="32"/>
          <w:szCs w:val="32"/>
        </w:rPr>
        <w:t>3、</w:t>
      </w:r>
      <w:r>
        <w:rPr>
          <w:rFonts w:hint="eastAsia" w:ascii="仿宋" w:hAnsi="仿宋" w:eastAsia="仿宋" w:cs="仿宋"/>
          <w:b w:val="0"/>
          <w:bCs/>
          <w:sz w:val="32"/>
          <w:szCs w:val="32"/>
        </w:rPr>
        <w:t>遗留问题处理难度大。</w:t>
      </w:r>
      <w:r>
        <w:rPr>
          <w:rFonts w:ascii="Times New Roman" w:hAnsi="Times New Roman" w:eastAsia="仿宋_GB2312" w:cs="Times New Roman"/>
          <w:color w:val="000000"/>
          <w:sz w:val="32"/>
          <w:szCs w:val="32"/>
        </w:rPr>
        <w:t>主要涉及</w:t>
      </w:r>
      <w:r>
        <w:rPr>
          <w:rFonts w:ascii="Times New Roman" w:hAnsi="Times New Roman" w:eastAsia="仿宋_GB2312" w:cs="Times New Roman"/>
          <w:sz w:val="32"/>
          <w:szCs w:val="32"/>
        </w:rPr>
        <w:t>原湖天管委会、原市征地事务所及相关临时机构（项目部）遗留多年的征拆安置问题，由于时间久远、资料不全、政策调整、程序变化等原因，现在处理比较棘手。</w:t>
      </w:r>
    </w:p>
    <w:p w14:paraId="3E5B02E2">
      <w:pPr>
        <w:widowControl/>
        <w:shd w:val="clear" w:color="auto" w:fill="FFFFFF"/>
        <w:spacing w:after="75" w:line="600" w:lineRule="atLeast"/>
        <w:ind w:firstLine="640"/>
        <w:rPr>
          <w:rFonts w:hint="default" w:ascii="仿宋_GB2312" w:eastAsia="仿宋_GB2312"/>
          <w:sz w:val="32"/>
          <w:szCs w:val="32"/>
          <w:lang w:val="en-US" w:eastAsia="zh-CN"/>
        </w:rPr>
      </w:pPr>
      <w:r>
        <w:rPr>
          <w:rFonts w:hint="eastAsia" w:ascii="仿宋_GB2312" w:eastAsia="仿宋_GB2312"/>
          <w:sz w:val="32"/>
          <w:szCs w:val="32"/>
          <w:lang w:val="en-US" w:eastAsia="zh-CN"/>
        </w:rPr>
        <w:t>4、</w:t>
      </w:r>
      <w:r>
        <w:rPr>
          <w:rFonts w:hint="eastAsia" w:ascii="仿宋_GB2312" w:eastAsia="仿宋_GB2312"/>
          <w:sz w:val="32"/>
          <w:szCs w:val="32"/>
        </w:rPr>
        <w:t>征收补偿资金难以及时到位，由于棚改贷款资金拨付方式的改变，导致征收补偿资金无法按协议约定时间到位，被征收人无法按时领取征收补偿资金，减弱了征收工作的公信力，影响了项目征收的后续推进。</w:t>
      </w:r>
    </w:p>
    <w:p w14:paraId="3992752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4F0F780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val="0"/>
          <w:bCs w:val="0"/>
          <w:color w:val="auto"/>
          <w:sz w:val="32"/>
          <w:szCs w:val="32"/>
          <w:highlight w:val="none"/>
          <w:lang w:val="en-US" w:eastAsia="zh-CN"/>
        </w:rPr>
        <w:t>十、</w:t>
      </w:r>
      <w:r>
        <w:rPr>
          <w:rFonts w:hint="default" w:ascii="方正黑体_GBK" w:hAnsi="方正黑体_GBK" w:eastAsia="方正黑体_GBK" w:cs="方正黑体_GBK"/>
          <w:b w:val="0"/>
          <w:bCs w:val="0"/>
          <w:color w:val="auto"/>
          <w:sz w:val="32"/>
          <w:szCs w:val="32"/>
          <w:highlight w:val="none"/>
          <w:lang w:val="en-US" w:eastAsia="zh-CN"/>
        </w:rPr>
        <w:t>下一步改进措施</w:t>
      </w:r>
    </w:p>
    <w:p w14:paraId="1D046831">
      <w:pPr>
        <w:widowControl/>
        <w:shd w:val="clear" w:color="auto" w:fill="FFFFFF"/>
        <w:spacing w:after="75" w:line="600" w:lineRule="atLeast"/>
        <w:ind w:firstLine="640"/>
        <w:rPr>
          <w:rFonts w:hint="eastAsia" w:ascii="微软雅黑" w:hAnsi="微软雅黑" w:eastAsia="微软雅黑" w:cs="宋体"/>
          <w:color w:val="3D3D3D"/>
          <w:kern w:val="0"/>
          <w:sz w:val="24"/>
        </w:rPr>
      </w:pPr>
      <w:r>
        <w:rPr>
          <w:rFonts w:hint="eastAsia" w:ascii="仿宋_GB2312" w:hAnsi="微软雅黑" w:eastAsia="仿宋_GB2312" w:cs="宋体"/>
          <w:color w:val="000000"/>
          <w:kern w:val="0"/>
          <w:sz w:val="32"/>
          <w:szCs w:val="32"/>
        </w:rPr>
        <w:t>1、进一步加强全年工作计划及预算精准度。</w:t>
      </w:r>
    </w:p>
    <w:p w14:paraId="012EBEAB">
      <w:pPr>
        <w:widowControl/>
        <w:shd w:val="clear" w:color="auto" w:fill="FFFFFF"/>
        <w:spacing w:after="75" w:line="600" w:lineRule="atLeast"/>
        <w:ind w:firstLine="640"/>
        <w:rPr>
          <w:rFonts w:hint="eastAsia" w:ascii="微软雅黑" w:hAnsi="微软雅黑" w:eastAsia="微软雅黑" w:cs="宋体"/>
          <w:color w:val="3D3D3D"/>
          <w:kern w:val="0"/>
          <w:sz w:val="24"/>
        </w:rPr>
      </w:pPr>
      <w:r>
        <w:rPr>
          <w:rFonts w:hint="eastAsia" w:ascii="仿宋_GB2312" w:hAnsi="微软雅黑" w:eastAsia="仿宋_GB2312" w:cs="宋体"/>
          <w:color w:val="000000"/>
          <w:kern w:val="0"/>
          <w:sz w:val="32"/>
          <w:szCs w:val="32"/>
        </w:rPr>
        <w:t>2、严格按照预算管理执行，强化预算绩效。</w:t>
      </w:r>
    </w:p>
    <w:p w14:paraId="2174182A">
      <w:pPr>
        <w:widowControl/>
        <w:shd w:val="clear" w:color="auto" w:fill="FFFFFF"/>
        <w:spacing w:after="75" w:line="600" w:lineRule="atLeast"/>
        <w:ind w:firstLine="640"/>
        <w:rPr>
          <w:rFonts w:hint="eastAsia" w:ascii="微软雅黑" w:hAnsi="微软雅黑" w:eastAsia="微软雅黑" w:cs="宋体"/>
          <w:color w:val="3D3D3D"/>
          <w:kern w:val="0"/>
          <w:sz w:val="24"/>
        </w:rPr>
      </w:pPr>
      <w:r>
        <w:rPr>
          <w:rFonts w:hint="eastAsia" w:ascii="仿宋_GB2312" w:hAnsi="微软雅黑" w:eastAsia="仿宋_GB2312" w:cs="宋体"/>
          <w:color w:val="000000"/>
          <w:kern w:val="0"/>
          <w:sz w:val="32"/>
          <w:szCs w:val="32"/>
        </w:rPr>
        <w:t>3、进一步加强财务管理，严格严格财务审核把关。在费用报账支付时，按照预算规定的费用项目和用途进行资金使用审核、列报支付、财务核算，杜绝超支现象的发生。</w:t>
      </w:r>
    </w:p>
    <w:p w14:paraId="34B381DF">
      <w:pPr>
        <w:widowControl/>
        <w:shd w:val="clear" w:color="auto" w:fill="FFFFFF"/>
        <w:spacing w:after="75" w:line="600" w:lineRule="atLeast"/>
        <w:ind w:firstLine="640"/>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4、持续抓好“三公”经费控制管理。严控“三公”经费，进一步细化“三公”经费的管理。</w:t>
      </w:r>
    </w:p>
    <w:p w14:paraId="39B9E744">
      <w:pPr>
        <w:widowControl/>
        <w:shd w:val="clear" w:color="auto" w:fill="FFFFFF"/>
        <w:spacing w:after="75" w:line="600" w:lineRule="atLeast"/>
        <w:ind w:firstLine="640"/>
        <w:rPr>
          <w:rFonts w:hint="eastAsia" w:ascii="仿宋_GB2312" w:hAnsi="微软雅黑" w:eastAsia="仿宋_GB2312" w:cs="宋体"/>
          <w:color w:val="000000"/>
          <w:kern w:val="0"/>
          <w:sz w:val="32"/>
          <w:szCs w:val="32"/>
          <w:lang w:val="en-US" w:eastAsia="zh-CN"/>
        </w:rPr>
      </w:pPr>
      <w:r>
        <w:rPr>
          <w:rFonts w:hint="eastAsia" w:ascii="仿宋_GB2312" w:hAnsi="微软雅黑" w:eastAsia="仿宋_GB2312" w:cs="宋体"/>
          <w:color w:val="000000"/>
          <w:kern w:val="0"/>
          <w:sz w:val="32"/>
          <w:szCs w:val="32"/>
          <w:lang w:val="en-US" w:eastAsia="zh-CN"/>
        </w:rPr>
        <w:t>5</w:t>
      </w:r>
      <w:r>
        <w:rPr>
          <w:rFonts w:hint="eastAsia" w:ascii="仿宋_GB2312" w:eastAsia="仿宋_GB2312"/>
          <w:sz w:val="32"/>
          <w:szCs w:val="32"/>
          <w:lang w:eastAsia="zh-CN"/>
        </w:rPr>
        <w:t>、</w:t>
      </w:r>
      <w:r>
        <w:rPr>
          <w:rFonts w:hint="eastAsia" w:ascii="仿宋_GB2312" w:eastAsia="仿宋_GB2312"/>
          <w:sz w:val="32"/>
          <w:szCs w:val="32"/>
        </w:rPr>
        <w:t>强化制度建设和管理。针对征收工作特点，完善各项职能工作流程，重点抓好《行政管理制度》《征收项目管理责任制》等制度的落实</w:t>
      </w:r>
      <w:r>
        <w:rPr>
          <w:rFonts w:hint="eastAsia" w:ascii="仿宋_GB2312" w:hAnsi="微软雅黑" w:eastAsia="仿宋_GB2312" w:cs="宋体"/>
          <w:color w:val="000000"/>
          <w:kern w:val="0"/>
          <w:sz w:val="32"/>
          <w:szCs w:val="32"/>
          <w:lang w:val="en-US" w:eastAsia="zh-CN"/>
        </w:rPr>
        <w:t>。</w:t>
      </w:r>
    </w:p>
    <w:p w14:paraId="2F6D66E0">
      <w:pPr>
        <w:spacing w:line="600" w:lineRule="exact"/>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eastAsia" w:ascii="仿宋_GB2312" w:hAnsi="微软雅黑" w:eastAsia="仿宋_GB2312" w:cs="宋体"/>
          <w:color w:val="000000"/>
          <w:kern w:val="0"/>
          <w:sz w:val="32"/>
          <w:szCs w:val="32"/>
          <w:lang w:val="en-US" w:eastAsia="zh-CN"/>
        </w:rPr>
        <w:t>6、</w:t>
      </w:r>
      <w:r>
        <w:rPr>
          <w:rFonts w:hint="eastAsia" w:ascii="楷体" w:hAnsi="楷体" w:eastAsia="楷体"/>
          <w:sz w:val="32"/>
          <w:szCs w:val="32"/>
        </w:rPr>
        <w:t>继续强力推进项目征收。</w:t>
      </w:r>
      <w:r>
        <w:rPr>
          <w:rFonts w:hint="eastAsia" w:ascii="仿宋_GB2312" w:eastAsia="仿宋_GB2312"/>
          <w:sz w:val="32"/>
          <w:szCs w:val="32"/>
        </w:rPr>
        <w:t>进一步加大征收补偿资金的筹措力度，主动对接、沟通，理顺拨付程序，适应新拨付方式。进一步落实好区实施、市监督指导工作模式，坚持在服务中监管、在监管中搞好服务的指导思想，切实加强对每个征收项目的监管、指导和服务工作，全面完成</w:t>
      </w:r>
      <w:r>
        <w:rPr>
          <w:rFonts w:hint="eastAsia" w:ascii="仿宋_GB2312" w:eastAsia="仿宋_GB2312"/>
          <w:sz w:val="32"/>
          <w:szCs w:val="32"/>
          <w:lang w:eastAsia="zh-CN"/>
        </w:rPr>
        <w:t>续建</w:t>
      </w:r>
      <w:r>
        <w:rPr>
          <w:rFonts w:hint="eastAsia" w:ascii="仿宋_GB2312" w:eastAsia="仿宋_GB2312"/>
          <w:sz w:val="32"/>
          <w:szCs w:val="32"/>
        </w:rPr>
        <w:t>棚改</w:t>
      </w:r>
      <w:r>
        <w:rPr>
          <w:rFonts w:hint="eastAsia" w:ascii="仿宋_GB2312" w:eastAsia="仿宋_GB2312"/>
          <w:sz w:val="32"/>
          <w:szCs w:val="32"/>
          <w:lang w:eastAsia="zh-CN"/>
        </w:rPr>
        <w:t>项目</w:t>
      </w:r>
      <w:r>
        <w:rPr>
          <w:rFonts w:hint="eastAsia" w:ascii="仿宋_GB2312" w:eastAsia="仿宋_GB2312"/>
          <w:sz w:val="32"/>
          <w:szCs w:val="32"/>
        </w:rPr>
        <w:t>征收扫尾</w:t>
      </w:r>
      <w:r>
        <w:rPr>
          <w:rFonts w:hint="eastAsia" w:ascii="仿宋_GB2312" w:eastAsia="仿宋_GB2312"/>
          <w:sz w:val="32"/>
          <w:szCs w:val="32"/>
          <w:lang w:eastAsia="zh-CN"/>
        </w:rPr>
        <w:t>和新实施项目的年度工作任务</w:t>
      </w:r>
      <w:r>
        <w:rPr>
          <w:rFonts w:hint="eastAsia" w:ascii="仿宋_GB2312" w:eastAsia="仿宋_GB2312"/>
          <w:sz w:val="32"/>
          <w:szCs w:val="32"/>
        </w:rPr>
        <w:t>。</w:t>
      </w:r>
    </w:p>
    <w:p w14:paraId="6A2EBD7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十一、绩效自评结果拟应用和公开情况</w:t>
      </w:r>
    </w:p>
    <w:p w14:paraId="6764D01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仿宋" w:hAnsi="仿宋" w:eastAsia="仿宋" w:cs="仿宋"/>
          <w:b w:val="0"/>
          <w:bCs w:val="0"/>
          <w:color w:val="auto"/>
          <w:sz w:val="32"/>
          <w:szCs w:val="32"/>
          <w:highlight w:val="none"/>
          <w:lang w:val="en-US" w:eastAsia="zh-CN"/>
        </w:rPr>
        <w:t>本年度绩效自评98分，因我单位没有独立门户网站，没有挂网公开。</w:t>
      </w:r>
    </w:p>
    <w:p w14:paraId="0D944C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十二、其他需要说明的情况</w:t>
      </w:r>
    </w:p>
    <w:p w14:paraId="0B257E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整体支出报告有以下附件：</w:t>
      </w:r>
    </w:p>
    <w:p w14:paraId="28AC6E9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54EE272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0AF35A4F">
      <w:pPr>
        <w:pStyle w:val="17"/>
        <w:spacing w:line="600" w:lineRule="exact"/>
        <w:ind w:firstLine="640" w:firstLineChars="200"/>
        <w:rPr>
          <w:rFonts w:ascii="Times New Roman" w:hAnsi="Times New Roman" w:eastAsia="仿宋_GB2312" w:cs="Times New Roman"/>
          <w:sz w:val="32"/>
          <w:szCs w:val="32"/>
        </w:rPr>
      </w:pPr>
    </w:p>
    <w:p w14:paraId="0579DF95">
      <w:pPr>
        <w:pStyle w:val="17"/>
        <w:jc w:val="center"/>
        <w:rPr>
          <w:rFonts w:ascii="Times New Roman" w:hAnsi="Times New Roman" w:cs="Times New Roman"/>
          <w:sz w:val="72"/>
          <w:szCs w:val="72"/>
        </w:rPr>
      </w:pPr>
    </w:p>
    <w:p w14:paraId="4B22EC5C">
      <w:pPr>
        <w:pStyle w:val="17"/>
        <w:jc w:val="center"/>
        <w:rPr>
          <w:rFonts w:ascii="Times New Roman" w:hAnsi="Times New Roman" w:cs="Times New Roman"/>
          <w:sz w:val="72"/>
          <w:szCs w:val="72"/>
        </w:rPr>
      </w:pPr>
    </w:p>
    <w:p w14:paraId="51B10ED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iberation Serif">
    <w:altName w:val="Times New Roman"/>
    <w:panose1 w:val="00000000000000000000"/>
    <w:charset w:val="00"/>
    <w:family w:val="roman"/>
    <w:pitch w:val="default"/>
    <w:sig w:usb0="00000000" w:usb1="00000000" w:usb2="00000000" w:usb3="00000000" w:csb0="00040001" w:csb1="00000000"/>
  </w:font>
  <w:font w:name="Noto Serif CJK SC">
    <w:panose1 w:val="02020400000000000000"/>
    <w:charset w:val="86"/>
    <w:family w:val="roman"/>
    <w:pitch w:val="default"/>
    <w:sig w:usb0="30000083" w:usb1="2BDF3C10" w:usb2="00000016" w:usb3="00000000" w:csb0="602E0107" w:csb1="00000000"/>
  </w:font>
  <w:font w:name="Noto Sans Devanagari">
    <w:panose1 w:val="020B0502040504020204"/>
    <w:charset w:val="00"/>
    <w:family w:val="roman"/>
    <w:pitch w:val="default"/>
    <w:sig w:usb0="80008023" w:usb1="00002046" w:usb2="00000000" w:usb3="00000000" w:csb0="00000001"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微软雅黑">
    <w:altName w:val="方正黑体_GBK"/>
    <w:panose1 w:val="020B0503020204020204"/>
    <w:charset w:val="86"/>
    <w:family w:val="auto"/>
    <w:pitch w:val="default"/>
    <w:sig w:usb0="00000000" w:usb1="00000000" w:usb2="00000016" w:usb3="00000000" w:csb0="0004001F"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2BB4F">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4EDC0">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D65CF">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EC213">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A80D86">
                          <w:pPr>
                            <w:pStyle w:val="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3A80D86">
                    <w:pPr>
                      <w:pStyle w:val="9"/>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E2E932"/>
    <w:multiLevelType w:val="singleLevel"/>
    <w:tmpl w:val="A6E2E932"/>
    <w:lvl w:ilvl="0" w:tentative="0">
      <w:start w:val="1"/>
      <w:numFmt w:val="chineseCounting"/>
      <w:suff w:val="nothing"/>
      <w:lvlText w:val="%1、"/>
      <w:lvlJc w:val="left"/>
      <w:rPr>
        <w:rFonts w:hint="eastAsia"/>
      </w:rPr>
    </w:lvl>
  </w:abstractNum>
  <w:abstractNum w:abstractNumId="1">
    <w:nsid w:val="BB8F4B83"/>
    <w:multiLevelType w:val="singleLevel"/>
    <w:tmpl w:val="BB8F4B83"/>
    <w:lvl w:ilvl="0" w:tentative="0">
      <w:start w:val="3"/>
      <w:numFmt w:val="decimal"/>
      <w:suff w:val="nothing"/>
      <w:lvlText w:val="%1、"/>
      <w:lvlJc w:val="left"/>
    </w:lvl>
  </w:abstractNum>
  <w:abstractNum w:abstractNumId="2">
    <w:nsid w:val="45458DE4"/>
    <w:multiLevelType w:val="singleLevel"/>
    <w:tmpl w:val="45458DE4"/>
    <w:lvl w:ilvl="0" w:tentative="0">
      <w:start w:val="2"/>
      <w:numFmt w:val="chineseCounting"/>
      <w:suff w:val="nothing"/>
      <w:lvlText w:val="（%1）"/>
      <w:lvlJc w:val="left"/>
      <w:rPr>
        <w:rFonts w:hint="eastAsia"/>
      </w:rPr>
    </w:lvl>
  </w:abstractNum>
  <w:abstractNum w:abstractNumId="3">
    <w:nsid w:val="62E24C49"/>
    <w:multiLevelType w:val="singleLevel"/>
    <w:tmpl w:val="62E24C49"/>
    <w:lvl w:ilvl="0" w:tentative="0">
      <w:start w:val="1"/>
      <w:numFmt w:val="decimal"/>
      <w:suff w:val="nothing"/>
      <w:lvlText w:val="%1、"/>
      <w:lvlJc w:val="left"/>
    </w:lvl>
  </w:abstractNum>
  <w:abstractNum w:abstractNumId="4">
    <w:nsid w:val="62E25678"/>
    <w:multiLevelType w:val="singleLevel"/>
    <w:tmpl w:val="62E25678"/>
    <w:lvl w:ilvl="0" w:tentative="0">
      <w:start w:val="1"/>
      <w:numFmt w:val="chineseCounting"/>
      <w:suff w:val="nothing"/>
      <w:lvlText w:val="（%1）"/>
      <w:lvlJc w:val="left"/>
    </w:lvl>
  </w:abstractNum>
  <w:abstractNum w:abstractNumId="5">
    <w:nsid w:val="6F8FF3A0"/>
    <w:multiLevelType w:val="singleLevel"/>
    <w:tmpl w:val="6F8FF3A0"/>
    <w:lvl w:ilvl="0" w:tentative="0">
      <w:start w:val="5"/>
      <w:numFmt w:val="chineseCounting"/>
      <w:suff w:val="nothing"/>
      <w:lvlText w:val="%1、"/>
      <w:lvlJc w:val="left"/>
      <w:rPr>
        <w:rFonts w:hint="eastAsia"/>
      </w:rPr>
    </w:lvl>
  </w:abstractNum>
  <w:abstractNum w:abstractNumId="6">
    <w:nsid w:val="773FF9D3"/>
    <w:multiLevelType w:val="singleLevel"/>
    <w:tmpl w:val="773FF9D3"/>
    <w:lvl w:ilvl="0" w:tentative="0">
      <w:start w:val="2"/>
      <w:numFmt w:val="decimal"/>
      <w:suff w:val="nothing"/>
      <w:lvlText w:val="%1、"/>
      <w:lvlJc w:val="left"/>
    </w:lvl>
  </w:abstractNum>
  <w:num w:numId="1">
    <w:abstractNumId w:val="0"/>
  </w:num>
  <w:num w:numId="2">
    <w:abstractNumId w:val="3"/>
  </w:num>
  <w:num w:numId="3">
    <w:abstractNumId w:val="4"/>
  </w:num>
  <w:num w:numId="4">
    <w:abstractNumId w:val="1"/>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17A1CD4"/>
    <w:rsid w:val="1BA11782"/>
    <w:rsid w:val="1D623693"/>
    <w:rsid w:val="1D97DEFF"/>
    <w:rsid w:val="1DFF72E5"/>
    <w:rsid w:val="1EFC6F07"/>
    <w:rsid w:val="22B609F2"/>
    <w:rsid w:val="23222015"/>
    <w:rsid w:val="271E795E"/>
    <w:rsid w:val="2FDF85B8"/>
    <w:rsid w:val="2FFFEE04"/>
    <w:rsid w:val="33A158A9"/>
    <w:rsid w:val="34DF85B0"/>
    <w:rsid w:val="370E7E29"/>
    <w:rsid w:val="3A7B1F91"/>
    <w:rsid w:val="3B8F36BC"/>
    <w:rsid w:val="3BDD601C"/>
    <w:rsid w:val="42016206"/>
    <w:rsid w:val="491FF225"/>
    <w:rsid w:val="49245264"/>
    <w:rsid w:val="4EA64644"/>
    <w:rsid w:val="4FFD214C"/>
    <w:rsid w:val="5777D4F5"/>
    <w:rsid w:val="59DD8326"/>
    <w:rsid w:val="5DEF592A"/>
    <w:rsid w:val="5FC6BB1E"/>
    <w:rsid w:val="5FF720F1"/>
    <w:rsid w:val="5FFF0AB9"/>
    <w:rsid w:val="64104931"/>
    <w:rsid w:val="678B77FB"/>
    <w:rsid w:val="67FF5C0B"/>
    <w:rsid w:val="6C1825D5"/>
    <w:rsid w:val="6EFC0924"/>
    <w:rsid w:val="6FB74722"/>
    <w:rsid w:val="6FEF8B7E"/>
    <w:rsid w:val="71A6591B"/>
    <w:rsid w:val="72BA4006"/>
    <w:rsid w:val="737D59BA"/>
    <w:rsid w:val="74476149"/>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3"/>
    <w:basedOn w:val="1"/>
    <w:next w:val="5"/>
    <w:qFormat/>
    <w:uiPriority w:val="0"/>
    <w:pPr>
      <w:keepNext/>
      <w:suppressAutoHyphens/>
      <w:spacing w:before="140" w:after="120"/>
      <w:jc w:val="left"/>
      <w:outlineLvl w:val="2"/>
    </w:pPr>
    <w:rPr>
      <w:rFonts w:ascii="Liberation Serif" w:hAnsi="Liberation Serif" w:eastAsia="Noto Serif CJK SC" w:cs="Noto Sans Devanagari"/>
      <w:b/>
      <w:bCs/>
      <w:kern w:val="0"/>
      <w:sz w:val="28"/>
      <w:szCs w:val="28"/>
      <w:lang w:bidi="hi-IN"/>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Body Text"/>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Indent"/>
    <w:basedOn w:val="1"/>
    <w:next w:val="7"/>
    <w:unhideWhenUsed/>
    <w:qFormat/>
    <w:uiPriority w:val="99"/>
    <w:pPr>
      <w:widowControl/>
      <w:spacing w:after="120"/>
      <w:ind w:left="420" w:leftChars="200"/>
      <w:jc w:val="left"/>
    </w:pPr>
    <w:rPr>
      <w:rFonts w:ascii="宋体" w:hAnsi="宋体" w:eastAsia="宋体" w:cs="宋体"/>
      <w:kern w:val="0"/>
      <w:sz w:val="24"/>
    </w:rPr>
  </w:style>
  <w:style w:type="paragraph" w:styleId="7">
    <w:name w:val="Body Text First Indent 2"/>
    <w:basedOn w:val="6"/>
    <w:next w:val="1"/>
    <w:unhideWhenUsed/>
    <w:qFormat/>
    <w:uiPriority w:val="99"/>
    <w:pPr>
      <w:ind w:firstLine="420" w:firstLineChars="200"/>
    </w:pPr>
  </w:style>
  <w:style w:type="paragraph" w:styleId="8">
    <w:name w:val="Balloon Text"/>
    <w:basedOn w:val="1"/>
    <w:link w:val="19"/>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7"/>
    <w:semiHidden/>
    <w:qFormat/>
    <w:uiPriority w:val="0"/>
    <w:pPr>
      <w:snapToGrid w:val="0"/>
      <w:jc w:val="left"/>
    </w:pPr>
    <w:rPr>
      <w:sz w:val="18"/>
      <w:szCs w:val="18"/>
    </w:rPr>
  </w:style>
  <w:style w:type="character" w:styleId="14">
    <w:name w:val="Strong"/>
    <w:qFormat/>
    <w:uiPriority w:val="0"/>
    <w:rPr>
      <w:b/>
      <w:bCs/>
    </w:rPr>
  </w:style>
  <w:style w:type="character" w:customStyle="1" w:styleId="15">
    <w:name w:val="页眉 Char"/>
    <w:basedOn w:val="13"/>
    <w:link w:val="10"/>
    <w:qFormat/>
    <w:uiPriority w:val="99"/>
    <w:rPr>
      <w:sz w:val="18"/>
      <w:szCs w:val="18"/>
    </w:rPr>
  </w:style>
  <w:style w:type="character" w:customStyle="1" w:styleId="16">
    <w:name w:val="页脚 Char"/>
    <w:basedOn w:val="13"/>
    <w:link w:val="9"/>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3"/>
    <w:link w:val="8"/>
    <w:semiHidden/>
    <w:qFormat/>
    <w:uiPriority w:val="99"/>
    <w:rPr>
      <w:sz w:val="18"/>
      <w:szCs w:val="18"/>
    </w:rPr>
  </w:style>
  <w:style w:type="character" w:customStyle="1" w:styleId="20">
    <w:name w:val="font01"/>
    <w:basedOn w:val="13"/>
    <w:qFormat/>
    <w:uiPriority w:val="0"/>
    <w:rPr>
      <w:rFonts w:hint="eastAsia" w:ascii="宋体" w:hAnsi="宋体" w:eastAsia="宋体" w:cs="宋体"/>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4"/>
      <w:szCs w:val="24"/>
      <w:u w:val="none"/>
    </w:rPr>
  </w:style>
  <w:style w:type="character" w:customStyle="1" w:styleId="22">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2355</Words>
  <Characters>2562</Characters>
  <Lines>69</Lines>
  <Paragraphs>19</Paragraphs>
  <TotalTime>1</TotalTime>
  <ScaleCrop>false</ScaleCrop>
  <LinksUpToDate>false</LinksUpToDate>
  <CharactersWithSpaces>2792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2026-10-15T11:16:06Z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8DF46A8F2ADB4F049E41632BB51AF8B7_13</vt:lpwstr>
  </property>
  <property fmtid="{D5CDD505-2E9C-101B-9397-08002B2CF9AE}" pid="4" name="KSOTemplateDocerSaveRecord">
    <vt:lpwstr>eyJoZGlkIjoiMjM0OGJkNDliNzZjODMyM2FhODA1OGQ3MmJiYTlhNjEifQ==</vt:lpwstr>
  </property>
</Properties>
</file>