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B92F1">
      <w:pPr>
        <w:pStyle w:val="13"/>
        <w:jc w:val="center"/>
        <w:rPr>
          <w:rFonts w:ascii="Times New Roman" w:hAnsi="Times New Roman" w:cs="Times New Roman"/>
          <w:sz w:val="56"/>
          <w:szCs w:val="56"/>
        </w:rPr>
      </w:pPr>
    </w:p>
    <w:p w14:paraId="711DE2D0">
      <w:pPr>
        <w:pStyle w:val="13"/>
        <w:jc w:val="center"/>
        <w:rPr>
          <w:rFonts w:ascii="Times New Roman" w:hAnsi="Times New Roman" w:cs="Times New Roman"/>
          <w:sz w:val="84"/>
          <w:szCs w:val="84"/>
        </w:rPr>
      </w:pPr>
    </w:p>
    <w:p w14:paraId="7015F5A7">
      <w:pPr>
        <w:pStyle w:val="13"/>
        <w:jc w:val="center"/>
        <w:rPr>
          <w:rFonts w:ascii="Times New Roman" w:hAnsi="Times New Roman" w:cs="Times New Roman"/>
          <w:sz w:val="84"/>
          <w:szCs w:val="84"/>
        </w:rPr>
      </w:pPr>
    </w:p>
    <w:p w14:paraId="1A2C252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6B51A4B">
      <w:pPr>
        <w:pStyle w:val="13"/>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怀化市人民政府办公室</w:t>
      </w:r>
    </w:p>
    <w:p w14:paraId="6FE65C4E">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ACD7806">
      <w:pPr>
        <w:pStyle w:val="13"/>
        <w:jc w:val="center"/>
        <w:rPr>
          <w:rFonts w:ascii="Times New Roman" w:hAnsi="Times New Roman" w:eastAsia="方正小标宋_GBK" w:cs="Times New Roman"/>
          <w:sz w:val="56"/>
          <w:szCs w:val="56"/>
        </w:rPr>
      </w:pPr>
    </w:p>
    <w:p w14:paraId="25BE2AC6">
      <w:pPr>
        <w:pStyle w:val="13"/>
        <w:jc w:val="center"/>
        <w:rPr>
          <w:rFonts w:ascii="Times New Roman" w:hAnsi="Times New Roman" w:cs="Times New Roman"/>
          <w:sz w:val="56"/>
          <w:szCs w:val="56"/>
        </w:rPr>
      </w:pPr>
    </w:p>
    <w:p w14:paraId="3C5F2542">
      <w:pPr>
        <w:pStyle w:val="13"/>
        <w:rPr>
          <w:rFonts w:ascii="Times New Roman" w:hAnsi="Times New Roman" w:cs="Times New Roman"/>
          <w:sz w:val="56"/>
          <w:szCs w:val="56"/>
        </w:rPr>
      </w:pPr>
    </w:p>
    <w:p w14:paraId="4CDA88E1">
      <w:pPr>
        <w:pStyle w:val="13"/>
        <w:jc w:val="center"/>
        <w:rPr>
          <w:rFonts w:ascii="Times New Roman" w:hAnsi="Times New Roman" w:cs="Times New Roman"/>
          <w:sz w:val="32"/>
          <w:szCs w:val="32"/>
        </w:rPr>
      </w:pPr>
    </w:p>
    <w:p w14:paraId="5DE154EB">
      <w:pPr>
        <w:pStyle w:val="13"/>
        <w:jc w:val="center"/>
        <w:rPr>
          <w:rFonts w:ascii="Times New Roman" w:hAnsi="Times New Roman" w:cs="Times New Roman"/>
          <w:sz w:val="32"/>
          <w:szCs w:val="32"/>
        </w:rPr>
      </w:pPr>
    </w:p>
    <w:p w14:paraId="452FD4E9">
      <w:pPr>
        <w:pStyle w:val="13"/>
        <w:jc w:val="center"/>
        <w:rPr>
          <w:rFonts w:ascii="Times New Roman" w:hAnsi="Times New Roman" w:cs="Times New Roman"/>
          <w:sz w:val="32"/>
          <w:szCs w:val="32"/>
        </w:rPr>
      </w:pPr>
    </w:p>
    <w:p w14:paraId="28D576A8">
      <w:pPr>
        <w:pStyle w:val="13"/>
        <w:jc w:val="center"/>
        <w:rPr>
          <w:rFonts w:ascii="Times New Roman" w:hAnsi="Times New Roman" w:cs="Times New Roman"/>
          <w:sz w:val="32"/>
          <w:szCs w:val="32"/>
        </w:rPr>
      </w:pPr>
    </w:p>
    <w:p w14:paraId="7657E317">
      <w:pPr>
        <w:pStyle w:val="13"/>
        <w:jc w:val="center"/>
        <w:rPr>
          <w:rFonts w:ascii="Times New Roman" w:hAnsi="Times New Roman" w:cs="Times New Roman"/>
          <w:sz w:val="32"/>
          <w:szCs w:val="32"/>
        </w:rPr>
      </w:pPr>
    </w:p>
    <w:p w14:paraId="36022EDB">
      <w:pPr>
        <w:pStyle w:val="13"/>
        <w:jc w:val="center"/>
        <w:rPr>
          <w:rFonts w:ascii="Times New Roman" w:hAnsi="Times New Roman" w:cs="Times New Roman"/>
          <w:sz w:val="32"/>
          <w:szCs w:val="32"/>
        </w:rPr>
      </w:pPr>
    </w:p>
    <w:p w14:paraId="27AE3D2D">
      <w:pPr>
        <w:pStyle w:val="13"/>
        <w:spacing w:line="540" w:lineRule="exact"/>
        <w:jc w:val="center"/>
        <w:rPr>
          <w:rFonts w:ascii="Times New Roman" w:hAnsi="Times New Roman" w:cs="Times New Roman"/>
          <w:sz w:val="56"/>
          <w:szCs w:val="56"/>
        </w:rPr>
      </w:pPr>
    </w:p>
    <w:p w14:paraId="10BB8C24">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C35C271">
      <w:pPr>
        <w:pStyle w:val="13"/>
        <w:spacing w:line="600" w:lineRule="exact"/>
        <w:jc w:val="both"/>
        <w:rPr>
          <w:rFonts w:ascii="Times New Roman" w:hAnsi="Times New Roman" w:cs="Times New Roman"/>
          <w:b/>
          <w:sz w:val="36"/>
          <w:szCs w:val="28"/>
        </w:rPr>
      </w:pPr>
    </w:p>
    <w:p w14:paraId="0862E24C">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97E69F2">
      <w:pPr>
        <w:pStyle w:val="13"/>
        <w:spacing w:line="600" w:lineRule="exact"/>
        <w:jc w:val="center"/>
        <w:rPr>
          <w:rFonts w:ascii="Times New Roman" w:hAnsi="Times New Roman" w:cs="Times New Roman"/>
          <w:b/>
          <w:sz w:val="36"/>
          <w:szCs w:val="28"/>
        </w:rPr>
      </w:pPr>
    </w:p>
    <w:p w14:paraId="16A0E88E">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单位概况</w:t>
      </w:r>
    </w:p>
    <w:p w14:paraId="0DB1E93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6C1598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33A345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A737E4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149FCA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67F470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27D245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9DD8E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C0BCB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8BFDCB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63C34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F727E6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0D8D54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4EC275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921063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C1FFF0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2CCF8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C13EA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641511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FDF17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7D0AA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D3E1CF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C2DB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E5368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A105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A3B4C4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961D4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6E3051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128B0B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6279002">
      <w:pPr>
        <w:pStyle w:val="13"/>
        <w:spacing w:line="600" w:lineRule="exact"/>
        <w:rPr>
          <w:rFonts w:ascii="Times New Roman" w:hAnsi="Times New Roman" w:cs="Times New Roman"/>
          <w:bCs/>
          <w:sz w:val="28"/>
          <w:szCs w:val="28"/>
        </w:rPr>
      </w:pPr>
    </w:p>
    <w:p w14:paraId="6F377037">
      <w:pPr>
        <w:jc w:val="center"/>
        <w:rPr>
          <w:rFonts w:ascii="Times New Roman" w:hAnsi="Times New Roman" w:cs="Times New Roman"/>
          <w:sz w:val="72"/>
          <w:szCs w:val="72"/>
        </w:rPr>
      </w:pPr>
    </w:p>
    <w:p w14:paraId="1063AB8F">
      <w:pPr>
        <w:jc w:val="center"/>
        <w:rPr>
          <w:rFonts w:ascii="Times New Roman" w:hAnsi="Times New Roman" w:cs="Times New Roman"/>
          <w:sz w:val="72"/>
          <w:szCs w:val="72"/>
        </w:rPr>
      </w:pPr>
    </w:p>
    <w:p w14:paraId="2A396FD9">
      <w:pPr>
        <w:jc w:val="center"/>
        <w:rPr>
          <w:rFonts w:ascii="Times New Roman" w:hAnsi="Times New Roman" w:cs="Times New Roman"/>
          <w:sz w:val="72"/>
          <w:szCs w:val="72"/>
        </w:rPr>
      </w:pPr>
    </w:p>
    <w:p w14:paraId="3CEFC3D5">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8FDF128">
      <w:pPr>
        <w:rPr>
          <w:rFonts w:ascii="Times New Roman" w:hAnsi="Times New Roman" w:eastAsia="方正小标宋_GBK" w:cs="Times New Roman"/>
          <w:sz w:val="72"/>
          <w:szCs w:val="72"/>
        </w:rPr>
      </w:pPr>
    </w:p>
    <w:p w14:paraId="1F1DF74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EBD5B61">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怀化市人民政府办公室</w:t>
      </w:r>
      <w:r>
        <w:rPr>
          <w:rFonts w:ascii="Times New Roman" w:hAnsi="Times New Roman" w:eastAsia="方正小标宋_GBK" w:cs="Times New Roman"/>
          <w:sz w:val="52"/>
          <w:szCs w:val="52"/>
        </w:rPr>
        <w:t>概况</w:t>
      </w:r>
    </w:p>
    <w:p w14:paraId="45CCEB03">
      <w:pPr>
        <w:pStyle w:val="4"/>
        <w:ind w:left="0" w:leftChars="0" w:firstLine="0" w:firstLineChars="0"/>
        <w:rPr>
          <w:rFonts w:ascii="Times New Roman" w:hAnsi="Times New Roman" w:cs="Times New Roman"/>
        </w:rPr>
      </w:pPr>
    </w:p>
    <w:p w14:paraId="66D84FC1">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DE0885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1、协助市政府领导同志审核或组织起草以市政府、市政府办公室名义发布的公文。</w:t>
      </w:r>
    </w:p>
    <w:p w14:paraId="1528C09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2、研究市政府各部门和各县市区人民政府请示市政府的事项，提出审核意见，报市政府领导同志审批。</w:t>
      </w:r>
    </w:p>
    <w:p w14:paraId="738C3DA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3、负责市政府会议的组织和服务工作，协助实施会议决定事项。</w:t>
      </w:r>
    </w:p>
    <w:p w14:paraId="0C8721E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4、根据市政府领导同志的指示或工作需要，对有关问题进行协调，提出处理意见，报市政府领导同志决定。</w:t>
      </w:r>
    </w:p>
    <w:p w14:paraId="5992CC2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5、办理中央、省政府和市政府领导同志的批示，并督促落实。督促检查市政府各部门和各县市区人民政府对市政府决定事项的执行落实情况，及时向市政府报告。</w:t>
      </w:r>
    </w:p>
    <w:p w14:paraId="592E033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6、组织开展人大代表建议、政协提案办理工作。</w:t>
      </w:r>
    </w:p>
    <w:p w14:paraId="21101ED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7、协助市政府领导同志做好需由市政府组织处理的突发事件应急处置工作；负责向国务院、省政府和市政府领导同志报告重要信息和情况；负责市政府值班工作。</w:t>
      </w:r>
    </w:p>
    <w:p w14:paraId="5EC53D6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8、组织开展市民向市政府所提批评、意见和建议的办理工作。</w:t>
      </w:r>
    </w:p>
    <w:p w14:paraId="5311E89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hint="eastAsia" w:ascii="Times New Roman" w:hAnsi="Times New Roman" w:eastAsia="方正仿宋_GB2312" w:cs="Times New Roman"/>
          <w:color w:val="auto"/>
          <w:kern w:val="2"/>
          <w:sz w:val="32"/>
          <w:szCs w:val="32"/>
          <w:lang w:val="en-US" w:eastAsia="zh-CN" w:bidi="ar-SA"/>
        </w:rPr>
        <w:t>9、办理市政府和市政府领导同志交办的其他事项。</w:t>
      </w:r>
    </w:p>
    <w:p w14:paraId="75D1DFB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1B65DC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ascii="Times New Roman" w:hAnsi="Times New Roman" w:eastAsia="仿宋_GB2312" w:cs="Times New Roman"/>
          <w:bCs/>
          <w:kern w:val="0"/>
          <w:sz w:val="32"/>
          <w:szCs w:val="32"/>
        </w:rPr>
        <w:t>（一）内设机构设置。</w:t>
      </w:r>
      <w:r>
        <w:rPr>
          <w:rFonts w:hint="eastAsia" w:ascii="Times New Roman" w:hAnsi="Times New Roman" w:eastAsia="方正仿宋_GB2312" w:cs="Times New Roman"/>
          <w:color w:val="auto"/>
          <w:kern w:val="2"/>
          <w:sz w:val="32"/>
          <w:szCs w:val="32"/>
          <w:lang w:val="en-US" w:eastAsia="zh-CN" w:bidi="ar-SA"/>
        </w:rPr>
        <w:t>怀化市人民政府办公室作为一级部门预算单位内科室为：文电科、行政科、秘书科、综合科、秘书一科、秘书二科、秘书三科、秘书四科、秘书五科、秘书六科、秘书七科、秘书八科、督查室（市政府督查室设督查一科、督查二科）、市优化经济发展环境工作科、市政府总值班室、后勤事务管理科、人事科、金融工作科、机关党委、退休人员管理科；正科级公益一类事业单位1个：怀化市金融事务中心。</w:t>
      </w:r>
    </w:p>
    <w:p w14:paraId="771DAD6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Times New Roman" w:hAnsi="Times New Roman" w:eastAsia="方正仿宋_GB2312" w:cs="Times New Roman"/>
          <w:color w:val="auto"/>
          <w:kern w:val="2"/>
          <w:sz w:val="32"/>
          <w:szCs w:val="32"/>
          <w:lang w:val="en-US" w:eastAsia="zh-CN" w:bidi="ar-SA"/>
        </w:rPr>
        <w:t>怀化市人民政府办公室2025年部门决算公开单位构成包括：怀化市人民政府办公室本级。</w:t>
      </w:r>
    </w:p>
    <w:p w14:paraId="7C3DEEDA">
      <w:pPr>
        <w:jc w:val="left"/>
        <w:rPr>
          <w:rFonts w:hint="eastAsia" w:ascii="方正仿宋_GB2312" w:hAnsi="方正仿宋_GB2312" w:eastAsia="方正仿宋_GB2312" w:cs="方正仿宋_GB2312"/>
          <w:sz w:val="28"/>
          <w:szCs w:val="32"/>
        </w:rPr>
      </w:pPr>
    </w:p>
    <w:p w14:paraId="70609D60">
      <w:pPr>
        <w:widowControl/>
        <w:spacing w:line="600" w:lineRule="exact"/>
        <w:rPr>
          <w:rFonts w:ascii="Times New Roman" w:hAnsi="Times New Roman" w:eastAsia="仿宋_GB2312" w:cs="Times New Roman"/>
          <w:bCs/>
          <w:kern w:val="0"/>
          <w:sz w:val="32"/>
          <w:szCs w:val="32"/>
        </w:rPr>
      </w:pPr>
    </w:p>
    <w:p w14:paraId="1E7B4556">
      <w:pPr>
        <w:jc w:val="left"/>
        <w:rPr>
          <w:rFonts w:ascii="Times New Roman" w:hAnsi="Times New Roman" w:eastAsia="仿宋_GB2312" w:cs="Times New Roman"/>
          <w:sz w:val="28"/>
          <w:szCs w:val="32"/>
        </w:rPr>
      </w:pPr>
    </w:p>
    <w:p w14:paraId="56C0D577">
      <w:pPr>
        <w:jc w:val="center"/>
        <w:rPr>
          <w:rFonts w:ascii="Times New Roman" w:hAnsi="Times New Roman" w:eastAsia="黑体" w:cs="Times New Roman"/>
          <w:sz w:val="28"/>
          <w:szCs w:val="28"/>
        </w:rPr>
      </w:pPr>
    </w:p>
    <w:p w14:paraId="76F5022D">
      <w:pPr>
        <w:jc w:val="center"/>
        <w:rPr>
          <w:rFonts w:ascii="Times New Roman" w:hAnsi="Times New Roman" w:eastAsia="黑体" w:cs="Times New Roman"/>
          <w:sz w:val="28"/>
          <w:szCs w:val="28"/>
        </w:rPr>
      </w:pPr>
    </w:p>
    <w:p w14:paraId="6B3A4485">
      <w:pPr>
        <w:jc w:val="center"/>
        <w:rPr>
          <w:rFonts w:ascii="Times New Roman" w:hAnsi="Times New Roman" w:eastAsia="黑体" w:cs="Times New Roman"/>
          <w:sz w:val="28"/>
          <w:szCs w:val="28"/>
        </w:rPr>
      </w:pPr>
    </w:p>
    <w:p w14:paraId="400D2C52">
      <w:pPr>
        <w:jc w:val="center"/>
        <w:rPr>
          <w:rFonts w:ascii="Times New Roman" w:hAnsi="Times New Roman" w:eastAsia="黑体" w:cs="Times New Roman"/>
          <w:sz w:val="28"/>
          <w:szCs w:val="28"/>
        </w:rPr>
      </w:pPr>
    </w:p>
    <w:p w14:paraId="5B5886B8">
      <w:pPr>
        <w:jc w:val="center"/>
        <w:rPr>
          <w:rFonts w:ascii="Times New Roman" w:hAnsi="Times New Roman" w:eastAsia="黑体" w:cs="Times New Roman"/>
          <w:sz w:val="28"/>
          <w:szCs w:val="28"/>
        </w:rPr>
      </w:pPr>
    </w:p>
    <w:p w14:paraId="2076513E">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58B0060">
      <w:pPr>
        <w:pStyle w:val="13"/>
        <w:jc w:val="center"/>
        <w:rPr>
          <w:rFonts w:ascii="Times New Roman" w:hAnsi="Times New Roman" w:eastAsia="方正小标宋_GBK" w:cs="Times New Roman"/>
          <w:sz w:val="52"/>
          <w:szCs w:val="52"/>
        </w:rPr>
      </w:pPr>
    </w:p>
    <w:p w14:paraId="63623024">
      <w:pPr>
        <w:pStyle w:val="13"/>
        <w:jc w:val="center"/>
        <w:rPr>
          <w:rFonts w:ascii="Times New Roman" w:hAnsi="Times New Roman" w:eastAsia="方正小标宋_GBK" w:cs="Times New Roman"/>
          <w:sz w:val="52"/>
          <w:szCs w:val="52"/>
        </w:rPr>
      </w:pPr>
    </w:p>
    <w:p w14:paraId="052236AA">
      <w:pPr>
        <w:pStyle w:val="13"/>
        <w:jc w:val="center"/>
        <w:rPr>
          <w:rFonts w:ascii="Times New Roman" w:hAnsi="Times New Roman" w:eastAsia="方正小标宋_GBK" w:cs="Times New Roman"/>
          <w:sz w:val="52"/>
          <w:szCs w:val="52"/>
        </w:rPr>
      </w:pPr>
    </w:p>
    <w:p w14:paraId="7269D6C1">
      <w:pPr>
        <w:pStyle w:val="13"/>
        <w:jc w:val="center"/>
        <w:rPr>
          <w:rFonts w:ascii="Times New Roman" w:hAnsi="Times New Roman" w:eastAsia="方正小标宋_GBK" w:cs="Times New Roman"/>
          <w:sz w:val="52"/>
          <w:szCs w:val="52"/>
        </w:rPr>
      </w:pPr>
    </w:p>
    <w:p w14:paraId="1902EE38">
      <w:pPr>
        <w:pStyle w:val="13"/>
        <w:jc w:val="center"/>
        <w:rPr>
          <w:rFonts w:ascii="Times New Roman" w:hAnsi="Times New Roman" w:eastAsia="方正小标宋_GBK" w:cs="Times New Roman"/>
          <w:sz w:val="52"/>
          <w:szCs w:val="52"/>
        </w:rPr>
      </w:pPr>
    </w:p>
    <w:p w14:paraId="08397283">
      <w:pPr>
        <w:pStyle w:val="13"/>
        <w:jc w:val="center"/>
        <w:rPr>
          <w:rFonts w:ascii="Times New Roman" w:hAnsi="Times New Roman" w:eastAsia="方正小标宋_GBK" w:cs="Times New Roman"/>
          <w:sz w:val="52"/>
          <w:szCs w:val="52"/>
        </w:rPr>
      </w:pPr>
    </w:p>
    <w:p w14:paraId="2A2BDBE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03980D3">
      <w:pPr>
        <w:pStyle w:val="13"/>
        <w:rPr>
          <w:rFonts w:ascii="Times New Roman" w:hAnsi="Times New Roman" w:cs="Times New Roman"/>
          <w:sz w:val="72"/>
          <w:szCs w:val="72"/>
        </w:rPr>
      </w:pPr>
    </w:p>
    <w:p w14:paraId="7A6CECEE">
      <w:pPr>
        <w:pStyle w:val="13"/>
        <w:rPr>
          <w:rFonts w:ascii="Times New Roman" w:hAnsi="Times New Roman" w:cs="Times New Roman"/>
          <w:sz w:val="72"/>
          <w:szCs w:val="72"/>
        </w:rPr>
      </w:pPr>
    </w:p>
    <w:p w14:paraId="4D9F474A">
      <w:pPr>
        <w:pStyle w:val="13"/>
        <w:rPr>
          <w:rFonts w:ascii="Times New Roman" w:hAnsi="Times New Roman" w:cs="Times New Roman"/>
          <w:sz w:val="72"/>
          <w:szCs w:val="72"/>
        </w:rPr>
      </w:pPr>
    </w:p>
    <w:p w14:paraId="2AE044FD">
      <w:pPr>
        <w:jc w:val="center"/>
        <w:rPr>
          <w:rFonts w:hint="eastAsia" w:ascii="方正仿宋_GB2312" w:hAnsi="方正仿宋_GB2312" w:eastAsia="方正仿宋_GB2312" w:cs="方正仿宋_GB2312"/>
          <w:sz w:val="72"/>
          <w:szCs w:val="72"/>
        </w:rPr>
        <w:sectPr>
          <w:footerReference r:id="rId7" w:type="default"/>
          <w:pgSz w:w="11906" w:h="16838"/>
          <w:pgMar w:top="720" w:right="720" w:bottom="720" w:left="720" w:header="851" w:footer="992" w:gutter="0"/>
          <w:cols w:space="0" w:num="1"/>
          <w:rtlGutter w:val="0"/>
          <w:docGrid w:type="lines" w:linePitch="312" w:charSpace="0"/>
        </w:sectPr>
      </w:pPr>
      <w:r>
        <w:rPr>
          <w:rFonts w:hint="eastAsia" w:ascii="方正仿宋_GB2312" w:hAnsi="方正仿宋_GB2312" w:eastAsia="方正仿宋_GB2312" w:cs="方正仿宋_GB2312"/>
          <w:sz w:val="44"/>
          <w:szCs w:val="44"/>
          <w:lang w:val="en-US" w:eastAsia="zh-CN"/>
        </w:rPr>
        <w:t>（见附件一）</w:t>
      </w:r>
    </w:p>
    <w:p w14:paraId="3F87F535">
      <w:pPr>
        <w:pStyle w:val="13"/>
        <w:jc w:val="center"/>
        <w:rPr>
          <w:rFonts w:ascii="Times New Roman" w:hAnsi="Times New Roman" w:cs="Times New Roman"/>
          <w:sz w:val="72"/>
          <w:szCs w:val="72"/>
        </w:rPr>
      </w:pPr>
    </w:p>
    <w:p w14:paraId="4372736F">
      <w:pPr>
        <w:pStyle w:val="13"/>
        <w:jc w:val="both"/>
        <w:rPr>
          <w:rFonts w:ascii="Times New Roman" w:hAnsi="Times New Roman" w:eastAsia="方正小标宋_GBK" w:cs="Times New Roman"/>
          <w:sz w:val="72"/>
          <w:szCs w:val="72"/>
        </w:rPr>
      </w:pPr>
    </w:p>
    <w:p w14:paraId="6E1CDB8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B46652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56642A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12B718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D12150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3277.38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523.81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13.78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机构改革，市本级及县市区市长热线项目经费本年度全部转至社会工作部</w:t>
      </w:r>
      <w:r>
        <w:rPr>
          <w:rFonts w:hint="eastAsia" w:ascii="Times New Roman" w:hAnsi="Times New Roman" w:eastAsia="仿宋_GB2312" w:cs="Times New Roman"/>
          <w:sz w:val="32"/>
          <w:szCs w:val="32"/>
          <w:lang w:eastAsia="zh-CN"/>
        </w:rPr>
        <w:t>。</w:t>
      </w:r>
    </w:p>
    <w:p w14:paraId="78C8288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重点工作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重大活动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金融服务管理、优化营商环境</w:t>
      </w:r>
      <w:r>
        <w:rPr>
          <w:rFonts w:hint="eastAsia" w:ascii="Times New Roman" w:hAnsi="Times New Roman" w:eastAsia="仿宋_GB2312" w:cs="Times New Roman"/>
          <w:sz w:val="32"/>
          <w:szCs w:val="32"/>
          <w:lang w:eastAsia="zh-CN"/>
        </w:rPr>
        <w:t>等重点支出，体现在有关支出科目中。</w:t>
      </w:r>
    </w:p>
    <w:p w14:paraId="03C8E80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269105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3277.38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3277.38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1C5B0F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29D638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3277.38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1943.9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59.31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1333.48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40.69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8FC536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C2FFF2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3277.38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523.81</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13.78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机构改革，市本级及县市区市长热线项目经费本年度全部转至社会工作部</w:t>
      </w:r>
      <w:r>
        <w:rPr>
          <w:rFonts w:hint="eastAsia" w:ascii="Times New Roman" w:hAnsi="Times New Roman" w:eastAsia="仿宋_GB2312" w:cs="Times New Roman"/>
          <w:sz w:val="32"/>
          <w:szCs w:val="32"/>
          <w:lang w:eastAsia="zh-CN"/>
        </w:rPr>
        <w:t>。</w:t>
      </w:r>
    </w:p>
    <w:p w14:paraId="36DBC08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DBD9EA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6A1144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3202.59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97.71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473.4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12.88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机构改革，市本级及县市区市长热线项目经费本年度全部转至社会工作部</w:t>
      </w:r>
      <w:r>
        <w:rPr>
          <w:rFonts w:hint="eastAsia" w:ascii="Times New Roman" w:hAnsi="Times New Roman" w:eastAsia="仿宋_GB2312" w:cs="Times New Roman"/>
          <w:sz w:val="32"/>
          <w:szCs w:val="32"/>
          <w:lang w:eastAsia="zh-CN"/>
        </w:rPr>
        <w:t>。</w:t>
      </w:r>
    </w:p>
    <w:p w14:paraId="33A40EE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E02566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3202.59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2669.43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83.35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262.68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62.44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商业服务业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137.64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w:t>
      </w:r>
    </w:p>
    <w:p w14:paraId="3EA8765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8670FB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2557.98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3202.59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125.2</w:t>
      </w:r>
      <w:r>
        <w:rPr>
          <w:rFonts w:ascii="Times New Roman" w:hAnsi="Times New Roman" w:eastAsia="仿宋_GB2312" w:cs="Times New Roman"/>
          <w:sz w:val="32"/>
          <w:szCs w:val="32"/>
        </w:rPr>
        <w:t>%，其中：</w:t>
      </w:r>
    </w:p>
    <w:p w14:paraId="6AFF362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14:paraId="1495388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2040.83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1485.51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72.79</w:t>
      </w:r>
      <w:r>
        <w:rPr>
          <w:rFonts w:ascii="Times New Roman" w:hAnsi="Times New Roman" w:eastAsia="仿宋_GB2312" w:cs="Times New Roman"/>
          <w:sz w:val="32"/>
          <w:szCs w:val="32"/>
        </w:rPr>
        <w:t>%，决算数小于年初预算数的主要原因是：</w:t>
      </w:r>
      <w:r>
        <w:rPr>
          <w:rFonts w:hint="eastAsia" w:ascii="Times New Roman" w:hAnsi="Times New Roman" w:eastAsia="方正仿宋_GB2312" w:cs="Times New Roman"/>
          <w:color w:val="auto"/>
          <w:kern w:val="2"/>
          <w:sz w:val="32"/>
          <w:szCs w:val="32"/>
          <w:lang w:val="en-US" w:eastAsia="zh-CN" w:bidi="ar-SA"/>
        </w:rPr>
        <w:t>部分项目支出经批准由行政运行项调整至其他政府办公厅（室）及相关机构事务支出项。</w:t>
      </w:r>
    </w:p>
    <w:p w14:paraId="0F6DCC7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一般行政管理事务</w:t>
      </w:r>
      <w:r>
        <w:rPr>
          <w:rFonts w:ascii="Times New Roman" w:hAnsi="Times New Roman" w:eastAsia="仿宋_GB2312" w:cs="Times New Roman"/>
          <w:sz w:val="32"/>
          <w:szCs w:val="32"/>
        </w:rPr>
        <w:t>（项）。</w:t>
      </w:r>
    </w:p>
    <w:p w14:paraId="124BCB5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5AAA3F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机关服务</w:t>
      </w:r>
      <w:r>
        <w:rPr>
          <w:rFonts w:ascii="Times New Roman" w:hAnsi="Times New Roman" w:eastAsia="仿宋_GB2312" w:cs="Times New Roman"/>
          <w:sz w:val="32"/>
          <w:szCs w:val="32"/>
        </w:rPr>
        <w:t>（项）。</w:t>
      </w:r>
    </w:p>
    <w:p w14:paraId="39CD172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391.05</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年中追加市民服务中心ABC栋外墙防水处理经费等资金。</w:t>
      </w:r>
    </w:p>
    <w:p w14:paraId="3CFA8EA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其他政府办公厅（室）及相关机构事务支出</w:t>
      </w:r>
      <w:r>
        <w:rPr>
          <w:rFonts w:ascii="Times New Roman" w:hAnsi="Times New Roman" w:eastAsia="仿宋_GB2312" w:cs="Times New Roman"/>
          <w:sz w:val="32"/>
          <w:szCs w:val="32"/>
        </w:rPr>
        <w:t>（项）。</w:t>
      </w:r>
    </w:p>
    <w:p w14:paraId="5297E5D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方正仿宋_GB2312" w:cs="Times New Roman"/>
          <w:color w:val="auto"/>
          <w:kern w:val="2"/>
          <w:sz w:val="32"/>
          <w:szCs w:val="32"/>
          <w:lang w:val="en-US" w:eastAsia="zh-CN" w:bidi="ar-SA"/>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587.97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方正仿宋_GB2312" w:cs="Times New Roman"/>
          <w:color w:val="auto"/>
          <w:kern w:val="2"/>
          <w:sz w:val="32"/>
          <w:szCs w:val="32"/>
          <w:lang w:val="en-US" w:eastAsia="zh-CN" w:bidi="ar-SA"/>
        </w:rPr>
        <w:t>部分项目支出经批准由行政运行项调整至其他政府办公厅（室）及相关机构事务支出项。</w:t>
      </w:r>
    </w:p>
    <w:p w14:paraId="220D871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发展与改革事务（室）其他发展与改革事务</w:t>
      </w:r>
      <w:r>
        <w:rPr>
          <w:rFonts w:ascii="Times New Roman" w:hAnsi="Times New Roman" w:eastAsia="仿宋_GB2312" w:cs="Times New Roman"/>
          <w:sz w:val="32"/>
          <w:szCs w:val="32"/>
        </w:rPr>
        <w:t>（项）。</w:t>
      </w:r>
    </w:p>
    <w:p w14:paraId="73C6C53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年中追加优化营商环境工作经费。</w:t>
      </w:r>
    </w:p>
    <w:p w14:paraId="0C481B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一般行政管理事务</w:t>
      </w:r>
      <w:r>
        <w:rPr>
          <w:rFonts w:ascii="Times New Roman" w:hAnsi="Times New Roman" w:eastAsia="仿宋_GB2312" w:cs="Times New Roman"/>
          <w:sz w:val="32"/>
          <w:szCs w:val="32"/>
        </w:rPr>
        <w:t>（项）。</w:t>
      </w:r>
    </w:p>
    <w:p w14:paraId="5814664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年中追加市政府常务会议室及部分办公室维修经费。</w:t>
      </w:r>
    </w:p>
    <w:p w14:paraId="36C8C62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商贸事务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招商引资</w:t>
      </w:r>
      <w:r>
        <w:rPr>
          <w:rFonts w:ascii="Times New Roman" w:hAnsi="Times New Roman" w:eastAsia="仿宋_GB2312" w:cs="Times New Roman"/>
          <w:sz w:val="32"/>
          <w:szCs w:val="32"/>
        </w:rPr>
        <w:t>（项）。</w:t>
      </w:r>
    </w:p>
    <w:p w14:paraId="13C86CC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年中追加招商引资专项工作经费。</w:t>
      </w:r>
    </w:p>
    <w:p w14:paraId="2B24118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0C318D9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106.9</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增加年度考核奖等人员经费。</w:t>
      </w:r>
    </w:p>
    <w:p w14:paraId="7AB065C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其他科学技术支出</w:t>
      </w:r>
      <w:r>
        <w:rPr>
          <w:rFonts w:ascii="Times New Roman" w:hAnsi="Times New Roman" w:eastAsia="仿宋_GB2312" w:cs="Times New Roman"/>
          <w:sz w:val="32"/>
          <w:szCs w:val="32"/>
        </w:rPr>
        <w:t>（项）。</w:t>
      </w:r>
    </w:p>
    <w:p w14:paraId="413F7F4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val="en-US" w:eastAsia="zh-CN"/>
        </w:rPr>
        <w:t>结转的政务效能平台建设资金。</w:t>
      </w:r>
    </w:p>
    <w:p w14:paraId="226D259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行政单位离退休</w:t>
      </w:r>
      <w:r>
        <w:rPr>
          <w:rFonts w:ascii="Times New Roman" w:hAnsi="Times New Roman" w:eastAsia="仿宋_GB2312" w:cs="Times New Roman"/>
          <w:sz w:val="32"/>
          <w:szCs w:val="32"/>
        </w:rPr>
        <w:t>（项）。</w:t>
      </w:r>
    </w:p>
    <w:p w14:paraId="31689EA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109.87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109.87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2543FCE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14:paraId="57BFDCA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146.42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152.81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104.36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人员调入导致养老保险缴费增加</w:t>
      </w:r>
      <w:r>
        <w:rPr>
          <w:rFonts w:hint="eastAsia" w:ascii="Times New Roman" w:hAnsi="Times New Roman" w:eastAsia="仿宋_GB2312" w:cs="Times New Roman"/>
          <w:sz w:val="32"/>
          <w:szCs w:val="32"/>
          <w:lang w:eastAsia="zh-CN"/>
        </w:rPr>
        <w:t>。</w:t>
      </w:r>
    </w:p>
    <w:p w14:paraId="6DF8B5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14:paraId="1ABECC29">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58.27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62.44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107.15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人员调入导致医疗保险增加。</w:t>
      </w:r>
    </w:p>
    <w:p w14:paraId="1125356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商业服务业等支出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其他商业服务业等支出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其他商业服务业等支出</w:t>
      </w:r>
      <w:r>
        <w:rPr>
          <w:rFonts w:ascii="Times New Roman" w:hAnsi="Times New Roman" w:eastAsia="仿宋_GB2312" w:cs="Times New Roman"/>
          <w:sz w:val="32"/>
          <w:szCs w:val="32"/>
        </w:rPr>
        <w:t>（项）。</w:t>
      </w:r>
    </w:p>
    <w:p w14:paraId="215EEFC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4C32D6A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（项）。</w:t>
      </w:r>
    </w:p>
    <w:p w14:paraId="755DB8A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112.63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人员调入导致住房公积金增加。</w:t>
      </w:r>
    </w:p>
    <w:p w14:paraId="0EB5096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方面的支出规模较大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1485.51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46.38</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人员类经费支出</w:t>
      </w:r>
      <w:r>
        <w:rPr>
          <w:rFonts w:hint="eastAsia" w:ascii="Times New Roman" w:hAnsi="Times New Roman" w:eastAsia="楷体_GB2312" w:cs="Times New Roman"/>
          <w:b/>
          <w:bCs/>
          <w:i/>
          <w:color w:val="auto"/>
          <w:sz w:val="32"/>
          <w:szCs w:val="32"/>
        </w:rPr>
        <w:t>。</w:t>
      </w:r>
    </w:p>
    <w:p w14:paraId="1132D41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A9B869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1943.9</w:t>
      </w:r>
      <w:r>
        <w:rPr>
          <w:rFonts w:ascii="Times New Roman" w:hAnsi="Times New Roman" w:eastAsia="仿宋_GB2312" w:cs="Times New Roman"/>
          <w:sz w:val="32"/>
          <w:szCs w:val="32"/>
        </w:rPr>
        <w:t>万元，其中：</w:t>
      </w:r>
    </w:p>
    <w:p w14:paraId="12BB62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1647.5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84.75</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机关事业单位基本养老保险缴费等</w:t>
      </w:r>
      <w:r>
        <w:rPr>
          <w:rFonts w:ascii="Times New Roman" w:hAnsi="Times New Roman" w:eastAsia="仿宋_GB2312" w:cs="Times New Roman"/>
          <w:sz w:val="32"/>
          <w:szCs w:val="32"/>
        </w:rPr>
        <w:t>。</w:t>
      </w:r>
    </w:p>
    <w:p w14:paraId="78078F1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296.41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15.25</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其他交通费、办公设备购置费等</w:t>
      </w:r>
      <w:r>
        <w:rPr>
          <w:rFonts w:ascii="Times New Roman" w:hAnsi="Times New Roman" w:eastAsia="仿宋_GB2312" w:cs="Times New Roman"/>
          <w:sz w:val="32"/>
          <w:szCs w:val="32"/>
        </w:rPr>
        <w:t>。</w:t>
      </w:r>
    </w:p>
    <w:p w14:paraId="6D242842">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85DDEE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A49364">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96.62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52.08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本年度厉行节约反对浪费，强化预算约束</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上年度车辆已分批次进行大修，本年维修费用降低</w:t>
      </w:r>
      <w:r>
        <w:rPr>
          <w:rFonts w:ascii="Times New Roman" w:hAnsi="Times New Roman" w:eastAsia="仿宋_GB2312" w:cs="Times New Roman"/>
          <w:sz w:val="32"/>
          <w:szCs w:val="32"/>
        </w:rPr>
        <w:t>。</w:t>
      </w:r>
    </w:p>
    <w:p w14:paraId="1FBC38A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1063F38">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val="en-US" w:eastAsia="zh-CN"/>
        </w:rPr>
        <w:t>本年没有因公出国费用</w:t>
      </w:r>
      <w:r>
        <w:rPr>
          <w:rFonts w:ascii="Times New Roman" w:hAnsi="Times New Roman" w:eastAsia="仿宋_GB2312" w:cs="Times New Roman"/>
          <w:sz w:val="32"/>
          <w:szCs w:val="32"/>
        </w:rPr>
        <w:t>。</w:t>
      </w:r>
    </w:p>
    <w:p w14:paraId="084F8BC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74.96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39.71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34.6</w:t>
      </w:r>
      <w:r>
        <w:rPr>
          <w:rFonts w:ascii="Times New Roman" w:hAnsi="Times New Roman" w:eastAsia="仿宋_GB2312" w:cs="Times New Roman"/>
          <w:sz w:val="32"/>
          <w:szCs w:val="32"/>
        </w:rPr>
        <w:t>%。其中：</w:t>
      </w:r>
    </w:p>
    <w:p w14:paraId="49528AB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45E34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74.96</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车辆维修、车辆保险等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99.95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39.71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厉行节约反对浪费，强化预算约束</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上年度车辆已分批次进行大修，本年维修费用降低</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辆。</w:t>
      </w:r>
    </w:p>
    <w:p w14:paraId="2077CC5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90.42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年中取消省内一般公务接待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各级各部门请示汇报、考察调研</w:t>
      </w:r>
      <w:r>
        <w:rPr>
          <w:rFonts w:ascii="Times New Roman" w:hAnsi="Times New Roman" w:eastAsia="仿宋_GB2312" w:cs="Times New Roman"/>
          <w:sz w:val="32"/>
          <w:szCs w:val="32"/>
        </w:rPr>
        <w:t>发生的接待支出。</w:t>
      </w:r>
    </w:p>
    <w:p w14:paraId="35D8E09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071FD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74.79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74.79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39ED3A3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其他国有土地使用权出让收入安排的支出</w:t>
      </w:r>
      <w:r>
        <w:rPr>
          <w:rFonts w:ascii="Times New Roman" w:hAnsi="Times New Roman" w:eastAsia="仿宋_GB2312" w:cs="Times New Roman"/>
          <w:sz w:val="32"/>
          <w:szCs w:val="32"/>
        </w:rPr>
        <w:t>（项）。</w:t>
      </w:r>
    </w:p>
    <w:p w14:paraId="457CB86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74.79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西南宾馆改制支出未纳入年初预算。</w:t>
      </w:r>
    </w:p>
    <w:p w14:paraId="16F4C0C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08F094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296.41</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50.26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因机构改革，市长热线相关人员、设备维护等工作转至社会工作部。</w:t>
      </w:r>
    </w:p>
    <w:p w14:paraId="6091986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977B44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11.69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主要领导干部经济责任审计进驻动员</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怀化市党政主要领导干部经济责任审计等进驻动员会议，怀化市“智赋千企”行动暨“两欠”工作推进会，</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主要内容为怀化市“智赋千企”行动暨“两欠”工作等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25年事业单位人员培训等。</w:t>
      </w:r>
    </w:p>
    <w:p w14:paraId="4FFE630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85C3F14">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19.61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19.61</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19.61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19.61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705C83F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A46F51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台（套）。</w:t>
      </w:r>
    </w:p>
    <w:p w14:paraId="2150ED8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EC7159A">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3277.37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29</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3202.59</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74.79</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14:paraId="43DE9F02">
      <w:pPr>
        <w:widowControl/>
        <w:spacing w:line="64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3397.94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3277.37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96.45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96.82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”。绩效目标完成情况：一是锚定全市发展大局和中心工作，做实参谋辅政；二是强化上下联动、左右协同，做好统筹协调；三是持续提质增效，优化服务保障，不断提升 “三服务” 水平，有力有序保障各项工作高效运转。发现的主要问题及原因：</w:t>
      </w:r>
      <w:r>
        <w:rPr>
          <w:rFonts w:hint="default" w:ascii="Times New Roman" w:hAnsi="Times New Roman" w:eastAsia="方正仿宋_GB2312" w:cs="Times New Roman"/>
          <w:sz w:val="32"/>
          <w:szCs w:val="32"/>
          <w:lang w:val="en-US" w:eastAsia="zh-CN"/>
        </w:rPr>
        <w:t>一是绩效管理意识不足，业务科室重业务推进、轻绩效管控，未做到业务与预算同步谋划；二是绩效管理能力薄弱，指标设计、过程跟踪、自评分析专业水平不足，未建立常态化绩效跟踪整改机制。</w:t>
      </w:r>
      <w:r>
        <w:rPr>
          <w:rFonts w:ascii="Times New Roman" w:hAnsi="Times New Roman" w:eastAsia="仿宋_GB2312" w:cs="Times New Roman"/>
          <w:sz w:val="32"/>
          <w:szCs w:val="32"/>
        </w:rPr>
        <w:t>下一步改进措施：</w:t>
      </w:r>
      <w:r>
        <w:rPr>
          <w:rFonts w:hint="default" w:ascii="Times New Roman" w:hAnsi="Times New Roman" w:eastAsia="方正仿宋_GB2312" w:cs="Times New Roman"/>
          <w:sz w:val="32"/>
          <w:szCs w:val="32"/>
          <w:lang w:val="en-US" w:eastAsia="zh-CN"/>
        </w:rPr>
        <w:t>一是强化绩效目标管理，科学细化量化指标，突出数量、质量、时效、成本及社会效益，提升指标可操作性与可比性。二是健全全过程监控机制，加强项目实施与资金执行动态跟踪，及时纠偏提速，确保绩效目标按期实现。三是规范绩效自评工作，完善台账资料收集，深入分析成效与短板，提高自评质量</w:t>
      </w:r>
      <w:r>
        <w:rPr>
          <w:rFonts w:ascii="Times New Roman" w:hAnsi="Times New Roman" w:eastAsia="仿宋_GB2312" w:cs="Times New Roman"/>
          <w:kern w:val="0"/>
          <w:sz w:val="32"/>
          <w:szCs w:val="32"/>
        </w:rPr>
        <w:t>。</w:t>
      </w:r>
    </w:p>
    <w:p w14:paraId="4833A52C">
      <w:pPr>
        <w:widowControl/>
        <w:spacing w:line="640" w:lineRule="exact"/>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Times New Roman" w:hAnsi="Times New Roman" w:eastAsia="方正仿宋_GB2312" w:cs="Times New Roman"/>
          <w:sz w:val="32"/>
          <w:szCs w:val="32"/>
          <w:lang w:val="en-US" w:eastAsia="zh-CN"/>
        </w:rPr>
        <w:t>6月30日前</w:t>
      </w:r>
      <w:r>
        <w:rPr>
          <w:rFonts w:hint="eastAsia" w:ascii="Times New Roman" w:hAnsi="Times New Roman" w:eastAsia="方正仿宋_GB2312" w:cs="Times New Roman"/>
          <w:sz w:val="32"/>
          <w:szCs w:val="32"/>
          <w:lang w:val="en-US" w:eastAsia="zh-CN"/>
        </w:rPr>
        <w:t>已</w:t>
      </w:r>
      <w:r>
        <w:rPr>
          <w:rFonts w:hint="default" w:ascii="Times New Roman" w:hAnsi="Times New Roman" w:eastAsia="方正仿宋_GB2312" w:cs="Times New Roman"/>
          <w:sz w:val="32"/>
          <w:szCs w:val="32"/>
          <w:lang w:val="en-US" w:eastAsia="zh-CN"/>
        </w:rPr>
        <w:t>将绩效自评报告在市政府门户网站公开，接受社会监督。同时，通过自评，进一步查找问题，分析问题，解决问题，促使进一步完善内部管理，加强预算的管理和使用。</w:t>
      </w:r>
    </w:p>
    <w:p w14:paraId="21518C25">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E85BCA5">
      <w:pPr>
        <w:pStyle w:val="13"/>
        <w:jc w:val="center"/>
        <w:rPr>
          <w:rFonts w:ascii="Times New Roman" w:hAnsi="Times New Roman" w:cs="Times New Roman"/>
          <w:sz w:val="72"/>
          <w:szCs w:val="72"/>
        </w:rPr>
      </w:pPr>
    </w:p>
    <w:p w14:paraId="05DD8431">
      <w:pPr>
        <w:pStyle w:val="13"/>
        <w:jc w:val="center"/>
        <w:rPr>
          <w:rFonts w:ascii="Times New Roman" w:hAnsi="Times New Roman" w:cs="Times New Roman"/>
          <w:sz w:val="72"/>
          <w:szCs w:val="72"/>
        </w:rPr>
      </w:pPr>
    </w:p>
    <w:p w14:paraId="6A0CD937">
      <w:pPr>
        <w:pStyle w:val="13"/>
        <w:jc w:val="center"/>
        <w:rPr>
          <w:rFonts w:ascii="Times New Roman" w:hAnsi="Times New Roman" w:cs="Times New Roman"/>
          <w:sz w:val="72"/>
          <w:szCs w:val="72"/>
        </w:rPr>
      </w:pPr>
    </w:p>
    <w:p w14:paraId="1D35355F">
      <w:pPr>
        <w:pStyle w:val="13"/>
        <w:jc w:val="center"/>
        <w:rPr>
          <w:rFonts w:ascii="Times New Roman" w:hAnsi="Times New Roman" w:cs="Times New Roman"/>
          <w:sz w:val="72"/>
          <w:szCs w:val="72"/>
        </w:rPr>
      </w:pPr>
    </w:p>
    <w:p w14:paraId="0A0BE1B8">
      <w:pPr>
        <w:pStyle w:val="13"/>
        <w:jc w:val="center"/>
        <w:rPr>
          <w:rFonts w:ascii="Times New Roman" w:hAnsi="Times New Roman" w:cs="Times New Roman"/>
          <w:sz w:val="72"/>
          <w:szCs w:val="72"/>
        </w:rPr>
      </w:pPr>
    </w:p>
    <w:p w14:paraId="20BB6429">
      <w:pPr>
        <w:pStyle w:val="13"/>
        <w:jc w:val="center"/>
        <w:rPr>
          <w:rFonts w:ascii="Times New Roman" w:hAnsi="Times New Roman" w:cs="Times New Roman"/>
          <w:sz w:val="72"/>
          <w:szCs w:val="72"/>
        </w:rPr>
      </w:pPr>
    </w:p>
    <w:p w14:paraId="35BA6351">
      <w:pPr>
        <w:pStyle w:val="13"/>
        <w:jc w:val="center"/>
        <w:rPr>
          <w:rFonts w:ascii="Times New Roman" w:hAnsi="Times New Roman" w:cs="Times New Roman"/>
          <w:sz w:val="72"/>
          <w:szCs w:val="72"/>
        </w:rPr>
      </w:pPr>
    </w:p>
    <w:p w14:paraId="1EECB9B2">
      <w:pPr>
        <w:pStyle w:val="13"/>
        <w:jc w:val="center"/>
        <w:rPr>
          <w:rFonts w:ascii="Times New Roman" w:hAnsi="Times New Roman" w:cs="Times New Roman"/>
          <w:sz w:val="72"/>
          <w:szCs w:val="72"/>
        </w:rPr>
      </w:pPr>
    </w:p>
    <w:p w14:paraId="21E20033">
      <w:pPr>
        <w:pStyle w:val="13"/>
        <w:jc w:val="center"/>
        <w:rPr>
          <w:rFonts w:ascii="Times New Roman" w:hAnsi="Times New Roman" w:cs="Times New Roman"/>
          <w:sz w:val="72"/>
          <w:szCs w:val="72"/>
        </w:rPr>
      </w:pPr>
    </w:p>
    <w:p w14:paraId="2978AB7C">
      <w:pPr>
        <w:pStyle w:val="13"/>
        <w:jc w:val="center"/>
        <w:rPr>
          <w:rFonts w:ascii="Times New Roman" w:hAnsi="Times New Roman" w:cs="Times New Roman"/>
          <w:sz w:val="72"/>
          <w:szCs w:val="72"/>
        </w:rPr>
      </w:pPr>
    </w:p>
    <w:p w14:paraId="3AA7E8D8">
      <w:pPr>
        <w:pStyle w:val="13"/>
        <w:jc w:val="center"/>
        <w:rPr>
          <w:rFonts w:ascii="Times New Roman" w:hAnsi="Times New Roman" w:cs="Times New Roman"/>
          <w:sz w:val="72"/>
          <w:szCs w:val="72"/>
        </w:rPr>
      </w:pPr>
    </w:p>
    <w:p w14:paraId="41608927">
      <w:pPr>
        <w:pStyle w:val="13"/>
        <w:jc w:val="both"/>
        <w:rPr>
          <w:rFonts w:ascii="Times New Roman" w:hAnsi="Times New Roman" w:cs="Times New Roman"/>
          <w:sz w:val="72"/>
          <w:szCs w:val="72"/>
        </w:rPr>
      </w:pPr>
    </w:p>
    <w:p w14:paraId="7BA2A234">
      <w:pPr>
        <w:pStyle w:val="13"/>
        <w:jc w:val="both"/>
        <w:rPr>
          <w:rFonts w:ascii="Times New Roman" w:hAnsi="Times New Roman" w:cs="Times New Roman"/>
          <w:sz w:val="72"/>
          <w:szCs w:val="72"/>
        </w:rPr>
      </w:pPr>
    </w:p>
    <w:p w14:paraId="6B414DB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754E8EB">
      <w:pPr>
        <w:widowControl/>
        <w:jc w:val="left"/>
        <w:rPr>
          <w:rFonts w:ascii="Times New Roman" w:hAnsi="Times New Roman" w:cs="Times New Roman"/>
          <w:color w:val="000000"/>
          <w:kern w:val="0"/>
          <w:sz w:val="32"/>
          <w:szCs w:val="32"/>
        </w:rPr>
      </w:pPr>
    </w:p>
    <w:p w14:paraId="727BFDE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color w:val="000000"/>
          <w:kern w:val="0"/>
          <w:sz w:val="32"/>
          <w:szCs w:val="32"/>
        </w:rPr>
        <w:t>一、</w:t>
      </w:r>
      <w:r>
        <w:rPr>
          <w:rFonts w:hint="eastAsia" w:ascii="方正仿宋_GB2312" w:hAnsi="方正仿宋_GB2312" w:eastAsia="方正仿宋_GB2312" w:cs="方正仿宋_GB2312"/>
          <w:bCs/>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00B21673">
      <w:pPr>
        <w:ind w:firstLine="640" w:firstLineChars="200"/>
        <w:jc w:val="left"/>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color w:val="000000"/>
          <w:kern w:val="0"/>
          <w:sz w:val="32"/>
          <w:szCs w:val="32"/>
        </w:rPr>
        <w:t>二、</w:t>
      </w:r>
      <w:r>
        <w:rPr>
          <w:rFonts w:hint="eastAsia" w:ascii="方正仿宋_GB2312" w:hAnsi="方正仿宋_GB2312" w:eastAsia="方正仿宋_GB2312" w:cs="方正仿宋_GB2312"/>
          <w:bCs/>
          <w:kern w:val="0"/>
          <w:sz w:val="32"/>
          <w:szCs w:val="32"/>
        </w:rPr>
        <w:t>“三公”经费：纳入财政预算管理的“三公</w:t>
      </w:r>
      <w:bookmarkStart w:id="0" w:name="_GoBack"/>
      <w:bookmarkEnd w:id="0"/>
      <w:r>
        <w:rPr>
          <w:rFonts w:hint="eastAsia" w:ascii="方正仿宋_GB2312" w:hAnsi="方正仿宋_GB2312" w:eastAsia="方正仿宋_GB2312" w:cs="方正仿宋_GB2312"/>
          <w:bCs/>
          <w:kern w:val="0"/>
          <w:sz w:val="32"/>
          <w:szCs w:val="32"/>
          <w:lang w:eastAsia="zh-CN"/>
        </w:rPr>
        <w:t>”</w:t>
      </w:r>
      <w:r>
        <w:rPr>
          <w:rFonts w:hint="eastAsia" w:ascii="方正仿宋_GB2312" w:hAnsi="方正仿宋_GB2312" w:eastAsia="方正仿宋_GB2312" w:cs="方正仿宋_GB2312"/>
          <w:bCs/>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13933C1">
      <w:pPr>
        <w:pStyle w:val="13"/>
        <w:jc w:val="center"/>
        <w:rPr>
          <w:rFonts w:ascii="Times New Roman" w:hAnsi="Times New Roman" w:cs="Times New Roman"/>
          <w:sz w:val="72"/>
          <w:szCs w:val="72"/>
        </w:rPr>
      </w:pPr>
    </w:p>
    <w:p w14:paraId="718C19B1">
      <w:pPr>
        <w:pStyle w:val="13"/>
        <w:jc w:val="center"/>
        <w:rPr>
          <w:rFonts w:ascii="Times New Roman" w:hAnsi="Times New Roman" w:cs="Times New Roman"/>
          <w:sz w:val="72"/>
          <w:szCs w:val="72"/>
        </w:rPr>
      </w:pPr>
    </w:p>
    <w:p w14:paraId="7C6201F9">
      <w:pPr>
        <w:pStyle w:val="13"/>
        <w:jc w:val="center"/>
        <w:rPr>
          <w:rFonts w:ascii="Times New Roman" w:hAnsi="Times New Roman" w:cs="Times New Roman"/>
          <w:sz w:val="72"/>
          <w:szCs w:val="72"/>
        </w:rPr>
      </w:pPr>
    </w:p>
    <w:p w14:paraId="25EF60FF">
      <w:pPr>
        <w:pStyle w:val="13"/>
        <w:jc w:val="center"/>
        <w:rPr>
          <w:rFonts w:ascii="Times New Roman" w:hAnsi="Times New Roman" w:cs="Times New Roman"/>
          <w:sz w:val="72"/>
          <w:szCs w:val="72"/>
        </w:rPr>
      </w:pPr>
    </w:p>
    <w:p w14:paraId="26EB5C74">
      <w:pPr>
        <w:pStyle w:val="13"/>
        <w:jc w:val="center"/>
        <w:rPr>
          <w:rFonts w:ascii="Times New Roman" w:hAnsi="Times New Roman" w:cs="Times New Roman"/>
          <w:sz w:val="72"/>
          <w:szCs w:val="72"/>
        </w:rPr>
      </w:pPr>
    </w:p>
    <w:p w14:paraId="3A9280D0">
      <w:pPr>
        <w:pStyle w:val="13"/>
        <w:jc w:val="center"/>
        <w:rPr>
          <w:rFonts w:ascii="Times New Roman" w:hAnsi="Times New Roman" w:cs="Times New Roman"/>
          <w:sz w:val="72"/>
          <w:szCs w:val="72"/>
        </w:rPr>
      </w:pPr>
    </w:p>
    <w:p w14:paraId="3680A0BE">
      <w:pPr>
        <w:pStyle w:val="13"/>
        <w:jc w:val="center"/>
        <w:rPr>
          <w:rFonts w:ascii="Times New Roman" w:hAnsi="Times New Roman" w:cs="Times New Roman"/>
          <w:sz w:val="72"/>
          <w:szCs w:val="72"/>
        </w:rPr>
      </w:pPr>
    </w:p>
    <w:p w14:paraId="794F71E8">
      <w:pPr>
        <w:pStyle w:val="13"/>
        <w:jc w:val="both"/>
        <w:rPr>
          <w:rFonts w:ascii="Times New Roman" w:hAnsi="Times New Roman" w:cs="Times New Roman"/>
          <w:sz w:val="72"/>
          <w:szCs w:val="72"/>
        </w:rPr>
      </w:pPr>
    </w:p>
    <w:p w14:paraId="499F755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61AAFF4">
      <w:pPr>
        <w:rPr>
          <w:rFonts w:ascii="Times New Roman" w:hAnsi="Times New Roman" w:cs="Times New Roman"/>
          <w:sz w:val="72"/>
          <w:szCs w:val="72"/>
        </w:rPr>
      </w:pPr>
    </w:p>
    <w:p w14:paraId="51F46B0A">
      <w:pPr>
        <w:pStyle w:val="13"/>
        <w:spacing w:line="600" w:lineRule="exact"/>
        <w:ind w:left="0" w:leftChars="0" w:firstLine="419" w:firstLineChars="131"/>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怀化市人民政府办公室决算公开表</w:t>
      </w:r>
    </w:p>
    <w:p w14:paraId="1807E2B5">
      <w:pPr>
        <w:pStyle w:val="13"/>
        <w:spacing w:line="600" w:lineRule="exact"/>
        <w:ind w:left="0" w:leftChars="0" w:firstLine="419" w:firstLineChars="131"/>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怀化市人民政府办公室</w:t>
      </w:r>
      <w:r>
        <w:rPr>
          <w:rFonts w:ascii="Times New Roman" w:hAnsi="Times New Roman" w:eastAsia="仿宋_GB2312" w:cs="Times New Roman"/>
          <w:sz w:val="32"/>
          <w:szCs w:val="32"/>
        </w:rPr>
        <w:t>整体支出绩效自评报告</w:t>
      </w:r>
    </w:p>
    <w:p w14:paraId="784D9A42">
      <w:pPr>
        <w:pStyle w:val="13"/>
        <w:spacing w:line="600" w:lineRule="exact"/>
        <w:ind w:firstLine="640" w:firstLineChars="200"/>
        <w:rPr>
          <w:rFonts w:ascii="Times New Roman" w:hAnsi="Times New Roman" w:eastAsia="仿宋_GB2312" w:cs="Times New Roman"/>
          <w:sz w:val="32"/>
          <w:szCs w:val="32"/>
        </w:rPr>
      </w:pPr>
    </w:p>
    <w:p w14:paraId="46147467">
      <w:pPr>
        <w:pStyle w:val="13"/>
        <w:jc w:val="center"/>
        <w:rPr>
          <w:rFonts w:ascii="Times New Roman" w:hAnsi="Times New Roman" w:cs="Times New Roman"/>
          <w:sz w:val="72"/>
          <w:szCs w:val="72"/>
        </w:rPr>
      </w:pPr>
    </w:p>
    <w:p w14:paraId="19FE0E4B">
      <w:pPr>
        <w:pStyle w:val="13"/>
        <w:jc w:val="center"/>
        <w:rPr>
          <w:rFonts w:ascii="Times New Roman" w:hAnsi="Times New Roman" w:cs="Times New Roman"/>
          <w:sz w:val="72"/>
          <w:szCs w:val="72"/>
        </w:rPr>
      </w:pPr>
    </w:p>
    <w:p w14:paraId="76CAF6F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ACB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056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64A18">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6A09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5D96D">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905D96D">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C764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78F0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B78F0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F62DA4"/>
    <w:rsid w:val="06EB2968"/>
    <w:rsid w:val="07C733D5"/>
    <w:rsid w:val="0E0D7668"/>
    <w:rsid w:val="108F6A5A"/>
    <w:rsid w:val="10C85AC8"/>
    <w:rsid w:val="14294AD0"/>
    <w:rsid w:val="16FB6BF7"/>
    <w:rsid w:val="18820C52"/>
    <w:rsid w:val="1A5F749D"/>
    <w:rsid w:val="1C4A7CD9"/>
    <w:rsid w:val="1D97DEFF"/>
    <w:rsid w:val="1DFF72E5"/>
    <w:rsid w:val="1EFC6F07"/>
    <w:rsid w:val="22F80095"/>
    <w:rsid w:val="233314C7"/>
    <w:rsid w:val="25113A8A"/>
    <w:rsid w:val="254774AC"/>
    <w:rsid w:val="28BE1833"/>
    <w:rsid w:val="2A293624"/>
    <w:rsid w:val="2F0913C9"/>
    <w:rsid w:val="2F974B8C"/>
    <w:rsid w:val="2FDF85B8"/>
    <w:rsid w:val="2FFFEE04"/>
    <w:rsid w:val="30A734F4"/>
    <w:rsid w:val="31C854D0"/>
    <w:rsid w:val="324803BF"/>
    <w:rsid w:val="34DF85B0"/>
    <w:rsid w:val="36DE12F2"/>
    <w:rsid w:val="388749CB"/>
    <w:rsid w:val="396226AE"/>
    <w:rsid w:val="39F03816"/>
    <w:rsid w:val="3A1C460B"/>
    <w:rsid w:val="3AE07DBB"/>
    <w:rsid w:val="3B8F36BC"/>
    <w:rsid w:val="3D474095"/>
    <w:rsid w:val="3F2F6B8F"/>
    <w:rsid w:val="418331C2"/>
    <w:rsid w:val="43811983"/>
    <w:rsid w:val="446E63AB"/>
    <w:rsid w:val="44760DBC"/>
    <w:rsid w:val="48757D08"/>
    <w:rsid w:val="491FF225"/>
    <w:rsid w:val="4A1470AD"/>
    <w:rsid w:val="4FF534DD"/>
    <w:rsid w:val="4FFD214C"/>
    <w:rsid w:val="52025253"/>
    <w:rsid w:val="521D0E97"/>
    <w:rsid w:val="53A25729"/>
    <w:rsid w:val="54B716A8"/>
    <w:rsid w:val="565371AF"/>
    <w:rsid w:val="56A143BE"/>
    <w:rsid w:val="56F24C1A"/>
    <w:rsid w:val="5777D4F5"/>
    <w:rsid w:val="59DD8326"/>
    <w:rsid w:val="5D537A94"/>
    <w:rsid w:val="5DEF592A"/>
    <w:rsid w:val="5DF748C4"/>
    <w:rsid w:val="5FC6BB1E"/>
    <w:rsid w:val="5FDE915F"/>
    <w:rsid w:val="5FF720F1"/>
    <w:rsid w:val="60C34F31"/>
    <w:rsid w:val="613A1697"/>
    <w:rsid w:val="61A42FB4"/>
    <w:rsid w:val="625C563D"/>
    <w:rsid w:val="63F83144"/>
    <w:rsid w:val="66D24120"/>
    <w:rsid w:val="67C43A69"/>
    <w:rsid w:val="67FF5C0B"/>
    <w:rsid w:val="6954706E"/>
    <w:rsid w:val="69F83BC6"/>
    <w:rsid w:val="6C627CF4"/>
    <w:rsid w:val="6DAD31F1"/>
    <w:rsid w:val="6EDD18B4"/>
    <w:rsid w:val="6EFC0924"/>
    <w:rsid w:val="6FB74722"/>
    <w:rsid w:val="6FEF8B7E"/>
    <w:rsid w:val="71493231"/>
    <w:rsid w:val="71A6591B"/>
    <w:rsid w:val="71E847F7"/>
    <w:rsid w:val="737D59BA"/>
    <w:rsid w:val="73C6500C"/>
    <w:rsid w:val="747800B5"/>
    <w:rsid w:val="76E00193"/>
    <w:rsid w:val="77C37683"/>
    <w:rsid w:val="78D45AD6"/>
    <w:rsid w:val="798412AA"/>
    <w:rsid w:val="79D19834"/>
    <w:rsid w:val="79FF515B"/>
    <w:rsid w:val="7A4D3D91"/>
    <w:rsid w:val="7B580C40"/>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190" w:beforeLines="0"/>
      <w:ind w:left="120"/>
    </w:pPr>
    <w:rPr>
      <w:rFonts w:ascii="宋体" w:hAnsi="宋体" w:eastAsia="宋体" w:cs="宋体"/>
      <w:sz w:val="32"/>
      <w:szCs w:val="32"/>
      <w:lang w:val="en-US" w:eastAsia="zh-CN"/>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5367</Words>
  <Characters>5980</Characters>
  <Lines>69</Lines>
  <Paragraphs>19</Paragraphs>
  <TotalTime>8</TotalTime>
  <ScaleCrop>false</ScaleCrop>
  <LinksUpToDate>false</LinksUpToDate>
  <CharactersWithSpaces>6010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2026-10-15T10:04:14Z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eyJoZGlkIjoiZmZmZTllODI2ZGEyMzE1NTM2Nzc3YzNkNGM1ZjIwYmUiLCJ1c2VySWQiOiIyNjY4MDcwODYifQ==</vt:lpwstr>
  </property>
</Properties>
</file>