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怀化市人民政府办公室</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单位</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九、国有资本经营预算收入支出决算情况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怀化市人民政府办公室</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right="0" w:firstLine="963" w:firstLineChars="300"/>
        <w:jc w:val="left"/>
        <w:rPr>
          <w:rFonts w:hint="default" w:ascii="Times New Roman" w:hAnsi="Times New Roman" w:cs="Times New Roman"/>
          <w:b w:val="0"/>
          <w:bCs w:val="0"/>
          <w:i w:val="0"/>
          <w:iCs w:val="0"/>
          <w:caps w:val="0"/>
          <w:color w:val="3D3D3D"/>
          <w:spacing w:val="0"/>
          <w:sz w:val="32"/>
          <w:szCs w:val="32"/>
        </w:rPr>
      </w:pPr>
      <w:r>
        <w:rPr>
          <w:rFonts w:ascii="仿宋" w:hAnsi="仿宋" w:eastAsia="仿宋" w:cs="仿宋"/>
          <w:b/>
          <w:bCs/>
          <w:i w:val="0"/>
          <w:iCs w:val="0"/>
          <w:caps w:val="0"/>
          <w:color w:val="3D3D3D"/>
          <w:spacing w:val="0"/>
          <w:sz w:val="32"/>
          <w:szCs w:val="32"/>
          <w:shd w:val="clear" w:fill="FFFFFF"/>
        </w:rPr>
        <w:t>怀化市人民政府办公室部门职责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ascii="仿宋_GB2312" w:hAnsi="仿宋" w:eastAsia="仿宋_GB2312" w:cs="仿宋_GB2312"/>
          <w:b w:val="0"/>
          <w:bCs w:val="0"/>
          <w:i w:val="0"/>
          <w:iCs w:val="0"/>
          <w:caps w:val="0"/>
          <w:color w:val="3D3D3D"/>
          <w:spacing w:val="0"/>
          <w:sz w:val="32"/>
          <w:szCs w:val="32"/>
          <w:shd w:val="clear" w:fill="FFFFFF"/>
        </w:rPr>
        <w:t>1、协助市政府领导同志审核或组织起草以市政府、市政府办公室名义发布的公文。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2、研究市政府各部门和各县市区人民政府请示市政府的事项，提出审核意见，报市政府领导同志审批。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3、负责市政府会议的组织和服务工作，协助实施会议决定事项。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4、根据市政府领导同志的指示或工作需要，对有关问题进行协调，提出处理意见，报市政府领导同志决定。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5、办理中央、省政府和市政府领导同志的批示，并督促落实。督促检查市政府各部门和各县市区人民政府对市政府决定事项的执行落实情况，及时向市政府报告。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6、组织开展人大代表建议、政协提案办理工作。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7、协助市政府领导同志做好需由市政府组织处理的突发事件应急处置工作；负责向国务院、省政府和市政府领导同志报告重要信息和情况；负责市政府值班工作。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default" w:ascii="Times New Roman" w:hAnsi="Times New Roman" w:cs="Times New Roman"/>
          <w:b w:val="0"/>
          <w:bCs w:val="0"/>
          <w:i w:val="0"/>
          <w:iCs w:val="0"/>
          <w:caps w:val="0"/>
          <w:color w:val="3D3D3D"/>
          <w:spacing w:val="0"/>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8、组织开展市民向市政府所提批评、意见和建议的办理工作。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80"/>
        <w:jc w:val="both"/>
        <w:rPr>
          <w:rFonts w:hint="eastAsia" w:ascii="Times New Roman" w:hAnsi="Times New Roman" w:eastAsia="仿宋_GB2312" w:cs="仿宋_GB2312"/>
          <w:sz w:val="32"/>
          <w:szCs w:val="32"/>
        </w:rPr>
      </w:pPr>
      <w:r>
        <w:rPr>
          <w:rFonts w:hint="default" w:ascii="仿宋_GB2312" w:hAnsi="仿宋" w:eastAsia="仿宋_GB2312" w:cs="仿宋_GB2312"/>
          <w:b w:val="0"/>
          <w:bCs w:val="0"/>
          <w:i w:val="0"/>
          <w:iCs w:val="0"/>
          <w:caps w:val="0"/>
          <w:color w:val="3D3D3D"/>
          <w:spacing w:val="0"/>
          <w:sz w:val="32"/>
          <w:szCs w:val="32"/>
          <w:shd w:val="clear" w:fill="FFFFFF"/>
        </w:rPr>
        <w:t>9、办理市政府和市政府领导同志交办的其他事项。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D3D3D"/>
          <w:spacing w:val="0"/>
          <w:sz w:val="32"/>
          <w:szCs w:val="32"/>
          <w:shd w:val="clear" w:fill="FFFFFF"/>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 w:val="0"/>
          <w:bCs w:val="0"/>
          <w:i w:val="0"/>
          <w:iCs w:val="0"/>
          <w:caps w:val="0"/>
          <w:color w:val="3D3D3D"/>
          <w:spacing w:val="0"/>
          <w:sz w:val="32"/>
          <w:szCs w:val="32"/>
          <w:shd w:val="clear" w:fill="FFFFFF"/>
        </w:rPr>
        <w:t>怀化市人民政府办公室作为一级部门预算单位内科室为2</w:t>
      </w:r>
      <w:r>
        <w:rPr>
          <w:rFonts w:hint="eastAsia" w:ascii="仿宋" w:hAnsi="仿宋" w:eastAsia="仿宋" w:cs="仿宋"/>
          <w:b w:val="0"/>
          <w:bCs w:val="0"/>
          <w:i w:val="0"/>
          <w:iCs w:val="0"/>
          <w:caps w:val="0"/>
          <w:color w:val="3D3D3D"/>
          <w:spacing w:val="0"/>
          <w:sz w:val="32"/>
          <w:szCs w:val="32"/>
          <w:shd w:val="clear" w:fill="FFFFFF"/>
          <w:lang w:val="en-US" w:eastAsia="zh-CN"/>
        </w:rPr>
        <w:t>2</w:t>
      </w:r>
      <w:r>
        <w:rPr>
          <w:rFonts w:hint="eastAsia" w:ascii="仿宋" w:hAnsi="仿宋" w:eastAsia="仿宋" w:cs="仿宋"/>
          <w:b w:val="0"/>
          <w:bCs w:val="0"/>
          <w:i w:val="0"/>
          <w:iCs w:val="0"/>
          <w:caps w:val="0"/>
          <w:color w:val="3D3D3D"/>
          <w:spacing w:val="0"/>
          <w:sz w:val="32"/>
          <w:szCs w:val="32"/>
          <w:shd w:val="clear" w:fill="FFFFFF"/>
        </w:rPr>
        <w:t>个：文电科、会议科、综合科、秘书一科、秘书二科、秘书三科、秘书四科、秘书五科、秘书六科、秘书七科、</w:t>
      </w:r>
      <w:r>
        <w:rPr>
          <w:rFonts w:hint="eastAsia" w:ascii="仿宋" w:hAnsi="仿宋" w:eastAsia="仿宋" w:cs="仿宋"/>
          <w:b w:val="0"/>
          <w:bCs w:val="0"/>
          <w:i w:val="0"/>
          <w:iCs w:val="0"/>
          <w:caps w:val="0"/>
          <w:color w:val="3D3D3D"/>
          <w:spacing w:val="0"/>
          <w:sz w:val="32"/>
          <w:szCs w:val="32"/>
          <w:shd w:val="clear" w:fill="FFFFFF"/>
          <w:lang w:val="en-US" w:eastAsia="zh-CN"/>
        </w:rPr>
        <w:t>秘书八科、</w:t>
      </w:r>
      <w:r>
        <w:rPr>
          <w:rFonts w:hint="eastAsia" w:ascii="仿宋" w:hAnsi="仿宋" w:eastAsia="仿宋" w:cs="仿宋"/>
          <w:b w:val="0"/>
          <w:bCs w:val="0"/>
          <w:i w:val="0"/>
          <w:iCs w:val="0"/>
          <w:caps w:val="0"/>
          <w:color w:val="3D3D3D"/>
          <w:spacing w:val="0"/>
          <w:sz w:val="32"/>
          <w:szCs w:val="32"/>
          <w:shd w:val="clear" w:fill="FFFFFF"/>
        </w:rPr>
        <w:t>督查室（市政府督查室设督查一科、督查二科）、市优化经济发展环境工作办公室、市政府总值班室、市长热线管理科、行政事务管理办公室、政务服务科、人事科、金融工作科、</w:t>
      </w:r>
      <w:r>
        <w:rPr>
          <w:rFonts w:hint="eastAsia" w:ascii="仿宋" w:hAnsi="仿宋" w:eastAsia="仿宋" w:cs="仿宋"/>
          <w:b w:val="0"/>
          <w:bCs w:val="0"/>
          <w:i w:val="0"/>
          <w:iCs w:val="0"/>
          <w:caps w:val="0"/>
          <w:color w:val="3D3D3D"/>
          <w:spacing w:val="0"/>
          <w:sz w:val="32"/>
          <w:szCs w:val="32"/>
          <w:shd w:val="clear" w:fill="FFFFFF"/>
          <w:lang w:val="en-US" w:eastAsia="zh-CN"/>
        </w:rPr>
        <w:t>信息科、</w:t>
      </w:r>
      <w:r>
        <w:rPr>
          <w:rFonts w:hint="eastAsia" w:ascii="仿宋" w:hAnsi="仿宋" w:eastAsia="仿宋" w:cs="仿宋"/>
          <w:b w:val="0"/>
          <w:bCs w:val="0"/>
          <w:i w:val="0"/>
          <w:iCs w:val="0"/>
          <w:caps w:val="0"/>
          <w:color w:val="3D3D3D"/>
          <w:spacing w:val="0"/>
          <w:sz w:val="32"/>
          <w:szCs w:val="32"/>
          <w:shd w:val="clear" w:fill="FFFFFF"/>
        </w:rPr>
        <w:t>机关党委、退休人员管理科。   </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 w:val="0"/>
          <w:bCs w:val="0"/>
          <w:i w:val="0"/>
          <w:iCs w:val="0"/>
          <w:caps w:val="0"/>
          <w:color w:val="3D3D3D"/>
          <w:spacing w:val="0"/>
          <w:sz w:val="32"/>
          <w:szCs w:val="32"/>
          <w:shd w:val="clear" w:fill="FFFFFF"/>
          <w:lang w:val="en-US" w:eastAsia="zh-CN"/>
        </w:rPr>
        <w:t>怀化市人民政府办公室</w:t>
      </w:r>
      <w:r>
        <w:rPr>
          <w:rFonts w:hint="eastAsia" w:ascii="仿宋" w:hAnsi="仿宋" w:eastAsia="仿宋" w:cs="仿宋"/>
          <w:b w:val="0"/>
          <w:bCs w:val="0"/>
          <w:i w:val="0"/>
          <w:iCs w:val="0"/>
          <w:caps w:val="0"/>
          <w:color w:val="3D3D3D"/>
          <w:spacing w:val="0"/>
          <w:sz w:val="32"/>
          <w:szCs w:val="32"/>
          <w:shd w:val="clear" w:fill="FFFFFF"/>
        </w:rPr>
        <w:t>202</w:t>
      </w:r>
      <w:r>
        <w:rPr>
          <w:rFonts w:hint="eastAsia" w:ascii="仿宋" w:hAnsi="仿宋" w:eastAsia="仿宋" w:cs="仿宋"/>
          <w:b w:val="0"/>
          <w:bCs w:val="0"/>
          <w:i w:val="0"/>
          <w:iCs w:val="0"/>
          <w:caps w:val="0"/>
          <w:color w:val="3D3D3D"/>
          <w:spacing w:val="0"/>
          <w:sz w:val="32"/>
          <w:szCs w:val="32"/>
          <w:shd w:val="clear" w:fill="FFFFFF"/>
          <w:lang w:val="en-US" w:eastAsia="zh-CN"/>
        </w:rPr>
        <w:t>3</w:t>
      </w:r>
      <w:r>
        <w:rPr>
          <w:rFonts w:hint="eastAsia" w:ascii="仿宋" w:hAnsi="仿宋" w:eastAsia="仿宋" w:cs="仿宋"/>
          <w:b w:val="0"/>
          <w:bCs w:val="0"/>
          <w:i w:val="0"/>
          <w:iCs w:val="0"/>
          <w:caps w:val="0"/>
          <w:color w:val="3D3D3D"/>
          <w:spacing w:val="0"/>
          <w:sz w:val="32"/>
          <w:szCs w:val="32"/>
          <w:shd w:val="clear" w:fill="FFFFFF"/>
        </w:rPr>
        <w:t>年部门决算汇总公开单位</w:t>
      </w:r>
      <w:r>
        <w:rPr>
          <w:rFonts w:hint="eastAsia" w:ascii="仿宋" w:hAnsi="仿宋" w:eastAsia="仿宋" w:cs="仿宋"/>
          <w:i w:val="0"/>
          <w:iCs w:val="0"/>
          <w:caps w:val="0"/>
          <w:color w:val="333333"/>
          <w:spacing w:val="0"/>
          <w:kern w:val="0"/>
          <w:sz w:val="32"/>
          <w:szCs w:val="32"/>
          <w:highlight w:val="none"/>
          <w:shd w:val="clear" w:color="auto" w:fill="FFFFFF"/>
          <w:lang w:val="en-US" w:eastAsia="zh-CN" w:bidi="ar-SA"/>
        </w:rPr>
        <w:t>构成包括：怀化市人民政府办公室本级。</w:t>
      </w:r>
    </w:p>
    <w:p>
      <w:pPr>
        <w:jc w:val="left"/>
        <w:rPr>
          <w:rFonts w:ascii="仿宋_GB2312" w:eastAsia="仿宋_GB2312" w:hAnsiTheme="minorEastAsia"/>
          <w:sz w:val="28"/>
          <w:szCs w:val="32"/>
        </w:rPr>
      </w:pPr>
    </w:p>
    <w:p>
      <w:pPr>
        <w:widowControl/>
        <w:spacing w:line="600" w:lineRule="exact"/>
        <w:ind w:firstLine="640" w:firstLineChars="200"/>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rFonts w:hint="default" w:eastAsiaTheme="minorEastAsia"/>
          <w:sz w:val="44"/>
          <w:szCs w:val="44"/>
          <w:lang w:val="en-US" w:eastAsia="zh-CN"/>
        </w:rPr>
      </w:pPr>
      <w:r>
        <w:rPr>
          <w:rFonts w:hint="eastAsia"/>
          <w:sz w:val="44"/>
          <w:szCs w:val="44"/>
          <w:lang w:val="en-US" w:eastAsia="zh-CN"/>
        </w:rPr>
        <w:t>（见附件一）</w:t>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402.42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减少了便民服务热线场地改造、抗击疫情等项目开支。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4347.22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95.76</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1706.18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37.58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2833.37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62.42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减少了便民服务热线场地改造、抗击疫情等项目开支。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4347.22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95.76</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354.75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7.54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减少了便民服务热线场地改造、抗击疫情等项目开支。</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4347.22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3626.55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83.42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科学技术</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224.68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社会保障与就业（类）支出270.56万元，占6.22%；卫生健康（类）支出64.07万元，占1.57%；商业服务业（类）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金融（类）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130.97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3.01</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3176.6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4539.55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2665.84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2517.90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94.45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厉行节约要求压减公用经费。</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Cs/>
          <w:kern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bCs/>
          <w:kern w:val="0"/>
          <w:sz w:val="32"/>
          <w:szCs w:val="32"/>
        </w:rPr>
        <w:t>决算数</w:t>
      </w:r>
      <w:r>
        <w:rPr>
          <w:rFonts w:hint="eastAsia" w:ascii="仿宋" w:hAnsi="仿宋" w:eastAsia="仿宋" w:cs="仿宋"/>
          <w:bCs/>
          <w:kern w:val="0"/>
          <w:sz w:val="32"/>
          <w:szCs w:val="32"/>
          <w:lang w:val="en-US" w:eastAsia="zh-CN"/>
        </w:rPr>
        <w:t>与预算数持平。</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1029.51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增加县市区12345政务热线经费、鹤翔学校改扩建及金丰纺织公司搬迁经费等。</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29.14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年中追加老干部经费、市直单位办公用房日常维修经费等。</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其他科学技术</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其他科学技术支出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其他科学技术支出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224.68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增加政务效能平台建设资金、服务企业上市专项资金。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行政单位离退休</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97.87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退休费已由社保部门统一发放。</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事业单位离退休</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西南宾馆提退人员遗嘱补贴。</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161.79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160.04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98.92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人员变动造成养老保险缴费减少。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其他行政事业单位养老支出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100.79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离退休人员春节一次性生活补助。</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68.36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人员变动造成医疗保险缴费减少。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其他国有土地使用权出让收入安排的支出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西南宾馆改制后提退人员工资等未纳入年初预算。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商业服务等支出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其他商业服务等支出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其他商业服务等支出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年中追加“企业家绿卡”持卡人体检费用。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金融支出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金融发展支出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其他金融发展支出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年中追加2022年度金融工作真抓实干成效显著地区奖励资金。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金融支出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其他金融支出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其他金融支出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70.97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年中追加“怀化市综合金融服务平台”升级和对接国家平台省级节点经费。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1706.19</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1394.38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81.73</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机关事业单位基本养老保险缴费、职工基本医疗保险缴费等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311.71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18.27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邮电费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差旅费、维修费、公务用车运行维护费等</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99.05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严格控制“三公”经费使用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36.73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25.92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上年度经批准购买中型客车一辆，故本年度三公经费降幅较大</w:t>
      </w:r>
      <w:r>
        <w:rPr>
          <w:rFonts w:hint="eastAsia" w:ascii="Times New Roman" w:hAnsi="Times New Roman" w:eastAsia="仿宋_GB2312"/>
          <w:sz w:val="32"/>
          <w:szCs w:val="32"/>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bCs/>
          <w:kern w:val="0"/>
          <w:sz w:val="32"/>
          <w:szCs w:val="32"/>
          <w:lang w:val="en-US" w:eastAsia="zh-CN"/>
        </w:rPr>
        <w:t>决算数与预算数相等</w:t>
      </w:r>
      <w:r>
        <w:rPr>
          <w:rFonts w:hint="eastAsia" w:ascii="仿宋" w:hAnsi="仿宋" w:eastAsia="仿宋" w:cs="仿宋"/>
          <w:bCs/>
          <w:kern w:val="0"/>
          <w:sz w:val="32"/>
          <w:szCs w:val="32"/>
        </w:rPr>
        <w:t>，与上年相比</w:t>
      </w:r>
      <w:r>
        <w:rPr>
          <w:rFonts w:hint="eastAsia" w:ascii="仿宋" w:hAnsi="仿宋" w:eastAsia="仿宋" w:cs="仿宋"/>
          <w:bCs/>
          <w:kern w:val="0"/>
          <w:sz w:val="32"/>
          <w:szCs w:val="32"/>
          <w:lang w:val="en-US" w:eastAsia="zh-CN"/>
        </w:rPr>
        <w:t>持平</w:t>
      </w:r>
      <w:r>
        <w:rPr>
          <w:rFonts w:hint="eastAsia" w:ascii="仿宋" w:hAnsi="仿宋" w:eastAsia="仿宋" w:cs="仿宋"/>
          <w:bCs/>
          <w:kern w:val="0"/>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87.5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严格控制“三公”经费的使用</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3.29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88.48</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本年度不再受疫情影响，公务接待恢复至正常水平</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99.99</w:t>
      </w:r>
      <w:r>
        <w:rPr>
          <w:rFonts w:hint="eastAsia" w:ascii="Times New Roman" w:hAnsi="Times New Roman" w:eastAsia="仿宋_GB2312"/>
          <w:sz w:val="32"/>
          <w:szCs w:val="32"/>
        </w:rPr>
        <w:t>%，决算数小于）算数的主要原因是</w:t>
      </w:r>
      <w:r>
        <w:rPr>
          <w:rFonts w:hint="eastAsia" w:ascii="Times New Roman" w:hAnsi="Times New Roman" w:eastAsia="仿宋_GB2312"/>
          <w:sz w:val="32"/>
          <w:szCs w:val="32"/>
          <w:lang w:val="en-US" w:eastAsia="zh-CN"/>
        </w:rPr>
        <w:t>严格控制“三公”经费的使用</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10.01</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车辆老旧，各项维修费用增加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97.99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93.33</w:t>
      </w:r>
      <w:r>
        <w:rPr>
          <w:rFonts w:hint="eastAsia" w:ascii="Times New Roman" w:hAnsi="Times New Roman" w:eastAsia="仿宋_GB2312"/>
          <w:sz w:val="32"/>
          <w:szCs w:val="32"/>
        </w:rPr>
        <w:t>%。其中：</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418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各级各部门请示汇报、考察调研等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97.99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97.99</w:t>
      </w:r>
      <w:r>
        <w:rPr>
          <w:rFonts w:hint="eastAsia" w:ascii="Times New Roman" w:hAnsi="Times New Roman" w:eastAsia="仿宋_GB2312"/>
          <w:sz w:val="32"/>
          <w:szCs w:val="32"/>
        </w:rPr>
        <w:t>万元，主要是</w:t>
      </w:r>
      <w:r>
        <w:rPr>
          <w:rFonts w:hint="eastAsia" w:ascii="仿宋" w:hAnsi="仿宋" w:eastAsia="仿宋" w:cs="仿宋"/>
          <w:bCs/>
          <w:kern w:val="0"/>
          <w:sz w:val="32"/>
          <w:szCs w:val="32"/>
          <w:lang w:val="en-US" w:eastAsia="zh-CN"/>
        </w:rPr>
        <w:t>公务用车维修费、过路过桥费和公车保险</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192.34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192.34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192.34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 w:hAnsi="仿宋" w:eastAsia="仿宋" w:cs="仿宋"/>
          <w:bCs/>
          <w:kern w:val="0"/>
          <w:sz w:val="32"/>
          <w:szCs w:val="32"/>
          <w:lang w:val="en-US" w:eastAsia="zh-CN"/>
        </w:rPr>
        <w:t>城乡社区支出（</w:t>
      </w:r>
      <w:r>
        <w:rPr>
          <w:rFonts w:hint="eastAsia" w:ascii="Times New Roman" w:hAnsi="Times New Roman" w:eastAsia="仿宋_GB2312"/>
          <w:sz w:val="32"/>
          <w:szCs w:val="32"/>
        </w:rPr>
        <w:t>类）</w:t>
      </w:r>
      <w:r>
        <w:rPr>
          <w:rFonts w:hint="eastAsia" w:ascii="仿宋" w:hAnsi="仿宋" w:eastAsia="仿宋" w:cs="仿宋"/>
          <w:bCs/>
          <w:kern w:val="0"/>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仿宋" w:hAnsi="仿宋" w:eastAsia="仿宋" w:cs="仿宋"/>
          <w:bCs/>
          <w:kern w:val="0"/>
          <w:sz w:val="32"/>
          <w:szCs w:val="32"/>
          <w:lang w:val="en-US" w:eastAsia="zh-CN"/>
        </w:rPr>
        <w:t>国有土地使用权出让收入安排的支出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西南宾馆改制支出未纳入年初预算。</w:t>
      </w:r>
    </w:p>
    <w:p>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国有资本经营预算收入支出决算情况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2022年度本单位无国有资本经营收入，无国有资本经营支出。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十</w:t>
      </w:r>
      <w:r>
        <w:rPr>
          <w:rFonts w:hint="eastAsia" w:ascii="Times New Roman" w:hAnsi="Times New Roman" w:eastAsia="仿宋_GB2312"/>
          <w:b/>
          <w:color w:val="auto"/>
          <w:sz w:val="32"/>
          <w:szCs w:val="32"/>
        </w:rPr>
        <w:t>、关于机关运行经费支出说明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311.81</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9.05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2.99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上年度受疫情影响，机关运行经费偏低。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208.72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142.16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66.56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208.72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公务用车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widowControl/>
        <w:spacing w:line="640" w:lineRule="exact"/>
        <w:ind w:firstLine="640" w:firstLineChars="200"/>
        <w:rPr>
          <w:rFonts w:hint="eastAsia" w:ascii="楷体" w:hAnsi="楷体" w:eastAsia="楷体" w:cs="楷体"/>
          <w:b/>
          <w:bCs/>
          <w:sz w:val="32"/>
          <w:szCs w:val="32"/>
          <w:lang w:eastAsia="zh-CN"/>
        </w:rPr>
      </w:pPr>
      <w:r>
        <w:rPr>
          <w:rFonts w:hint="eastAsia" w:ascii="仿宋" w:eastAsia="仿宋" w:cs="Times New Roman"/>
          <w:sz w:val="32"/>
          <w:szCs w:val="32"/>
          <w:lang w:val="en-US" w:eastAsia="zh-CN"/>
        </w:rPr>
        <w:t>为规范专项资金管理，保证资金安全，高效运行，发挥资金使用效率，我办严格按照财政相关要求及专项资金管理办法执行</w:t>
      </w:r>
      <w:r>
        <w:rPr>
          <w:rFonts w:hint="eastAsia" w:ascii="Times New Roman" w:hAnsi="Times New Roman" w:eastAsia="仿宋_GB2312"/>
          <w:color w:val="000000"/>
          <w:sz w:val="32"/>
          <w:szCs w:val="32"/>
        </w:rPr>
        <w:t>。</w:t>
      </w:r>
      <w:r>
        <w:rPr>
          <w:rFonts w:hint="eastAsia" w:ascii="仿宋" w:eastAsia="仿宋" w:cs="Times New Roman"/>
          <w:sz w:val="32"/>
          <w:szCs w:val="32"/>
          <w:lang w:val="en-US" w:eastAsia="zh-CN"/>
        </w:rPr>
        <w:t>根据“总量控制、计划管理”的要求从严控制行政经费，压缩公用经费开支，严格按照预算科目的规定专款专用，保障单位整体支出趋于规范化、制度化。</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市政府办党组坚持以习近平新时代中国特色社会主义思想为指导，全面贯彻党的二十大精神，学习领会全省秘书长和办公室主任会议主要精神，紧紧围绕市委、市政府决策部署，恪尽职守，扎实工作，较好地完成了各项工作任务。根据部门整体支出绩效评价指标，部门整体支出绩效得分99分，具体情况如下：</w:t>
      </w:r>
    </w:p>
    <w:p>
      <w:pPr>
        <w:keepNext w:val="0"/>
        <w:keepLines w:val="0"/>
        <w:widowControl/>
        <w:suppressLineNumbers w:val="0"/>
        <w:ind w:firstLine="620" w:firstLineChars="200"/>
        <w:jc w:val="left"/>
      </w:pPr>
      <w:r>
        <w:rPr>
          <w:rFonts w:hint="eastAsia" w:ascii="楷体" w:hAnsi="楷体" w:eastAsia="楷体" w:cs="楷体"/>
          <w:b/>
          <w:bCs/>
          <w:color w:val="000000"/>
          <w:kern w:val="0"/>
          <w:sz w:val="31"/>
          <w:szCs w:val="31"/>
          <w:lang w:val="en-US" w:eastAsia="zh-CN" w:bidi="ar"/>
        </w:rPr>
        <w:t>1.</w:t>
      </w:r>
      <w:r>
        <w:rPr>
          <w:rFonts w:ascii="楷体" w:hAnsi="楷体" w:eastAsia="楷体" w:cs="楷体"/>
          <w:b/>
          <w:bCs/>
          <w:color w:val="000000"/>
          <w:kern w:val="0"/>
          <w:sz w:val="31"/>
          <w:szCs w:val="31"/>
          <w:lang w:val="en-US" w:eastAsia="zh-CN" w:bidi="ar"/>
        </w:rPr>
        <w:t xml:space="preserve">预算执行率（分值 </w:t>
      </w:r>
      <w:r>
        <w:rPr>
          <w:rFonts w:hint="default" w:ascii="Times New Roman" w:hAnsi="Times New Roman" w:eastAsia="宋体" w:cs="Times New Roman"/>
          <w:b/>
          <w:bCs/>
          <w:color w:val="000000"/>
          <w:kern w:val="0"/>
          <w:sz w:val="31"/>
          <w:szCs w:val="31"/>
          <w:lang w:val="en-US" w:eastAsia="zh-CN" w:bidi="ar"/>
        </w:rPr>
        <w:t xml:space="preserve">10 </w:t>
      </w:r>
      <w:r>
        <w:rPr>
          <w:rFonts w:hint="eastAsia" w:ascii="楷体" w:hAnsi="楷体" w:eastAsia="楷体" w:cs="楷体"/>
          <w:b/>
          <w:bCs/>
          <w:color w:val="000000"/>
          <w:kern w:val="0"/>
          <w:sz w:val="31"/>
          <w:szCs w:val="31"/>
          <w:lang w:val="en-US" w:eastAsia="zh-CN" w:bidi="ar"/>
        </w:rPr>
        <w:t>分，得10</w:t>
      </w:r>
      <w:r>
        <w:rPr>
          <w:rFonts w:hint="default" w:ascii="Times New Roman" w:hAnsi="Times New Roman" w:eastAsia="宋体" w:cs="Times New Roman"/>
          <w:b/>
          <w:bCs/>
          <w:color w:val="000000"/>
          <w:kern w:val="0"/>
          <w:sz w:val="31"/>
          <w:szCs w:val="31"/>
          <w:lang w:val="en-US" w:eastAsia="zh-CN" w:bidi="ar"/>
        </w:rPr>
        <w:t xml:space="preserve"> </w:t>
      </w:r>
      <w:r>
        <w:rPr>
          <w:rFonts w:hint="eastAsia" w:ascii="楷体" w:hAnsi="楷体" w:eastAsia="楷体" w:cs="楷体"/>
          <w:b/>
          <w:bCs/>
          <w:color w:val="000000"/>
          <w:kern w:val="0"/>
          <w:sz w:val="31"/>
          <w:szCs w:val="31"/>
          <w:lang w:val="en-US" w:eastAsia="zh-CN" w:bidi="ar"/>
        </w:rPr>
        <w:t xml:space="preserve">分，未扣分） </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全年一般公共预算收入4539.55万元，全年执行数4539.55万元，预算执行率100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keepNext w:val="0"/>
        <w:keepLines w:val="0"/>
        <w:widowControl/>
        <w:suppressLineNumbers w:val="0"/>
        <w:ind w:firstLine="620" w:firstLineChars="200"/>
        <w:jc w:val="left"/>
      </w:pPr>
      <w:r>
        <w:rPr>
          <w:rFonts w:hint="eastAsia" w:ascii="楷体" w:hAnsi="楷体" w:eastAsia="楷体" w:cs="楷体"/>
          <w:b/>
          <w:bCs/>
          <w:color w:val="000000"/>
          <w:kern w:val="0"/>
          <w:sz w:val="31"/>
          <w:szCs w:val="31"/>
          <w:lang w:val="en-US" w:eastAsia="zh-CN" w:bidi="ar"/>
        </w:rPr>
        <w:t>2.</w:t>
      </w:r>
      <w:r>
        <w:rPr>
          <w:rFonts w:ascii="楷体" w:hAnsi="楷体" w:eastAsia="楷体" w:cs="楷体"/>
          <w:b/>
          <w:bCs/>
          <w:color w:val="000000"/>
          <w:kern w:val="0"/>
          <w:sz w:val="31"/>
          <w:szCs w:val="31"/>
          <w:lang w:val="en-US" w:eastAsia="zh-CN" w:bidi="ar"/>
        </w:rPr>
        <w:t xml:space="preserve">产出指标（分值 </w:t>
      </w:r>
      <w:r>
        <w:rPr>
          <w:rFonts w:hint="default" w:ascii="Times New Roman" w:hAnsi="Times New Roman" w:eastAsia="宋体" w:cs="Times New Roman"/>
          <w:b/>
          <w:bCs/>
          <w:color w:val="000000"/>
          <w:kern w:val="0"/>
          <w:sz w:val="31"/>
          <w:szCs w:val="31"/>
          <w:lang w:val="en-US" w:eastAsia="zh-CN" w:bidi="ar"/>
        </w:rPr>
        <w:t xml:space="preserve">50 </w:t>
      </w:r>
      <w:r>
        <w:rPr>
          <w:rFonts w:hint="eastAsia" w:ascii="楷体" w:hAnsi="楷体" w:eastAsia="楷体" w:cs="楷体"/>
          <w:b/>
          <w:bCs/>
          <w:color w:val="000000"/>
          <w:kern w:val="0"/>
          <w:sz w:val="31"/>
          <w:szCs w:val="31"/>
          <w:lang w:val="en-US" w:eastAsia="zh-CN" w:bidi="ar"/>
        </w:rPr>
        <w:t xml:space="preserve">分，得 </w:t>
      </w:r>
      <w:r>
        <w:rPr>
          <w:rFonts w:hint="default" w:ascii="Times New Roman" w:hAnsi="Times New Roman" w:eastAsia="宋体" w:cs="Times New Roman"/>
          <w:b/>
          <w:bCs/>
          <w:color w:val="000000"/>
          <w:kern w:val="0"/>
          <w:sz w:val="31"/>
          <w:szCs w:val="31"/>
          <w:lang w:val="en-US" w:eastAsia="zh-CN" w:bidi="ar"/>
        </w:rPr>
        <w:t xml:space="preserve">50 </w:t>
      </w:r>
      <w:r>
        <w:rPr>
          <w:rFonts w:hint="eastAsia" w:ascii="楷体" w:hAnsi="楷体" w:eastAsia="楷体" w:cs="楷体"/>
          <w:b/>
          <w:bCs/>
          <w:color w:val="000000"/>
          <w:kern w:val="0"/>
          <w:sz w:val="31"/>
          <w:szCs w:val="31"/>
          <w:lang w:val="en-US" w:eastAsia="zh-CN" w:bidi="ar"/>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（1）数量指标（分值</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提供有价值的参阅资料，年度指标值≥100篇，实际完成值284篇；高效处理各类来文，年度指标值≥4000件，实际完成值5164件。</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优化12345热线平台，年度指标值=</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实际完成值100%。注重“听民生、察民情、汇民意、解民忧”，创新开展“领导接听日”活动，市人民政府市长、副市长，各县市区及市直部门负责人通过12345政务热线倾听群众诉求、回应群众关切、解决群众急难愁盼问题。截止目前，共开展“领导接听活动”共计93次；全市各级12345热线共接听群众来电32万余通，回访满意率达96.40%。</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全年履职完成率，年度指标值=</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，实际完成值100%。全年积极服务经济建设，扎实开展金融服务和风险防范化解工作，持续优化经济发展环境，深入推进“放管服”和“一件事一次办”改革。切实保障和改善民生，持续有效开展乡村振兴。</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全年履职目标完成及时率，年度指标2023年12月31日前完成，实际2023年12月31日前完成</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（4）成本指标（分值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预算成本完成率，年度指标值≤</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，实际完成值100%。</w:t>
      </w:r>
    </w:p>
    <w:p>
      <w:pPr>
        <w:keepNext w:val="0"/>
        <w:keepLines w:val="0"/>
        <w:widowControl/>
        <w:suppressLineNumbers w:val="0"/>
        <w:ind w:firstLine="620" w:firstLineChars="200"/>
        <w:jc w:val="left"/>
      </w:pPr>
      <w:r>
        <w:rPr>
          <w:rFonts w:hint="eastAsia" w:ascii="楷体" w:hAnsi="楷体" w:eastAsia="楷体" w:cs="楷体"/>
          <w:b/>
          <w:bCs/>
          <w:color w:val="000000"/>
          <w:kern w:val="0"/>
          <w:sz w:val="31"/>
          <w:szCs w:val="31"/>
          <w:lang w:val="en-US" w:eastAsia="zh-CN" w:bidi="ar"/>
        </w:rPr>
        <w:t>3.</w:t>
      </w:r>
      <w:r>
        <w:rPr>
          <w:rFonts w:ascii="楷体" w:hAnsi="楷体" w:eastAsia="楷体" w:cs="楷体"/>
          <w:b/>
          <w:bCs/>
          <w:color w:val="000000"/>
          <w:kern w:val="0"/>
          <w:sz w:val="31"/>
          <w:szCs w:val="31"/>
          <w:lang w:val="en-US" w:eastAsia="zh-CN" w:bidi="ar"/>
        </w:rPr>
        <w:t>效益指标（分值30分，得30分，未扣分）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（1）经济效益指标（分值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0C0C0C"/>
          <w:sz w:val="32"/>
          <w:szCs w:val="32"/>
        </w:rPr>
        <w:t>全力打好“发展六仗”，今年全市固定资产投资完成额增长6.6%；社会消费品零售总额增长8.9%；规模工业增加值增长3.7%；地方收入113.03亿元，增长4.15%；地方税收76.95亿元，增长4.66%；非税收入36.08亿元，增长3.08%，非税占比31.92%，下降0.33个百分点。</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Chars="20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（2）社会效益指标（分值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rPr>
        <w:t>扎实做好机关绩效考核、安全生产、文明创建、平安建设等各项工作。常态化开展老干部、困难党员、退役军人、工会慰问走访和干部职工健康体检，注重人文关怀。乡村振兴工作队坚持“抓党建促振兴，守底线固成果，抓重点出成效，补短板提服务”的工作思路，重点围绕防止返贫致贫、基础设施和公共服务设施建设、人居环境整治、基层治理等工作采取了针对性措施，取得较好成效。</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（3）生态效益指标（分值</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分，得9分，扣1分）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进一步规范财务管理，坚决杜绝违反财经纪律行为，强化过“紧日子”的思想，确保完成公用经费节支任务。严格执行中央八项规定及其实施细则精神要求，规范办公用房、公务用车、公务接待，严谨细致做好驻外机构行政后勤服务。实现公务接待、工作用餐管理规范化、信息化、公开化。</w:t>
      </w:r>
    </w:p>
    <w:p>
      <w:pPr>
        <w:keepNext w:val="0"/>
        <w:keepLines w:val="0"/>
        <w:widowControl/>
        <w:suppressLineNumbers w:val="0"/>
        <w:ind w:firstLine="620" w:firstLineChars="200"/>
        <w:jc w:val="left"/>
      </w:pPr>
      <w:r>
        <w:rPr>
          <w:rFonts w:hint="eastAsia" w:ascii="楷体" w:hAnsi="楷体" w:eastAsia="楷体" w:cs="楷体"/>
          <w:b/>
          <w:bCs/>
          <w:color w:val="000000"/>
          <w:kern w:val="0"/>
          <w:sz w:val="31"/>
          <w:szCs w:val="31"/>
          <w:lang w:val="en-US" w:eastAsia="zh-CN" w:bidi="ar"/>
        </w:rPr>
        <w:t>4.</w:t>
      </w:r>
      <w:r>
        <w:rPr>
          <w:rFonts w:ascii="楷体" w:hAnsi="楷体" w:eastAsia="楷体" w:cs="楷体"/>
          <w:b/>
          <w:bCs/>
          <w:color w:val="000000"/>
          <w:kern w:val="0"/>
          <w:sz w:val="31"/>
          <w:szCs w:val="31"/>
          <w:lang w:val="en-US" w:eastAsia="zh-CN" w:bidi="ar"/>
        </w:rPr>
        <w:t>满意度指标（分值10分，得10分，未扣分）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sz w:val="32"/>
          <w:szCs w:val="32"/>
        </w:rPr>
        <w:t>持续擦亮“身在怀化、办事简化”营商金名片，</w:t>
      </w:r>
      <w:r>
        <w:rPr>
          <w:rFonts w:ascii="仿宋" w:hAnsi="仿宋" w:eastAsia="仿宋" w:cs="仿宋"/>
          <w:sz w:val="32"/>
          <w:szCs w:val="32"/>
        </w:rPr>
        <w:t>持久助企纾困办实事和</w:t>
      </w:r>
      <w:r>
        <w:rPr>
          <w:rFonts w:hint="default" w:ascii="仿宋" w:hAnsi="仿宋" w:eastAsia="仿宋" w:cs="仿宋"/>
          <w:sz w:val="32"/>
          <w:szCs w:val="32"/>
        </w:rPr>
        <w:t>改革典型经验</w:t>
      </w:r>
      <w:r>
        <w:rPr>
          <w:rFonts w:ascii="仿宋" w:hAnsi="仿宋" w:eastAsia="仿宋" w:cs="仿宋"/>
          <w:sz w:val="32"/>
          <w:szCs w:val="32"/>
        </w:rPr>
        <w:t>两项考核指标分列全省第2位、第3位</w:t>
      </w:r>
      <w:r>
        <w:rPr>
          <w:rFonts w:hint="default" w:ascii="仿宋" w:hAnsi="仿宋" w:eastAsia="仿宋" w:cs="仿宋"/>
          <w:sz w:val="32"/>
          <w:szCs w:val="32"/>
        </w:rPr>
        <w:t>，营商环境企业满意度99.46%</w:t>
      </w:r>
      <w:r>
        <w:rPr>
          <w:rFonts w:ascii="仿宋" w:hAnsi="仿宋" w:eastAsia="仿宋" w:cs="仿宋"/>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存在的主要问题是组织保障尚待强化，绩效工作人员专业性不强，缺乏指导培训，在绩效跟踪、绩效评价、结果运用方面还缺少更精细的绩效管理机制。项目经费使用过程中的目标执行还应更加严格。</w:t>
      </w:r>
    </w:p>
    <w:p>
      <w:pPr>
        <w:pStyle w:val="13"/>
        <w:jc w:val="both"/>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default" w:ascii="仿宋" w:hAnsi="仿宋" w:eastAsia="仿宋" w:cs="仿宋"/>
          <w:bCs/>
          <w:kern w:val="0"/>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hint="default" w:ascii="仿宋" w:hAnsi="仿宋" w:eastAsia="仿宋" w:cs="仿宋"/>
          <w:bCs/>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bookmarkStart w:id="0" w:name="_GoBack"/>
      <w:bookmarkEnd w:id="0"/>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附件一：</w:t>
      </w:r>
      <w:r>
        <w:rPr>
          <w:rFonts w:hint="eastAsia" w:ascii="Times New Roman" w:hAnsi="Times New Roman" w:eastAsia="仿宋_GB2312"/>
          <w:sz w:val="32"/>
          <w:szCs w:val="32"/>
          <w:lang w:val="en-US" w:eastAsia="zh-CN"/>
        </w:rPr>
        <w:t>决算公开表</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val="en-US" w:eastAsia="zh-CN"/>
        </w:rPr>
        <w:t>附件二</w:t>
      </w:r>
      <w:r>
        <w:rPr>
          <w:rFonts w:hint="eastAsia" w:ascii="楷体" w:hAnsi="楷体" w:eastAsia="楷体" w:cs="楷体"/>
          <w:b/>
          <w:bCs/>
          <w:sz w:val="32"/>
          <w:szCs w:val="32"/>
          <w:lang w:eastAsia="zh-CN"/>
        </w:rPr>
        <w:t>：</w:t>
      </w:r>
      <w:r>
        <w:rPr>
          <w:rFonts w:hint="eastAsia" w:ascii="Times New Roman" w:hAnsi="Times New Roman" w:eastAsia="仿宋_GB2312"/>
          <w:sz w:val="32"/>
          <w:szCs w:val="32"/>
          <w:lang w:val="en-US" w:eastAsia="zh-CN"/>
        </w:rPr>
        <w:t>2023年度怀化市人民政府办公室整体支出绩效自评报告。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8F519"/>
    <w:multiLevelType w:val="singleLevel"/>
    <w:tmpl w:val="D298F519"/>
    <w:lvl w:ilvl="0" w:tentative="0">
      <w:start w:val="9"/>
      <w:numFmt w:val="chineseCounting"/>
      <w:suff w:val="nothing"/>
      <w:lvlText w:val="%1、"/>
      <w:lvlJc w:val="left"/>
      <w:rPr>
        <w:rFonts w:hint="eastAsia"/>
      </w:rPr>
    </w:lvl>
  </w:abstractNum>
  <w:abstractNum w:abstractNumId="1">
    <w:nsid w:val="F326D2C2"/>
    <w:multiLevelType w:val="singleLevel"/>
    <w:tmpl w:val="F326D2C2"/>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ZTllODI2ZGEyMzE1NTM2Nzc3YzNkNGM1ZjIwYm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7BA37BD"/>
    <w:rsid w:val="1D97DEFF"/>
    <w:rsid w:val="1DFF72E5"/>
    <w:rsid w:val="1EFC6F07"/>
    <w:rsid w:val="24522084"/>
    <w:rsid w:val="24AB32DF"/>
    <w:rsid w:val="26CA2142"/>
    <w:rsid w:val="277A6E01"/>
    <w:rsid w:val="2AD520B9"/>
    <w:rsid w:val="2FDF85B8"/>
    <w:rsid w:val="2FEF3E0D"/>
    <w:rsid w:val="2FFFEE04"/>
    <w:rsid w:val="34DF85B0"/>
    <w:rsid w:val="3B8F36BC"/>
    <w:rsid w:val="44114EBC"/>
    <w:rsid w:val="491FF225"/>
    <w:rsid w:val="4FFD214C"/>
    <w:rsid w:val="55144405"/>
    <w:rsid w:val="5777D4F5"/>
    <w:rsid w:val="59DD8326"/>
    <w:rsid w:val="5DEF592A"/>
    <w:rsid w:val="5FC6BB1E"/>
    <w:rsid w:val="5FF720F1"/>
    <w:rsid w:val="66DC6112"/>
    <w:rsid w:val="67FF5C0B"/>
    <w:rsid w:val="689F6284"/>
    <w:rsid w:val="6EFC0924"/>
    <w:rsid w:val="6FB74722"/>
    <w:rsid w:val="6FEF8B7E"/>
    <w:rsid w:val="71A6591B"/>
    <w:rsid w:val="71EF5B86"/>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AE8BB"/>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8658</Words>
  <Characters>9704</Characters>
  <Lines>63</Lines>
  <Paragraphs>18</Paragraphs>
  <TotalTime>6</TotalTime>
  <ScaleCrop>false</ScaleCrop>
  <LinksUpToDate>false</LinksUpToDate>
  <CharactersWithSpaces>10756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宜烨</cp:lastModifiedBy>
  <cp:lastPrinted>2024-08-09T02:20:00Z</cp:lastPrinted>
  <dcterms:modified xsi:type="dcterms:W3CDTF">2024-09-25T10:05:55Z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96CD3852FE6C477982B1EFF85E2175F3_12</vt:lpwstr>
  </property>
</Properties>
</file>