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D96D317">
      <w:pPr>
        <w:pStyle w:val="13"/>
        <w:jc w:val="center"/>
        <w:rPr>
          <w:sz w:val="56"/>
          <w:szCs w:val="56"/>
        </w:rPr>
      </w:pPr>
      <w:r>
        <w:rPr>
          <w:sz w:val="56"/>
        </w:rPr>
        <mc:AlternateContent>
          <mc:Choice Requires="wps">
            <w:drawing>
              <wp:anchor distT="0" distB="0" distL="114300" distR="114300" simplePos="0" relativeHeight="251659264" behindDoc="0" locked="0" layoutInCell="1" allowOverlap="1">
                <wp:simplePos x="0" y="0"/>
                <wp:positionH relativeFrom="column">
                  <wp:posOffset>-236220</wp:posOffset>
                </wp:positionH>
                <wp:positionV relativeFrom="paragraph">
                  <wp:posOffset>-297180</wp:posOffset>
                </wp:positionV>
                <wp:extent cx="1523365" cy="517525"/>
                <wp:effectExtent l="0" t="0" r="635" b="15875"/>
                <wp:wrapNone/>
                <wp:docPr id="1" name="文本框 1"/>
                <wp:cNvGraphicFramePr/>
                <a:graphic xmlns:a="http://schemas.openxmlformats.org/drawingml/2006/main">
                  <a:graphicData uri="http://schemas.microsoft.com/office/word/2010/wordprocessingShape">
                    <wps:wsp>
                      <wps:cNvSpPr txBox="1"/>
                      <wps:spPr>
                        <a:xfrm>
                          <a:off x="1799590" y="935990"/>
                          <a:ext cx="1523365" cy="517525"/>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7202EF8A">
                            <w:pPr>
                              <w:rPr>
                                <w:rFonts w:hint="eastAsia" w:ascii="楷体" w:hAnsi="楷体" w:eastAsia="楷体" w:cs="楷体"/>
                                <w:sz w:val="30"/>
                                <w:szCs w:val="30"/>
                                <w:lang w:val="en-US" w:eastAsia="zh-CN"/>
                              </w:rPr>
                            </w:pPr>
                            <w:r>
                              <w:rPr>
                                <w:rFonts w:hint="eastAsia" w:ascii="楷体" w:hAnsi="楷体" w:eastAsia="楷体" w:cs="楷体"/>
                                <w:sz w:val="30"/>
                                <w:szCs w:val="30"/>
                                <w:lang w:eastAsia="zh-CN"/>
                              </w:rPr>
                              <w:t>附件</w:t>
                            </w:r>
                            <w:r>
                              <w:rPr>
                                <w:rFonts w:hint="eastAsia" w:ascii="楷体" w:hAnsi="楷体" w:eastAsia="楷体" w:cs="楷体"/>
                                <w:sz w:val="30"/>
                                <w:szCs w:val="30"/>
                                <w:lang w:val="en-US" w:eastAsia="zh-CN"/>
                              </w:rPr>
                              <w:t>1：</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8.6pt;margin-top:-23.4pt;height:40.75pt;width:119.95pt;z-index:251659264;mso-width-relative:page;mso-height-relative:page;" fillcolor="#FFFFFF [3201]" filled="t" stroked="f" coordsize="21600,21600" o:gfxdata="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">
                <v:fill on="t" focussize="0,0"/>
                <v:stroke on="f" weight="0.5pt"/>
                <v:imagedata o:title=""/>
                <o:lock v:ext="edit" aspectratio="f"/>
                <v:textbox>
                  <w:txbxContent>
                    <w:p w14:paraId="7202EF8A">
                      <w:pPr>
                        <w:rPr>
                          <w:rFonts w:hint="eastAsia" w:ascii="楷体" w:hAnsi="楷体" w:eastAsia="楷体" w:cs="楷体"/>
                          <w:sz w:val="30"/>
                          <w:szCs w:val="30"/>
                          <w:lang w:val="en-US" w:eastAsia="zh-CN"/>
                        </w:rPr>
                      </w:pPr>
                      <w:r>
                        <w:rPr>
                          <w:rFonts w:hint="eastAsia" w:ascii="楷体" w:hAnsi="楷体" w:eastAsia="楷体" w:cs="楷体"/>
                          <w:sz w:val="30"/>
                          <w:szCs w:val="30"/>
                          <w:lang w:eastAsia="zh-CN"/>
                        </w:rPr>
                        <w:t>附件</w:t>
                      </w:r>
                      <w:r>
                        <w:rPr>
                          <w:rFonts w:hint="eastAsia" w:ascii="楷体" w:hAnsi="楷体" w:eastAsia="楷体" w:cs="楷体"/>
                          <w:sz w:val="30"/>
                          <w:szCs w:val="30"/>
                          <w:lang w:val="en-US" w:eastAsia="zh-CN"/>
                        </w:rPr>
                        <w:t>1：</w:t>
                      </w:r>
                    </w:p>
                  </w:txbxContent>
                </v:textbox>
              </v:shape>
            </w:pict>
          </mc:Fallback>
        </mc:AlternateContent>
      </w:r>
    </w:p>
    <w:p w14:paraId="5B648CF1">
      <w:pPr>
        <w:pStyle w:val="13"/>
        <w:jc w:val="center"/>
        <w:rPr>
          <w:sz w:val="56"/>
          <w:szCs w:val="56"/>
        </w:rPr>
      </w:pPr>
    </w:p>
    <w:p w14:paraId="0D2E0C0D">
      <w:pPr>
        <w:pStyle w:val="13"/>
        <w:jc w:val="center"/>
        <w:rPr>
          <w:sz w:val="84"/>
          <w:szCs w:val="84"/>
        </w:rPr>
      </w:pPr>
    </w:p>
    <w:p w14:paraId="167C7877">
      <w:pPr>
        <w:pStyle w:val="13"/>
        <w:jc w:val="center"/>
        <w:rPr>
          <w:sz w:val="84"/>
          <w:szCs w:val="84"/>
        </w:rPr>
      </w:pPr>
    </w:p>
    <w:p w14:paraId="78FEE5E7">
      <w:pPr>
        <w:pStyle w:val="13"/>
        <w:jc w:val="center"/>
        <w:rPr>
          <w:rFonts w:hint="eastAsia" w:ascii="方正小标宋_GBK" w:hAnsi="方正小标宋_GBK" w:eastAsia="方正小标宋_GBK" w:cs="方正小标宋_GBK"/>
          <w:sz w:val="84"/>
          <w:szCs w:val="84"/>
        </w:rPr>
      </w:pPr>
      <w:r>
        <w:rPr>
          <w:rFonts w:hint="default" w:ascii="方正小标宋_GBK" w:hAnsi="方正小标宋_GBK" w:eastAsia="方正小标宋_GBK" w:cs="方正小标宋_GBK"/>
          <w:sz w:val="84"/>
          <w:szCs w:val="84"/>
          <w:lang w:val="en-US"/>
        </w:rPr>
        <w:t>2025</w:t>
      </w:r>
      <w:r>
        <w:rPr>
          <w:rFonts w:hint="eastAsia" w:ascii="方正小标宋_GBK" w:hAnsi="方正小标宋_GBK" w:eastAsia="方正小标宋_GBK" w:cs="方正小标宋_GBK"/>
          <w:sz w:val="84"/>
          <w:szCs w:val="84"/>
        </w:rPr>
        <w:t>年度</w:t>
      </w:r>
    </w:p>
    <w:p w14:paraId="4268EC87">
      <w:pPr>
        <w:pStyle w:val="13"/>
        <w:jc w:val="center"/>
        <w:rPr>
          <w:rFonts w:hint="eastAsia" w:ascii="方正小标宋_GBK" w:hAnsi="方正小标宋_GBK" w:eastAsia="方正小标宋_GBK" w:cs="方正小标宋_GBK"/>
          <w:sz w:val="84"/>
          <w:szCs w:val="84"/>
          <w:lang w:eastAsia="zh-CN"/>
        </w:rPr>
      </w:pPr>
      <w:r>
        <w:rPr>
          <w:rFonts w:hint="eastAsia" w:ascii="方正小标宋_GBK" w:hAnsi="方正小标宋_GBK" w:eastAsia="方正小标宋_GBK" w:cs="方正小标宋_GBK"/>
          <w:sz w:val="84"/>
          <w:szCs w:val="84"/>
          <w:lang w:eastAsia="zh-CN"/>
        </w:rPr>
        <w:t>中共怀化市委机构编制</w:t>
      </w:r>
    </w:p>
    <w:p w14:paraId="0A286C16">
      <w:pPr>
        <w:pStyle w:val="13"/>
        <w:jc w:val="center"/>
        <w:rPr>
          <w:rFonts w:hint="eastAsia" w:ascii="方正小标宋_GBK" w:hAnsi="方正小标宋_GBK" w:eastAsia="方正小标宋_GBK" w:cs="方正小标宋_GBK"/>
          <w:sz w:val="84"/>
          <w:szCs w:val="84"/>
          <w:lang w:eastAsia="zh-CN"/>
        </w:rPr>
      </w:pPr>
      <w:r>
        <w:rPr>
          <w:rFonts w:hint="eastAsia" w:ascii="方正小标宋_GBK" w:hAnsi="方正小标宋_GBK" w:eastAsia="方正小标宋_GBK" w:cs="方正小标宋_GBK"/>
          <w:sz w:val="84"/>
          <w:szCs w:val="84"/>
          <w:lang w:eastAsia="zh-CN"/>
        </w:rPr>
        <w:t>委员会办公室</w:t>
      </w:r>
    </w:p>
    <w:p w14:paraId="0EB77771">
      <w:pPr>
        <w:pStyle w:val="13"/>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rPr>
        <w:t>部门决算</w:t>
      </w:r>
    </w:p>
    <w:p w14:paraId="7C13B513">
      <w:pPr>
        <w:pStyle w:val="13"/>
        <w:jc w:val="center"/>
        <w:rPr>
          <w:rFonts w:hint="eastAsia" w:ascii="方正小标宋_GBK" w:hAnsi="方正小标宋_GBK" w:eastAsia="方正小标宋_GBK" w:cs="方正小标宋_GBK"/>
          <w:sz w:val="56"/>
          <w:szCs w:val="56"/>
        </w:rPr>
      </w:pPr>
    </w:p>
    <w:p w14:paraId="42C8D406">
      <w:pPr>
        <w:pStyle w:val="13"/>
        <w:jc w:val="center"/>
        <w:rPr>
          <w:sz w:val="56"/>
          <w:szCs w:val="56"/>
        </w:rPr>
      </w:pPr>
    </w:p>
    <w:p w14:paraId="73A29ABD">
      <w:pPr>
        <w:pStyle w:val="13"/>
        <w:jc w:val="center"/>
        <w:rPr>
          <w:sz w:val="56"/>
          <w:szCs w:val="56"/>
        </w:rPr>
      </w:pPr>
    </w:p>
    <w:p w14:paraId="52155F5E">
      <w:pPr>
        <w:pStyle w:val="13"/>
        <w:jc w:val="both"/>
        <w:rPr>
          <w:sz w:val="32"/>
          <w:szCs w:val="32"/>
        </w:rPr>
      </w:pPr>
    </w:p>
    <w:p w14:paraId="56FFC74D">
      <w:pPr>
        <w:pStyle w:val="13"/>
        <w:spacing w:line="500" w:lineRule="exact"/>
        <w:jc w:val="both"/>
        <w:rPr>
          <w:b/>
          <w:sz w:val="36"/>
          <w:szCs w:val="28"/>
        </w:rPr>
      </w:pPr>
    </w:p>
    <w:p w14:paraId="62192AC2">
      <w:pPr>
        <w:pStyle w:val="13"/>
        <w:spacing w:line="500" w:lineRule="exact"/>
        <w:jc w:val="both"/>
        <w:rPr>
          <w:b/>
          <w:sz w:val="36"/>
          <w:szCs w:val="28"/>
        </w:rPr>
      </w:pPr>
    </w:p>
    <w:p w14:paraId="266AAA94">
      <w:pPr>
        <w:pStyle w:val="13"/>
        <w:keepNext w:val="0"/>
        <w:keepLines w:val="0"/>
        <w:pageBreakBefore w:val="0"/>
        <w:widowControl w:val="0"/>
        <w:kinsoku/>
        <w:wordWrap/>
        <w:overflowPunct/>
        <w:topLinePunct w:val="0"/>
        <w:bidi w:val="0"/>
        <w:snapToGrid/>
        <w:spacing w:line="240" w:lineRule="auto"/>
        <w:jc w:val="center"/>
        <w:textAlignment w:val="auto"/>
        <w:rPr>
          <w:b/>
          <w:sz w:val="28"/>
          <w:szCs w:val="28"/>
        </w:rPr>
      </w:pPr>
      <w:r>
        <w:rPr>
          <w:rFonts w:hint="eastAsia"/>
          <w:b/>
          <w:sz w:val="28"/>
          <w:szCs w:val="28"/>
        </w:rPr>
        <w:t>目录</w:t>
      </w:r>
    </w:p>
    <w:p w14:paraId="68F819D1">
      <w:pPr>
        <w:pStyle w:val="13"/>
        <w:keepNext w:val="0"/>
        <w:keepLines w:val="0"/>
        <w:pageBreakBefore w:val="0"/>
        <w:widowControl w:val="0"/>
        <w:kinsoku/>
        <w:wordWrap/>
        <w:overflowPunct/>
        <w:topLinePunct w:val="0"/>
        <w:bidi w:val="0"/>
        <w:snapToGrid/>
        <w:spacing w:line="240" w:lineRule="auto"/>
        <w:textAlignment w:val="auto"/>
        <w:rPr>
          <w:rFonts w:hint="eastAsia" w:ascii="黑体" w:hAnsi="黑体" w:eastAsia="黑体" w:cs="黑体"/>
          <w:b w:val="0"/>
          <w:bCs/>
          <w:sz w:val="28"/>
          <w:szCs w:val="28"/>
        </w:rPr>
      </w:pPr>
      <w:r>
        <w:rPr>
          <w:rFonts w:hint="eastAsia" w:ascii="黑体" w:hAnsi="黑体" w:eastAsia="黑体" w:cs="黑体"/>
          <w:b w:val="0"/>
          <w:bCs/>
          <w:sz w:val="28"/>
          <w:szCs w:val="28"/>
        </w:rPr>
        <w:t>第一部分</w:t>
      </w:r>
      <w:r>
        <w:rPr>
          <w:rFonts w:hint="eastAsia" w:ascii="黑体" w:hAnsi="黑体" w:eastAsia="黑体" w:cs="黑体"/>
          <w:b w:val="0"/>
          <w:bCs/>
          <w:sz w:val="28"/>
          <w:szCs w:val="28"/>
          <w:lang w:val="en-US" w:eastAsia="zh-CN"/>
        </w:rPr>
        <w:t xml:space="preserve"> </w:t>
      </w:r>
      <w:r>
        <w:rPr>
          <w:rFonts w:hint="eastAsia" w:ascii="黑体" w:hAnsi="黑体" w:eastAsia="黑体" w:cs="黑体"/>
          <w:b w:val="0"/>
          <w:bCs/>
          <w:sz w:val="28"/>
          <w:szCs w:val="28"/>
        </w:rPr>
        <w:t>单位概况</w:t>
      </w:r>
    </w:p>
    <w:p w14:paraId="3A42756B">
      <w:pPr>
        <w:pStyle w:val="13"/>
        <w:keepNext w:val="0"/>
        <w:keepLines w:val="0"/>
        <w:pageBreakBefore w:val="0"/>
        <w:widowControl w:val="0"/>
        <w:kinsoku/>
        <w:wordWrap/>
        <w:overflowPunct/>
        <w:topLinePunct w:val="0"/>
        <w:bidi w:val="0"/>
        <w:snapToGrid/>
        <w:spacing w:line="240" w:lineRule="auto"/>
        <w:ind w:firstLine="700" w:firstLineChars="25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一、部门职责</w:t>
      </w:r>
    </w:p>
    <w:p w14:paraId="04E0A407">
      <w:pPr>
        <w:pStyle w:val="13"/>
        <w:keepNext w:val="0"/>
        <w:keepLines w:val="0"/>
        <w:pageBreakBefore w:val="0"/>
        <w:widowControl w:val="0"/>
        <w:kinsoku/>
        <w:wordWrap/>
        <w:overflowPunct/>
        <w:topLinePunct w:val="0"/>
        <w:bidi w:val="0"/>
        <w:snapToGrid/>
        <w:spacing w:line="240" w:lineRule="auto"/>
        <w:ind w:firstLine="700" w:firstLineChars="25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二、机构设置</w:t>
      </w:r>
    </w:p>
    <w:p w14:paraId="18CF9BC5">
      <w:pPr>
        <w:pStyle w:val="13"/>
        <w:keepNext w:val="0"/>
        <w:keepLines w:val="0"/>
        <w:pageBreakBefore w:val="0"/>
        <w:widowControl w:val="0"/>
        <w:kinsoku/>
        <w:wordWrap/>
        <w:overflowPunct/>
        <w:topLinePunct w:val="0"/>
        <w:bidi w:val="0"/>
        <w:snapToGrid/>
        <w:spacing w:line="240" w:lineRule="auto"/>
        <w:textAlignment w:val="auto"/>
        <w:rPr>
          <w:rFonts w:hint="eastAsia" w:ascii="黑体" w:hAnsi="黑体" w:eastAsia="黑体" w:cs="黑体"/>
          <w:b w:val="0"/>
          <w:bCs/>
          <w:sz w:val="28"/>
          <w:szCs w:val="28"/>
        </w:rPr>
      </w:pPr>
      <w:r>
        <w:rPr>
          <w:rFonts w:hint="eastAsia" w:ascii="黑体" w:hAnsi="黑体" w:eastAsia="黑体" w:cs="黑体"/>
          <w:b w:val="0"/>
          <w:bCs/>
          <w:sz w:val="28"/>
          <w:szCs w:val="28"/>
        </w:rPr>
        <w:t>第二部分</w:t>
      </w:r>
      <w:r>
        <w:rPr>
          <w:rFonts w:hint="eastAsia" w:ascii="黑体" w:hAnsi="黑体" w:eastAsia="黑体" w:cs="黑体"/>
          <w:b w:val="0"/>
          <w:bCs/>
          <w:sz w:val="28"/>
          <w:szCs w:val="28"/>
          <w:lang w:val="en-US" w:eastAsia="zh-CN"/>
        </w:rPr>
        <w:t xml:space="preserve"> </w:t>
      </w:r>
      <w:r>
        <w:rPr>
          <w:rFonts w:hint="eastAsia" w:ascii="黑体" w:hAnsi="黑体" w:eastAsia="黑体" w:cs="黑体"/>
          <w:b w:val="0"/>
          <w:bCs/>
          <w:sz w:val="28"/>
          <w:szCs w:val="28"/>
        </w:rPr>
        <w:t>部门决算表</w:t>
      </w:r>
    </w:p>
    <w:p w14:paraId="6A8AD5CF">
      <w:pPr>
        <w:pStyle w:val="13"/>
        <w:keepNext w:val="0"/>
        <w:keepLines w:val="0"/>
        <w:pageBreakBefore w:val="0"/>
        <w:widowControl w:val="0"/>
        <w:kinsoku/>
        <w:wordWrap/>
        <w:overflowPunct/>
        <w:topLinePunct w:val="0"/>
        <w:bidi w:val="0"/>
        <w:snapToGrid/>
        <w:spacing w:line="240" w:lineRule="auto"/>
        <w:ind w:firstLine="700" w:firstLineChars="25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一、收入支出决算总表</w:t>
      </w:r>
    </w:p>
    <w:p w14:paraId="7C7F0A4D">
      <w:pPr>
        <w:pStyle w:val="13"/>
        <w:keepNext w:val="0"/>
        <w:keepLines w:val="0"/>
        <w:pageBreakBefore w:val="0"/>
        <w:widowControl w:val="0"/>
        <w:kinsoku/>
        <w:wordWrap/>
        <w:overflowPunct/>
        <w:topLinePunct w:val="0"/>
        <w:bidi w:val="0"/>
        <w:snapToGrid/>
        <w:spacing w:line="240" w:lineRule="auto"/>
        <w:ind w:firstLine="700" w:firstLineChars="25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二、收入决算表</w:t>
      </w:r>
    </w:p>
    <w:p w14:paraId="07C9821B">
      <w:pPr>
        <w:pStyle w:val="13"/>
        <w:keepNext w:val="0"/>
        <w:keepLines w:val="0"/>
        <w:pageBreakBefore w:val="0"/>
        <w:widowControl w:val="0"/>
        <w:kinsoku/>
        <w:wordWrap/>
        <w:overflowPunct/>
        <w:topLinePunct w:val="0"/>
        <w:bidi w:val="0"/>
        <w:snapToGrid/>
        <w:spacing w:line="240" w:lineRule="auto"/>
        <w:ind w:firstLine="700" w:firstLineChars="25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三、支出决算表</w:t>
      </w:r>
    </w:p>
    <w:p w14:paraId="638BFA3B">
      <w:pPr>
        <w:pStyle w:val="13"/>
        <w:keepNext w:val="0"/>
        <w:keepLines w:val="0"/>
        <w:pageBreakBefore w:val="0"/>
        <w:widowControl w:val="0"/>
        <w:kinsoku/>
        <w:wordWrap/>
        <w:overflowPunct/>
        <w:topLinePunct w:val="0"/>
        <w:bidi w:val="0"/>
        <w:snapToGrid/>
        <w:spacing w:line="240" w:lineRule="auto"/>
        <w:ind w:firstLine="700" w:firstLineChars="25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四、财政拨款收入支出决算总表</w:t>
      </w:r>
    </w:p>
    <w:p w14:paraId="0EFA38D6">
      <w:pPr>
        <w:pStyle w:val="13"/>
        <w:keepNext w:val="0"/>
        <w:keepLines w:val="0"/>
        <w:pageBreakBefore w:val="0"/>
        <w:widowControl w:val="0"/>
        <w:kinsoku/>
        <w:wordWrap/>
        <w:overflowPunct/>
        <w:topLinePunct w:val="0"/>
        <w:bidi w:val="0"/>
        <w:snapToGrid/>
        <w:spacing w:line="240" w:lineRule="auto"/>
        <w:ind w:firstLine="700" w:firstLineChars="25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五、一般公共预算财政拨款支出决算表</w:t>
      </w:r>
    </w:p>
    <w:p w14:paraId="70441933">
      <w:pPr>
        <w:pStyle w:val="13"/>
        <w:keepNext w:val="0"/>
        <w:keepLines w:val="0"/>
        <w:pageBreakBefore w:val="0"/>
        <w:widowControl w:val="0"/>
        <w:kinsoku/>
        <w:wordWrap/>
        <w:overflowPunct/>
        <w:topLinePunct w:val="0"/>
        <w:bidi w:val="0"/>
        <w:snapToGrid/>
        <w:spacing w:line="240" w:lineRule="auto"/>
        <w:ind w:firstLine="700" w:firstLineChars="25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六、一般公共预算财政拨款基本支出决算明细表</w:t>
      </w:r>
    </w:p>
    <w:p w14:paraId="0ABF98DE">
      <w:pPr>
        <w:pStyle w:val="13"/>
        <w:keepNext w:val="0"/>
        <w:keepLines w:val="0"/>
        <w:pageBreakBefore w:val="0"/>
        <w:widowControl w:val="0"/>
        <w:kinsoku/>
        <w:wordWrap/>
        <w:overflowPunct/>
        <w:topLinePunct w:val="0"/>
        <w:bidi w:val="0"/>
        <w:snapToGrid/>
        <w:spacing w:line="240" w:lineRule="auto"/>
        <w:ind w:firstLine="700" w:firstLineChars="25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七、政府性基金预算财政拨款收入支出决算表</w:t>
      </w:r>
    </w:p>
    <w:p w14:paraId="220D3782">
      <w:pPr>
        <w:pStyle w:val="13"/>
        <w:keepNext w:val="0"/>
        <w:keepLines w:val="0"/>
        <w:pageBreakBefore w:val="0"/>
        <w:widowControl w:val="0"/>
        <w:kinsoku/>
        <w:wordWrap/>
        <w:overflowPunct/>
        <w:topLinePunct w:val="0"/>
        <w:bidi w:val="0"/>
        <w:snapToGrid/>
        <w:spacing w:line="240" w:lineRule="auto"/>
        <w:ind w:firstLine="700" w:firstLineChars="25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八、国有资本经营预算财政拨款支出决算表</w:t>
      </w:r>
    </w:p>
    <w:p w14:paraId="41A09AE5">
      <w:pPr>
        <w:pStyle w:val="13"/>
        <w:keepNext w:val="0"/>
        <w:keepLines w:val="0"/>
        <w:pageBreakBefore w:val="0"/>
        <w:widowControl w:val="0"/>
        <w:kinsoku/>
        <w:wordWrap/>
        <w:overflowPunct/>
        <w:topLinePunct w:val="0"/>
        <w:bidi w:val="0"/>
        <w:snapToGrid/>
        <w:spacing w:line="240" w:lineRule="auto"/>
        <w:ind w:firstLine="700" w:firstLineChars="25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九、财政拨款“三公”经费支出决算表</w:t>
      </w:r>
    </w:p>
    <w:p w14:paraId="6D91B2B3">
      <w:pPr>
        <w:pStyle w:val="13"/>
        <w:keepNext w:val="0"/>
        <w:keepLines w:val="0"/>
        <w:pageBreakBefore w:val="0"/>
        <w:widowControl w:val="0"/>
        <w:kinsoku/>
        <w:wordWrap/>
        <w:overflowPunct/>
        <w:topLinePunct w:val="0"/>
        <w:bidi w:val="0"/>
        <w:snapToGrid/>
        <w:spacing w:line="240" w:lineRule="auto"/>
        <w:textAlignment w:val="auto"/>
        <w:rPr>
          <w:rFonts w:hint="eastAsia" w:ascii="黑体" w:hAnsi="黑体" w:eastAsia="黑体" w:cs="黑体"/>
          <w:b w:val="0"/>
          <w:bCs/>
          <w:sz w:val="28"/>
          <w:szCs w:val="28"/>
        </w:rPr>
      </w:pPr>
      <w:r>
        <w:rPr>
          <w:rFonts w:hint="eastAsia" w:ascii="黑体" w:hAnsi="黑体" w:eastAsia="黑体" w:cs="黑体"/>
          <w:b w:val="0"/>
          <w:bCs/>
          <w:sz w:val="28"/>
          <w:szCs w:val="28"/>
        </w:rPr>
        <w:t>第三部分</w:t>
      </w:r>
      <w:r>
        <w:rPr>
          <w:rFonts w:hint="eastAsia" w:ascii="黑体" w:hAnsi="黑体" w:eastAsia="黑体" w:cs="黑体"/>
          <w:b w:val="0"/>
          <w:bCs/>
          <w:sz w:val="28"/>
          <w:szCs w:val="28"/>
          <w:lang w:val="en-US" w:eastAsia="zh-CN"/>
        </w:rPr>
        <w:t xml:space="preserve"> </w:t>
      </w:r>
      <w:r>
        <w:rPr>
          <w:rFonts w:hint="eastAsia" w:ascii="黑体" w:hAnsi="黑体" w:eastAsia="黑体" w:cs="黑体"/>
          <w:b w:val="0"/>
          <w:bCs/>
          <w:sz w:val="28"/>
          <w:szCs w:val="28"/>
        </w:rPr>
        <w:t>部门决算情况说明</w:t>
      </w:r>
    </w:p>
    <w:p w14:paraId="3F121F1F">
      <w:pPr>
        <w:pStyle w:val="13"/>
        <w:keepNext w:val="0"/>
        <w:keepLines w:val="0"/>
        <w:pageBreakBefore w:val="0"/>
        <w:widowControl w:val="0"/>
        <w:kinsoku/>
        <w:wordWrap/>
        <w:overflowPunct/>
        <w:topLinePunct w:val="0"/>
        <w:bidi w:val="0"/>
        <w:snapToGrid/>
        <w:spacing w:line="240" w:lineRule="auto"/>
        <w:ind w:firstLine="700" w:firstLineChars="25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一、收入支出决算总体情况说明</w:t>
      </w:r>
    </w:p>
    <w:p w14:paraId="71CE1189">
      <w:pPr>
        <w:keepNext w:val="0"/>
        <w:keepLines w:val="0"/>
        <w:pageBreakBefore w:val="0"/>
        <w:widowControl w:val="0"/>
        <w:kinsoku/>
        <w:wordWrap/>
        <w:overflowPunct/>
        <w:topLinePunct w:val="0"/>
        <w:bidi w:val="0"/>
        <w:snapToGrid/>
        <w:spacing w:line="240" w:lineRule="auto"/>
        <w:ind w:firstLine="700" w:firstLineChars="250"/>
        <w:jc w:val="left"/>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二、收入决算情况说明</w:t>
      </w:r>
    </w:p>
    <w:p w14:paraId="34FA1E0A">
      <w:pPr>
        <w:keepNext w:val="0"/>
        <w:keepLines w:val="0"/>
        <w:pageBreakBefore w:val="0"/>
        <w:widowControl w:val="0"/>
        <w:kinsoku/>
        <w:wordWrap/>
        <w:overflowPunct/>
        <w:topLinePunct w:val="0"/>
        <w:autoSpaceDE w:val="0"/>
        <w:autoSpaceDN w:val="0"/>
        <w:bidi w:val="0"/>
        <w:adjustRightInd w:val="0"/>
        <w:snapToGrid/>
        <w:spacing w:line="240" w:lineRule="auto"/>
        <w:ind w:firstLine="700" w:firstLineChars="250"/>
        <w:jc w:val="left"/>
        <w:textAlignment w:val="auto"/>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三、支出决算情况说明</w:t>
      </w:r>
    </w:p>
    <w:p w14:paraId="1DAA3DAC">
      <w:pPr>
        <w:keepNext w:val="0"/>
        <w:keepLines w:val="0"/>
        <w:pageBreakBefore w:val="0"/>
        <w:widowControl w:val="0"/>
        <w:kinsoku/>
        <w:wordWrap/>
        <w:overflowPunct/>
        <w:topLinePunct w:val="0"/>
        <w:autoSpaceDE w:val="0"/>
        <w:autoSpaceDN w:val="0"/>
        <w:bidi w:val="0"/>
        <w:adjustRightInd w:val="0"/>
        <w:snapToGrid/>
        <w:spacing w:line="240" w:lineRule="auto"/>
        <w:ind w:firstLine="700" w:firstLineChars="250"/>
        <w:jc w:val="left"/>
        <w:textAlignment w:val="auto"/>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四、财政拨款收入支出决算总体情况说明</w:t>
      </w:r>
    </w:p>
    <w:p w14:paraId="1CBB431F">
      <w:pPr>
        <w:keepNext w:val="0"/>
        <w:keepLines w:val="0"/>
        <w:pageBreakBefore w:val="0"/>
        <w:widowControl w:val="0"/>
        <w:kinsoku/>
        <w:wordWrap/>
        <w:overflowPunct/>
        <w:topLinePunct w:val="0"/>
        <w:autoSpaceDE w:val="0"/>
        <w:autoSpaceDN w:val="0"/>
        <w:bidi w:val="0"/>
        <w:adjustRightInd w:val="0"/>
        <w:snapToGrid/>
        <w:spacing w:line="240" w:lineRule="auto"/>
        <w:ind w:firstLine="700" w:firstLineChars="250"/>
        <w:jc w:val="left"/>
        <w:textAlignment w:val="auto"/>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五、一般公共预算财政拨款支出决算情况说明</w:t>
      </w:r>
    </w:p>
    <w:p w14:paraId="132A9E06">
      <w:pPr>
        <w:keepNext w:val="0"/>
        <w:keepLines w:val="0"/>
        <w:pageBreakBefore w:val="0"/>
        <w:widowControl w:val="0"/>
        <w:kinsoku/>
        <w:wordWrap/>
        <w:overflowPunct/>
        <w:topLinePunct w:val="0"/>
        <w:autoSpaceDE w:val="0"/>
        <w:autoSpaceDN w:val="0"/>
        <w:bidi w:val="0"/>
        <w:adjustRightInd w:val="0"/>
        <w:snapToGrid/>
        <w:spacing w:line="240" w:lineRule="auto"/>
        <w:ind w:firstLine="700" w:firstLineChars="250"/>
        <w:jc w:val="left"/>
        <w:textAlignment w:val="auto"/>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六、一般公共预算财政拨款基本支出决算情况说明</w:t>
      </w:r>
    </w:p>
    <w:p w14:paraId="2742DD02">
      <w:pPr>
        <w:keepNext w:val="0"/>
        <w:keepLines w:val="0"/>
        <w:pageBreakBefore w:val="0"/>
        <w:widowControl w:val="0"/>
        <w:kinsoku/>
        <w:wordWrap/>
        <w:overflowPunct/>
        <w:topLinePunct w:val="0"/>
        <w:autoSpaceDE w:val="0"/>
        <w:autoSpaceDN w:val="0"/>
        <w:bidi w:val="0"/>
        <w:adjustRightInd w:val="0"/>
        <w:snapToGrid/>
        <w:spacing w:line="240" w:lineRule="auto"/>
        <w:ind w:firstLine="700" w:firstLineChars="250"/>
        <w:jc w:val="left"/>
        <w:textAlignment w:val="auto"/>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七、财政拨款三公经费支出决算情况说明</w:t>
      </w:r>
    </w:p>
    <w:p w14:paraId="49C3450A">
      <w:pPr>
        <w:keepNext w:val="0"/>
        <w:keepLines w:val="0"/>
        <w:pageBreakBefore w:val="0"/>
        <w:widowControl w:val="0"/>
        <w:kinsoku/>
        <w:wordWrap/>
        <w:overflowPunct/>
        <w:topLinePunct w:val="0"/>
        <w:autoSpaceDE w:val="0"/>
        <w:autoSpaceDN w:val="0"/>
        <w:bidi w:val="0"/>
        <w:adjustRightInd w:val="0"/>
        <w:snapToGrid/>
        <w:spacing w:line="240" w:lineRule="auto"/>
        <w:ind w:firstLine="700" w:firstLineChars="250"/>
        <w:jc w:val="left"/>
        <w:textAlignment w:val="auto"/>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八、政府性基金预算收入支出决算情况</w:t>
      </w:r>
    </w:p>
    <w:p w14:paraId="24356926">
      <w:pPr>
        <w:keepNext w:val="0"/>
        <w:keepLines w:val="0"/>
        <w:pageBreakBefore w:val="0"/>
        <w:widowControl w:val="0"/>
        <w:kinsoku/>
        <w:wordWrap/>
        <w:overflowPunct/>
        <w:topLinePunct w:val="0"/>
        <w:autoSpaceDE w:val="0"/>
        <w:autoSpaceDN w:val="0"/>
        <w:bidi w:val="0"/>
        <w:adjustRightInd w:val="0"/>
        <w:snapToGrid/>
        <w:spacing w:line="240" w:lineRule="auto"/>
        <w:ind w:firstLine="700" w:firstLineChars="250"/>
        <w:jc w:val="left"/>
        <w:textAlignment w:val="auto"/>
        <w:rPr>
          <w:rFonts w:ascii="仿宋_GB2312" w:hAnsi="宋体" w:eastAsia="仿宋_GB2312" w:cs="仿宋_GB2312"/>
          <w:i w:val="0"/>
          <w:iCs w:val="0"/>
          <w:caps w:val="0"/>
          <w:color w:val="000000"/>
          <w:spacing w:val="0"/>
          <w:sz w:val="28"/>
          <w:szCs w:val="28"/>
          <w:shd w:val="clear" w:fill="FFFFFF"/>
        </w:rPr>
      </w:pPr>
      <w:r>
        <w:rPr>
          <w:rFonts w:hint="eastAsia" w:ascii="仿宋_GB2312" w:hAnsi="仿宋_GB2312" w:eastAsia="仿宋_GB2312" w:cs="仿宋_GB2312"/>
          <w:color w:val="000000"/>
          <w:kern w:val="0"/>
          <w:sz w:val="28"/>
          <w:szCs w:val="28"/>
        </w:rPr>
        <w:t>九、</w:t>
      </w:r>
      <w:r>
        <w:rPr>
          <w:rFonts w:ascii="仿宋_GB2312" w:hAnsi="宋体" w:eastAsia="仿宋_GB2312" w:cs="仿宋_GB2312"/>
          <w:i w:val="0"/>
          <w:iCs w:val="0"/>
          <w:caps w:val="0"/>
          <w:color w:val="000000"/>
          <w:spacing w:val="0"/>
          <w:sz w:val="28"/>
          <w:szCs w:val="28"/>
          <w:shd w:val="clear" w:fill="FFFFFF"/>
        </w:rPr>
        <w:t>国有资本经营预算财政拨款支出决算</w:t>
      </w:r>
    </w:p>
    <w:p w14:paraId="20547BD6">
      <w:pPr>
        <w:keepNext w:val="0"/>
        <w:keepLines w:val="0"/>
        <w:pageBreakBefore w:val="0"/>
        <w:widowControl w:val="0"/>
        <w:kinsoku/>
        <w:wordWrap/>
        <w:overflowPunct/>
        <w:topLinePunct w:val="0"/>
        <w:autoSpaceDE w:val="0"/>
        <w:autoSpaceDN w:val="0"/>
        <w:bidi w:val="0"/>
        <w:adjustRightInd w:val="0"/>
        <w:snapToGrid/>
        <w:spacing w:line="240" w:lineRule="auto"/>
        <w:ind w:firstLine="700" w:firstLineChars="250"/>
        <w:jc w:val="left"/>
        <w:textAlignment w:val="auto"/>
        <w:rPr>
          <w:rFonts w:hint="default" w:ascii="仿宋_GB2312" w:hAnsi="仿宋_GB2312" w:eastAsia="仿宋_GB2312" w:cs="仿宋_GB2312"/>
          <w:color w:val="000000"/>
          <w:kern w:val="0"/>
          <w:sz w:val="28"/>
          <w:szCs w:val="28"/>
          <w:lang w:val="en-US" w:eastAsia="zh-CN"/>
        </w:rPr>
      </w:pPr>
      <w:r>
        <w:rPr>
          <w:rFonts w:hint="eastAsia" w:ascii="仿宋_GB2312" w:hAnsi="仿宋_GB2312" w:eastAsia="仿宋_GB2312" w:cs="仿宋_GB2312"/>
          <w:color w:val="000000"/>
          <w:kern w:val="0"/>
          <w:sz w:val="28"/>
          <w:szCs w:val="28"/>
        </w:rPr>
        <w:t>十、关于机关运行经费支出说明</w:t>
      </w:r>
    </w:p>
    <w:p w14:paraId="6802957C">
      <w:pPr>
        <w:keepNext w:val="0"/>
        <w:keepLines w:val="0"/>
        <w:pageBreakBefore w:val="0"/>
        <w:widowControl w:val="0"/>
        <w:kinsoku/>
        <w:wordWrap/>
        <w:overflowPunct/>
        <w:topLinePunct w:val="0"/>
        <w:autoSpaceDE w:val="0"/>
        <w:autoSpaceDN w:val="0"/>
        <w:bidi w:val="0"/>
        <w:adjustRightInd w:val="0"/>
        <w:snapToGrid/>
        <w:spacing w:line="240" w:lineRule="auto"/>
        <w:ind w:firstLine="700" w:firstLineChars="250"/>
        <w:jc w:val="left"/>
        <w:textAlignment w:val="auto"/>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十一、一般性支出情况说明</w:t>
      </w:r>
    </w:p>
    <w:p w14:paraId="542BB65A">
      <w:pPr>
        <w:keepNext w:val="0"/>
        <w:keepLines w:val="0"/>
        <w:pageBreakBefore w:val="0"/>
        <w:widowControl w:val="0"/>
        <w:kinsoku/>
        <w:wordWrap/>
        <w:overflowPunct/>
        <w:topLinePunct w:val="0"/>
        <w:autoSpaceDE w:val="0"/>
        <w:autoSpaceDN w:val="0"/>
        <w:bidi w:val="0"/>
        <w:adjustRightInd w:val="0"/>
        <w:snapToGrid/>
        <w:spacing w:line="240" w:lineRule="auto"/>
        <w:ind w:firstLine="700" w:firstLineChars="250"/>
        <w:jc w:val="left"/>
        <w:textAlignment w:val="auto"/>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sz w:val="28"/>
          <w:szCs w:val="28"/>
        </w:rPr>
        <w:t>十二、</w:t>
      </w:r>
      <w:r>
        <w:rPr>
          <w:rFonts w:hint="eastAsia" w:ascii="仿宋_GB2312" w:hAnsi="仿宋_GB2312" w:eastAsia="仿宋_GB2312" w:cs="仿宋_GB2312"/>
          <w:color w:val="000000"/>
          <w:kern w:val="0"/>
          <w:sz w:val="28"/>
          <w:szCs w:val="28"/>
        </w:rPr>
        <w:t>关于政府采购支出说明</w:t>
      </w:r>
    </w:p>
    <w:p w14:paraId="1856B2DE">
      <w:pPr>
        <w:pStyle w:val="13"/>
        <w:keepNext w:val="0"/>
        <w:keepLines w:val="0"/>
        <w:pageBreakBefore w:val="0"/>
        <w:widowControl w:val="0"/>
        <w:kinsoku/>
        <w:wordWrap/>
        <w:overflowPunct/>
        <w:topLinePunct w:val="0"/>
        <w:bidi w:val="0"/>
        <w:snapToGrid/>
        <w:spacing w:line="240" w:lineRule="auto"/>
        <w:ind w:firstLine="700" w:firstLineChars="25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十三、关于国有资产占用情况说明</w:t>
      </w:r>
    </w:p>
    <w:p w14:paraId="20E3B8B4">
      <w:pPr>
        <w:pStyle w:val="13"/>
        <w:keepNext w:val="0"/>
        <w:keepLines w:val="0"/>
        <w:pageBreakBefore w:val="0"/>
        <w:widowControl w:val="0"/>
        <w:kinsoku/>
        <w:wordWrap/>
        <w:overflowPunct/>
        <w:topLinePunct w:val="0"/>
        <w:bidi w:val="0"/>
        <w:snapToGrid/>
        <w:spacing w:line="240" w:lineRule="auto"/>
        <w:ind w:firstLine="700" w:firstLineChars="25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十四、关于</w:t>
      </w:r>
      <w:r>
        <w:rPr>
          <w:rFonts w:hint="default" w:ascii="Times New Roman" w:hAnsi="Times New Roman" w:eastAsia="仿宋_GB2312" w:cs="Times New Roman"/>
          <w:sz w:val="28"/>
          <w:szCs w:val="28"/>
          <w:lang w:val="en-US"/>
        </w:rPr>
        <w:t>2025</w:t>
      </w:r>
      <w:r>
        <w:rPr>
          <w:rFonts w:hint="eastAsia" w:ascii="仿宋_GB2312" w:hAnsi="仿宋_GB2312" w:eastAsia="仿宋_GB2312" w:cs="仿宋_GB2312"/>
          <w:sz w:val="28"/>
          <w:szCs w:val="28"/>
        </w:rPr>
        <w:t>年度</w:t>
      </w:r>
      <w:r>
        <w:rPr>
          <w:rFonts w:hint="eastAsia" w:ascii="仿宋_GB2312" w:hAnsi="仿宋_GB2312" w:eastAsia="仿宋_GB2312" w:cs="仿宋_GB2312"/>
          <w:sz w:val="28"/>
          <w:szCs w:val="28"/>
          <w:lang w:eastAsia="zh-CN"/>
        </w:rPr>
        <w:t>预算</w:t>
      </w:r>
      <w:r>
        <w:rPr>
          <w:rFonts w:hint="eastAsia" w:ascii="仿宋_GB2312" w:hAnsi="仿宋_GB2312" w:eastAsia="仿宋_GB2312" w:cs="仿宋_GB2312"/>
          <w:sz w:val="28"/>
          <w:szCs w:val="28"/>
        </w:rPr>
        <w:t>绩效情况的说明</w:t>
      </w:r>
    </w:p>
    <w:p w14:paraId="78754242">
      <w:pPr>
        <w:pStyle w:val="13"/>
        <w:keepNext w:val="0"/>
        <w:keepLines w:val="0"/>
        <w:pageBreakBefore w:val="0"/>
        <w:widowControl w:val="0"/>
        <w:kinsoku/>
        <w:wordWrap/>
        <w:overflowPunct/>
        <w:topLinePunct w:val="0"/>
        <w:bidi w:val="0"/>
        <w:snapToGrid/>
        <w:spacing w:line="240" w:lineRule="auto"/>
        <w:textAlignment w:val="auto"/>
        <w:rPr>
          <w:rFonts w:hint="eastAsia" w:ascii="黑体" w:hAnsi="黑体" w:eastAsia="黑体" w:cs="黑体"/>
          <w:b w:val="0"/>
          <w:bCs/>
          <w:sz w:val="28"/>
          <w:szCs w:val="28"/>
        </w:rPr>
      </w:pPr>
      <w:r>
        <w:rPr>
          <w:rFonts w:hint="eastAsia" w:ascii="黑体" w:hAnsi="黑体" w:eastAsia="黑体" w:cs="黑体"/>
          <w:b w:val="0"/>
          <w:bCs/>
          <w:sz w:val="28"/>
          <w:szCs w:val="28"/>
        </w:rPr>
        <w:t>第四部分</w:t>
      </w:r>
      <w:r>
        <w:rPr>
          <w:rFonts w:hint="eastAsia" w:ascii="黑体" w:hAnsi="黑体" w:eastAsia="黑体" w:cs="黑体"/>
          <w:b w:val="0"/>
          <w:bCs/>
          <w:sz w:val="28"/>
          <w:szCs w:val="28"/>
          <w:lang w:val="en-US" w:eastAsia="zh-CN"/>
        </w:rPr>
        <w:t xml:space="preserve"> </w:t>
      </w:r>
      <w:r>
        <w:rPr>
          <w:rFonts w:hint="eastAsia" w:ascii="黑体" w:hAnsi="黑体" w:eastAsia="黑体" w:cs="黑体"/>
          <w:b w:val="0"/>
          <w:bCs/>
          <w:sz w:val="28"/>
          <w:szCs w:val="28"/>
        </w:rPr>
        <w:t>名词解释</w:t>
      </w:r>
    </w:p>
    <w:p w14:paraId="3FFB1444">
      <w:pPr>
        <w:pStyle w:val="13"/>
        <w:keepNext w:val="0"/>
        <w:keepLines w:val="0"/>
        <w:pageBreakBefore w:val="0"/>
        <w:widowControl w:val="0"/>
        <w:kinsoku/>
        <w:wordWrap/>
        <w:overflowPunct/>
        <w:topLinePunct w:val="0"/>
        <w:bidi w:val="0"/>
        <w:snapToGrid/>
        <w:spacing w:line="240" w:lineRule="auto"/>
        <w:textAlignment w:val="auto"/>
        <w:rPr>
          <w:rFonts w:hint="eastAsia" w:ascii="黑体" w:hAnsi="黑体" w:eastAsia="黑体" w:cs="黑体"/>
          <w:b w:val="0"/>
          <w:bCs/>
          <w:sz w:val="28"/>
          <w:szCs w:val="28"/>
          <w:lang w:eastAsia="zh-CN"/>
        </w:rPr>
      </w:pPr>
      <w:r>
        <w:rPr>
          <w:rFonts w:hint="eastAsia" w:ascii="黑体" w:hAnsi="黑体" w:eastAsia="黑体" w:cs="黑体"/>
          <w:b w:val="0"/>
          <w:bCs/>
          <w:sz w:val="28"/>
          <w:szCs w:val="28"/>
        </w:rPr>
        <w:t>第</w:t>
      </w:r>
      <w:r>
        <w:rPr>
          <w:rFonts w:hint="eastAsia" w:hAnsi="黑体" w:cs="黑体"/>
          <w:b w:val="0"/>
          <w:bCs/>
          <w:sz w:val="28"/>
          <w:szCs w:val="28"/>
          <w:lang w:eastAsia="zh-CN"/>
        </w:rPr>
        <w:t>五</w:t>
      </w:r>
      <w:r>
        <w:rPr>
          <w:rFonts w:hint="eastAsia" w:ascii="黑体" w:hAnsi="黑体" w:eastAsia="黑体" w:cs="黑体"/>
          <w:b w:val="0"/>
          <w:bCs/>
          <w:sz w:val="28"/>
          <w:szCs w:val="28"/>
        </w:rPr>
        <w:t>部分</w:t>
      </w:r>
      <w:r>
        <w:rPr>
          <w:rFonts w:hint="eastAsia" w:ascii="黑体" w:hAnsi="黑体" w:eastAsia="黑体" w:cs="黑体"/>
          <w:b w:val="0"/>
          <w:bCs/>
          <w:sz w:val="28"/>
          <w:szCs w:val="28"/>
          <w:lang w:val="en-US" w:eastAsia="zh-CN"/>
        </w:rPr>
        <w:t xml:space="preserve"> </w:t>
      </w:r>
      <w:r>
        <w:rPr>
          <w:rFonts w:hint="eastAsia" w:hAnsi="黑体" w:cs="黑体"/>
          <w:b w:val="0"/>
          <w:bCs/>
          <w:sz w:val="28"/>
          <w:szCs w:val="28"/>
          <w:lang w:eastAsia="zh-CN"/>
        </w:rPr>
        <w:t>附件</w:t>
      </w:r>
    </w:p>
    <w:p w14:paraId="1499FAE8">
      <w:pPr>
        <w:pStyle w:val="13"/>
        <w:spacing w:line="500" w:lineRule="exact"/>
        <w:rPr>
          <w:rFonts w:hint="eastAsia" w:ascii="黑体" w:hAnsi="黑体" w:eastAsia="黑体" w:cs="黑体"/>
          <w:b w:val="0"/>
          <w:bCs/>
          <w:sz w:val="28"/>
          <w:szCs w:val="28"/>
        </w:rPr>
      </w:pPr>
    </w:p>
    <w:p w14:paraId="06F1425B">
      <w:pPr>
        <w:jc w:val="center"/>
        <w:rPr>
          <w:sz w:val="72"/>
          <w:szCs w:val="72"/>
        </w:rPr>
      </w:pPr>
    </w:p>
    <w:p w14:paraId="115CD144">
      <w:pPr>
        <w:jc w:val="center"/>
        <w:rPr>
          <w:sz w:val="72"/>
          <w:szCs w:val="72"/>
        </w:rPr>
      </w:pPr>
    </w:p>
    <w:p w14:paraId="5D6193BE">
      <w:pPr>
        <w:jc w:val="center"/>
        <w:rPr>
          <w:sz w:val="72"/>
          <w:szCs w:val="72"/>
        </w:rPr>
      </w:pPr>
    </w:p>
    <w:p w14:paraId="302215B4">
      <w:pPr>
        <w:jc w:val="center"/>
        <w:rPr>
          <w:sz w:val="72"/>
          <w:szCs w:val="72"/>
        </w:rPr>
      </w:pPr>
    </w:p>
    <w:p w14:paraId="53199121">
      <w:pPr>
        <w:pStyle w:val="2"/>
        <w:rPr>
          <w:sz w:val="72"/>
          <w:szCs w:val="72"/>
        </w:rPr>
      </w:pPr>
    </w:p>
    <w:p w14:paraId="0F167357">
      <w:pPr>
        <w:pStyle w:val="3"/>
        <w:rPr>
          <w:sz w:val="72"/>
          <w:szCs w:val="72"/>
        </w:rPr>
      </w:pPr>
    </w:p>
    <w:p w14:paraId="3611EA30">
      <w:pPr>
        <w:rPr>
          <w:sz w:val="72"/>
          <w:szCs w:val="72"/>
        </w:rPr>
      </w:pPr>
    </w:p>
    <w:p w14:paraId="6392DFFE">
      <w:pPr>
        <w:pStyle w:val="2"/>
        <w:rPr>
          <w:sz w:val="72"/>
          <w:szCs w:val="72"/>
        </w:rPr>
      </w:pPr>
    </w:p>
    <w:p w14:paraId="71CD944F">
      <w:pPr>
        <w:pStyle w:val="3"/>
        <w:rPr>
          <w:sz w:val="72"/>
          <w:szCs w:val="72"/>
        </w:rPr>
      </w:pPr>
    </w:p>
    <w:p w14:paraId="052D0828"/>
    <w:p w14:paraId="2C619DC9">
      <w:pPr>
        <w:rPr>
          <w:rFonts w:hint="eastAsia" w:ascii="方正小标宋_GBK" w:hAnsi="方正小标宋_GBK" w:eastAsia="方正小标宋_GBK" w:cs="方正小标宋_GBK"/>
          <w:sz w:val="72"/>
          <w:szCs w:val="72"/>
        </w:rPr>
      </w:pPr>
    </w:p>
    <w:p w14:paraId="4C774A2D">
      <w:pPr>
        <w:pStyle w:val="13"/>
        <w:jc w:val="both"/>
        <w:rPr>
          <w:rFonts w:hint="eastAsia" w:ascii="方正小标宋_GBK" w:hAnsi="方正小标宋_GBK" w:eastAsia="方正小标宋_GBK" w:cs="方正小标宋_GBK"/>
          <w:sz w:val="84"/>
          <w:szCs w:val="84"/>
        </w:rPr>
      </w:pPr>
    </w:p>
    <w:p w14:paraId="27CF1ACD">
      <w:pPr>
        <w:pStyle w:val="13"/>
        <w:jc w:val="center"/>
        <w:rPr>
          <w:rFonts w:hint="eastAsia" w:ascii="方正小标宋_GBK" w:hAnsi="方正小标宋_GBK" w:eastAsia="方正小标宋_GBK" w:cs="方正小标宋_GBK"/>
          <w:sz w:val="84"/>
          <w:szCs w:val="84"/>
        </w:rPr>
      </w:pPr>
    </w:p>
    <w:p w14:paraId="54F5A66D">
      <w:pPr>
        <w:pStyle w:val="13"/>
        <w:jc w:val="center"/>
        <w:rPr>
          <w:rFonts w:hint="eastAsia" w:ascii="方正小标宋_GBK" w:hAnsi="方正小标宋_GBK" w:eastAsia="方正小标宋_GBK" w:cs="方正小标宋_GBK"/>
          <w:sz w:val="84"/>
          <w:szCs w:val="84"/>
        </w:rPr>
      </w:pPr>
    </w:p>
    <w:p w14:paraId="280C60EF">
      <w:pPr>
        <w:pStyle w:val="13"/>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rPr>
        <w:t xml:space="preserve">第一部分 </w:t>
      </w:r>
    </w:p>
    <w:p w14:paraId="4161D10A">
      <w:pPr>
        <w:pStyle w:val="13"/>
        <w:jc w:val="center"/>
        <w:rPr>
          <w:rFonts w:hint="eastAsia" w:ascii="方正小标宋_GBK" w:hAnsi="方正小标宋_GBK" w:eastAsia="方正小标宋_GBK" w:cs="方正小标宋_GBK"/>
          <w:sz w:val="84"/>
          <w:szCs w:val="84"/>
        </w:rPr>
      </w:pPr>
    </w:p>
    <w:p w14:paraId="476AD712">
      <w:pPr>
        <w:pStyle w:val="13"/>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rPr>
        <w:t>单位概况</w:t>
      </w:r>
    </w:p>
    <w:p w14:paraId="334A0ACF">
      <w:pPr>
        <w:jc w:val="center"/>
        <w:rPr>
          <w:rFonts w:hint="eastAsia" w:ascii="方正小标宋_GBK" w:hAnsi="方正小标宋_GBK" w:eastAsia="方正小标宋_GBK" w:cs="方正小标宋_GBK"/>
          <w:sz w:val="72"/>
          <w:szCs w:val="72"/>
        </w:rPr>
      </w:pPr>
    </w:p>
    <w:p w14:paraId="2E2DAADD">
      <w:pPr>
        <w:jc w:val="center"/>
        <w:rPr>
          <w:rFonts w:hint="eastAsia" w:ascii="方正小标宋_GBK" w:hAnsi="方正小标宋_GBK" w:eastAsia="方正小标宋_GBK" w:cs="方正小标宋_GBK"/>
          <w:sz w:val="72"/>
          <w:szCs w:val="72"/>
        </w:rPr>
      </w:pPr>
    </w:p>
    <w:p w14:paraId="747DB644">
      <w:pPr>
        <w:jc w:val="center"/>
        <w:rPr>
          <w:sz w:val="72"/>
          <w:szCs w:val="72"/>
        </w:rPr>
      </w:pPr>
    </w:p>
    <w:p w14:paraId="07DE642A">
      <w:pPr>
        <w:jc w:val="center"/>
        <w:rPr>
          <w:sz w:val="72"/>
          <w:szCs w:val="72"/>
        </w:rPr>
      </w:pPr>
    </w:p>
    <w:p w14:paraId="760F77C0">
      <w:pPr>
        <w:jc w:val="center"/>
        <w:rPr>
          <w:sz w:val="72"/>
          <w:szCs w:val="72"/>
        </w:rPr>
      </w:pPr>
    </w:p>
    <w:p w14:paraId="1ABAAE22">
      <w:pPr>
        <w:pStyle w:val="14"/>
        <w:numPr>
          <w:ilvl w:val="0"/>
          <w:numId w:val="1"/>
        </w:numPr>
        <w:ind w:firstLineChars="0"/>
        <w:jc w:val="left"/>
        <w:rPr>
          <w:rFonts w:hint="eastAsia" w:ascii="黑体" w:hAnsi="黑体" w:eastAsia="黑体" w:cs="黑体"/>
          <w:b w:val="0"/>
          <w:bCs w:val="0"/>
          <w:sz w:val="32"/>
          <w:szCs w:val="32"/>
        </w:rPr>
      </w:pPr>
      <w:r>
        <w:rPr>
          <w:rFonts w:hint="eastAsia" w:ascii="黑体" w:hAnsi="黑体" w:eastAsia="黑体" w:cs="黑体"/>
          <w:b w:val="0"/>
          <w:bCs w:val="0"/>
          <w:sz w:val="32"/>
          <w:szCs w:val="32"/>
        </w:rPr>
        <w:t>部门职责</w:t>
      </w:r>
    </w:p>
    <w:p w14:paraId="654D6D2D">
      <w:pPr>
        <w:widowControl/>
        <w:spacing w:line="600" w:lineRule="exact"/>
        <w:ind w:firstLine="640" w:firstLineChars="200"/>
        <w:rPr>
          <w:rFonts w:ascii="仿宋" w:hAnsi="仿宋" w:eastAsia="仿宋" w:cs="仿宋"/>
          <w:i w:val="0"/>
          <w:iCs w:val="0"/>
          <w:caps w:val="0"/>
          <w:color w:val="3D3D3D"/>
          <w:spacing w:val="0"/>
          <w:sz w:val="32"/>
          <w:szCs w:val="32"/>
          <w:shd w:val="clear" w:fill="FFFFFF"/>
        </w:rPr>
      </w:pPr>
      <w:r>
        <w:rPr>
          <w:rFonts w:ascii="仿宋" w:hAnsi="仿宋" w:eastAsia="仿宋" w:cs="仿宋"/>
          <w:i w:val="0"/>
          <w:iCs w:val="0"/>
          <w:caps w:val="0"/>
          <w:color w:val="3D3D3D"/>
          <w:spacing w:val="0"/>
          <w:sz w:val="32"/>
          <w:szCs w:val="32"/>
          <w:shd w:val="clear" w:fill="FFFFFF"/>
        </w:rPr>
        <w:t>自2019年机构改革后，市委编办职能职责为涉密内容，略。</w:t>
      </w:r>
    </w:p>
    <w:p w14:paraId="07F3DD4A">
      <w:pPr>
        <w:widowControl/>
        <w:spacing w:line="600" w:lineRule="exact"/>
        <w:rPr>
          <w:rFonts w:hint="eastAsia" w:ascii="黑体" w:hAnsi="黑体" w:eastAsia="黑体" w:cs="黑体"/>
          <w:b w:val="0"/>
          <w:bCs/>
          <w:kern w:val="0"/>
          <w:sz w:val="32"/>
          <w:szCs w:val="32"/>
        </w:rPr>
      </w:pPr>
      <w:r>
        <w:rPr>
          <w:rFonts w:hint="eastAsia" w:ascii="黑体" w:hAnsi="黑体" w:eastAsia="黑体" w:cs="黑体"/>
          <w:b w:val="0"/>
          <w:bCs/>
          <w:kern w:val="0"/>
          <w:sz w:val="32"/>
          <w:szCs w:val="32"/>
        </w:rPr>
        <w:t>二、机构设置及决算单位构成</w:t>
      </w:r>
    </w:p>
    <w:p w14:paraId="12F31C7D">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642"/>
        <w:jc w:val="both"/>
        <w:rPr>
          <w:rFonts w:ascii="Calibri" w:hAnsi="Calibri" w:cs="Calibri"/>
          <w:i w:val="0"/>
          <w:iCs w:val="0"/>
          <w:caps w:val="0"/>
          <w:color w:val="3D3D3D"/>
          <w:spacing w:val="0"/>
          <w:sz w:val="27"/>
          <w:szCs w:val="27"/>
        </w:rPr>
      </w:pPr>
      <w:r>
        <w:rPr>
          <w:rFonts w:ascii="仿宋" w:hAnsi="仿宋" w:eastAsia="仿宋" w:cs="仿宋"/>
          <w:b/>
          <w:bCs/>
          <w:i w:val="0"/>
          <w:iCs w:val="0"/>
          <w:caps w:val="0"/>
          <w:color w:val="3D3D3D"/>
          <w:spacing w:val="0"/>
          <w:kern w:val="0"/>
          <w:sz w:val="32"/>
          <w:szCs w:val="32"/>
          <w:shd w:val="clear" w:fill="FFFFFF"/>
          <w:lang w:val="en-US" w:eastAsia="zh-CN" w:bidi="ar"/>
        </w:rPr>
        <w:t>（一）内设机构设置</w:t>
      </w:r>
    </w:p>
    <w:p w14:paraId="1938CCC2">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640"/>
        <w:jc w:val="both"/>
        <w:rPr>
          <w:rFonts w:hint="default" w:ascii="Calibri" w:hAnsi="Calibri" w:cs="Calibri"/>
          <w:i w:val="0"/>
          <w:iCs w:val="0"/>
          <w:caps w:val="0"/>
          <w:color w:val="3D3D3D"/>
          <w:spacing w:val="0"/>
          <w:sz w:val="27"/>
          <w:szCs w:val="27"/>
        </w:rPr>
      </w:pPr>
      <w:r>
        <w:rPr>
          <w:rFonts w:hint="eastAsia" w:ascii="仿宋" w:hAnsi="仿宋" w:eastAsia="仿宋" w:cs="仿宋"/>
          <w:i w:val="0"/>
          <w:iCs w:val="0"/>
          <w:caps w:val="0"/>
          <w:color w:val="3D3D3D"/>
          <w:spacing w:val="0"/>
          <w:kern w:val="0"/>
          <w:sz w:val="32"/>
          <w:szCs w:val="32"/>
          <w:shd w:val="clear" w:fill="FFFFFF"/>
          <w:lang w:val="en-US" w:eastAsia="zh-CN" w:bidi="ar"/>
        </w:rPr>
        <w:t>自2019年机构改革后，市委编办机构设置为涉密内容，略。</w:t>
      </w:r>
    </w:p>
    <w:p w14:paraId="43B90A7A">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642"/>
        <w:jc w:val="both"/>
        <w:rPr>
          <w:rFonts w:hint="default" w:ascii="Calibri" w:hAnsi="Calibri" w:cs="Calibri"/>
          <w:i w:val="0"/>
          <w:iCs w:val="0"/>
          <w:caps w:val="0"/>
          <w:color w:val="3D3D3D"/>
          <w:spacing w:val="0"/>
          <w:sz w:val="27"/>
          <w:szCs w:val="27"/>
        </w:rPr>
      </w:pPr>
      <w:r>
        <w:rPr>
          <w:rFonts w:hint="eastAsia" w:ascii="仿宋" w:hAnsi="仿宋" w:eastAsia="仿宋" w:cs="仿宋"/>
          <w:b/>
          <w:bCs/>
          <w:i w:val="0"/>
          <w:iCs w:val="0"/>
          <w:caps w:val="0"/>
          <w:color w:val="3D3D3D"/>
          <w:spacing w:val="0"/>
          <w:kern w:val="0"/>
          <w:sz w:val="32"/>
          <w:szCs w:val="32"/>
          <w:shd w:val="clear" w:fill="FFFFFF"/>
          <w:lang w:val="en-US" w:eastAsia="zh-CN" w:bidi="ar"/>
        </w:rPr>
        <w:t>（二）决算单位构成</w:t>
      </w:r>
    </w:p>
    <w:p w14:paraId="50F54E11">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640"/>
        <w:jc w:val="both"/>
        <w:rPr>
          <w:rFonts w:hint="default" w:ascii="Calibri" w:hAnsi="Calibri" w:cs="Calibri"/>
          <w:i w:val="0"/>
          <w:iCs w:val="0"/>
          <w:caps w:val="0"/>
          <w:color w:val="3D3D3D"/>
          <w:spacing w:val="0"/>
          <w:sz w:val="27"/>
          <w:szCs w:val="27"/>
        </w:rPr>
      </w:pPr>
      <w:r>
        <w:rPr>
          <w:rFonts w:hint="eastAsia" w:ascii="仿宋" w:hAnsi="仿宋" w:eastAsia="仿宋" w:cs="仿宋"/>
          <w:i w:val="0"/>
          <w:iCs w:val="0"/>
          <w:caps w:val="0"/>
          <w:color w:val="3D3D3D"/>
          <w:spacing w:val="0"/>
          <w:kern w:val="0"/>
          <w:sz w:val="32"/>
          <w:szCs w:val="32"/>
          <w:shd w:val="clear" w:fill="FFFFFF"/>
          <w:lang w:val="en-US" w:eastAsia="zh-CN" w:bidi="ar"/>
        </w:rPr>
        <w:t>怀化市委编办</w:t>
      </w:r>
      <w:r>
        <w:rPr>
          <w:rFonts w:hint="default" w:ascii="仿宋" w:hAnsi="仿宋" w:eastAsia="仿宋" w:cs="仿宋"/>
          <w:i w:val="0"/>
          <w:iCs w:val="0"/>
          <w:caps w:val="0"/>
          <w:color w:val="3D3D3D"/>
          <w:spacing w:val="0"/>
          <w:kern w:val="0"/>
          <w:sz w:val="32"/>
          <w:szCs w:val="32"/>
          <w:shd w:val="clear" w:fill="FFFFFF"/>
          <w:lang w:val="en-US" w:eastAsia="zh-CN" w:bidi="ar"/>
        </w:rPr>
        <w:t>2025</w:t>
      </w:r>
      <w:r>
        <w:rPr>
          <w:rFonts w:hint="eastAsia" w:ascii="仿宋" w:hAnsi="仿宋" w:eastAsia="仿宋" w:cs="仿宋"/>
          <w:i w:val="0"/>
          <w:iCs w:val="0"/>
          <w:caps w:val="0"/>
          <w:color w:val="3D3D3D"/>
          <w:spacing w:val="0"/>
          <w:kern w:val="0"/>
          <w:sz w:val="32"/>
          <w:szCs w:val="32"/>
          <w:shd w:val="clear" w:fill="FFFFFF"/>
          <w:lang w:val="en-US" w:eastAsia="zh-CN" w:bidi="ar"/>
        </w:rPr>
        <w:t>年部门决算汇总公开单位构成包括：怀化市委编办本级。</w:t>
      </w:r>
    </w:p>
    <w:p w14:paraId="4F76DE2F">
      <w:pPr>
        <w:jc w:val="left"/>
        <w:rPr>
          <w:rFonts w:ascii="仿宋_GB2312" w:eastAsia="仿宋_GB2312" w:hAnsiTheme="minorEastAsia"/>
          <w:sz w:val="28"/>
          <w:szCs w:val="32"/>
        </w:rPr>
      </w:pPr>
    </w:p>
    <w:p w14:paraId="10DDA4EC">
      <w:pPr>
        <w:jc w:val="center"/>
        <w:rPr>
          <w:rFonts w:ascii="黑体" w:hAnsi="黑体" w:eastAsia="黑体"/>
          <w:sz w:val="28"/>
          <w:szCs w:val="28"/>
        </w:rPr>
      </w:pPr>
    </w:p>
    <w:p w14:paraId="484A7B94">
      <w:pPr>
        <w:jc w:val="center"/>
        <w:rPr>
          <w:rFonts w:ascii="黑体" w:hAnsi="黑体" w:eastAsia="黑体"/>
          <w:sz w:val="28"/>
          <w:szCs w:val="28"/>
        </w:rPr>
      </w:pPr>
    </w:p>
    <w:p w14:paraId="786CC1F8">
      <w:pPr>
        <w:jc w:val="center"/>
        <w:rPr>
          <w:rFonts w:ascii="黑体" w:hAnsi="黑体" w:eastAsia="黑体"/>
          <w:sz w:val="28"/>
          <w:szCs w:val="28"/>
        </w:rPr>
      </w:pPr>
    </w:p>
    <w:p w14:paraId="50D972B4">
      <w:pPr>
        <w:jc w:val="center"/>
        <w:rPr>
          <w:rFonts w:ascii="黑体" w:hAnsi="黑体" w:eastAsia="黑体"/>
          <w:sz w:val="28"/>
          <w:szCs w:val="28"/>
        </w:rPr>
      </w:pPr>
    </w:p>
    <w:p w14:paraId="3C767AB9">
      <w:pPr>
        <w:jc w:val="center"/>
        <w:rPr>
          <w:rFonts w:ascii="黑体" w:hAnsi="黑体" w:eastAsia="黑体"/>
          <w:sz w:val="28"/>
          <w:szCs w:val="28"/>
        </w:rPr>
      </w:pPr>
    </w:p>
    <w:p w14:paraId="08545B6C">
      <w:pPr>
        <w:jc w:val="center"/>
        <w:rPr>
          <w:rFonts w:ascii="黑体" w:hAnsi="黑体" w:eastAsia="黑体"/>
          <w:sz w:val="28"/>
          <w:szCs w:val="28"/>
        </w:rPr>
      </w:pPr>
    </w:p>
    <w:p w14:paraId="050981B3">
      <w:pPr>
        <w:jc w:val="center"/>
        <w:rPr>
          <w:rFonts w:ascii="黑体" w:hAnsi="黑体" w:eastAsia="黑体"/>
          <w:sz w:val="28"/>
          <w:szCs w:val="28"/>
        </w:rPr>
      </w:pPr>
    </w:p>
    <w:p w14:paraId="293B3972">
      <w:pPr>
        <w:jc w:val="center"/>
        <w:rPr>
          <w:rFonts w:ascii="黑体" w:hAnsi="黑体" w:eastAsia="黑体"/>
          <w:sz w:val="28"/>
          <w:szCs w:val="28"/>
        </w:rPr>
      </w:pPr>
    </w:p>
    <w:p w14:paraId="6FD8046B">
      <w:pPr>
        <w:jc w:val="center"/>
        <w:rPr>
          <w:rFonts w:ascii="黑体" w:hAnsi="黑体" w:eastAsia="黑体"/>
          <w:sz w:val="28"/>
          <w:szCs w:val="28"/>
        </w:rPr>
      </w:pPr>
    </w:p>
    <w:p w14:paraId="0CF8A464">
      <w:pPr>
        <w:jc w:val="center"/>
        <w:rPr>
          <w:rFonts w:ascii="黑体" w:hAnsi="黑体" w:eastAsia="黑体"/>
          <w:sz w:val="28"/>
          <w:szCs w:val="28"/>
        </w:rPr>
      </w:pPr>
    </w:p>
    <w:p w14:paraId="25DBE5F0">
      <w:pPr>
        <w:jc w:val="center"/>
        <w:rPr>
          <w:rFonts w:ascii="黑体" w:hAnsi="黑体" w:eastAsia="黑体"/>
          <w:sz w:val="28"/>
          <w:szCs w:val="28"/>
        </w:rPr>
      </w:pPr>
    </w:p>
    <w:p w14:paraId="20C27E17">
      <w:pPr>
        <w:jc w:val="center"/>
        <w:rPr>
          <w:rFonts w:ascii="黑体" w:hAnsi="黑体" w:eastAsia="黑体"/>
          <w:sz w:val="28"/>
          <w:szCs w:val="28"/>
        </w:rPr>
      </w:pPr>
    </w:p>
    <w:p w14:paraId="26F25602">
      <w:pPr>
        <w:jc w:val="center"/>
        <w:rPr>
          <w:sz w:val="72"/>
          <w:szCs w:val="72"/>
        </w:rPr>
      </w:pPr>
    </w:p>
    <w:p w14:paraId="26440DB2">
      <w:pPr>
        <w:jc w:val="center"/>
        <w:rPr>
          <w:sz w:val="72"/>
          <w:szCs w:val="72"/>
        </w:rPr>
      </w:pPr>
    </w:p>
    <w:p w14:paraId="35FED244">
      <w:pPr>
        <w:jc w:val="center"/>
        <w:rPr>
          <w:sz w:val="72"/>
          <w:szCs w:val="72"/>
        </w:rPr>
      </w:pPr>
    </w:p>
    <w:p w14:paraId="020BE852">
      <w:pPr>
        <w:jc w:val="center"/>
        <w:rPr>
          <w:sz w:val="72"/>
          <w:szCs w:val="72"/>
        </w:rPr>
      </w:pPr>
    </w:p>
    <w:p w14:paraId="6765BCCE">
      <w:pPr>
        <w:pStyle w:val="13"/>
        <w:jc w:val="center"/>
        <w:rPr>
          <w:rFonts w:hint="eastAsia" w:ascii="方正小标宋_GBK" w:hAnsi="方正小标宋_GBK" w:eastAsia="方正小标宋_GBK" w:cs="方正小标宋_GBK"/>
          <w:sz w:val="84"/>
          <w:szCs w:val="84"/>
        </w:rPr>
      </w:pPr>
    </w:p>
    <w:p w14:paraId="16FF2803">
      <w:pPr>
        <w:pStyle w:val="13"/>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rPr>
        <w:t>第二部分</w:t>
      </w:r>
    </w:p>
    <w:p w14:paraId="61208A87">
      <w:pPr>
        <w:pStyle w:val="13"/>
        <w:jc w:val="center"/>
        <w:rPr>
          <w:rFonts w:hint="eastAsia" w:ascii="方正小标宋_GBK" w:hAnsi="方正小标宋_GBK" w:eastAsia="方正小标宋_GBK" w:cs="方正小标宋_GBK"/>
          <w:sz w:val="84"/>
          <w:szCs w:val="84"/>
        </w:rPr>
      </w:pPr>
    </w:p>
    <w:p w14:paraId="7E31DC43">
      <w:pPr>
        <w:pStyle w:val="13"/>
        <w:jc w:val="center"/>
        <w:rPr>
          <w:rFonts w:hint="default" w:ascii="方正小标宋_GBK" w:hAnsi="方正小标宋_GBK" w:eastAsia="方正小标宋_GBK" w:cs="方正小标宋_GBK"/>
          <w:sz w:val="84"/>
          <w:szCs w:val="84"/>
          <w:lang w:val="en-US" w:eastAsia="zh-CN"/>
        </w:rPr>
      </w:pPr>
      <w:r>
        <w:rPr>
          <w:rFonts w:hint="eastAsia" w:ascii="方正小标宋_GBK" w:hAnsi="方正小标宋_GBK" w:eastAsia="方正小标宋_GBK" w:cs="方正小标宋_GBK"/>
          <w:sz w:val="84"/>
          <w:szCs w:val="84"/>
        </w:rPr>
        <w:t>部门决算表</w:t>
      </w:r>
      <w:r>
        <w:rPr>
          <w:rFonts w:hint="eastAsia" w:ascii="方正小标宋_GBK" w:hAnsi="方正小标宋_GBK" w:eastAsia="方正小标宋_GBK" w:cs="方正小标宋_GBK"/>
          <w:sz w:val="84"/>
          <w:szCs w:val="84"/>
          <w:lang w:eastAsia="zh-CN"/>
        </w:rPr>
        <w:t>（</w:t>
      </w:r>
      <w:r>
        <w:rPr>
          <w:rFonts w:hint="eastAsia" w:ascii="方正小标宋_GBK" w:hAnsi="方正小标宋_GBK" w:eastAsia="方正小标宋_GBK" w:cs="方正小标宋_GBK"/>
          <w:sz w:val="84"/>
          <w:szCs w:val="84"/>
          <w:lang w:val="en-US" w:eastAsia="zh-CN"/>
        </w:rPr>
        <w:t>见附件）</w:t>
      </w:r>
    </w:p>
    <w:p w14:paraId="4371B305">
      <w:pPr>
        <w:jc w:val="center"/>
        <w:rPr>
          <w:sz w:val="72"/>
          <w:szCs w:val="72"/>
        </w:rPr>
      </w:pPr>
    </w:p>
    <w:p w14:paraId="288424A8">
      <w:pPr>
        <w:jc w:val="center"/>
        <w:rPr>
          <w:sz w:val="72"/>
          <w:szCs w:val="72"/>
        </w:rPr>
      </w:pPr>
    </w:p>
    <w:p w14:paraId="213EF982">
      <w:pPr>
        <w:jc w:val="center"/>
        <w:rPr>
          <w:sz w:val="72"/>
          <w:szCs w:val="72"/>
        </w:rPr>
      </w:pPr>
    </w:p>
    <w:p w14:paraId="6F1390A6">
      <w:pPr>
        <w:jc w:val="center"/>
        <w:rPr>
          <w:sz w:val="72"/>
          <w:szCs w:val="72"/>
        </w:rPr>
      </w:pPr>
    </w:p>
    <w:p w14:paraId="6D11B0B2">
      <w:pPr>
        <w:jc w:val="center"/>
        <w:rPr>
          <w:sz w:val="72"/>
          <w:szCs w:val="72"/>
        </w:rPr>
      </w:pPr>
    </w:p>
    <w:p w14:paraId="7220CB34">
      <w:pPr>
        <w:jc w:val="center"/>
        <w:rPr>
          <w:sz w:val="72"/>
          <w:szCs w:val="72"/>
        </w:rPr>
      </w:pPr>
    </w:p>
    <w:p w14:paraId="0D47EC80">
      <w:pPr>
        <w:jc w:val="left"/>
        <w:rPr>
          <w:rFonts w:asciiTheme="minorEastAsia" w:hAnsiTheme="minorEastAsia"/>
          <w:sz w:val="32"/>
          <w:szCs w:val="32"/>
        </w:rPr>
        <w:sectPr>
          <w:pgSz w:w="11906" w:h="16838"/>
          <w:pgMar w:top="720" w:right="720" w:bottom="720" w:left="720" w:header="851" w:footer="992" w:gutter="0"/>
          <w:cols w:space="425" w:num="1"/>
          <w:docGrid w:type="lines" w:linePitch="312" w:charSpace="0"/>
        </w:sectPr>
      </w:pPr>
    </w:p>
    <w:p w14:paraId="35826B3D">
      <w:pPr>
        <w:autoSpaceDE w:val="0"/>
        <w:autoSpaceDN w:val="0"/>
        <w:adjustRightInd w:val="0"/>
        <w:jc w:val="left"/>
        <w:rPr>
          <w:rFonts w:ascii="宋体" w:eastAsia="宋体" w:cs="宋体"/>
          <w:kern w:val="0"/>
          <w:sz w:val="24"/>
          <w:szCs w:val="24"/>
        </w:rPr>
      </w:pPr>
    </w:p>
    <w:p w14:paraId="23BF1987">
      <w:pPr>
        <w:widowControl/>
        <w:jc w:val="both"/>
        <w:rPr>
          <w:sz w:val="72"/>
          <w:szCs w:val="72"/>
        </w:rPr>
      </w:pPr>
    </w:p>
    <w:p w14:paraId="21329C8E">
      <w:pPr>
        <w:pStyle w:val="13"/>
        <w:jc w:val="center"/>
        <w:rPr>
          <w:sz w:val="72"/>
          <w:szCs w:val="72"/>
        </w:rPr>
      </w:pPr>
    </w:p>
    <w:p w14:paraId="2498D48E">
      <w:pPr>
        <w:pStyle w:val="13"/>
        <w:jc w:val="center"/>
        <w:rPr>
          <w:rFonts w:hint="eastAsia" w:ascii="方正小标宋_GBK" w:hAnsi="方正小标宋_GBK" w:eastAsia="方正小标宋_GBK" w:cs="方正小标宋_GBK"/>
          <w:sz w:val="72"/>
          <w:szCs w:val="72"/>
        </w:rPr>
      </w:pPr>
    </w:p>
    <w:p w14:paraId="03774943">
      <w:pPr>
        <w:pStyle w:val="13"/>
        <w:jc w:val="center"/>
        <w:rPr>
          <w:rFonts w:hint="eastAsia" w:ascii="方正小标宋_GBK" w:hAnsi="方正小标宋_GBK" w:eastAsia="方正小标宋_GBK" w:cs="方正小标宋_GBK"/>
          <w:sz w:val="72"/>
          <w:szCs w:val="72"/>
        </w:rPr>
      </w:pPr>
      <w:r>
        <w:rPr>
          <w:rFonts w:hint="eastAsia" w:ascii="方正小标宋_GBK" w:hAnsi="方正小标宋_GBK" w:eastAsia="方正小标宋_GBK" w:cs="方正小标宋_GBK"/>
          <w:sz w:val="72"/>
          <w:szCs w:val="72"/>
        </w:rPr>
        <w:t>第三部分</w:t>
      </w:r>
    </w:p>
    <w:p w14:paraId="70E415FD">
      <w:pPr>
        <w:pStyle w:val="13"/>
        <w:jc w:val="center"/>
        <w:rPr>
          <w:rFonts w:hint="eastAsia" w:ascii="方正小标宋_GBK" w:hAnsi="方正小标宋_GBK" w:eastAsia="方正小标宋_GBK" w:cs="方正小标宋_GBK"/>
          <w:sz w:val="70"/>
          <w:szCs w:val="70"/>
        </w:rPr>
      </w:pPr>
    </w:p>
    <w:p w14:paraId="189B6E03">
      <w:pPr>
        <w:pStyle w:val="13"/>
        <w:jc w:val="center"/>
        <w:rPr>
          <w:rFonts w:hint="eastAsia" w:ascii="方正小标宋_GBK" w:hAnsi="方正小标宋_GBK" w:eastAsia="方正小标宋_GBK" w:cs="方正小标宋_GBK"/>
          <w:sz w:val="70"/>
          <w:szCs w:val="70"/>
        </w:rPr>
      </w:pPr>
      <w:r>
        <w:rPr>
          <w:rFonts w:hint="default" w:ascii="方正小标宋_GBK" w:hAnsi="方正小标宋_GBK" w:eastAsia="方正小标宋_GBK" w:cs="方正小标宋_GBK"/>
          <w:sz w:val="70"/>
          <w:szCs w:val="70"/>
          <w:lang w:val="en-US"/>
        </w:rPr>
        <w:t>2025</w:t>
      </w:r>
      <w:r>
        <w:rPr>
          <w:rFonts w:hint="eastAsia" w:ascii="方正小标宋_GBK" w:hAnsi="方正小标宋_GBK" w:eastAsia="方正小标宋_GBK" w:cs="方正小标宋_GBK"/>
          <w:sz w:val="70"/>
          <w:szCs w:val="70"/>
        </w:rPr>
        <w:t>年度部门决算情况说明</w:t>
      </w:r>
    </w:p>
    <w:p w14:paraId="5AB03D61">
      <w:pPr>
        <w:widowControl/>
        <w:jc w:val="left"/>
        <w:rPr>
          <w:rFonts w:asciiTheme="minorEastAsia" w:hAnsiTheme="minorEastAsia" w:eastAsiaTheme="minorEastAsia"/>
          <w:sz w:val="32"/>
          <w:szCs w:val="32"/>
        </w:rPr>
      </w:pPr>
      <w:r>
        <w:rPr>
          <w:rFonts w:hint="eastAsia" w:ascii="方正小标宋_GBK" w:hAnsi="方正小标宋_GBK" w:eastAsia="方正小标宋_GBK" w:cs="方正小标宋_GBK"/>
          <w:sz w:val="70"/>
          <w:szCs w:val="70"/>
        </w:rPr>
        <w:br w:type="page"/>
      </w:r>
    </w:p>
    <w:p w14:paraId="1F3988D0">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一、收入支出决算总体情况说明</w:t>
      </w:r>
    </w:p>
    <w:p w14:paraId="1C9ECF1E">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default" w:ascii="Times New Roman" w:hAnsi="Times New Roman" w:eastAsia="仿宋_GB2312"/>
          <w:sz w:val="32"/>
          <w:szCs w:val="32"/>
          <w:lang w:val="en-US" w:eastAsia="zh-CN"/>
        </w:rPr>
      </w:pPr>
      <w:r>
        <w:rPr>
          <w:rFonts w:hint="default" w:ascii="Times New Roman" w:hAnsi="Times New Roman" w:eastAsia="仿宋_GB2312"/>
          <w:sz w:val="32"/>
          <w:szCs w:val="32"/>
          <w:lang w:val="en-US"/>
        </w:rPr>
        <w:t>2025</w:t>
      </w:r>
      <w:r>
        <w:rPr>
          <w:rFonts w:hint="eastAsia" w:ascii="Times New Roman" w:hAnsi="Times New Roman" w:eastAsia="仿宋_GB2312"/>
          <w:sz w:val="32"/>
          <w:szCs w:val="32"/>
        </w:rPr>
        <w:t>年度收、支总计</w:t>
      </w:r>
      <w:r>
        <w:rPr>
          <w:rFonts w:hint="default" w:ascii="Times New Roman" w:hAnsi="Times New Roman" w:eastAsia="仿宋_GB2312"/>
          <w:sz w:val="32"/>
          <w:szCs w:val="32"/>
          <w:lang w:val="en-US" w:eastAsia="zh-CN"/>
        </w:rPr>
        <w:t>530.27</w:t>
      </w:r>
      <w:r>
        <w:rPr>
          <w:rFonts w:hint="eastAsia" w:ascii="Times New Roman" w:hAnsi="Times New Roman" w:eastAsia="仿宋_GB2312"/>
          <w:sz w:val="32"/>
          <w:szCs w:val="32"/>
        </w:rPr>
        <w:t>万元。与上年相比，</w:t>
      </w:r>
      <w:r>
        <w:rPr>
          <w:rFonts w:hint="eastAsia" w:ascii="Times New Roman" w:hAnsi="Times New Roman" w:eastAsia="仿宋_GB2312"/>
          <w:sz w:val="32"/>
          <w:szCs w:val="32"/>
          <w:lang w:eastAsia="zh-CN"/>
        </w:rPr>
        <w:t>增加</w:t>
      </w:r>
      <w:r>
        <w:rPr>
          <w:rFonts w:hint="eastAsia" w:ascii="Times New Roman" w:hAnsi="Times New Roman" w:eastAsia="仿宋_GB2312"/>
          <w:sz w:val="32"/>
          <w:szCs w:val="32"/>
          <w:lang w:val="en-US" w:eastAsia="zh-CN"/>
        </w:rPr>
        <w:t>53.98</w:t>
      </w:r>
      <w:r>
        <w:rPr>
          <w:rFonts w:hint="eastAsia" w:ascii="Times New Roman" w:hAnsi="Times New Roman" w:eastAsia="仿宋_GB2312"/>
          <w:sz w:val="32"/>
          <w:szCs w:val="32"/>
        </w:rPr>
        <w:t>万元，</w:t>
      </w:r>
      <w:r>
        <w:rPr>
          <w:rFonts w:hint="eastAsia" w:ascii="Times New Roman" w:hAnsi="Times New Roman" w:eastAsia="仿宋_GB2312"/>
          <w:sz w:val="32"/>
          <w:szCs w:val="32"/>
          <w:lang w:eastAsia="zh-CN"/>
        </w:rPr>
        <w:t>增加</w:t>
      </w:r>
      <w:r>
        <w:rPr>
          <w:rFonts w:hint="eastAsia" w:ascii="Times New Roman" w:hAnsi="Times New Roman" w:eastAsia="仿宋_GB2312"/>
          <w:sz w:val="32"/>
          <w:szCs w:val="32"/>
          <w:lang w:val="en-US" w:eastAsia="zh-CN"/>
        </w:rPr>
        <w:t>12.51</w:t>
      </w:r>
      <w:r>
        <w:rPr>
          <w:rFonts w:hint="eastAsia" w:ascii="Times New Roman" w:hAnsi="Times New Roman" w:eastAsia="仿宋_GB2312"/>
          <w:sz w:val="32"/>
          <w:szCs w:val="32"/>
        </w:rPr>
        <w:t>%，主要是因为</w:t>
      </w:r>
      <w:r>
        <w:rPr>
          <w:rFonts w:hint="eastAsia" w:ascii="Times New Roman" w:hAnsi="Times New Roman" w:eastAsia="仿宋_GB2312"/>
          <w:sz w:val="32"/>
          <w:szCs w:val="32"/>
          <w:lang w:val="en-US" w:eastAsia="zh-CN"/>
        </w:rPr>
        <w:t>人员增加。</w:t>
      </w:r>
    </w:p>
    <w:p w14:paraId="6A9BC135">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二、收入决算情况说明</w:t>
      </w:r>
    </w:p>
    <w:p w14:paraId="4F6F8DB6">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ascii="Times New Roman" w:hAnsi="Times New Roman" w:eastAsia="仿宋_GB2312"/>
          <w:sz w:val="32"/>
          <w:szCs w:val="32"/>
        </w:rPr>
      </w:pPr>
      <w:r>
        <w:rPr>
          <w:rFonts w:hint="default" w:ascii="Times New Roman" w:hAnsi="Times New Roman" w:eastAsia="仿宋_GB2312"/>
          <w:sz w:val="32"/>
          <w:szCs w:val="32"/>
          <w:lang w:val="en-US"/>
        </w:rPr>
        <w:t>2025</w:t>
      </w:r>
      <w:r>
        <w:rPr>
          <w:rFonts w:hint="eastAsia" w:ascii="Times New Roman" w:hAnsi="Times New Roman" w:eastAsia="仿宋_GB2312"/>
          <w:sz w:val="32"/>
          <w:szCs w:val="32"/>
        </w:rPr>
        <w:t>年度收入合计</w:t>
      </w:r>
      <w:r>
        <w:rPr>
          <w:rFonts w:hint="default" w:ascii="Times New Roman" w:hAnsi="Times New Roman" w:eastAsia="仿宋_GB2312"/>
          <w:sz w:val="32"/>
          <w:szCs w:val="32"/>
          <w:lang w:val="en-US" w:eastAsia="zh-CN"/>
        </w:rPr>
        <w:t>530.27</w:t>
      </w:r>
      <w:r>
        <w:rPr>
          <w:rFonts w:hint="eastAsia" w:ascii="Times New Roman" w:hAnsi="Times New Roman" w:eastAsia="仿宋_GB2312"/>
          <w:sz w:val="32"/>
          <w:szCs w:val="32"/>
        </w:rPr>
        <w:t>万元，其中：财政拨款收入</w:t>
      </w:r>
      <w:r>
        <w:rPr>
          <w:rFonts w:hint="default" w:ascii="Times New Roman" w:hAnsi="Times New Roman" w:eastAsia="仿宋_GB2312"/>
          <w:sz w:val="32"/>
          <w:szCs w:val="32"/>
          <w:lang w:val="en-US" w:eastAsia="zh-CN"/>
        </w:rPr>
        <w:t>530.27</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100</w:t>
      </w:r>
      <w:r>
        <w:rPr>
          <w:rFonts w:hint="eastAsia" w:ascii="Times New Roman" w:hAnsi="Times New Roman" w:eastAsia="仿宋_GB2312"/>
          <w:sz w:val="32"/>
          <w:szCs w:val="32"/>
        </w:rPr>
        <w:t>%；上级补助收入</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%；事业收入</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%；经营收入</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%；附属单位上缴收入</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%；其他收入</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w:t>
      </w:r>
    </w:p>
    <w:p w14:paraId="2BA66608">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三、支出决算情况说明</w:t>
      </w:r>
    </w:p>
    <w:p w14:paraId="7F2BA662">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ascii="Times New Roman" w:hAnsi="Times New Roman" w:eastAsia="仿宋_GB2312"/>
          <w:sz w:val="32"/>
          <w:szCs w:val="32"/>
        </w:rPr>
      </w:pPr>
      <w:r>
        <w:rPr>
          <w:rFonts w:hint="default" w:ascii="Times New Roman" w:hAnsi="Times New Roman" w:eastAsia="仿宋_GB2312"/>
          <w:sz w:val="32"/>
          <w:szCs w:val="32"/>
          <w:lang w:val="en-US"/>
        </w:rPr>
        <w:t>2025</w:t>
      </w:r>
      <w:r>
        <w:rPr>
          <w:rFonts w:hint="eastAsia" w:ascii="Times New Roman" w:hAnsi="Times New Roman" w:eastAsia="仿宋_GB2312"/>
          <w:sz w:val="32"/>
          <w:szCs w:val="32"/>
        </w:rPr>
        <w:t>年度支出合计</w:t>
      </w:r>
      <w:r>
        <w:rPr>
          <w:rFonts w:hint="default" w:ascii="Times New Roman" w:hAnsi="Times New Roman" w:eastAsia="仿宋_GB2312"/>
          <w:sz w:val="32"/>
          <w:szCs w:val="32"/>
          <w:lang w:val="en-US" w:eastAsia="zh-CN"/>
        </w:rPr>
        <w:t>530.27</w:t>
      </w:r>
      <w:r>
        <w:rPr>
          <w:rFonts w:hint="eastAsia" w:ascii="Times New Roman" w:hAnsi="Times New Roman" w:eastAsia="仿宋_GB2312"/>
          <w:sz w:val="32"/>
          <w:szCs w:val="32"/>
        </w:rPr>
        <w:t>万元，其中：基本支出</w:t>
      </w:r>
      <w:r>
        <w:rPr>
          <w:rFonts w:hint="default" w:ascii="Times New Roman" w:hAnsi="Times New Roman" w:eastAsia="仿宋_GB2312"/>
          <w:sz w:val="32"/>
          <w:szCs w:val="32"/>
          <w:lang w:val="en-US" w:eastAsia="zh-CN"/>
        </w:rPr>
        <w:t>530.27</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100</w:t>
      </w:r>
      <w:r>
        <w:rPr>
          <w:rFonts w:hint="eastAsia" w:ascii="Times New Roman" w:hAnsi="Times New Roman" w:eastAsia="仿宋_GB2312"/>
          <w:sz w:val="32"/>
          <w:szCs w:val="32"/>
        </w:rPr>
        <w:t>%；项目支出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%；上缴上级支出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%；经营支出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%；对附属单位补助支出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w:t>
      </w:r>
    </w:p>
    <w:p w14:paraId="1B08240A">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四、财政拨款收入支出决算总体情况说明</w:t>
      </w:r>
    </w:p>
    <w:p w14:paraId="73CA2DA3">
      <w:pPr>
        <w:pStyle w:val="13"/>
        <w:keepNext w:val="0"/>
        <w:keepLines w:val="0"/>
        <w:pageBreakBefore w:val="0"/>
        <w:widowControl w:val="0"/>
        <w:kinsoku/>
        <w:wordWrap/>
        <w:overflowPunct/>
        <w:topLinePunct w:val="0"/>
        <w:bidi w:val="0"/>
        <w:snapToGrid/>
        <w:spacing w:line="600" w:lineRule="exact"/>
        <w:textAlignment w:val="auto"/>
        <w:rPr>
          <w:rFonts w:hint="default" w:ascii="Times New Roman" w:hAnsi="Times New Roman" w:eastAsia="仿宋_GB2312"/>
          <w:sz w:val="32"/>
          <w:szCs w:val="32"/>
          <w:lang w:val="en-US"/>
        </w:rPr>
      </w:pPr>
      <w:r>
        <w:rPr>
          <w:rFonts w:hint="eastAsia" w:ascii="Times New Roman" w:hAnsi="Times New Roman" w:eastAsia="仿宋_GB2312"/>
          <w:sz w:val="32"/>
          <w:szCs w:val="32"/>
        </w:rPr>
        <w:t xml:space="preserve">    </w:t>
      </w:r>
      <w:r>
        <w:rPr>
          <w:rFonts w:hint="default" w:ascii="Times New Roman" w:hAnsi="Times New Roman" w:eastAsia="仿宋_GB2312"/>
          <w:sz w:val="32"/>
          <w:szCs w:val="32"/>
          <w:lang w:val="en-US"/>
        </w:rPr>
        <w:t>2025</w:t>
      </w:r>
      <w:r>
        <w:rPr>
          <w:rFonts w:hint="eastAsia" w:ascii="Times New Roman" w:hAnsi="Times New Roman" w:eastAsia="仿宋_GB2312"/>
          <w:sz w:val="32"/>
          <w:szCs w:val="32"/>
        </w:rPr>
        <w:t>年度财政拨款收、支总计</w:t>
      </w:r>
      <w:r>
        <w:rPr>
          <w:rFonts w:hint="default" w:ascii="Times New Roman" w:hAnsi="Times New Roman" w:eastAsia="仿宋_GB2312"/>
          <w:sz w:val="32"/>
          <w:szCs w:val="32"/>
          <w:lang w:val="en-US" w:eastAsia="zh-CN"/>
        </w:rPr>
        <w:t>530.27</w:t>
      </w:r>
      <w:r>
        <w:rPr>
          <w:rFonts w:hint="eastAsia" w:ascii="Times New Roman" w:hAnsi="Times New Roman" w:eastAsia="仿宋_GB2312"/>
          <w:sz w:val="32"/>
          <w:szCs w:val="32"/>
        </w:rPr>
        <w:t>万元，与上年相比，</w:t>
      </w:r>
      <w:r>
        <w:rPr>
          <w:rFonts w:hint="eastAsia" w:ascii="Times New Roman" w:hAnsi="Times New Roman" w:eastAsia="仿宋_GB2312"/>
          <w:sz w:val="32"/>
          <w:szCs w:val="32"/>
          <w:lang w:eastAsia="zh-CN"/>
        </w:rPr>
        <w:t>增加</w:t>
      </w:r>
      <w:r>
        <w:rPr>
          <w:rFonts w:hint="eastAsia" w:ascii="Times New Roman" w:hAnsi="Times New Roman" w:eastAsia="仿宋_GB2312"/>
          <w:sz w:val="32"/>
          <w:szCs w:val="32"/>
          <w:lang w:val="en-US" w:eastAsia="zh-CN"/>
        </w:rPr>
        <w:t>53.98</w:t>
      </w:r>
      <w:r>
        <w:rPr>
          <w:rFonts w:hint="eastAsia" w:ascii="Times New Roman" w:hAnsi="Times New Roman" w:eastAsia="仿宋_GB2312"/>
          <w:sz w:val="32"/>
          <w:szCs w:val="32"/>
        </w:rPr>
        <w:t>万元，</w:t>
      </w:r>
      <w:r>
        <w:rPr>
          <w:rFonts w:hint="eastAsia" w:ascii="Times New Roman" w:hAnsi="Times New Roman" w:eastAsia="仿宋_GB2312"/>
          <w:sz w:val="32"/>
          <w:szCs w:val="32"/>
          <w:lang w:eastAsia="zh-CN"/>
        </w:rPr>
        <w:t>增加</w:t>
      </w:r>
      <w:r>
        <w:rPr>
          <w:rFonts w:hint="eastAsia" w:ascii="Times New Roman" w:hAnsi="Times New Roman" w:eastAsia="仿宋_GB2312"/>
          <w:sz w:val="32"/>
          <w:szCs w:val="32"/>
          <w:lang w:val="en-US" w:eastAsia="zh-CN"/>
        </w:rPr>
        <w:t>12.51</w:t>
      </w:r>
      <w:r>
        <w:rPr>
          <w:rFonts w:hint="eastAsia" w:ascii="Times New Roman" w:hAnsi="Times New Roman" w:eastAsia="仿宋_GB2312"/>
          <w:sz w:val="32"/>
          <w:szCs w:val="32"/>
        </w:rPr>
        <w:t>%，主要是因为</w:t>
      </w:r>
      <w:r>
        <w:rPr>
          <w:rFonts w:hint="eastAsia" w:ascii="Times New Roman" w:hAnsi="Times New Roman" w:eastAsia="仿宋_GB2312"/>
          <w:sz w:val="32"/>
          <w:szCs w:val="32"/>
          <w:lang w:val="en-US" w:eastAsia="zh-CN"/>
        </w:rPr>
        <w:t>人员增加，经费增加。</w:t>
      </w:r>
    </w:p>
    <w:p w14:paraId="33C6287F">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五、一般公共预算财政拨款支出决算情况说明</w:t>
      </w:r>
    </w:p>
    <w:p w14:paraId="48056848">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楷体" w:hAnsi="楷体" w:eastAsia="楷体" w:cs="楷体"/>
          <w:b w:val="0"/>
          <w:bCs/>
          <w:sz w:val="32"/>
          <w:szCs w:val="32"/>
        </w:rPr>
      </w:pPr>
      <w:r>
        <w:rPr>
          <w:rFonts w:hint="eastAsia" w:ascii="楷体" w:hAnsi="楷体" w:eastAsia="楷体" w:cs="楷体"/>
          <w:b w:val="0"/>
          <w:bCs/>
          <w:sz w:val="32"/>
          <w:szCs w:val="32"/>
        </w:rPr>
        <w:t>（一）一般公共预算财政拨款支出决算总体情况</w:t>
      </w:r>
    </w:p>
    <w:p w14:paraId="25FCED11">
      <w:pPr>
        <w:pStyle w:val="13"/>
        <w:keepNext w:val="0"/>
        <w:keepLines w:val="0"/>
        <w:pageBreakBefore w:val="0"/>
        <w:widowControl w:val="0"/>
        <w:kinsoku/>
        <w:wordWrap/>
        <w:overflowPunct/>
        <w:topLinePunct w:val="0"/>
        <w:bidi w:val="0"/>
        <w:snapToGrid/>
        <w:spacing w:line="600" w:lineRule="exact"/>
        <w:ind w:firstLine="800" w:firstLineChars="250"/>
        <w:textAlignment w:val="auto"/>
        <w:rPr>
          <w:rFonts w:ascii="Times New Roman" w:hAnsi="Times New Roman" w:eastAsia="仿宋_GB2312"/>
          <w:sz w:val="32"/>
          <w:szCs w:val="32"/>
        </w:rPr>
      </w:pPr>
      <w:r>
        <w:rPr>
          <w:rFonts w:hint="default" w:ascii="Times New Roman" w:hAnsi="Times New Roman" w:eastAsia="仿宋_GB2312"/>
          <w:sz w:val="32"/>
          <w:szCs w:val="32"/>
          <w:lang w:val="en-US"/>
        </w:rPr>
        <w:t>2025</w:t>
      </w:r>
      <w:r>
        <w:rPr>
          <w:rFonts w:hint="eastAsia" w:ascii="Times New Roman" w:hAnsi="Times New Roman" w:eastAsia="仿宋_GB2312"/>
          <w:sz w:val="32"/>
          <w:szCs w:val="32"/>
        </w:rPr>
        <w:t>年度财政拨款支出</w:t>
      </w:r>
      <w:r>
        <w:rPr>
          <w:rFonts w:hint="default" w:ascii="Times New Roman" w:hAnsi="Times New Roman" w:eastAsia="仿宋_GB2312"/>
          <w:sz w:val="32"/>
          <w:szCs w:val="32"/>
          <w:lang w:val="en-US" w:eastAsia="zh-CN"/>
        </w:rPr>
        <w:t>530.27</w:t>
      </w:r>
      <w:r>
        <w:rPr>
          <w:rFonts w:hint="eastAsia" w:ascii="Times New Roman" w:hAnsi="Times New Roman" w:eastAsia="仿宋_GB2312"/>
          <w:sz w:val="32"/>
          <w:szCs w:val="32"/>
        </w:rPr>
        <w:t>万元，占本年支出合计的</w:t>
      </w:r>
      <w:r>
        <w:rPr>
          <w:rFonts w:hint="eastAsia" w:ascii="Times New Roman" w:hAnsi="Times New Roman" w:eastAsia="仿宋_GB2312"/>
          <w:sz w:val="32"/>
          <w:szCs w:val="32"/>
          <w:lang w:val="en-US" w:eastAsia="zh-CN"/>
        </w:rPr>
        <w:t>100</w:t>
      </w:r>
      <w:r>
        <w:rPr>
          <w:rFonts w:hint="eastAsia" w:ascii="Times New Roman" w:hAnsi="Times New Roman" w:eastAsia="仿宋_GB2312"/>
          <w:sz w:val="32"/>
          <w:szCs w:val="32"/>
        </w:rPr>
        <w:t>%，与上年相比，财政拨款支出</w:t>
      </w:r>
      <w:r>
        <w:rPr>
          <w:rFonts w:hint="eastAsia" w:ascii="Times New Roman" w:hAnsi="Times New Roman" w:eastAsia="仿宋_GB2312"/>
          <w:sz w:val="32"/>
          <w:szCs w:val="32"/>
          <w:lang w:eastAsia="zh-CN"/>
        </w:rPr>
        <w:t>增加</w:t>
      </w:r>
      <w:r>
        <w:rPr>
          <w:rFonts w:hint="eastAsia" w:ascii="Times New Roman" w:hAnsi="Times New Roman" w:eastAsia="仿宋_GB2312"/>
          <w:sz w:val="32"/>
          <w:szCs w:val="32"/>
          <w:lang w:val="en-US" w:eastAsia="zh-CN"/>
        </w:rPr>
        <w:t>53.98</w:t>
      </w:r>
      <w:r>
        <w:rPr>
          <w:rFonts w:hint="eastAsia" w:ascii="Times New Roman" w:hAnsi="Times New Roman" w:eastAsia="仿宋_GB2312"/>
          <w:sz w:val="32"/>
          <w:szCs w:val="32"/>
        </w:rPr>
        <w:t>万元，</w:t>
      </w:r>
      <w:r>
        <w:rPr>
          <w:rFonts w:hint="eastAsia" w:ascii="Times New Roman" w:hAnsi="Times New Roman" w:eastAsia="仿宋_GB2312"/>
          <w:sz w:val="32"/>
          <w:szCs w:val="32"/>
          <w:lang w:eastAsia="zh-CN"/>
        </w:rPr>
        <w:t>增加</w:t>
      </w:r>
      <w:r>
        <w:rPr>
          <w:rFonts w:hint="eastAsia" w:ascii="Times New Roman" w:hAnsi="Times New Roman" w:eastAsia="仿宋_GB2312"/>
          <w:sz w:val="32"/>
          <w:szCs w:val="32"/>
          <w:lang w:val="en-US" w:eastAsia="zh-CN"/>
        </w:rPr>
        <w:t>12.51</w:t>
      </w:r>
      <w:r>
        <w:rPr>
          <w:rFonts w:hint="eastAsia" w:ascii="Times New Roman" w:hAnsi="Times New Roman" w:eastAsia="仿宋_GB2312"/>
          <w:sz w:val="32"/>
          <w:szCs w:val="32"/>
        </w:rPr>
        <w:t>%，主要是因为</w:t>
      </w:r>
      <w:r>
        <w:rPr>
          <w:rFonts w:hint="eastAsia" w:ascii="Times New Roman" w:hAnsi="Times New Roman" w:eastAsia="仿宋_GB2312"/>
          <w:sz w:val="32"/>
          <w:szCs w:val="32"/>
          <w:lang w:val="en-US" w:eastAsia="zh-CN"/>
        </w:rPr>
        <w:t>人员增加，经费增加。</w:t>
      </w:r>
    </w:p>
    <w:p w14:paraId="3F39F263">
      <w:pPr>
        <w:pStyle w:val="13"/>
        <w:keepNext w:val="0"/>
        <w:keepLines w:val="0"/>
        <w:pageBreakBefore w:val="0"/>
        <w:widowControl w:val="0"/>
        <w:kinsoku/>
        <w:wordWrap/>
        <w:overflowPunct/>
        <w:topLinePunct w:val="0"/>
        <w:bidi w:val="0"/>
        <w:snapToGrid/>
        <w:spacing w:line="600" w:lineRule="exact"/>
        <w:ind w:firstLine="480" w:firstLineChars="150"/>
        <w:textAlignment w:val="auto"/>
        <w:rPr>
          <w:rFonts w:hint="eastAsia" w:ascii="楷体" w:hAnsi="楷体" w:eastAsia="楷体" w:cs="楷体"/>
          <w:b w:val="0"/>
          <w:bCs/>
          <w:sz w:val="32"/>
          <w:szCs w:val="32"/>
        </w:rPr>
      </w:pPr>
      <w:r>
        <w:rPr>
          <w:rFonts w:hint="eastAsia" w:ascii="楷体" w:hAnsi="楷体" w:eastAsia="楷体" w:cs="楷体"/>
          <w:b w:val="0"/>
          <w:bCs/>
          <w:sz w:val="32"/>
          <w:szCs w:val="32"/>
        </w:rPr>
        <w:t>（二）一般公共预算财政拨款支出决算结构情况</w:t>
      </w:r>
    </w:p>
    <w:p w14:paraId="7EBFB114">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ascii="Times New Roman" w:hAnsi="Times New Roman" w:eastAsia="仿宋_GB2312"/>
          <w:sz w:val="32"/>
          <w:szCs w:val="32"/>
        </w:rPr>
      </w:pPr>
      <w:r>
        <w:rPr>
          <w:rFonts w:hint="default" w:ascii="Times New Roman" w:hAnsi="Times New Roman" w:eastAsia="仿宋_GB2312"/>
          <w:sz w:val="32"/>
          <w:szCs w:val="32"/>
          <w:lang w:val="en-US"/>
        </w:rPr>
        <w:t>2025</w:t>
      </w:r>
      <w:r>
        <w:rPr>
          <w:rFonts w:hint="eastAsia" w:ascii="Times New Roman" w:hAnsi="Times New Roman" w:eastAsia="仿宋_GB2312"/>
          <w:sz w:val="32"/>
          <w:szCs w:val="32"/>
        </w:rPr>
        <w:t>年度财政拨款支出</w:t>
      </w:r>
      <w:r>
        <w:rPr>
          <w:rFonts w:hint="default" w:ascii="Times New Roman" w:hAnsi="Times New Roman" w:eastAsia="仿宋_GB2312"/>
          <w:sz w:val="32"/>
          <w:szCs w:val="32"/>
          <w:lang w:val="en-US" w:eastAsia="zh-CN"/>
        </w:rPr>
        <w:t>530.27</w:t>
      </w:r>
      <w:r>
        <w:rPr>
          <w:rFonts w:hint="eastAsia" w:ascii="Times New Roman" w:hAnsi="Times New Roman" w:eastAsia="仿宋_GB2312"/>
          <w:sz w:val="32"/>
          <w:szCs w:val="32"/>
        </w:rPr>
        <w:t>万元，主要用于以下方面：一般公共服务（类）支出</w:t>
      </w:r>
      <w:r>
        <w:rPr>
          <w:rFonts w:hint="eastAsia" w:ascii="Times New Roman" w:hAnsi="Times New Roman" w:eastAsia="仿宋_GB2312"/>
          <w:sz w:val="32"/>
          <w:szCs w:val="32"/>
          <w:lang w:val="en-US" w:eastAsia="zh-CN"/>
        </w:rPr>
        <w:t>375.43</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79.66</w:t>
      </w:r>
      <w:r>
        <w:rPr>
          <w:rFonts w:hint="eastAsia" w:ascii="Times New Roman" w:hAnsi="Times New Roman" w:eastAsia="仿宋_GB2312"/>
          <w:sz w:val="32"/>
          <w:szCs w:val="32"/>
        </w:rPr>
        <w:t>%；</w:t>
      </w:r>
      <w:r>
        <w:rPr>
          <w:rFonts w:ascii="仿宋" w:hAnsi="仿宋" w:eastAsia="仿宋" w:cs="仿宋"/>
          <w:i w:val="0"/>
          <w:iCs w:val="0"/>
          <w:caps w:val="0"/>
          <w:color w:val="000000"/>
          <w:spacing w:val="0"/>
          <w:sz w:val="32"/>
          <w:szCs w:val="32"/>
          <w:shd w:val="clear" w:fill="FFFFFF"/>
        </w:rPr>
        <w:t>社会保障和就业支出</w:t>
      </w:r>
      <w:r>
        <w:rPr>
          <w:rFonts w:hint="eastAsia" w:ascii="仿宋" w:hAnsi="仿宋" w:eastAsia="仿宋" w:cs="仿宋"/>
          <w:i w:val="0"/>
          <w:iCs w:val="0"/>
          <w:caps w:val="0"/>
          <w:color w:val="000000"/>
          <w:spacing w:val="0"/>
          <w:sz w:val="32"/>
          <w:szCs w:val="32"/>
          <w:shd w:val="clear" w:fill="FFFFFF"/>
          <w:lang w:val="en-US" w:eastAsia="zh-CN"/>
        </w:rPr>
        <w:t>35.24</w:t>
      </w:r>
      <w:r>
        <w:rPr>
          <w:rFonts w:hint="eastAsia" w:ascii="仿宋" w:hAnsi="仿宋" w:eastAsia="仿宋" w:cs="仿宋"/>
          <w:i w:val="0"/>
          <w:iCs w:val="0"/>
          <w:caps w:val="0"/>
          <w:color w:val="000000"/>
          <w:spacing w:val="0"/>
          <w:sz w:val="32"/>
          <w:szCs w:val="32"/>
          <w:shd w:val="clear" w:fill="FFFFFF"/>
        </w:rPr>
        <w:t>万元，占</w:t>
      </w:r>
      <w:r>
        <w:rPr>
          <w:rFonts w:hint="eastAsia" w:ascii="仿宋" w:hAnsi="仿宋" w:eastAsia="仿宋" w:cs="仿宋"/>
          <w:i w:val="0"/>
          <w:iCs w:val="0"/>
          <w:caps w:val="0"/>
          <w:color w:val="000000"/>
          <w:spacing w:val="0"/>
          <w:sz w:val="32"/>
          <w:szCs w:val="32"/>
          <w:shd w:val="clear" w:fill="FFFFFF"/>
          <w:lang w:val="en-US" w:eastAsia="zh-CN"/>
        </w:rPr>
        <w:t>7.48</w:t>
      </w:r>
      <w:r>
        <w:rPr>
          <w:rFonts w:hint="eastAsia" w:ascii="仿宋" w:hAnsi="仿宋" w:eastAsia="仿宋" w:cs="仿宋"/>
          <w:i w:val="0"/>
          <w:iCs w:val="0"/>
          <w:caps w:val="0"/>
          <w:color w:val="000000"/>
          <w:spacing w:val="0"/>
          <w:sz w:val="32"/>
          <w:szCs w:val="32"/>
          <w:shd w:val="clear" w:fill="FFFFFF"/>
        </w:rPr>
        <w:t>%；卫生健康支出</w:t>
      </w:r>
      <w:r>
        <w:rPr>
          <w:rFonts w:hint="eastAsia" w:ascii="仿宋" w:hAnsi="仿宋" w:eastAsia="仿宋" w:cs="仿宋"/>
          <w:b/>
          <w:bCs/>
          <w:i w:val="0"/>
          <w:iCs w:val="0"/>
          <w:caps w:val="0"/>
          <w:color w:val="000000"/>
          <w:spacing w:val="0"/>
          <w:sz w:val="32"/>
          <w:szCs w:val="32"/>
          <w:shd w:val="clear" w:fill="FFFFFF"/>
          <w:lang w:val="en-US" w:eastAsia="zh-CN"/>
        </w:rPr>
        <w:t>33.04</w:t>
      </w:r>
      <w:r>
        <w:rPr>
          <w:rFonts w:hint="eastAsia" w:ascii="仿宋" w:hAnsi="仿宋" w:eastAsia="仿宋" w:cs="仿宋"/>
          <w:i w:val="0"/>
          <w:iCs w:val="0"/>
          <w:caps w:val="0"/>
          <w:color w:val="000000"/>
          <w:spacing w:val="0"/>
          <w:sz w:val="32"/>
          <w:szCs w:val="32"/>
          <w:shd w:val="clear" w:fill="FFFFFF"/>
        </w:rPr>
        <w:t>万元，占</w:t>
      </w:r>
      <w:r>
        <w:rPr>
          <w:rFonts w:hint="eastAsia" w:ascii="仿宋" w:hAnsi="仿宋" w:eastAsia="仿宋" w:cs="仿宋"/>
          <w:i w:val="0"/>
          <w:iCs w:val="0"/>
          <w:caps w:val="0"/>
          <w:color w:val="000000"/>
          <w:spacing w:val="0"/>
          <w:sz w:val="32"/>
          <w:szCs w:val="32"/>
          <w:shd w:val="clear" w:fill="FFFFFF"/>
          <w:lang w:val="en-US" w:eastAsia="zh-CN"/>
        </w:rPr>
        <w:t>7.01</w:t>
      </w:r>
      <w:r>
        <w:rPr>
          <w:rFonts w:hint="eastAsia" w:ascii="仿宋" w:hAnsi="仿宋" w:eastAsia="仿宋" w:cs="仿宋"/>
          <w:i w:val="0"/>
          <w:iCs w:val="0"/>
          <w:caps w:val="0"/>
          <w:color w:val="000000"/>
          <w:spacing w:val="0"/>
          <w:sz w:val="32"/>
          <w:szCs w:val="32"/>
          <w:shd w:val="clear" w:fill="FFFFFF"/>
        </w:rPr>
        <w:t>%；住房保障支出</w:t>
      </w:r>
      <w:r>
        <w:rPr>
          <w:rFonts w:hint="eastAsia" w:ascii="仿宋" w:hAnsi="仿宋" w:eastAsia="仿宋" w:cs="仿宋"/>
          <w:i w:val="0"/>
          <w:iCs w:val="0"/>
          <w:caps w:val="0"/>
          <w:color w:val="000000"/>
          <w:spacing w:val="0"/>
          <w:sz w:val="32"/>
          <w:szCs w:val="32"/>
          <w:shd w:val="clear" w:fill="FFFFFF"/>
          <w:lang w:val="en-US" w:eastAsia="zh-CN"/>
        </w:rPr>
        <w:t>27.57</w:t>
      </w:r>
      <w:r>
        <w:rPr>
          <w:rFonts w:hint="eastAsia" w:ascii="仿宋" w:hAnsi="仿宋" w:eastAsia="仿宋" w:cs="仿宋"/>
          <w:i w:val="0"/>
          <w:iCs w:val="0"/>
          <w:caps w:val="0"/>
          <w:color w:val="000000"/>
          <w:spacing w:val="0"/>
          <w:sz w:val="32"/>
          <w:szCs w:val="32"/>
          <w:shd w:val="clear" w:fill="FFFFFF"/>
        </w:rPr>
        <w:t>万元，占</w:t>
      </w:r>
      <w:r>
        <w:rPr>
          <w:rFonts w:hint="eastAsia" w:ascii="仿宋" w:hAnsi="仿宋" w:eastAsia="仿宋" w:cs="仿宋"/>
          <w:i w:val="0"/>
          <w:iCs w:val="0"/>
          <w:caps w:val="0"/>
          <w:color w:val="000000"/>
          <w:spacing w:val="0"/>
          <w:sz w:val="32"/>
          <w:szCs w:val="32"/>
          <w:shd w:val="clear" w:fill="FFFFFF"/>
          <w:lang w:val="en-US" w:eastAsia="zh-CN"/>
        </w:rPr>
        <w:t>5.85</w:t>
      </w:r>
      <w:r>
        <w:rPr>
          <w:rFonts w:hint="eastAsia" w:ascii="仿宋" w:hAnsi="仿宋" w:eastAsia="仿宋" w:cs="仿宋"/>
          <w:i w:val="0"/>
          <w:iCs w:val="0"/>
          <w:caps w:val="0"/>
          <w:color w:val="000000"/>
          <w:spacing w:val="0"/>
          <w:sz w:val="32"/>
          <w:szCs w:val="32"/>
          <w:shd w:val="clear" w:fill="FFFFFF"/>
        </w:rPr>
        <w:t>%。</w:t>
      </w:r>
    </w:p>
    <w:p w14:paraId="6D4C4883">
      <w:pPr>
        <w:pStyle w:val="13"/>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楷体" w:hAnsi="楷体" w:eastAsia="楷体" w:cs="楷体"/>
          <w:b w:val="0"/>
          <w:bCs/>
          <w:sz w:val="32"/>
          <w:szCs w:val="32"/>
        </w:rPr>
      </w:pPr>
      <w:r>
        <w:rPr>
          <w:rFonts w:hint="eastAsia" w:ascii="楷体" w:hAnsi="楷体" w:eastAsia="楷体" w:cs="楷体"/>
          <w:b w:val="0"/>
          <w:bCs/>
          <w:sz w:val="32"/>
          <w:szCs w:val="32"/>
        </w:rPr>
        <w:t>（三）一般公共预算财政拨款支出决算具体情况</w:t>
      </w:r>
    </w:p>
    <w:p w14:paraId="6D293FBC">
      <w:pPr>
        <w:pStyle w:val="13"/>
        <w:keepNext w:val="0"/>
        <w:keepLines w:val="0"/>
        <w:pageBreakBefore w:val="0"/>
        <w:widowControl w:val="0"/>
        <w:kinsoku/>
        <w:wordWrap/>
        <w:overflowPunct/>
        <w:topLinePunct w:val="0"/>
        <w:bidi w:val="0"/>
        <w:snapToGrid/>
        <w:spacing w:line="600" w:lineRule="exact"/>
        <w:ind w:firstLine="800" w:firstLineChars="250"/>
        <w:textAlignment w:val="auto"/>
        <w:rPr>
          <w:rFonts w:ascii="Times New Roman" w:hAnsi="Times New Roman" w:eastAsia="仿宋_GB2312"/>
          <w:sz w:val="32"/>
          <w:szCs w:val="32"/>
        </w:rPr>
      </w:pPr>
      <w:r>
        <w:rPr>
          <w:rFonts w:hint="default" w:ascii="Times New Roman" w:hAnsi="Times New Roman" w:eastAsia="仿宋_GB2312"/>
          <w:sz w:val="32"/>
          <w:szCs w:val="32"/>
          <w:lang w:val="en-US"/>
        </w:rPr>
        <w:t>2025</w:t>
      </w:r>
      <w:r>
        <w:rPr>
          <w:rFonts w:hint="eastAsia" w:ascii="Times New Roman" w:hAnsi="Times New Roman" w:eastAsia="仿宋_GB2312"/>
          <w:sz w:val="32"/>
          <w:szCs w:val="32"/>
        </w:rPr>
        <w:t>年度财政拨款支出年初预算数为</w:t>
      </w:r>
      <w:r>
        <w:rPr>
          <w:rFonts w:hint="eastAsia" w:ascii="Times New Roman" w:hAnsi="Times New Roman" w:eastAsia="仿宋_GB2312"/>
          <w:sz w:val="32"/>
          <w:szCs w:val="32"/>
          <w:lang w:val="en-US" w:eastAsia="zh-CN"/>
        </w:rPr>
        <w:t>443.1</w:t>
      </w:r>
      <w:r>
        <w:rPr>
          <w:rFonts w:hint="eastAsia" w:ascii="Times New Roman" w:hAnsi="Times New Roman" w:eastAsia="仿宋_GB2312"/>
          <w:sz w:val="32"/>
          <w:szCs w:val="32"/>
        </w:rPr>
        <w:t>万元，支出决算数为</w:t>
      </w:r>
      <w:r>
        <w:rPr>
          <w:rFonts w:hint="default" w:ascii="Times New Roman" w:hAnsi="Times New Roman" w:eastAsia="仿宋_GB2312"/>
          <w:sz w:val="32"/>
          <w:szCs w:val="32"/>
          <w:lang w:val="en-US" w:eastAsia="zh-CN"/>
        </w:rPr>
        <w:t>530.27</w:t>
      </w:r>
      <w:r>
        <w:rPr>
          <w:rFonts w:hint="eastAsia" w:ascii="Times New Roman" w:hAnsi="Times New Roman" w:eastAsia="仿宋_GB2312"/>
          <w:sz w:val="32"/>
          <w:szCs w:val="32"/>
        </w:rPr>
        <w:t>万元，完成年初预算的</w:t>
      </w:r>
      <w:r>
        <w:rPr>
          <w:rFonts w:hint="eastAsia" w:ascii="Times New Roman" w:hAnsi="Times New Roman" w:eastAsia="仿宋_GB2312"/>
          <w:sz w:val="32"/>
          <w:szCs w:val="32"/>
          <w:lang w:val="en-US" w:eastAsia="zh-CN"/>
        </w:rPr>
        <w:t>119.67</w:t>
      </w:r>
      <w:r>
        <w:rPr>
          <w:rFonts w:hint="eastAsia" w:ascii="Times New Roman" w:hAnsi="Times New Roman" w:eastAsia="仿宋_GB2312"/>
          <w:sz w:val="32"/>
          <w:szCs w:val="32"/>
        </w:rPr>
        <w:t>%，其中：</w:t>
      </w:r>
    </w:p>
    <w:p w14:paraId="05981A40">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line="600" w:lineRule="atLeast"/>
        <w:ind w:left="0" w:right="0" w:firstLine="800"/>
        <w:rPr>
          <w:rFonts w:ascii="微软雅黑" w:hAnsi="微软雅黑" w:eastAsia="微软雅黑" w:cs="微软雅黑"/>
          <w:i w:val="0"/>
          <w:iCs w:val="0"/>
          <w:caps w:val="0"/>
          <w:color w:val="3D3D3D"/>
          <w:spacing w:val="0"/>
          <w:sz w:val="27"/>
          <w:szCs w:val="27"/>
        </w:rPr>
      </w:pPr>
      <w:r>
        <w:rPr>
          <w:rFonts w:hint="eastAsia" w:ascii="Times New Roman" w:hAnsi="Times New Roman" w:eastAsia="仿宋_GB2312"/>
          <w:sz w:val="32"/>
          <w:szCs w:val="32"/>
        </w:rPr>
        <w:t>1、</w:t>
      </w:r>
      <w:r>
        <w:rPr>
          <w:rFonts w:ascii="仿宋_GB2312" w:hAnsi="微软雅黑" w:eastAsia="仿宋_GB2312" w:cs="仿宋_GB2312"/>
          <w:i w:val="0"/>
          <w:iCs w:val="0"/>
          <w:caps w:val="0"/>
          <w:color w:val="000000"/>
          <w:spacing w:val="0"/>
          <w:sz w:val="32"/>
          <w:szCs w:val="32"/>
          <w:shd w:val="clear" w:fill="FFFFFF"/>
        </w:rPr>
        <w:t>一般公共服务（</w:t>
      </w:r>
      <w:r>
        <w:rPr>
          <w:rFonts w:hint="default" w:ascii="Times New Roman" w:hAnsi="Times New Roman" w:eastAsia="微软雅黑" w:cs="Times New Roman"/>
          <w:i w:val="0"/>
          <w:iCs w:val="0"/>
          <w:caps w:val="0"/>
          <w:color w:val="000000"/>
          <w:spacing w:val="0"/>
          <w:sz w:val="32"/>
          <w:szCs w:val="32"/>
          <w:shd w:val="clear" w:fill="FFFFFF"/>
        </w:rPr>
        <w:t>201</w:t>
      </w:r>
      <w:r>
        <w:rPr>
          <w:rFonts w:hint="default" w:ascii="仿宋_GB2312" w:hAnsi="微软雅黑" w:eastAsia="仿宋_GB2312" w:cs="仿宋_GB2312"/>
          <w:i w:val="0"/>
          <w:iCs w:val="0"/>
          <w:caps w:val="0"/>
          <w:color w:val="000000"/>
          <w:spacing w:val="0"/>
          <w:sz w:val="32"/>
          <w:szCs w:val="32"/>
          <w:shd w:val="clear" w:fill="FFFFFF"/>
        </w:rPr>
        <w:t>）组织事务（</w:t>
      </w:r>
      <w:r>
        <w:rPr>
          <w:rFonts w:hint="default" w:ascii="Times New Roman" w:hAnsi="Times New Roman" w:eastAsia="微软雅黑" w:cs="Times New Roman"/>
          <w:i w:val="0"/>
          <w:iCs w:val="0"/>
          <w:caps w:val="0"/>
          <w:color w:val="000000"/>
          <w:spacing w:val="0"/>
          <w:sz w:val="32"/>
          <w:szCs w:val="32"/>
          <w:shd w:val="clear" w:fill="FFFFFF"/>
        </w:rPr>
        <w:t>32</w:t>
      </w:r>
      <w:r>
        <w:rPr>
          <w:rFonts w:hint="default" w:ascii="仿宋_GB2312" w:hAnsi="微软雅黑" w:eastAsia="仿宋_GB2312" w:cs="仿宋_GB2312"/>
          <w:i w:val="0"/>
          <w:iCs w:val="0"/>
          <w:caps w:val="0"/>
          <w:color w:val="000000"/>
          <w:spacing w:val="0"/>
          <w:sz w:val="32"/>
          <w:szCs w:val="32"/>
          <w:shd w:val="clear" w:fill="FFFFFF"/>
        </w:rPr>
        <w:t>）</w:t>
      </w:r>
      <w:r>
        <w:rPr>
          <w:rFonts w:ascii="仿宋" w:hAnsi="仿宋" w:eastAsia="仿宋" w:cs="仿宋"/>
          <w:i w:val="0"/>
          <w:iCs w:val="0"/>
          <w:caps w:val="0"/>
          <w:color w:val="000000"/>
          <w:spacing w:val="0"/>
          <w:sz w:val="32"/>
          <w:szCs w:val="32"/>
          <w:shd w:val="clear" w:fill="FFFFFF"/>
        </w:rPr>
        <w:t>行政运行</w:t>
      </w:r>
      <w:r>
        <w:rPr>
          <w:rFonts w:hint="default" w:ascii="仿宋_GB2312" w:hAnsi="微软雅黑" w:eastAsia="仿宋_GB2312" w:cs="仿宋_GB2312"/>
          <w:i w:val="0"/>
          <w:iCs w:val="0"/>
          <w:caps w:val="0"/>
          <w:color w:val="000000"/>
          <w:spacing w:val="0"/>
          <w:sz w:val="32"/>
          <w:szCs w:val="32"/>
          <w:shd w:val="clear" w:fill="FFFFFF"/>
        </w:rPr>
        <w:t>（</w:t>
      </w:r>
      <w:r>
        <w:rPr>
          <w:rFonts w:hint="default" w:ascii="Times New Roman" w:hAnsi="Times New Roman" w:eastAsia="微软雅黑" w:cs="Times New Roman"/>
          <w:i w:val="0"/>
          <w:iCs w:val="0"/>
          <w:caps w:val="0"/>
          <w:color w:val="000000"/>
          <w:spacing w:val="0"/>
          <w:sz w:val="32"/>
          <w:szCs w:val="32"/>
          <w:shd w:val="clear" w:fill="FFFFFF"/>
        </w:rPr>
        <w:t>01</w:t>
      </w:r>
      <w:r>
        <w:rPr>
          <w:rFonts w:hint="default" w:ascii="仿宋_GB2312" w:hAnsi="微软雅黑" w:eastAsia="仿宋_GB2312" w:cs="仿宋_GB2312"/>
          <w:i w:val="0"/>
          <w:iCs w:val="0"/>
          <w:caps w:val="0"/>
          <w:color w:val="000000"/>
          <w:spacing w:val="0"/>
          <w:sz w:val="32"/>
          <w:szCs w:val="32"/>
          <w:shd w:val="clear" w:fill="FFFFFF"/>
        </w:rPr>
        <w:t>）。</w:t>
      </w:r>
    </w:p>
    <w:p w14:paraId="70198728">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line="600" w:lineRule="atLeast"/>
        <w:ind w:left="0" w:right="0" w:firstLine="800"/>
        <w:rPr>
          <w:rFonts w:ascii="Times New Roman" w:hAnsi="Times New Roman" w:eastAsia="仿宋_GB2312"/>
          <w:sz w:val="32"/>
          <w:szCs w:val="32"/>
        </w:rPr>
      </w:pPr>
      <w:r>
        <w:rPr>
          <w:rFonts w:hint="default" w:ascii="仿宋_GB2312" w:hAnsi="微软雅黑" w:eastAsia="仿宋_GB2312" w:cs="仿宋_GB2312"/>
          <w:i w:val="0"/>
          <w:iCs w:val="0"/>
          <w:caps w:val="0"/>
          <w:color w:val="000000"/>
          <w:spacing w:val="0"/>
          <w:sz w:val="32"/>
          <w:szCs w:val="32"/>
          <w:shd w:val="clear" w:fill="FFFFFF"/>
        </w:rPr>
        <w:t>年初预算为</w:t>
      </w:r>
      <w:r>
        <w:rPr>
          <w:rFonts w:hint="eastAsia" w:ascii="Times New Roman" w:hAnsi="Times New Roman" w:eastAsia="宋体" w:cs="Times New Roman"/>
          <w:i w:val="0"/>
          <w:iCs w:val="0"/>
          <w:caps w:val="0"/>
          <w:color w:val="3D3D3D"/>
          <w:spacing w:val="0"/>
          <w:sz w:val="32"/>
          <w:szCs w:val="32"/>
          <w:shd w:val="clear" w:fill="FFFFFF"/>
          <w:lang w:val="en-US" w:eastAsia="zh-CN"/>
        </w:rPr>
        <w:t>443.1</w:t>
      </w:r>
      <w:r>
        <w:rPr>
          <w:rFonts w:hint="default" w:ascii="仿宋_GB2312" w:hAnsi="微软雅黑" w:eastAsia="仿宋_GB2312" w:cs="仿宋_GB2312"/>
          <w:i w:val="0"/>
          <w:iCs w:val="0"/>
          <w:caps w:val="0"/>
          <w:color w:val="000000"/>
          <w:spacing w:val="0"/>
          <w:sz w:val="32"/>
          <w:szCs w:val="32"/>
          <w:shd w:val="clear" w:fill="FFFFFF"/>
        </w:rPr>
        <w:t>万元，支出决算为</w:t>
      </w:r>
      <w:r>
        <w:rPr>
          <w:rFonts w:hint="default" w:ascii="Times New Roman" w:hAnsi="Times New Roman" w:eastAsia="宋体" w:cs="Times New Roman"/>
          <w:i w:val="0"/>
          <w:iCs w:val="0"/>
          <w:caps w:val="0"/>
          <w:color w:val="3D3D3D"/>
          <w:spacing w:val="0"/>
          <w:sz w:val="32"/>
          <w:szCs w:val="32"/>
          <w:shd w:val="clear" w:fill="FFFFFF"/>
          <w:lang w:val="en-US" w:eastAsia="zh-CN"/>
        </w:rPr>
        <w:t>530.27</w:t>
      </w:r>
      <w:r>
        <w:rPr>
          <w:rFonts w:hint="default" w:ascii="仿宋_GB2312" w:hAnsi="微软雅黑" w:eastAsia="仿宋_GB2312" w:cs="仿宋_GB2312"/>
          <w:i w:val="0"/>
          <w:iCs w:val="0"/>
          <w:caps w:val="0"/>
          <w:color w:val="000000"/>
          <w:spacing w:val="0"/>
          <w:sz w:val="32"/>
          <w:szCs w:val="32"/>
          <w:shd w:val="clear" w:fill="FFFFFF"/>
        </w:rPr>
        <w:t>万元，完成年初预算的</w:t>
      </w:r>
      <w:r>
        <w:rPr>
          <w:rFonts w:hint="eastAsia" w:ascii="Times New Roman" w:hAnsi="Times New Roman" w:eastAsia="微软雅黑" w:cs="Times New Roman"/>
          <w:i w:val="0"/>
          <w:iCs w:val="0"/>
          <w:caps w:val="0"/>
          <w:color w:val="000000"/>
          <w:spacing w:val="0"/>
          <w:sz w:val="32"/>
          <w:szCs w:val="32"/>
          <w:shd w:val="clear" w:fill="FFFFFF"/>
          <w:lang w:val="en-US" w:eastAsia="zh-CN"/>
        </w:rPr>
        <w:t>119.67</w:t>
      </w:r>
      <w:r>
        <w:rPr>
          <w:rFonts w:hint="default" w:ascii="Times New Roman" w:hAnsi="Times New Roman" w:eastAsia="仿宋_GB2312" w:cs="Times New Roman"/>
          <w:i w:val="0"/>
          <w:iCs w:val="0"/>
          <w:caps w:val="0"/>
          <w:color w:val="000000"/>
          <w:spacing w:val="0"/>
          <w:sz w:val="32"/>
          <w:szCs w:val="32"/>
          <w:shd w:val="clear" w:fill="FFFFFF"/>
        </w:rPr>
        <w:t>%</w:t>
      </w:r>
      <w:r>
        <w:rPr>
          <w:rFonts w:hint="default" w:ascii="仿宋_GB2312" w:hAnsi="微软雅黑" w:eastAsia="仿宋_GB2312" w:cs="仿宋_GB2312"/>
          <w:i w:val="0"/>
          <w:iCs w:val="0"/>
          <w:caps w:val="0"/>
          <w:color w:val="000000"/>
          <w:spacing w:val="0"/>
          <w:sz w:val="32"/>
          <w:szCs w:val="32"/>
          <w:shd w:val="clear" w:fill="FFFFFF"/>
        </w:rPr>
        <w:t>，决算数</w:t>
      </w:r>
      <w:r>
        <w:rPr>
          <w:rFonts w:hint="eastAsia" w:ascii="仿宋_GB2312" w:hAnsi="微软雅黑" w:eastAsia="仿宋_GB2312" w:cs="仿宋_GB2312"/>
          <w:i w:val="0"/>
          <w:iCs w:val="0"/>
          <w:caps w:val="0"/>
          <w:color w:val="000000"/>
          <w:spacing w:val="0"/>
          <w:sz w:val="32"/>
          <w:szCs w:val="32"/>
          <w:shd w:val="clear" w:fill="FFFFFF"/>
          <w:lang w:val="en-US" w:eastAsia="zh-CN"/>
        </w:rPr>
        <w:t>大</w:t>
      </w:r>
      <w:r>
        <w:rPr>
          <w:rFonts w:hint="default" w:ascii="仿宋_GB2312" w:hAnsi="微软雅黑" w:eastAsia="仿宋_GB2312" w:cs="仿宋_GB2312"/>
          <w:i w:val="0"/>
          <w:iCs w:val="0"/>
          <w:caps w:val="0"/>
          <w:color w:val="000000"/>
          <w:spacing w:val="0"/>
          <w:sz w:val="32"/>
          <w:szCs w:val="32"/>
          <w:shd w:val="clear" w:fill="FFFFFF"/>
        </w:rPr>
        <w:t>于年初预算数的主要原因是：</w:t>
      </w:r>
      <w:r>
        <w:rPr>
          <w:rFonts w:hint="eastAsia" w:ascii="仿宋_GB2312" w:hAnsi="微软雅黑" w:eastAsia="仿宋_GB2312" w:cs="仿宋_GB2312"/>
          <w:i w:val="0"/>
          <w:iCs w:val="0"/>
          <w:caps w:val="0"/>
          <w:color w:val="000000"/>
          <w:spacing w:val="0"/>
          <w:sz w:val="32"/>
          <w:szCs w:val="32"/>
          <w:shd w:val="clear" w:fill="FFFFFF"/>
          <w:lang w:val="en-US" w:eastAsia="zh-CN"/>
        </w:rPr>
        <w:t>统计口径不一致</w:t>
      </w:r>
      <w:r>
        <w:rPr>
          <w:rFonts w:hint="eastAsia" w:ascii="仿宋" w:hAnsi="仿宋" w:eastAsia="仿宋" w:cs="仿宋"/>
          <w:i w:val="0"/>
          <w:iCs w:val="0"/>
          <w:caps w:val="0"/>
          <w:color w:val="000000"/>
          <w:spacing w:val="0"/>
          <w:sz w:val="32"/>
          <w:szCs w:val="32"/>
          <w:shd w:val="clear" w:fill="FFFFFF"/>
        </w:rPr>
        <w:t>。</w:t>
      </w:r>
    </w:p>
    <w:p w14:paraId="0C105ED1">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line="600" w:lineRule="atLeast"/>
        <w:ind w:left="0" w:right="0" w:firstLine="640"/>
        <w:rPr>
          <w:rFonts w:hint="eastAsia" w:ascii="黑体" w:hAnsi="黑体" w:eastAsia="黑体" w:cs="黑体"/>
          <w:b w:val="0"/>
          <w:bCs/>
          <w:sz w:val="32"/>
          <w:szCs w:val="32"/>
        </w:rPr>
      </w:pPr>
      <w:r>
        <w:rPr>
          <w:rFonts w:hint="eastAsia" w:ascii="黑体" w:hAnsi="黑体" w:eastAsia="黑体" w:cs="黑体"/>
          <w:b w:val="0"/>
          <w:bCs/>
          <w:sz w:val="32"/>
          <w:szCs w:val="32"/>
        </w:rPr>
        <w:t>六、一般公共预算财政拨款基本支出决算情况说明</w:t>
      </w:r>
    </w:p>
    <w:p w14:paraId="509B0411">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sz w:val="32"/>
          <w:szCs w:val="32"/>
        </w:rPr>
      </w:pPr>
      <w:r>
        <w:rPr>
          <w:rFonts w:hint="default" w:ascii="Times New Roman" w:hAnsi="Times New Roman" w:eastAsia="仿宋_GB2312"/>
          <w:sz w:val="32"/>
          <w:szCs w:val="32"/>
          <w:lang w:val="en-US"/>
        </w:rPr>
        <w:t>2025</w:t>
      </w:r>
      <w:r>
        <w:rPr>
          <w:rFonts w:hint="eastAsia" w:ascii="Times New Roman" w:hAnsi="Times New Roman" w:eastAsia="仿宋_GB2312"/>
          <w:sz w:val="32"/>
          <w:szCs w:val="32"/>
        </w:rPr>
        <w:t>年度财政拨款基本支出</w:t>
      </w:r>
      <w:r>
        <w:rPr>
          <w:rFonts w:hint="default" w:ascii="Times New Roman" w:hAnsi="Times New Roman" w:eastAsia="宋体" w:cs="Times New Roman"/>
          <w:i w:val="0"/>
          <w:iCs w:val="0"/>
          <w:caps w:val="0"/>
          <w:color w:val="3D3D3D"/>
          <w:spacing w:val="0"/>
          <w:sz w:val="32"/>
          <w:szCs w:val="32"/>
          <w:shd w:val="clear" w:fill="FFFFFF"/>
          <w:lang w:val="en-US" w:eastAsia="zh-CN"/>
        </w:rPr>
        <w:t>530.27</w:t>
      </w:r>
      <w:r>
        <w:rPr>
          <w:rFonts w:hint="eastAsia" w:ascii="Times New Roman" w:hAnsi="Times New Roman" w:eastAsia="仿宋_GB2312"/>
          <w:sz w:val="32"/>
          <w:szCs w:val="32"/>
        </w:rPr>
        <w:t>万元，其中：</w:t>
      </w:r>
    </w:p>
    <w:p w14:paraId="2B439FB2">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sz w:val="32"/>
          <w:szCs w:val="32"/>
          <w:lang w:eastAsia="zh-CN"/>
        </w:rPr>
      </w:pPr>
      <w:r>
        <w:rPr>
          <w:rFonts w:hint="eastAsia" w:ascii="Times New Roman" w:hAnsi="Times New Roman" w:eastAsia="仿宋_GB2312"/>
          <w:b/>
          <w:bCs/>
          <w:sz w:val="32"/>
          <w:szCs w:val="32"/>
        </w:rPr>
        <w:t>人员经费</w:t>
      </w:r>
      <w:r>
        <w:rPr>
          <w:rFonts w:hint="eastAsia" w:ascii="Times New Roman" w:hAnsi="Times New Roman" w:eastAsia="仿宋_GB2312"/>
          <w:sz w:val="32"/>
          <w:szCs w:val="32"/>
          <w:lang w:val="en-US" w:eastAsia="zh-CN"/>
        </w:rPr>
        <w:t>405.71</w:t>
      </w:r>
      <w:r>
        <w:rPr>
          <w:rFonts w:hint="eastAsia" w:ascii="Times New Roman" w:hAnsi="Times New Roman" w:eastAsia="仿宋_GB2312"/>
          <w:sz w:val="32"/>
          <w:szCs w:val="32"/>
        </w:rPr>
        <w:t>万元，占基本支出的</w:t>
      </w:r>
      <w:r>
        <w:rPr>
          <w:rFonts w:hint="eastAsia" w:ascii="Times New Roman" w:hAnsi="Times New Roman" w:eastAsia="仿宋_GB2312"/>
          <w:sz w:val="32"/>
          <w:szCs w:val="32"/>
          <w:lang w:val="en-US" w:eastAsia="zh-CN"/>
        </w:rPr>
        <w:t>76.51</w:t>
      </w:r>
      <w:r>
        <w:rPr>
          <w:rFonts w:hint="eastAsia" w:ascii="Times New Roman" w:hAnsi="Times New Roman" w:eastAsia="仿宋_GB2312"/>
          <w:sz w:val="32"/>
          <w:szCs w:val="32"/>
        </w:rPr>
        <w:t>%,主要包括基本工资</w:t>
      </w:r>
      <w:r>
        <w:rPr>
          <w:rFonts w:hint="eastAsia" w:ascii="Times New Roman" w:hAnsi="Times New Roman" w:eastAsia="仿宋_GB2312"/>
          <w:sz w:val="32"/>
          <w:szCs w:val="32"/>
          <w:lang w:val="en-US" w:eastAsia="zh-CN"/>
        </w:rPr>
        <w:t>187.20万元</w:t>
      </w:r>
      <w:r>
        <w:rPr>
          <w:rFonts w:hint="eastAsia" w:ascii="Times New Roman" w:hAnsi="Times New Roman" w:eastAsia="仿宋_GB2312"/>
          <w:sz w:val="32"/>
          <w:szCs w:val="32"/>
        </w:rPr>
        <w:t>、津贴补贴</w:t>
      </w:r>
      <w:r>
        <w:rPr>
          <w:rFonts w:hint="eastAsia" w:ascii="Times New Roman" w:hAnsi="Times New Roman" w:eastAsia="仿宋_GB2312"/>
          <w:sz w:val="32"/>
          <w:szCs w:val="32"/>
          <w:lang w:val="en-US" w:eastAsia="zh-CN"/>
        </w:rPr>
        <w:t>29.65万元</w:t>
      </w:r>
      <w:r>
        <w:rPr>
          <w:rFonts w:hint="eastAsia" w:ascii="Times New Roman" w:hAnsi="Times New Roman" w:eastAsia="仿宋_GB2312"/>
          <w:sz w:val="32"/>
          <w:szCs w:val="32"/>
        </w:rPr>
        <w:t>、奖金</w:t>
      </w:r>
      <w:r>
        <w:rPr>
          <w:rFonts w:hint="eastAsia" w:ascii="Times New Roman" w:hAnsi="Times New Roman" w:eastAsia="仿宋_GB2312"/>
          <w:sz w:val="32"/>
          <w:szCs w:val="32"/>
          <w:lang w:val="en-US" w:eastAsia="zh-CN"/>
        </w:rPr>
        <w:t>17.2万元等</w:t>
      </w:r>
      <w:r>
        <w:rPr>
          <w:rFonts w:hint="eastAsia" w:ascii="Times New Roman" w:hAnsi="Times New Roman" w:eastAsia="仿宋_GB2312"/>
          <w:sz w:val="32"/>
          <w:szCs w:val="32"/>
          <w:lang w:eastAsia="zh-CN"/>
        </w:rPr>
        <w:t>。</w:t>
      </w:r>
    </w:p>
    <w:p w14:paraId="19822F32">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sz w:val="32"/>
          <w:szCs w:val="32"/>
          <w:lang w:eastAsia="zh-CN"/>
        </w:rPr>
      </w:pPr>
      <w:r>
        <w:rPr>
          <w:rFonts w:hint="eastAsia" w:ascii="Times New Roman" w:hAnsi="Times New Roman" w:eastAsia="仿宋_GB2312"/>
          <w:b/>
          <w:bCs/>
          <w:sz w:val="32"/>
          <w:szCs w:val="32"/>
        </w:rPr>
        <w:t>公用经费</w:t>
      </w:r>
      <w:r>
        <w:rPr>
          <w:rFonts w:hint="eastAsia" w:ascii="Times New Roman" w:hAnsi="Times New Roman" w:eastAsia="仿宋_GB2312"/>
          <w:sz w:val="32"/>
          <w:szCs w:val="32"/>
          <w:lang w:val="en-US" w:eastAsia="zh-CN"/>
        </w:rPr>
        <w:t>47.87</w:t>
      </w:r>
      <w:r>
        <w:rPr>
          <w:rFonts w:hint="eastAsia" w:ascii="Times New Roman" w:hAnsi="Times New Roman" w:eastAsia="仿宋_GB2312"/>
          <w:sz w:val="32"/>
          <w:szCs w:val="32"/>
        </w:rPr>
        <w:t>万元，占基本支出的</w:t>
      </w:r>
      <w:r>
        <w:rPr>
          <w:rFonts w:hint="eastAsia" w:ascii="Times New Roman" w:hAnsi="Times New Roman" w:eastAsia="仿宋_GB2312"/>
          <w:sz w:val="32"/>
          <w:szCs w:val="32"/>
          <w:lang w:val="en-US" w:eastAsia="zh-CN"/>
        </w:rPr>
        <w:t>23.49</w:t>
      </w:r>
      <w:r>
        <w:rPr>
          <w:rFonts w:hint="eastAsia" w:ascii="Times New Roman" w:hAnsi="Times New Roman" w:eastAsia="仿宋_GB2312"/>
          <w:sz w:val="32"/>
          <w:szCs w:val="32"/>
        </w:rPr>
        <w:t>%，主要包括办公费</w:t>
      </w:r>
      <w:r>
        <w:rPr>
          <w:rFonts w:hint="eastAsia" w:ascii="Times New Roman" w:hAnsi="Times New Roman" w:eastAsia="仿宋_GB2312"/>
          <w:sz w:val="32"/>
          <w:szCs w:val="32"/>
          <w:lang w:val="en-US" w:eastAsia="zh-CN"/>
        </w:rPr>
        <w:t>2.91万元</w:t>
      </w:r>
      <w:r>
        <w:rPr>
          <w:rFonts w:hint="eastAsia" w:ascii="Times New Roman" w:hAnsi="Times New Roman" w:eastAsia="仿宋_GB2312"/>
          <w:sz w:val="32"/>
          <w:szCs w:val="32"/>
        </w:rPr>
        <w:t>、印刷费</w:t>
      </w:r>
      <w:r>
        <w:rPr>
          <w:rFonts w:hint="eastAsia" w:ascii="Times New Roman" w:hAnsi="Times New Roman" w:eastAsia="仿宋_GB2312"/>
          <w:sz w:val="32"/>
          <w:szCs w:val="32"/>
          <w:lang w:val="en-US" w:eastAsia="zh-CN"/>
        </w:rPr>
        <w:t>1.69万元等</w:t>
      </w:r>
      <w:r>
        <w:rPr>
          <w:rFonts w:hint="eastAsia" w:ascii="Times New Roman" w:hAnsi="Times New Roman" w:eastAsia="仿宋_GB2312"/>
          <w:sz w:val="32"/>
          <w:szCs w:val="32"/>
          <w:lang w:eastAsia="zh-CN"/>
        </w:rPr>
        <w:t>。</w:t>
      </w:r>
    </w:p>
    <w:p w14:paraId="26BA59D4">
      <w:pPr>
        <w:pStyle w:val="13"/>
        <w:keepNext w:val="0"/>
        <w:keepLines w:val="0"/>
        <w:pageBreakBefore w:val="0"/>
        <w:widowControl w:val="0"/>
        <w:numPr>
          <w:ilvl w:val="0"/>
          <w:numId w:val="2"/>
        </w:numPr>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财政拨款三公经费支出决算情况说明</w:t>
      </w:r>
    </w:p>
    <w:p w14:paraId="32FDF960">
      <w:pPr>
        <w:pStyle w:val="13"/>
        <w:keepNext w:val="0"/>
        <w:keepLines w:val="0"/>
        <w:pageBreakBefore w:val="0"/>
        <w:widowControl w:val="0"/>
        <w:numPr>
          <w:ilvl w:val="0"/>
          <w:numId w:val="0"/>
        </w:numPr>
        <w:kinsoku/>
        <w:wordWrap/>
        <w:overflowPunct/>
        <w:topLinePunct w:val="0"/>
        <w:bidi w:val="0"/>
        <w:snapToGrid/>
        <w:spacing w:line="600" w:lineRule="exact"/>
        <w:ind w:firstLine="320" w:firstLineChars="100"/>
        <w:textAlignment w:val="auto"/>
        <w:rPr>
          <w:rFonts w:hint="eastAsia" w:ascii="楷体" w:hAnsi="楷体" w:eastAsia="楷体" w:cs="楷体"/>
          <w:b/>
          <w:bCs w:val="0"/>
          <w:sz w:val="32"/>
          <w:szCs w:val="32"/>
        </w:rPr>
      </w:pPr>
      <w:r>
        <w:rPr>
          <w:rFonts w:hint="eastAsia" w:ascii="楷体" w:hAnsi="楷体" w:eastAsia="楷体" w:cs="楷体"/>
          <w:b/>
          <w:bCs w:val="0"/>
          <w:sz w:val="32"/>
          <w:szCs w:val="32"/>
        </w:rPr>
        <w:t>（一）“三公”经费财政拨款支出决算总体情况说明</w:t>
      </w:r>
    </w:p>
    <w:p w14:paraId="1E4A4174">
      <w:pPr>
        <w:pStyle w:val="13"/>
        <w:keepNext w:val="0"/>
        <w:keepLines w:val="0"/>
        <w:pageBreakBefore w:val="0"/>
        <w:widowControl w:val="0"/>
        <w:kinsoku/>
        <w:wordWrap/>
        <w:overflowPunct/>
        <w:topLinePunct w:val="0"/>
        <w:bidi w:val="0"/>
        <w:snapToGrid/>
        <w:spacing w:line="600" w:lineRule="exact"/>
        <w:ind w:firstLine="800" w:firstLineChars="250"/>
        <w:textAlignment w:val="auto"/>
        <w:rPr>
          <w:rFonts w:ascii="Times New Roman" w:hAnsi="Times New Roman" w:eastAsia="仿宋_GB2312"/>
          <w:sz w:val="32"/>
          <w:szCs w:val="32"/>
        </w:rPr>
      </w:pPr>
      <w:r>
        <w:rPr>
          <w:rFonts w:hint="eastAsia" w:ascii="Times New Roman" w:hAnsi="Times New Roman" w:eastAsia="仿宋_GB2312"/>
          <w:sz w:val="32"/>
          <w:szCs w:val="32"/>
        </w:rPr>
        <w:t>“三公”经费财政拨款支出预算为</w:t>
      </w:r>
      <w:r>
        <w:rPr>
          <w:rFonts w:hint="eastAsia" w:ascii="Times New Roman" w:hAnsi="Times New Roman" w:eastAsia="仿宋_GB2312"/>
          <w:sz w:val="32"/>
          <w:szCs w:val="32"/>
          <w:lang w:val="en-US" w:eastAsia="zh-CN"/>
        </w:rPr>
        <w:t>3.5</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3.32</w:t>
      </w:r>
      <w:r>
        <w:rPr>
          <w:rFonts w:hint="eastAsia" w:ascii="Times New Roman" w:hAnsi="Times New Roman" w:eastAsia="仿宋_GB2312"/>
          <w:sz w:val="32"/>
          <w:szCs w:val="32"/>
        </w:rPr>
        <w:t>万元，完成预算的</w:t>
      </w:r>
      <w:r>
        <w:rPr>
          <w:rFonts w:hint="eastAsia" w:ascii="Times New Roman" w:hAnsi="Times New Roman" w:eastAsia="仿宋_GB2312"/>
          <w:sz w:val="32"/>
          <w:szCs w:val="32"/>
          <w:lang w:val="en-US" w:eastAsia="zh-CN"/>
        </w:rPr>
        <w:t>73.77</w:t>
      </w:r>
      <w:r>
        <w:rPr>
          <w:rFonts w:hint="eastAsia" w:ascii="Times New Roman" w:hAnsi="Times New Roman" w:eastAsia="仿宋_GB2312"/>
          <w:sz w:val="32"/>
          <w:szCs w:val="32"/>
        </w:rPr>
        <w:t>%，决算数小于预算数的主要原因是</w:t>
      </w:r>
      <w:r>
        <w:rPr>
          <w:rFonts w:hint="eastAsia" w:ascii="Times New Roman" w:hAnsi="Times New Roman" w:eastAsia="仿宋_GB2312"/>
          <w:sz w:val="32"/>
          <w:szCs w:val="32"/>
          <w:lang w:val="en-US" w:eastAsia="zh-CN"/>
        </w:rPr>
        <w:t>厉行节约</w:t>
      </w:r>
      <w:r>
        <w:rPr>
          <w:rFonts w:hint="eastAsia" w:ascii="Times New Roman" w:hAnsi="Times New Roman" w:eastAsia="仿宋_GB2312"/>
          <w:sz w:val="32"/>
          <w:szCs w:val="32"/>
          <w:lang w:eastAsia="zh-CN"/>
        </w:rPr>
        <w:t>，</w:t>
      </w:r>
      <w:r>
        <w:rPr>
          <w:rFonts w:hint="eastAsia" w:ascii="Times New Roman" w:hAnsi="Times New Roman" w:eastAsia="仿宋_GB2312"/>
          <w:sz w:val="32"/>
          <w:szCs w:val="32"/>
        </w:rPr>
        <w:t>与上年相比</w:t>
      </w:r>
      <w:r>
        <w:rPr>
          <w:rFonts w:hint="eastAsia" w:ascii="Times New Roman" w:hAnsi="Times New Roman" w:eastAsia="仿宋_GB2312"/>
          <w:sz w:val="32"/>
          <w:szCs w:val="32"/>
          <w:lang w:eastAsia="zh-CN"/>
        </w:rPr>
        <w:t>增加</w:t>
      </w:r>
      <w:r>
        <w:rPr>
          <w:rFonts w:hint="eastAsia" w:ascii="Times New Roman" w:hAnsi="Times New Roman" w:eastAsia="仿宋_GB2312"/>
          <w:sz w:val="32"/>
          <w:szCs w:val="32"/>
          <w:lang w:val="en-US" w:eastAsia="zh-CN"/>
        </w:rPr>
        <w:t>1.1</w:t>
      </w:r>
      <w:r>
        <w:rPr>
          <w:rFonts w:hint="eastAsia" w:ascii="Times New Roman" w:hAnsi="Times New Roman" w:eastAsia="仿宋_GB2312"/>
          <w:sz w:val="32"/>
          <w:szCs w:val="32"/>
        </w:rPr>
        <w:t>万元，</w:t>
      </w:r>
      <w:r>
        <w:rPr>
          <w:rFonts w:hint="eastAsia" w:ascii="Times New Roman" w:hAnsi="Times New Roman" w:eastAsia="仿宋_GB2312"/>
          <w:sz w:val="32"/>
          <w:szCs w:val="32"/>
          <w:lang w:eastAsia="zh-CN"/>
        </w:rPr>
        <w:t>增加</w:t>
      </w:r>
      <w:r>
        <w:rPr>
          <w:rFonts w:hint="eastAsia" w:ascii="Times New Roman" w:hAnsi="Times New Roman" w:eastAsia="仿宋_GB2312"/>
          <w:sz w:val="32"/>
          <w:szCs w:val="32"/>
          <w:lang w:val="en-US" w:eastAsia="zh-CN"/>
        </w:rPr>
        <w:t>49.55</w:t>
      </w:r>
      <w:r>
        <w:rPr>
          <w:rFonts w:hint="eastAsia" w:ascii="Times New Roman" w:hAnsi="Times New Roman" w:eastAsia="仿宋_GB2312"/>
          <w:sz w:val="32"/>
          <w:szCs w:val="32"/>
        </w:rPr>
        <w:t>%,</w:t>
      </w:r>
      <w:r>
        <w:rPr>
          <w:rFonts w:hint="eastAsia" w:ascii="Times New Roman" w:hAnsi="Times New Roman" w:eastAsia="仿宋_GB2312"/>
          <w:sz w:val="32"/>
          <w:szCs w:val="32"/>
          <w:lang w:eastAsia="zh-CN"/>
        </w:rPr>
        <w:t>增加</w:t>
      </w:r>
      <w:r>
        <w:rPr>
          <w:rFonts w:hint="eastAsia" w:ascii="Times New Roman" w:hAnsi="Times New Roman" w:eastAsia="仿宋_GB2312"/>
          <w:sz w:val="32"/>
          <w:szCs w:val="32"/>
        </w:rPr>
        <w:t>的主要原因是</w:t>
      </w:r>
      <w:r>
        <w:rPr>
          <w:rFonts w:hint="eastAsia" w:ascii="Times New Roman" w:hAnsi="Times New Roman" w:eastAsia="仿宋_GB2312"/>
          <w:sz w:val="32"/>
          <w:szCs w:val="32"/>
          <w:lang w:val="en-US" w:eastAsia="zh-CN"/>
        </w:rPr>
        <w:t>机构改革，接待和用车次数增加</w:t>
      </w:r>
      <w:r>
        <w:rPr>
          <w:rFonts w:hint="eastAsia" w:ascii="Times New Roman" w:hAnsi="Times New Roman" w:eastAsia="仿宋_GB2312"/>
          <w:sz w:val="32"/>
          <w:szCs w:val="32"/>
        </w:rPr>
        <w:t>。其中：</w:t>
      </w:r>
    </w:p>
    <w:p w14:paraId="4B6E3A1D">
      <w:pPr>
        <w:pStyle w:val="13"/>
        <w:keepNext w:val="0"/>
        <w:keepLines w:val="0"/>
        <w:pageBreakBefore w:val="0"/>
        <w:widowControl w:val="0"/>
        <w:kinsoku/>
        <w:wordWrap/>
        <w:overflowPunct/>
        <w:topLinePunct w:val="0"/>
        <w:bidi w:val="0"/>
        <w:snapToGrid/>
        <w:spacing w:line="600" w:lineRule="exact"/>
        <w:ind w:firstLine="800" w:firstLineChars="250"/>
        <w:textAlignment w:val="auto"/>
        <w:rPr>
          <w:rFonts w:ascii="Times New Roman" w:hAnsi="Times New Roman" w:eastAsia="仿宋_GB2312"/>
          <w:sz w:val="32"/>
          <w:szCs w:val="32"/>
        </w:rPr>
      </w:pPr>
      <w:r>
        <w:rPr>
          <w:rFonts w:hint="eastAsia" w:ascii="Times New Roman" w:hAnsi="Times New Roman" w:eastAsia="仿宋_GB2312"/>
          <w:sz w:val="32"/>
          <w:szCs w:val="32"/>
        </w:rPr>
        <w:t>因公出国（境）费支出预算为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w:t>
      </w:r>
    </w:p>
    <w:p w14:paraId="0D2005F5">
      <w:pPr>
        <w:pStyle w:val="13"/>
        <w:keepNext w:val="0"/>
        <w:keepLines w:val="0"/>
        <w:pageBreakBefore w:val="0"/>
        <w:widowControl w:val="0"/>
        <w:kinsoku/>
        <w:wordWrap/>
        <w:overflowPunct/>
        <w:topLinePunct w:val="0"/>
        <w:bidi w:val="0"/>
        <w:snapToGrid/>
        <w:spacing w:line="600" w:lineRule="exact"/>
        <w:ind w:firstLine="800" w:firstLineChars="250"/>
        <w:textAlignment w:val="auto"/>
        <w:rPr>
          <w:rFonts w:ascii="Times New Roman" w:hAnsi="Times New Roman" w:eastAsia="仿宋_GB2312"/>
          <w:sz w:val="32"/>
          <w:szCs w:val="32"/>
        </w:rPr>
      </w:pPr>
      <w:r>
        <w:rPr>
          <w:rFonts w:hint="eastAsia" w:ascii="Times New Roman" w:hAnsi="Times New Roman" w:eastAsia="仿宋_GB2312"/>
          <w:sz w:val="32"/>
          <w:szCs w:val="32"/>
        </w:rPr>
        <w:t>公务接待费支出预算为</w:t>
      </w:r>
      <w:r>
        <w:rPr>
          <w:rFonts w:hint="eastAsia" w:ascii="Times New Roman" w:hAnsi="Times New Roman" w:eastAsia="仿宋_GB2312"/>
          <w:sz w:val="32"/>
          <w:szCs w:val="32"/>
          <w:lang w:val="en-US" w:eastAsia="zh-CN"/>
        </w:rPr>
        <w:t>1.50</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0.85</w:t>
      </w:r>
      <w:r>
        <w:rPr>
          <w:rFonts w:hint="eastAsia" w:ascii="Times New Roman" w:hAnsi="Times New Roman" w:eastAsia="仿宋_GB2312"/>
          <w:sz w:val="32"/>
          <w:szCs w:val="32"/>
        </w:rPr>
        <w:t>万元，完成预算的</w:t>
      </w:r>
      <w:r>
        <w:rPr>
          <w:rFonts w:hint="eastAsia" w:ascii="Times New Roman" w:hAnsi="Times New Roman" w:eastAsia="仿宋_GB2312"/>
          <w:sz w:val="32"/>
          <w:szCs w:val="32"/>
          <w:lang w:val="en-US" w:eastAsia="zh-CN"/>
        </w:rPr>
        <w:t>56.67</w:t>
      </w:r>
      <w:r>
        <w:rPr>
          <w:rFonts w:hint="eastAsia" w:ascii="Times New Roman" w:hAnsi="Times New Roman" w:eastAsia="仿宋_GB2312"/>
          <w:sz w:val="32"/>
          <w:szCs w:val="32"/>
        </w:rPr>
        <w:t>%，决算数</w:t>
      </w:r>
      <w:r>
        <w:rPr>
          <w:rFonts w:hint="eastAsia" w:ascii="Times New Roman" w:hAnsi="Times New Roman" w:eastAsia="仿宋_GB2312"/>
          <w:sz w:val="32"/>
          <w:szCs w:val="32"/>
          <w:lang w:eastAsia="zh-CN"/>
        </w:rPr>
        <w:t>小</w:t>
      </w:r>
      <w:r>
        <w:rPr>
          <w:rFonts w:hint="eastAsia" w:ascii="Times New Roman" w:hAnsi="Times New Roman" w:eastAsia="仿宋_GB2312"/>
          <w:sz w:val="32"/>
          <w:szCs w:val="32"/>
        </w:rPr>
        <w:t>于预算数的主要原因是</w:t>
      </w:r>
      <w:r>
        <w:rPr>
          <w:rFonts w:hint="eastAsia" w:ascii="Times New Roman" w:hAnsi="Times New Roman" w:eastAsia="仿宋_GB2312"/>
          <w:sz w:val="32"/>
          <w:szCs w:val="32"/>
          <w:lang w:val="en-US" w:eastAsia="zh-CN"/>
        </w:rPr>
        <w:t>接待人次减少</w:t>
      </w:r>
      <w:r>
        <w:rPr>
          <w:rFonts w:hint="eastAsia" w:ascii="Times New Roman" w:hAnsi="Times New Roman" w:eastAsia="仿宋_GB2312"/>
          <w:sz w:val="32"/>
          <w:szCs w:val="32"/>
        </w:rPr>
        <w:t>，与上年相比</w:t>
      </w:r>
      <w:r>
        <w:rPr>
          <w:rFonts w:hint="eastAsia" w:ascii="Times New Roman" w:hAnsi="Times New Roman" w:eastAsia="仿宋_GB2312"/>
          <w:sz w:val="32"/>
          <w:szCs w:val="32"/>
          <w:lang w:val="en-US" w:eastAsia="zh-CN"/>
        </w:rPr>
        <w:t>减少0.56</w:t>
      </w:r>
      <w:r>
        <w:rPr>
          <w:rFonts w:hint="eastAsia" w:ascii="Times New Roman" w:hAnsi="Times New Roman" w:eastAsia="仿宋_GB2312"/>
          <w:sz w:val="32"/>
          <w:szCs w:val="32"/>
        </w:rPr>
        <w:t>万元，</w:t>
      </w:r>
      <w:r>
        <w:rPr>
          <w:rFonts w:hint="eastAsia" w:ascii="Times New Roman" w:hAnsi="Times New Roman" w:eastAsia="仿宋_GB2312"/>
          <w:sz w:val="32"/>
          <w:szCs w:val="32"/>
          <w:lang w:eastAsia="zh-CN"/>
        </w:rPr>
        <w:t>减少</w:t>
      </w:r>
      <w:r>
        <w:rPr>
          <w:rFonts w:hint="eastAsia" w:ascii="Times New Roman" w:hAnsi="Times New Roman" w:eastAsia="仿宋_GB2312"/>
          <w:sz w:val="32"/>
          <w:szCs w:val="32"/>
          <w:lang w:val="en-US" w:eastAsia="zh-CN"/>
        </w:rPr>
        <w:t>34.28</w:t>
      </w:r>
      <w:r>
        <w:rPr>
          <w:rFonts w:hint="eastAsia" w:ascii="Times New Roman" w:hAnsi="Times New Roman" w:eastAsia="仿宋_GB2312"/>
          <w:sz w:val="32"/>
          <w:szCs w:val="32"/>
        </w:rPr>
        <w:t>%,</w:t>
      </w:r>
      <w:r>
        <w:rPr>
          <w:rFonts w:hint="eastAsia" w:ascii="Times New Roman" w:hAnsi="Times New Roman" w:eastAsia="仿宋_GB2312"/>
          <w:sz w:val="32"/>
          <w:szCs w:val="32"/>
          <w:lang w:eastAsia="zh-CN"/>
        </w:rPr>
        <w:t>减少</w:t>
      </w:r>
      <w:r>
        <w:rPr>
          <w:rFonts w:hint="eastAsia" w:ascii="Times New Roman" w:hAnsi="Times New Roman" w:eastAsia="仿宋_GB2312"/>
          <w:sz w:val="32"/>
          <w:szCs w:val="32"/>
        </w:rPr>
        <w:t>的主要原因是</w:t>
      </w:r>
      <w:r>
        <w:rPr>
          <w:rFonts w:hint="eastAsia" w:ascii="Times New Roman" w:hAnsi="Times New Roman" w:eastAsia="仿宋_GB2312"/>
          <w:sz w:val="32"/>
          <w:szCs w:val="32"/>
          <w:lang w:val="en-US" w:eastAsia="zh-CN"/>
        </w:rPr>
        <w:t>接待人次减少</w:t>
      </w:r>
      <w:r>
        <w:rPr>
          <w:rFonts w:hint="eastAsia" w:ascii="Times New Roman" w:hAnsi="Times New Roman" w:eastAsia="仿宋_GB2312"/>
          <w:sz w:val="32"/>
          <w:szCs w:val="32"/>
        </w:rPr>
        <w:t>。</w:t>
      </w:r>
    </w:p>
    <w:p w14:paraId="10961371">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ascii="Times New Roman" w:hAnsi="Times New Roman" w:eastAsia="仿宋_GB2312"/>
          <w:sz w:val="32"/>
          <w:szCs w:val="32"/>
        </w:rPr>
      </w:pPr>
      <w:r>
        <w:rPr>
          <w:rFonts w:hint="eastAsia" w:ascii="Times New Roman" w:hAnsi="Times New Roman" w:eastAsia="仿宋_GB2312"/>
          <w:sz w:val="32"/>
          <w:szCs w:val="32"/>
        </w:rPr>
        <w:t>公务用车购置费支出预算为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w:t>
      </w:r>
    </w:p>
    <w:p w14:paraId="68A9495D">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ascii="Times New Roman" w:hAnsi="Times New Roman" w:eastAsia="仿宋_GB2312"/>
          <w:sz w:val="32"/>
          <w:szCs w:val="32"/>
        </w:rPr>
      </w:pPr>
      <w:r>
        <w:rPr>
          <w:rFonts w:hint="eastAsia" w:ascii="Times New Roman" w:hAnsi="Times New Roman" w:eastAsia="仿宋_GB2312"/>
          <w:sz w:val="32"/>
          <w:szCs w:val="32"/>
        </w:rPr>
        <w:t>公务用车运行维护费支出预算为</w:t>
      </w:r>
      <w:r>
        <w:rPr>
          <w:rFonts w:hint="eastAsia" w:ascii="Times New Roman" w:hAnsi="Times New Roman" w:eastAsia="仿宋_GB2312"/>
          <w:sz w:val="32"/>
          <w:szCs w:val="32"/>
          <w:lang w:val="en-US" w:eastAsia="zh-CN"/>
        </w:rPr>
        <w:t>2.00</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1.99</w:t>
      </w:r>
      <w:r>
        <w:rPr>
          <w:rFonts w:hint="eastAsia" w:ascii="Times New Roman" w:hAnsi="Times New Roman" w:eastAsia="仿宋_GB2312"/>
          <w:sz w:val="32"/>
          <w:szCs w:val="32"/>
        </w:rPr>
        <w:t>万元，完成预算的</w:t>
      </w:r>
      <w:r>
        <w:rPr>
          <w:rFonts w:hint="eastAsia" w:ascii="Times New Roman" w:hAnsi="Times New Roman" w:eastAsia="仿宋_GB2312"/>
          <w:sz w:val="32"/>
          <w:szCs w:val="32"/>
          <w:lang w:val="en-US" w:eastAsia="zh-CN"/>
        </w:rPr>
        <w:t>99.50</w:t>
      </w:r>
      <w:r>
        <w:rPr>
          <w:rFonts w:hint="eastAsia" w:ascii="Times New Roman" w:hAnsi="Times New Roman" w:eastAsia="仿宋_GB2312"/>
          <w:sz w:val="32"/>
          <w:szCs w:val="32"/>
        </w:rPr>
        <w:t>%，决算数</w:t>
      </w:r>
      <w:r>
        <w:rPr>
          <w:rFonts w:hint="eastAsia" w:ascii="Times New Roman" w:hAnsi="Times New Roman" w:eastAsia="仿宋_GB2312"/>
          <w:sz w:val="32"/>
          <w:szCs w:val="32"/>
          <w:lang w:val="en-US" w:eastAsia="zh-CN"/>
        </w:rPr>
        <w:t>大</w:t>
      </w:r>
      <w:r>
        <w:rPr>
          <w:rFonts w:hint="eastAsia" w:ascii="Times New Roman" w:hAnsi="Times New Roman" w:eastAsia="仿宋_GB2312"/>
          <w:sz w:val="32"/>
          <w:szCs w:val="32"/>
        </w:rPr>
        <w:t>于预算数的主要原因是</w:t>
      </w:r>
      <w:r>
        <w:rPr>
          <w:rFonts w:hint="eastAsia" w:ascii="Times New Roman" w:hAnsi="Times New Roman" w:eastAsia="仿宋_GB2312"/>
          <w:sz w:val="32"/>
          <w:szCs w:val="32"/>
          <w:lang w:val="en-US" w:eastAsia="zh-CN"/>
        </w:rPr>
        <w:t>机构改革，接待用车次数增加</w:t>
      </w:r>
      <w:r>
        <w:rPr>
          <w:rFonts w:hint="eastAsia" w:ascii="Times New Roman" w:hAnsi="Times New Roman" w:eastAsia="仿宋_GB2312"/>
          <w:sz w:val="32"/>
          <w:szCs w:val="32"/>
        </w:rPr>
        <w:t>，与上年相比</w:t>
      </w:r>
      <w:r>
        <w:rPr>
          <w:rFonts w:hint="eastAsia" w:ascii="Times New Roman" w:hAnsi="Times New Roman" w:eastAsia="仿宋_GB2312"/>
          <w:sz w:val="32"/>
          <w:szCs w:val="32"/>
          <w:lang w:eastAsia="zh-CN"/>
        </w:rPr>
        <w:t>增加</w:t>
      </w:r>
      <w:r>
        <w:rPr>
          <w:rFonts w:hint="eastAsia" w:ascii="Times New Roman" w:hAnsi="Times New Roman" w:eastAsia="仿宋_GB2312"/>
          <w:sz w:val="32"/>
          <w:szCs w:val="32"/>
          <w:lang w:val="en-US" w:eastAsia="zh-CN"/>
        </w:rPr>
        <w:t>0.08</w:t>
      </w:r>
      <w:r>
        <w:rPr>
          <w:rFonts w:hint="eastAsia" w:ascii="Times New Roman" w:hAnsi="Times New Roman" w:eastAsia="仿宋_GB2312"/>
          <w:sz w:val="32"/>
          <w:szCs w:val="32"/>
        </w:rPr>
        <w:t>万元，</w:t>
      </w:r>
      <w:r>
        <w:rPr>
          <w:rFonts w:hint="eastAsia" w:ascii="Times New Roman" w:hAnsi="Times New Roman" w:eastAsia="仿宋_GB2312"/>
          <w:sz w:val="32"/>
          <w:szCs w:val="32"/>
          <w:lang w:eastAsia="zh-CN"/>
        </w:rPr>
        <w:t>增加</w:t>
      </w:r>
      <w:r>
        <w:rPr>
          <w:rFonts w:hint="eastAsia" w:ascii="Times New Roman" w:hAnsi="Times New Roman" w:eastAsia="仿宋_GB2312"/>
          <w:sz w:val="32"/>
          <w:szCs w:val="32"/>
          <w:lang w:val="en-US" w:eastAsia="zh-CN"/>
        </w:rPr>
        <w:t>4.18</w:t>
      </w:r>
      <w:r>
        <w:rPr>
          <w:rFonts w:hint="eastAsia" w:ascii="Times New Roman" w:hAnsi="Times New Roman" w:eastAsia="仿宋_GB2312"/>
          <w:sz w:val="32"/>
          <w:szCs w:val="32"/>
        </w:rPr>
        <w:t>%,</w:t>
      </w:r>
      <w:r>
        <w:rPr>
          <w:rFonts w:hint="eastAsia" w:ascii="Times New Roman" w:hAnsi="Times New Roman" w:eastAsia="仿宋_GB2312"/>
          <w:sz w:val="32"/>
          <w:szCs w:val="32"/>
          <w:lang w:eastAsia="zh-CN"/>
        </w:rPr>
        <w:t>增加</w:t>
      </w:r>
      <w:r>
        <w:rPr>
          <w:rFonts w:hint="eastAsia" w:ascii="Times New Roman" w:hAnsi="Times New Roman" w:eastAsia="仿宋_GB2312"/>
          <w:sz w:val="32"/>
          <w:szCs w:val="32"/>
        </w:rPr>
        <w:t>的主要原因是</w:t>
      </w:r>
      <w:r>
        <w:rPr>
          <w:rFonts w:hint="eastAsia" w:ascii="Times New Roman" w:hAnsi="Times New Roman" w:eastAsia="仿宋_GB2312"/>
          <w:sz w:val="32"/>
          <w:szCs w:val="32"/>
          <w:lang w:val="en-US" w:eastAsia="zh-CN"/>
        </w:rPr>
        <w:t>机构改革，接待用车次数增加</w:t>
      </w:r>
      <w:r>
        <w:rPr>
          <w:rFonts w:hint="eastAsia" w:ascii="Times New Roman" w:hAnsi="Times New Roman" w:eastAsia="仿宋_GB2312"/>
          <w:sz w:val="32"/>
          <w:szCs w:val="32"/>
        </w:rPr>
        <w:t>。</w:t>
      </w:r>
    </w:p>
    <w:p w14:paraId="06620E70">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楷体" w:hAnsi="楷体" w:eastAsia="楷体" w:cs="楷体"/>
          <w:b/>
          <w:bCs w:val="0"/>
          <w:sz w:val="32"/>
          <w:szCs w:val="32"/>
        </w:rPr>
      </w:pPr>
      <w:r>
        <w:rPr>
          <w:rFonts w:hint="eastAsia" w:ascii="楷体" w:hAnsi="楷体" w:eastAsia="楷体" w:cs="楷体"/>
          <w:b/>
          <w:bCs w:val="0"/>
          <w:sz w:val="32"/>
          <w:szCs w:val="32"/>
        </w:rPr>
        <w:t>（二）“三公”经费财政拨款支出决算具体情况说明</w:t>
      </w:r>
    </w:p>
    <w:p w14:paraId="462E7A87">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ascii="Times New Roman" w:hAnsi="Times New Roman" w:eastAsia="仿宋_GB2312"/>
          <w:sz w:val="32"/>
          <w:szCs w:val="32"/>
        </w:rPr>
      </w:pPr>
      <w:r>
        <w:rPr>
          <w:rFonts w:hint="default" w:ascii="Times New Roman" w:hAnsi="Times New Roman" w:eastAsia="仿宋_GB2312"/>
          <w:sz w:val="32"/>
          <w:szCs w:val="32"/>
          <w:lang w:val="en-US"/>
        </w:rPr>
        <w:t>2025</w:t>
      </w:r>
      <w:r>
        <w:rPr>
          <w:rFonts w:hint="eastAsia" w:ascii="Times New Roman" w:hAnsi="Times New Roman" w:eastAsia="仿宋_GB2312"/>
          <w:sz w:val="32"/>
          <w:szCs w:val="32"/>
        </w:rPr>
        <w:t>年度“三公”经费财政拨款支出决算中，公务接待费支出决算</w:t>
      </w:r>
      <w:r>
        <w:rPr>
          <w:rFonts w:hint="eastAsia" w:ascii="Times New Roman" w:hAnsi="Times New Roman" w:eastAsia="仿宋_GB2312"/>
          <w:sz w:val="32"/>
          <w:szCs w:val="32"/>
          <w:lang w:val="en-US" w:eastAsia="zh-CN"/>
        </w:rPr>
        <w:t>0.85</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29.93</w:t>
      </w:r>
      <w:r>
        <w:rPr>
          <w:rFonts w:hint="eastAsia" w:ascii="Times New Roman" w:hAnsi="Times New Roman" w:eastAsia="仿宋_GB2312"/>
          <w:sz w:val="32"/>
          <w:szCs w:val="32"/>
        </w:rPr>
        <w:t>%,因公出国（境）费支出决算</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万元,公务用车购置费及运行维护费支出决算</w:t>
      </w:r>
      <w:r>
        <w:rPr>
          <w:rFonts w:hint="eastAsia" w:ascii="Times New Roman" w:hAnsi="Times New Roman" w:eastAsia="仿宋_GB2312"/>
          <w:sz w:val="32"/>
          <w:szCs w:val="32"/>
          <w:lang w:val="en-US" w:eastAsia="zh-CN"/>
        </w:rPr>
        <w:t>1.99</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70.07</w:t>
      </w:r>
      <w:r>
        <w:rPr>
          <w:rFonts w:hint="eastAsia" w:ascii="Times New Roman" w:hAnsi="Times New Roman" w:eastAsia="仿宋_GB2312"/>
          <w:sz w:val="32"/>
          <w:szCs w:val="32"/>
        </w:rPr>
        <w:t>%。其中：</w:t>
      </w:r>
    </w:p>
    <w:p w14:paraId="71A5FBEA">
      <w:pPr>
        <w:pStyle w:val="13"/>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楷体" w:hAnsi="楷体" w:eastAsia="仿宋_GB2312" w:cs="楷体"/>
          <w:b/>
          <w:bCs/>
          <w:i/>
          <w:color w:val="auto"/>
          <w:sz w:val="32"/>
          <w:szCs w:val="32"/>
          <w:lang w:eastAsia="zh-CN"/>
        </w:rPr>
      </w:pPr>
      <w:r>
        <w:rPr>
          <w:rFonts w:hint="eastAsia" w:ascii="Times New Roman" w:hAnsi="Times New Roman" w:eastAsia="仿宋_GB2312"/>
          <w:sz w:val="32"/>
          <w:szCs w:val="32"/>
          <w:lang w:val="en-US" w:eastAsia="zh-CN"/>
        </w:rPr>
        <w:t>1、</w:t>
      </w:r>
      <w:r>
        <w:rPr>
          <w:rFonts w:hint="eastAsia" w:ascii="Times New Roman" w:hAnsi="Times New Roman" w:eastAsia="仿宋_GB2312"/>
          <w:sz w:val="32"/>
          <w:szCs w:val="32"/>
        </w:rPr>
        <w:t>因公出国（境）费支出决算为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w:t>
      </w:r>
      <w:r>
        <w:rPr>
          <w:rFonts w:hint="eastAsia" w:ascii="Times New Roman" w:hAnsi="Times New Roman" w:eastAsia="仿宋_GB2312"/>
          <w:sz w:val="32"/>
          <w:szCs w:val="32"/>
          <w:lang w:eastAsia="zh-CN"/>
        </w:rPr>
        <w:t>。</w:t>
      </w:r>
    </w:p>
    <w:p w14:paraId="732D6238">
      <w:pPr>
        <w:pStyle w:val="13"/>
        <w:keepNext w:val="0"/>
        <w:keepLines w:val="0"/>
        <w:pageBreakBefore w:val="0"/>
        <w:widowControl w:val="0"/>
        <w:kinsoku/>
        <w:wordWrap/>
        <w:overflowPunct/>
        <w:topLinePunct w:val="0"/>
        <w:bidi w:val="0"/>
        <w:snapToGrid/>
        <w:spacing w:line="600" w:lineRule="exact"/>
        <w:ind w:firstLine="800" w:firstLineChars="250"/>
        <w:textAlignment w:val="auto"/>
        <w:rPr>
          <w:rFonts w:ascii="Times New Roman" w:hAnsi="Times New Roman" w:eastAsia="仿宋_GB2312"/>
          <w:sz w:val="32"/>
          <w:szCs w:val="32"/>
        </w:rPr>
      </w:pPr>
      <w:r>
        <w:rPr>
          <w:rFonts w:hint="eastAsia" w:ascii="Times New Roman" w:hAnsi="Times New Roman" w:eastAsia="仿宋_GB2312"/>
          <w:sz w:val="32"/>
          <w:szCs w:val="32"/>
        </w:rPr>
        <w:t>2、公务接待费支出决算为</w:t>
      </w:r>
      <w:r>
        <w:rPr>
          <w:rFonts w:hint="eastAsia" w:ascii="Times New Roman" w:hAnsi="Times New Roman" w:eastAsia="仿宋_GB2312"/>
          <w:sz w:val="32"/>
          <w:szCs w:val="32"/>
          <w:lang w:val="en-US" w:eastAsia="zh-CN"/>
        </w:rPr>
        <w:t>0.85</w:t>
      </w:r>
      <w:r>
        <w:rPr>
          <w:rFonts w:hint="eastAsia" w:ascii="Times New Roman" w:hAnsi="Times New Roman" w:eastAsia="仿宋_GB2312"/>
          <w:sz w:val="32"/>
          <w:szCs w:val="32"/>
        </w:rPr>
        <w:t>万元。</w:t>
      </w:r>
    </w:p>
    <w:p w14:paraId="09A1B909">
      <w:pPr>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楷体" w:hAnsi="楷体" w:eastAsia="楷体" w:cs="楷体"/>
          <w:b/>
          <w:bCs/>
          <w:i/>
          <w:color w:val="auto"/>
          <w:kern w:val="0"/>
          <w:sz w:val="32"/>
          <w:szCs w:val="32"/>
          <w:lang w:val="en-US" w:eastAsia="zh-CN" w:bidi="ar-SA"/>
        </w:rPr>
      </w:pPr>
      <w:r>
        <w:rPr>
          <w:rFonts w:hint="eastAsia" w:ascii="Times New Roman" w:hAnsi="Times New Roman" w:eastAsia="仿宋_GB2312"/>
          <w:sz w:val="32"/>
          <w:szCs w:val="32"/>
        </w:rPr>
        <w:t>3、公务用车购置费及运行维护费支出决算为</w:t>
      </w:r>
      <w:r>
        <w:rPr>
          <w:rFonts w:hint="eastAsia" w:ascii="Times New Roman" w:hAnsi="Times New Roman" w:eastAsia="仿宋_GB2312"/>
          <w:sz w:val="32"/>
          <w:szCs w:val="32"/>
          <w:lang w:val="en-US" w:eastAsia="zh-CN"/>
        </w:rPr>
        <w:t>1.99</w:t>
      </w:r>
      <w:r>
        <w:rPr>
          <w:rFonts w:hint="eastAsia" w:ascii="Times New Roman" w:hAnsi="Times New Roman" w:eastAsia="仿宋_GB2312"/>
          <w:sz w:val="32"/>
          <w:szCs w:val="32"/>
        </w:rPr>
        <w:t>万元，其中：公务用车购置费</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万元，公务用车运行维护费</w:t>
      </w:r>
      <w:r>
        <w:rPr>
          <w:rFonts w:hint="eastAsia" w:ascii="Times New Roman" w:hAnsi="Times New Roman" w:eastAsia="仿宋_GB2312"/>
          <w:sz w:val="32"/>
          <w:szCs w:val="32"/>
          <w:lang w:val="en-US" w:eastAsia="zh-CN"/>
        </w:rPr>
        <w:t>1.99</w:t>
      </w:r>
      <w:r>
        <w:rPr>
          <w:rFonts w:hint="eastAsia" w:ascii="Times New Roman" w:hAnsi="Times New Roman" w:eastAsia="仿宋_GB2312"/>
          <w:sz w:val="32"/>
          <w:szCs w:val="32"/>
        </w:rPr>
        <w:t>万元，主要是</w:t>
      </w:r>
      <w:r>
        <w:rPr>
          <w:rFonts w:hint="eastAsia" w:ascii="Times New Roman" w:hAnsi="Times New Roman" w:eastAsia="仿宋_GB2312"/>
          <w:sz w:val="32"/>
          <w:szCs w:val="32"/>
          <w:lang w:val="en-US" w:eastAsia="zh-CN"/>
        </w:rPr>
        <w:t>燃油、保养维修、车辆保险</w:t>
      </w:r>
      <w:r>
        <w:rPr>
          <w:rFonts w:hint="eastAsia" w:ascii="Times New Roman" w:hAnsi="Times New Roman" w:eastAsia="仿宋_GB2312"/>
          <w:sz w:val="32"/>
          <w:szCs w:val="32"/>
        </w:rPr>
        <w:t>支出，截止</w:t>
      </w:r>
      <w:r>
        <w:rPr>
          <w:rFonts w:hint="default" w:ascii="Times New Roman" w:hAnsi="Times New Roman" w:eastAsia="仿宋_GB2312"/>
          <w:sz w:val="32"/>
          <w:szCs w:val="32"/>
          <w:lang w:val="en-US"/>
        </w:rPr>
        <w:t>2025</w:t>
      </w:r>
      <w:r>
        <w:rPr>
          <w:rFonts w:hint="eastAsia" w:ascii="Times New Roman" w:hAnsi="Times New Roman" w:eastAsia="仿宋_GB2312"/>
          <w:sz w:val="32"/>
          <w:szCs w:val="32"/>
        </w:rPr>
        <w:t>年12月31日，我单位开支财政拨款的公务用车保有量为</w:t>
      </w:r>
      <w:r>
        <w:rPr>
          <w:rFonts w:hint="eastAsia" w:ascii="Times New Roman" w:hAnsi="Times New Roman" w:eastAsia="仿宋_GB2312"/>
          <w:sz w:val="32"/>
          <w:szCs w:val="32"/>
          <w:lang w:val="en-US" w:eastAsia="zh-CN"/>
        </w:rPr>
        <w:t>1</w:t>
      </w:r>
      <w:r>
        <w:rPr>
          <w:rFonts w:hint="eastAsia" w:ascii="Times New Roman" w:hAnsi="Times New Roman" w:eastAsia="仿宋_GB2312"/>
          <w:sz w:val="32"/>
          <w:szCs w:val="32"/>
        </w:rPr>
        <w:t>辆。</w:t>
      </w:r>
    </w:p>
    <w:p w14:paraId="68EECE29">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八、政府性基金预算收入支出决算情况</w:t>
      </w:r>
    </w:p>
    <w:p w14:paraId="7B59B20D">
      <w:pPr>
        <w:pStyle w:val="13"/>
        <w:keepNext w:val="0"/>
        <w:keepLines w:val="0"/>
        <w:pageBreakBefore w:val="0"/>
        <w:widowControl w:val="0"/>
        <w:kinsoku/>
        <w:wordWrap/>
        <w:overflowPunct/>
        <w:topLinePunct w:val="0"/>
        <w:bidi w:val="0"/>
        <w:snapToGrid/>
        <w:spacing w:line="600" w:lineRule="exact"/>
        <w:textAlignment w:val="auto"/>
        <w:rPr>
          <w:rFonts w:hint="eastAsia" w:ascii="楷体" w:hAnsi="楷体" w:eastAsia="楷体" w:cs="楷体"/>
          <w:b/>
          <w:bCs/>
          <w:i/>
          <w:color w:val="auto"/>
          <w:kern w:val="0"/>
          <w:sz w:val="32"/>
          <w:szCs w:val="32"/>
          <w:lang w:val="en-US" w:eastAsia="zh-CN" w:bidi="ar-SA"/>
        </w:rPr>
      </w:pPr>
      <w:r>
        <w:rPr>
          <w:rFonts w:hint="eastAsia" w:ascii="Times New Roman" w:hAnsi="Times New Roman" w:eastAsia="仿宋_GB2312"/>
          <w:sz w:val="32"/>
          <w:szCs w:val="32"/>
        </w:rPr>
        <w:t xml:space="preserve">     </w:t>
      </w:r>
      <w:r>
        <w:rPr>
          <w:rFonts w:hint="default" w:ascii="Times New Roman" w:hAnsi="Times New Roman" w:eastAsia="仿宋_GB2312"/>
          <w:sz w:val="32"/>
          <w:szCs w:val="32"/>
          <w:lang w:val="en-US"/>
        </w:rPr>
        <w:t>2025</w:t>
      </w:r>
      <w:r>
        <w:rPr>
          <w:rFonts w:hint="eastAsia" w:ascii="Times New Roman" w:hAnsi="Times New Roman" w:eastAsia="仿宋_GB2312"/>
          <w:sz w:val="32"/>
          <w:szCs w:val="32"/>
        </w:rPr>
        <w:t>年度政府性基金预算财政拨款收入</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万元；年初结转和结余</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万元；支出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w:t>
      </w:r>
    </w:p>
    <w:p w14:paraId="74C72533">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ascii="Times New Roman" w:hAnsi="Times New Roman" w:eastAsia="仿宋_GB2312"/>
          <w:b/>
          <w:color w:val="auto"/>
          <w:sz w:val="32"/>
          <w:szCs w:val="32"/>
        </w:rPr>
      </w:pPr>
      <w:r>
        <w:rPr>
          <w:rFonts w:hint="eastAsia" w:ascii="Times New Roman" w:hAnsi="Times New Roman" w:eastAsia="仿宋_GB2312"/>
          <w:b/>
          <w:color w:val="auto"/>
          <w:sz w:val="32"/>
          <w:szCs w:val="32"/>
        </w:rPr>
        <w:t>九、关于机关运行经费支出说明</w:t>
      </w:r>
    </w:p>
    <w:p w14:paraId="4991569D">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sz w:val="32"/>
          <w:szCs w:val="32"/>
          <w:lang w:val="en-US" w:eastAsia="zh-CN"/>
        </w:rPr>
      </w:pPr>
      <w:r>
        <w:rPr>
          <w:rFonts w:hint="eastAsia" w:ascii="Times New Roman" w:hAnsi="Times New Roman" w:eastAsia="仿宋_GB2312"/>
          <w:sz w:val="32"/>
          <w:szCs w:val="32"/>
        </w:rPr>
        <w:t>本部门</w:t>
      </w:r>
      <w:r>
        <w:rPr>
          <w:rFonts w:hint="default" w:ascii="Times New Roman" w:hAnsi="Times New Roman" w:eastAsia="仿宋_GB2312"/>
          <w:sz w:val="32"/>
          <w:szCs w:val="32"/>
          <w:lang w:val="en-US"/>
        </w:rPr>
        <w:t>2025</w:t>
      </w:r>
      <w:r>
        <w:rPr>
          <w:rFonts w:hint="eastAsia" w:ascii="Times New Roman" w:hAnsi="Times New Roman" w:eastAsia="仿宋_GB2312"/>
          <w:sz w:val="32"/>
          <w:szCs w:val="32"/>
        </w:rPr>
        <w:t>年度机关运行经费支出</w:t>
      </w:r>
      <w:r>
        <w:rPr>
          <w:rFonts w:hint="eastAsia" w:ascii="Times New Roman" w:hAnsi="Times New Roman" w:eastAsia="仿宋_GB2312"/>
          <w:sz w:val="32"/>
          <w:szCs w:val="32"/>
          <w:lang w:val="en-US" w:eastAsia="zh-CN"/>
        </w:rPr>
        <w:t>47.87</w:t>
      </w:r>
      <w:r>
        <w:rPr>
          <w:rFonts w:hint="eastAsia" w:ascii="Times New Roman" w:hAnsi="Times New Roman" w:eastAsia="仿宋_GB2312"/>
          <w:sz w:val="32"/>
          <w:szCs w:val="32"/>
        </w:rPr>
        <w:t>万元，比年初预算数（或者上年决算数）减少</w:t>
      </w:r>
      <w:r>
        <w:rPr>
          <w:rFonts w:hint="eastAsia" w:ascii="Times New Roman" w:hAnsi="Times New Roman" w:eastAsia="仿宋_GB2312"/>
          <w:sz w:val="32"/>
          <w:szCs w:val="32"/>
          <w:lang w:val="en-US" w:eastAsia="zh-CN"/>
        </w:rPr>
        <w:t>44</w:t>
      </w:r>
      <w:r>
        <w:rPr>
          <w:rFonts w:hint="eastAsia" w:ascii="Times New Roman" w:hAnsi="Times New Roman" w:eastAsia="仿宋_GB2312"/>
          <w:sz w:val="32"/>
          <w:szCs w:val="32"/>
        </w:rPr>
        <w:t xml:space="preserve"> 万元，降低</w:t>
      </w:r>
      <w:r>
        <w:rPr>
          <w:rFonts w:hint="eastAsia" w:ascii="Times New Roman" w:hAnsi="Times New Roman" w:eastAsia="仿宋_GB2312"/>
          <w:sz w:val="32"/>
          <w:szCs w:val="32"/>
          <w:lang w:val="en-US" w:eastAsia="zh-CN"/>
        </w:rPr>
        <w:t>48.35</w:t>
      </w:r>
      <w:r>
        <w:rPr>
          <w:rFonts w:hint="eastAsia" w:ascii="Times New Roman" w:hAnsi="Times New Roman" w:eastAsia="仿宋_GB2312"/>
          <w:sz w:val="32"/>
          <w:szCs w:val="32"/>
        </w:rPr>
        <w:t>%。主要原因是：</w:t>
      </w:r>
      <w:r>
        <w:rPr>
          <w:rFonts w:hint="eastAsia" w:ascii="Times New Roman" w:hAnsi="Times New Roman" w:eastAsia="仿宋_GB2312"/>
          <w:sz w:val="32"/>
          <w:szCs w:val="32"/>
          <w:lang w:val="en-US" w:eastAsia="zh-CN"/>
        </w:rPr>
        <w:t>厉行节俭。</w:t>
      </w:r>
    </w:p>
    <w:p w14:paraId="6CAAB253">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十、一般性支出情况说明</w:t>
      </w:r>
    </w:p>
    <w:p w14:paraId="3308CC34">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default" w:ascii="仿宋_GB2312" w:hAnsi="宋体" w:eastAsia="仿宋_GB2312" w:cs="仿宋_GB2312"/>
          <w:i w:val="0"/>
          <w:iCs w:val="0"/>
          <w:caps w:val="0"/>
          <w:color w:val="000000"/>
          <w:spacing w:val="0"/>
          <w:sz w:val="32"/>
          <w:szCs w:val="32"/>
          <w:shd w:val="clear" w:fill="FFFFFF"/>
        </w:rPr>
      </w:pPr>
      <w:r>
        <w:rPr>
          <w:rFonts w:hint="default" w:ascii="Times New Roman" w:hAnsi="Times New Roman" w:eastAsia="仿宋_GB2312"/>
          <w:sz w:val="32"/>
          <w:szCs w:val="32"/>
          <w:lang w:val="en-US"/>
        </w:rPr>
        <w:t>2025</w:t>
      </w:r>
      <w:r>
        <w:rPr>
          <w:rFonts w:hint="eastAsia" w:ascii="Times New Roman" w:hAnsi="Times New Roman" w:eastAsia="仿宋_GB2312"/>
          <w:sz w:val="32"/>
          <w:szCs w:val="32"/>
        </w:rPr>
        <w:t>年本部门开支会议费</w:t>
      </w:r>
      <w:r>
        <w:rPr>
          <w:rFonts w:hint="eastAsia" w:ascii="Times New Roman" w:hAnsi="Times New Roman" w:eastAsia="仿宋_GB2312"/>
          <w:sz w:val="32"/>
          <w:szCs w:val="32"/>
          <w:lang w:val="en-US" w:eastAsia="zh-CN"/>
        </w:rPr>
        <w:t>1.52</w:t>
      </w:r>
      <w:r>
        <w:rPr>
          <w:rFonts w:hint="eastAsia" w:ascii="Times New Roman" w:hAnsi="Times New Roman" w:eastAsia="仿宋_GB2312"/>
          <w:sz w:val="32"/>
          <w:szCs w:val="32"/>
        </w:rPr>
        <w:t>万元，用于召开</w:t>
      </w:r>
      <w:r>
        <w:rPr>
          <w:rFonts w:hint="eastAsia" w:ascii="Times New Roman" w:hAnsi="Times New Roman" w:eastAsia="仿宋_GB2312"/>
          <w:sz w:val="32"/>
          <w:szCs w:val="32"/>
          <w:lang w:val="en-US" w:eastAsia="zh-CN"/>
        </w:rPr>
        <w:t>全市编办主任</w:t>
      </w:r>
      <w:r>
        <w:rPr>
          <w:rFonts w:hint="eastAsia" w:ascii="Times New Roman" w:hAnsi="Times New Roman" w:eastAsia="仿宋_GB2312"/>
          <w:sz w:val="32"/>
          <w:szCs w:val="32"/>
        </w:rPr>
        <w:t>会议，</w:t>
      </w:r>
      <w:r>
        <w:rPr>
          <w:rFonts w:hint="eastAsia" w:ascii="Times New Roman" w:hAnsi="Times New Roman" w:eastAsia="仿宋_GB2312"/>
          <w:sz w:val="32"/>
          <w:szCs w:val="32"/>
          <w:lang w:eastAsia="zh-CN"/>
        </w:rPr>
        <w:t>全市机构改革会议，会议</w:t>
      </w:r>
      <w:r>
        <w:rPr>
          <w:rFonts w:hint="eastAsia" w:ascii="Times New Roman" w:hAnsi="Times New Roman" w:eastAsia="仿宋_GB2312"/>
          <w:sz w:val="32"/>
          <w:szCs w:val="32"/>
        </w:rPr>
        <w:t>人数</w:t>
      </w:r>
      <w:r>
        <w:rPr>
          <w:rFonts w:hint="eastAsia" w:ascii="Times New Roman" w:hAnsi="Times New Roman" w:eastAsia="仿宋_GB2312"/>
          <w:sz w:val="32"/>
          <w:szCs w:val="32"/>
          <w:lang w:eastAsia="zh-CN"/>
        </w:rPr>
        <w:t>均为</w:t>
      </w:r>
      <w:r>
        <w:rPr>
          <w:rFonts w:hint="eastAsia" w:ascii="Times New Roman" w:hAnsi="Times New Roman" w:eastAsia="仿宋_GB2312"/>
          <w:sz w:val="32"/>
          <w:szCs w:val="32"/>
          <w:lang w:val="en-US" w:eastAsia="zh-CN"/>
        </w:rPr>
        <w:t>55</w:t>
      </w:r>
      <w:r>
        <w:rPr>
          <w:rFonts w:hint="eastAsia" w:ascii="Times New Roman" w:hAnsi="Times New Roman" w:eastAsia="仿宋_GB2312"/>
          <w:sz w:val="32"/>
          <w:szCs w:val="32"/>
        </w:rPr>
        <w:t>人，内容为</w:t>
      </w:r>
      <w:r>
        <w:rPr>
          <w:rFonts w:ascii="仿宋_GB2312" w:hAnsi="宋体" w:eastAsia="仿宋_GB2312" w:cs="仿宋_GB2312"/>
          <w:i w:val="0"/>
          <w:iCs w:val="0"/>
          <w:caps w:val="0"/>
          <w:color w:val="000000"/>
          <w:spacing w:val="0"/>
          <w:sz w:val="32"/>
          <w:szCs w:val="32"/>
          <w:shd w:val="clear" w:fill="FFFFFF"/>
        </w:rPr>
        <w:t>研究部署</w:t>
      </w:r>
      <w:r>
        <w:rPr>
          <w:rFonts w:hint="default" w:ascii="Times New Roman" w:hAnsi="Times New Roman" w:eastAsia="仿宋_GB2312" w:cs="Times New Roman"/>
          <w:i w:val="0"/>
          <w:iCs w:val="0"/>
          <w:caps w:val="0"/>
          <w:color w:val="000000"/>
          <w:spacing w:val="0"/>
          <w:sz w:val="32"/>
          <w:szCs w:val="32"/>
          <w:shd w:val="clear" w:fill="FFFFFF"/>
          <w:lang w:val="en-US"/>
        </w:rPr>
        <w:t>2025</w:t>
      </w:r>
      <w:r>
        <w:rPr>
          <w:rFonts w:hint="default" w:ascii="仿宋_GB2312" w:hAnsi="宋体" w:eastAsia="仿宋_GB2312" w:cs="仿宋_GB2312"/>
          <w:i w:val="0"/>
          <w:iCs w:val="0"/>
          <w:caps w:val="0"/>
          <w:color w:val="000000"/>
          <w:spacing w:val="0"/>
          <w:sz w:val="32"/>
          <w:szCs w:val="32"/>
          <w:shd w:val="clear" w:fill="FFFFFF"/>
        </w:rPr>
        <w:t>年全市机构编制工作</w:t>
      </w:r>
      <w:r>
        <w:rPr>
          <w:rFonts w:hint="default" w:ascii="仿宋_GB2312" w:hAnsi="Times New Roman" w:eastAsia="仿宋_GB2312" w:cs="仿宋_GB2312"/>
          <w:i w:val="0"/>
          <w:iCs w:val="0"/>
          <w:caps w:val="0"/>
          <w:color w:val="000000"/>
          <w:spacing w:val="0"/>
          <w:sz w:val="32"/>
          <w:szCs w:val="32"/>
          <w:shd w:val="clear" w:fill="FFFFFF"/>
        </w:rPr>
        <w:t>，</w:t>
      </w:r>
      <w:r>
        <w:rPr>
          <w:rFonts w:hint="eastAsia" w:ascii="仿宋_GB2312" w:hAnsi="Times New Roman" w:eastAsia="仿宋_GB2312" w:cs="仿宋_GB2312"/>
          <w:i w:val="0"/>
          <w:iCs w:val="0"/>
          <w:caps w:val="0"/>
          <w:color w:val="000000"/>
          <w:spacing w:val="0"/>
          <w:sz w:val="32"/>
          <w:szCs w:val="32"/>
          <w:shd w:val="clear" w:fill="FFFFFF"/>
          <w:lang w:eastAsia="zh-CN"/>
        </w:rPr>
        <w:t>及布置机构改革工作，</w:t>
      </w:r>
      <w:r>
        <w:rPr>
          <w:rFonts w:hint="default" w:ascii="仿宋_GB2312" w:hAnsi="宋体" w:eastAsia="仿宋_GB2312" w:cs="仿宋_GB2312"/>
          <w:i w:val="0"/>
          <w:iCs w:val="0"/>
          <w:caps w:val="0"/>
          <w:color w:val="000000"/>
          <w:spacing w:val="0"/>
          <w:sz w:val="32"/>
          <w:szCs w:val="32"/>
          <w:shd w:val="clear" w:fill="FFFFFF"/>
        </w:rPr>
        <w:t>无培训费支出</w:t>
      </w:r>
      <w:r>
        <w:rPr>
          <w:rFonts w:hint="default" w:ascii="仿宋_GB2312" w:hAnsi="Times New Roman" w:eastAsia="仿宋_GB2312" w:cs="仿宋_GB2312"/>
          <w:i w:val="0"/>
          <w:iCs w:val="0"/>
          <w:caps w:val="0"/>
          <w:color w:val="000000"/>
          <w:spacing w:val="0"/>
          <w:sz w:val="32"/>
          <w:szCs w:val="32"/>
          <w:shd w:val="clear" w:fill="FFFFFF"/>
        </w:rPr>
        <w:t>，</w:t>
      </w:r>
      <w:r>
        <w:rPr>
          <w:rFonts w:hint="default" w:ascii="仿宋_GB2312" w:hAnsi="宋体" w:eastAsia="仿宋_GB2312" w:cs="仿宋_GB2312"/>
          <w:i w:val="0"/>
          <w:iCs w:val="0"/>
          <w:caps w:val="0"/>
          <w:color w:val="000000"/>
          <w:spacing w:val="0"/>
          <w:sz w:val="32"/>
          <w:szCs w:val="32"/>
          <w:shd w:val="clear" w:fill="FFFFFF"/>
        </w:rPr>
        <w:t>无活动等支出。</w:t>
      </w:r>
    </w:p>
    <w:p w14:paraId="3498ACC5">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十一、关于政府采购支出说明</w:t>
      </w:r>
    </w:p>
    <w:p w14:paraId="7EBBF2B7">
      <w:pPr>
        <w:pStyle w:val="13"/>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textAlignment w:val="auto"/>
        <w:rPr>
          <w:rFonts w:hint="eastAsia" w:ascii="Times New Roman" w:hAnsi="Times New Roman" w:eastAsia="仿宋_GB2312"/>
          <w:sz w:val="32"/>
          <w:szCs w:val="32"/>
          <w:lang w:eastAsia="zh-CN"/>
        </w:rPr>
      </w:pPr>
      <w:r>
        <w:rPr>
          <w:rFonts w:hint="eastAsia" w:ascii="Times New Roman" w:hAnsi="Times New Roman" w:eastAsia="仿宋_GB2312"/>
          <w:sz w:val="32"/>
          <w:szCs w:val="32"/>
        </w:rPr>
        <w:t>本部门</w:t>
      </w:r>
      <w:r>
        <w:rPr>
          <w:rFonts w:hint="default" w:ascii="Times New Roman" w:hAnsi="Times New Roman" w:eastAsia="仿宋_GB2312"/>
          <w:sz w:val="32"/>
          <w:szCs w:val="32"/>
          <w:lang w:val="en-US"/>
        </w:rPr>
        <w:t>2025</w:t>
      </w:r>
      <w:r>
        <w:rPr>
          <w:rFonts w:hint="eastAsia" w:ascii="Times New Roman" w:hAnsi="Times New Roman" w:eastAsia="仿宋_GB2312"/>
          <w:sz w:val="32"/>
          <w:szCs w:val="32"/>
        </w:rPr>
        <w:t>年度政府采购支出总额</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w:t>
      </w:r>
      <w:r>
        <w:rPr>
          <w:rFonts w:hint="eastAsia" w:ascii="Times New Roman" w:hAnsi="Times New Roman" w:eastAsia="仿宋_GB2312"/>
          <w:sz w:val="32"/>
          <w:szCs w:val="32"/>
          <w:lang w:eastAsia="zh-CN"/>
        </w:rPr>
        <w:t>。</w:t>
      </w:r>
    </w:p>
    <w:p w14:paraId="319AE846">
      <w:pPr>
        <w:pStyle w:val="13"/>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textAlignment w:val="auto"/>
        <w:rPr>
          <w:rFonts w:hint="eastAsia" w:ascii="黑体" w:hAnsi="黑体" w:eastAsia="黑体" w:cs="黑体"/>
          <w:b w:val="0"/>
          <w:bCs/>
          <w:color w:val="auto"/>
          <w:sz w:val="32"/>
          <w:szCs w:val="32"/>
        </w:rPr>
      </w:pPr>
      <w:r>
        <w:rPr>
          <w:rFonts w:hint="eastAsia" w:ascii="黑体" w:hAnsi="黑体" w:eastAsia="黑体" w:cs="黑体"/>
          <w:b w:val="0"/>
          <w:bCs/>
          <w:color w:val="auto"/>
          <w:sz w:val="32"/>
          <w:szCs w:val="32"/>
        </w:rPr>
        <w:t>十二、关于国有资产占用情况说明</w:t>
      </w:r>
    </w:p>
    <w:p w14:paraId="275FFFB3">
      <w:pPr>
        <w:pStyle w:val="13"/>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textAlignment w:val="auto"/>
        <w:rPr>
          <w:rFonts w:ascii="Times New Roman" w:hAnsi="Times New Roman" w:eastAsia="仿宋_GB2312"/>
          <w:color w:val="auto"/>
          <w:sz w:val="32"/>
          <w:szCs w:val="32"/>
        </w:rPr>
      </w:pPr>
      <w:r>
        <w:rPr>
          <w:rFonts w:hint="eastAsia" w:ascii="Times New Roman" w:hAnsi="Times New Roman" w:eastAsia="仿宋_GB2312"/>
          <w:color w:val="auto"/>
          <w:sz w:val="32"/>
          <w:szCs w:val="32"/>
        </w:rPr>
        <w:t>截至</w:t>
      </w:r>
      <w:r>
        <w:rPr>
          <w:rFonts w:hint="default" w:ascii="Times New Roman" w:hAnsi="Times New Roman" w:eastAsia="仿宋_GB2312"/>
          <w:color w:val="auto"/>
          <w:sz w:val="32"/>
          <w:szCs w:val="32"/>
          <w:lang w:val="en-US"/>
        </w:rPr>
        <w:t>2025</w:t>
      </w:r>
      <w:r>
        <w:rPr>
          <w:rFonts w:hint="eastAsia" w:ascii="Times New Roman" w:hAnsi="Times New Roman" w:eastAsia="仿宋_GB2312"/>
          <w:color w:val="auto"/>
          <w:sz w:val="32"/>
          <w:szCs w:val="32"/>
        </w:rPr>
        <w:t>年12月31日，</w:t>
      </w:r>
      <w:r>
        <w:rPr>
          <w:rFonts w:hint="eastAsia" w:ascii="Times New Roman" w:hAnsi="Times New Roman" w:eastAsia="仿宋_GB2312"/>
          <w:color w:val="auto"/>
          <w:sz w:val="32"/>
          <w:szCs w:val="32"/>
          <w:lang w:val="en-US" w:eastAsia="zh-CN"/>
        </w:rPr>
        <w:t>我单位</w:t>
      </w:r>
      <w:r>
        <w:rPr>
          <w:rFonts w:hint="eastAsia" w:ascii="Times New Roman" w:hAnsi="Times New Roman" w:eastAsia="仿宋_GB2312"/>
          <w:color w:val="auto"/>
          <w:sz w:val="32"/>
          <w:szCs w:val="32"/>
        </w:rPr>
        <w:t>共有车辆</w:t>
      </w:r>
      <w:r>
        <w:rPr>
          <w:rFonts w:hint="eastAsia" w:ascii="Times New Roman" w:hAnsi="Times New Roman" w:eastAsia="仿宋_GB2312"/>
          <w:color w:val="auto"/>
          <w:sz w:val="32"/>
          <w:szCs w:val="32"/>
          <w:lang w:val="en-US" w:eastAsia="zh-CN"/>
        </w:rPr>
        <w:t>1</w:t>
      </w:r>
      <w:r>
        <w:rPr>
          <w:rFonts w:hint="eastAsia" w:ascii="Times New Roman" w:hAnsi="Times New Roman" w:eastAsia="仿宋_GB2312"/>
          <w:color w:val="auto"/>
          <w:sz w:val="32"/>
          <w:szCs w:val="32"/>
        </w:rPr>
        <w:t>辆，其中</w:t>
      </w:r>
      <w:r>
        <w:rPr>
          <w:rFonts w:hint="eastAsia" w:ascii="Times New Roman" w:hAnsi="Times New Roman" w:eastAsia="仿宋_GB2312"/>
          <w:color w:val="auto"/>
          <w:sz w:val="32"/>
          <w:szCs w:val="32"/>
          <w:lang w:eastAsia="zh-CN"/>
        </w:rPr>
        <w:t>，</w:t>
      </w:r>
      <w:r>
        <w:rPr>
          <w:rFonts w:hint="eastAsia" w:ascii="Times New Roman" w:hAnsi="Times New Roman" w:eastAsia="仿宋_GB2312"/>
          <w:color w:val="auto"/>
          <w:sz w:val="32"/>
          <w:szCs w:val="32"/>
        </w:rPr>
        <w:t>机要通信用车</w:t>
      </w:r>
      <w:r>
        <w:rPr>
          <w:rFonts w:hint="eastAsia" w:ascii="Times New Roman" w:hAnsi="Times New Roman" w:eastAsia="仿宋_GB2312"/>
          <w:color w:val="auto"/>
          <w:sz w:val="32"/>
          <w:szCs w:val="32"/>
          <w:lang w:val="en-US" w:eastAsia="zh-CN"/>
        </w:rPr>
        <w:t>1</w:t>
      </w:r>
      <w:r>
        <w:rPr>
          <w:rFonts w:hint="eastAsia" w:ascii="Times New Roman" w:hAnsi="Times New Roman" w:eastAsia="仿宋_GB2312"/>
          <w:color w:val="auto"/>
          <w:sz w:val="32"/>
          <w:szCs w:val="32"/>
        </w:rPr>
        <w:t>辆；</w:t>
      </w:r>
      <w:r>
        <w:rPr>
          <w:rFonts w:hint="eastAsia" w:ascii="Times New Roman" w:hAnsi="Times New Roman" w:eastAsia="仿宋_GB2312"/>
          <w:color w:val="auto"/>
          <w:sz w:val="32"/>
          <w:szCs w:val="32"/>
          <w:lang w:val="en-US" w:eastAsia="zh-CN"/>
        </w:rPr>
        <w:t>无</w:t>
      </w:r>
      <w:r>
        <w:rPr>
          <w:rFonts w:hint="eastAsia" w:ascii="Times New Roman" w:hAnsi="Times New Roman" w:eastAsia="仿宋_GB2312"/>
          <w:color w:val="auto"/>
          <w:sz w:val="32"/>
          <w:szCs w:val="32"/>
        </w:rPr>
        <w:t>单位价值100万元以上设备。</w:t>
      </w:r>
    </w:p>
    <w:p w14:paraId="65C383BC">
      <w:pPr>
        <w:pStyle w:val="13"/>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textAlignment w:val="auto"/>
        <w:rPr>
          <w:rFonts w:hint="eastAsia" w:ascii="黑体" w:hAnsi="黑体" w:eastAsia="黑体" w:cs="黑体"/>
          <w:b w:val="0"/>
          <w:bCs/>
          <w:color w:val="auto"/>
          <w:sz w:val="32"/>
          <w:szCs w:val="32"/>
        </w:rPr>
      </w:pPr>
      <w:r>
        <w:rPr>
          <w:rFonts w:hint="eastAsia" w:ascii="黑体" w:hAnsi="黑体" w:eastAsia="黑体" w:cs="黑体"/>
          <w:b w:val="0"/>
          <w:bCs/>
          <w:color w:val="auto"/>
          <w:sz w:val="32"/>
          <w:szCs w:val="32"/>
        </w:rPr>
        <w:t>十三、关于</w:t>
      </w:r>
      <w:r>
        <w:rPr>
          <w:rFonts w:hint="default" w:ascii="Times New Roman" w:hAnsi="Times New Roman" w:eastAsia="仿宋_GB2312"/>
          <w:color w:val="auto"/>
          <w:sz w:val="32"/>
          <w:szCs w:val="32"/>
          <w:lang w:val="en-US"/>
        </w:rPr>
        <w:t>2025</w:t>
      </w:r>
      <w:r>
        <w:rPr>
          <w:rFonts w:hint="eastAsia" w:ascii="黑体" w:hAnsi="黑体" w:eastAsia="黑体" w:cs="黑体"/>
          <w:b w:val="0"/>
          <w:bCs/>
          <w:color w:val="auto"/>
          <w:sz w:val="32"/>
          <w:szCs w:val="32"/>
        </w:rPr>
        <w:t>年度</w:t>
      </w:r>
      <w:r>
        <w:rPr>
          <w:rFonts w:hint="eastAsia" w:hAnsi="黑体" w:cs="黑体"/>
          <w:b w:val="0"/>
          <w:bCs/>
          <w:color w:val="auto"/>
          <w:sz w:val="32"/>
          <w:szCs w:val="32"/>
          <w:lang w:eastAsia="zh-CN"/>
        </w:rPr>
        <w:t>预算</w:t>
      </w:r>
      <w:r>
        <w:rPr>
          <w:rFonts w:hint="eastAsia" w:ascii="黑体" w:hAnsi="黑体" w:eastAsia="黑体" w:cs="黑体"/>
          <w:b w:val="0"/>
          <w:bCs/>
          <w:color w:val="auto"/>
          <w:sz w:val="32"/>
          <w:szCs w:val="32"/>
        </w:rPr>
        <w:t>绩效情况的说明</w:t>
      </w:r>
    </w:p>
    <w:p w14:paraId="10F5C505">
      <w:pPr>
        <w:pStyle w:val="13"/>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jc w:val="left"/>
        <w:textAlignment w:val="auto"/>
        <w:rPr>
          <w:rFonts w:hint="eastAsia" w:ascii="楷体" w:hAnsi="楷体" w:eastAsia="楷体" w:cs="楷体"/>
          <w:b/>
          <w:bCs/>
          <w:sz w:val="32"/>
          <w:szCs w:val="32"/>
          <w:lang w:eastAsia="zh-CN"/>
        </w:rPr>
      </w:pPr>
      <w:r>
        <w:rPr>
          <w:rFonts w:hint="eastAsia" w:ascii="楷体" w:hAnsi="楷体" w:eastAsia="楷体" w:cs="楷体"/>
          <w:b/>
          <w:bCs/>
          <w:sz w:val="32"/>
          <w:szCs w:val="32"/>
          <w:lang w:eastAsia="zh-CN"/>
        </w:rPr>
        <w:t>（一）绩效管理工作开展情况</w:t>
      </w:r>
    </w:p>
    <w:p w14:paraId="2CF3F861">
      <w:pPr>
        <w:pStyle w:val="13"/>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jc w:val="left"/>
        <w:textAlignment w:val="auto"/>
        <w:rPr>
          <w:rFonts w:hint="default" w:ascii="仿宋_GB2312" w:hAnsi="Calibri" w:eastAsia="仿宋_GB2312" w:cs="仿宋_GB2312"/>
          <w:i w:val="0"/>
          <w:iCs w:val="0"/>
          <w:caps w:val="0"/>
          <w:color w:val="000000"/>
          <w:spacing w:val="0"/>
          <w:kern w:val="0"/>
          <w:sz w:val="32"/>
          <w:szCs w:val="32"/>
          <w:shd w:val="clear" w:fill="FFFFFF"/>
          <w:lang w:val="en-US" w:eastAsia="zh-CN" w:bidi="ar"/>
        </w:rPr>
      </w:pPr>
      <w:r>
        <w:rPr>
          <w:rFonts w:hint="eastAsia" w:ascii="仿宋_GB2312" w:hAnsi="Calibri" w:eastAsia="仿宋_GB2312" w:cs="仿宋_GB2312"/>
          <w:i w:val="0"/>
          <w:iCs w:val="0"/>
          <w:caps w:val="0"/>
          <w:color w:val="000000"/>
          <w:spacing w:val="0"/>
          <w:kern w:val="0"/>
          <w:sz w:val="32"/>
          <w:szCs w:val="32"/>
          <w:shd w:val="clear" w:fill="FFFFFF"/>
          <w:lang w:val="en-US" w:eastAsia="zh-CN" w:bidi="ar"/>
        </w:rPr>
        <w:t>我单位严格按照财政局要求开展绩效管理工作。</w:t>
      </w:r>
    </w:p>
    <w:p w14:paraId="30E18E81">
      <w:pPr>
        <w:pStyle w:val="13"/>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jc w:val="left"/>
        <w:textAlignment w:val="auto"/>
        <w:rPr>
          <w:rFonts w:hint="eastAsia" w:ascii="楷体" w:hAnsi="楷体" w:eastAsia="楷体" w:cs="楷体"/>
          <w:b/>
          <w:bCs/>
          <w:sz w:val="32"/>
          <w:szCs w:val="32"/>
        </w:rPr>
      </w:pPr>
      <w:r>
        <w:rPr>
          <w:rFonts w:hint="eastAsia" w:ascii="楷体" w:hAnsi="楷体" w:eastAsia="楷体" w:cs="楷体"/>
          <w:b/>
          <w:bCs/>
          <w:sz w:val="32"/>
          <w:szCs w:val="32"/>
          <w:lang w:eastAsia="zh-CN"/>
        </w:rPr>
        <w:t>（二）</w:t>
      </w:r>
      <w:r>
        <w:rPr>
          <w:rFonts w:hint="eastAsia" w:ascii="楷体" w:hAnsi="楷体" w:eastAsia="楷体" w:cs="楷体"/>
          <w:b/>
          <w:bCs/>
          <w:sz w:val="32"/>
          <w:szCs w:val="32"/>
        </w:rPr>
        <w:t>部门</w:t>
      </w:r>
      <w:r>
        <w:rPr>
          <w:rFonts w:hint="eastAsia" w:ascii="楷体" w:hAnsi="楷体" w:eastAsia="楷体" w:cs="楷体"/>
          <w:b/>
          <w:bCs/>
          <w:sz w:val="32"/>
          <w:szCs w:val="32"/>
          <w:lang w:eastAsia="zh-CN"/>
        </w:rPr>
        <w:t>（单位）</w:t>
      </w:r>
      <w:r>
        <w:rPr>
          <w:rFonts w:hint="eastAsia" w:ascii="楷体" w:hAnsi="楷体" w:eastAsia="楷体" w:cs="楷体"/>
          <w:b/>
          <w:bCs/>
          <w:sz w:val="32"/>
          <w:szCs w:val="32"/>
        </w:rPr>
        <w:t>整体支出绩效情况</w:t>
      </w:r>
    </w:p>
    <w:p w14:paraId="62526E39">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line="600" w:lineRule="atLeast"/>
        <w:ind w:left="0" w:right="0" w:firstLine="640"/>
        <w:jc w:val="both"/>
        <w:rPr>
          <w:rFonts w:ascii="Calibri" w:hAnsi="Calibri" w:cs="Calibri"/>
          <w:i w:val="0"/>
          <w:iCs w:val="0"/>
          <w:caps w:val="0"/>
          <w:color w:val="3D3D3D"/>
          <w:spacing w:val="0"/>
          <w:sz w:val="27"/>
          <w:szCs w:val="27"/>
        </w:rPr>
      </w:pPr>
      <w:r>
        <w:rPr>
          <w:rFonts w:hint="default" w:ascii="Times New Roman" w:hAnsi="Times New Roman" w:eastAsia="仿宋_GB2312" w:cs="Times New Roman"/>
          <w:i w:val="0"/>
          <w:iCs w:val="0"/>
          <w:caps w:val="0"/>
          <w:color w:val="000000"/>
          <w:spacing w:val="0"/>
          <w:kern w:val="0"/>
          <w:sz w:val="32"/>
          <w:szCs w:val="32"/>
          <w:shd w:val="clear" w:fill="FFFFFF"/>
          <w:lang w:val="en-US" w:eastAsia="zh-CN" w:bidi="ar"/>
        </w:rPr>
        <w:t>2025</w:t>
      </w:r>
      <w:r>
        <w:rPr>
          <w:rFonts w:hint="default" w:ascii="仿宋_GB2312" w:hAnsi="Calibri" w:eastAsia="仿宋_GB2312" w:cs="仿宋_GB2312"/>
          <w:i w:val="0"/>
          <w:iCs w:val="0"/>
          <w:caps w:val="0"/>
          <w:color w:val="000000"/>
          <w:spacing w:val="0"/>
          <w:kern w:val="0"/>
          <w:sz w:val="32"/>
          <w:szCs w:val="32"/>
          <w:shd w:val="clear" w:fill="FFFFFF"/>
          <w:lang w:val="en-US" w:eastAsia="zh-CN" w:bidi="ar"/>
        </w:rPr>
        <w:t>年，市委编办在市委、市委编委和省委编办的正确领导下，以党的二十大精神和习近平新时代中国特色社会主义思想为指引，坚决贯彻落实党管机构编制原则，紧紧围绕市委“五新四城”战略，认真抓好各项改革工作，较好</w:t>
      </w:r>
      <w:r>
        <w:rPr>
          <w:rFonts w:hint="eastAsia" w:ascii="仿宋_GB2312" w:hAnsi="Calibri" w:eastAsia="仿宋_GB2312" w:cs="仿宋_GB2312"/>
          <w:i w:val="0"/>
          <w:iCs w:val="0"/>
          <w:caps w:val="0"/>
          <w:color w:val="000000"/>
          <w:spacing w:val="0"/>
          <w:kern w:val="0"/>
          <w:sz w:val="32"/>
          <w:szCs w:val="32"/>
          <w:shd w:val="clear" w:fill="FFFFFF"/>
          <w:lang w:val="en-US" w:eastAsia="zh-CN" w:bidi="ar"/>
        </w:rPr>
        <w:t>地</w:t>
      </w:r>
      <w:r>
        <w:rPr>
          <w:rFonts w:hint="default" w:ascii="仿宋_GB2312" w:hAnsi="Calibri" w:eastAsia="仿宋_GB2312" w:cs="仿宋_GB2312"/>
          <w:i w:val="0"/>
          <w:iCs w:val="0"/>
          <w:caps w:val="0"/>
          <w:color w:val="000000"/>
          <w:spacing w:val="0"/>
          <w:kern w:val="0"/>
          <w:sz w:val="32"/>
          <w:szCs w:val="32"/>
          <w:shd w:val="clear" w:fill="FFFFFF"/>
          <w:lang w:val="en-US" w:eastAsia="zh-CN" w:bidi="ar"/>
        </w:rPr>
        <w:t>完成了全年工作任务。现将今年工作情况汇报如下：</w:t>
      </w:r>
    </w:p>
    <w:p w14:paraId="5C35CF94">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line="600" w:lineRule="atLeast"/>
        <w:ind w:left="0" w:right="0" w:firstLine="640"/>
        <w:jc w:val="both"/>
        <w:rPr>
          <w:rFonts w:hint="default" w:ascii="Calibri" w:hAnsi="Calibri" w:cs="Calibri"/>
          <w:i w:val="0"/>
          <w:iCs w:val="0"/>
          <w:caps w:val="0"/>
          <w:color w:val="3D3D3D"/>
          <w:spacing w:val="0"/>
          <w:sz w:val="27"/>
          <w:szCs w:val="27"/>
        </w:rPr>
      </w:pPr>
      <w:r>
        <w:rPr>
          <w:rFonts w:hint="default" w:ascii="Times New Roman" w:hAnsi="Times New Roman" w:eastAsia="仿宋_GB2312" w:cs="Times New Roman"/>
          <w:i w:val="0"/>
          <w:iCs w:val="0"/>
          <w:caps w:val="0"/>
          <w:color w:val="000000"/>
          <w:spacing w:val="0"/>
          <w:kern w:val="0"/>
          <w:sz w:val="32"/>
          <w:szCs w:val="32"/>
          <w:shd w:val="clear" w:fill="FFFFFF"/>
          <w:lang w:val="en-US" w:eastAsia="zh-CN" w:bidi="ar"/>
        </w:rPr>
        <w:t>(</w:t>
      </w:r>
      <w:r>
        <w:rPr>
          <w:rFonts w:hint="default" w:ascii="仿宋_GB2312" w:hAnsi="Calibri" w:eastAsia="仿宋_GB2312" w:cs="仿宋_GB2312"/>
          <w:i w:val="0"/>
          <w:iCs w:val="0"/>
          <w:caps w:val="0"/>
          <w:color w:val="000000"/>
          <w:spacing w:val="0"/>
          <w:kern w:val="0"/>
          <w:sz w:val="32"/>
          <w:szCs w:val="32"/>
          <w:shd w:val="clear" w:fill="FFFFFF"/>
          <w:lang w:val="en-US" w:eastAsia="zh-CN" w:bidi="ar"/>
        </w:rPr>
        <w:t>一</w:t>
      </w:r>
      <w:r>
        <w:rPr>
          <w:rFonts w:hint="default" w:ascii="Times New Roman" w:hAnsi="Times New Roman" w:eastAsia="仿宋_GB2312" w:cs="Times New Roman"/>
          <w:i w:val="0"/>
          <w:iCs w:val="0"/>
          <w:caps w:val="0"/>
          <w:color w:val="000000"/>
          <w:spacing w:val="0"/>
          <w:kern w:val="0"/>
          <w:sz w:val="32"/>
          <w:szCs w:val="32"/>
          <w:shd w:val="clear" w:fill="FFFFFF"/>
          <w:lang w:val="en-US" w:eastAsia="zh-CN" w:bidi="ar"/>
        </w:rPr>
        <w:t>)</w:t>
      </w:r>
      <w:r>
        <w:rPr>
          <w:rFonts w:hint="default" w:ascii="仿宋_GB2312" w:hAnsi="Calibri" w:eastAsia="仿宋_GB2312" w:cs="仿宋_GB2312"/>
          <w:i w:val="0"/>
          <w:iCs w:val="0"/>
          <w:caps w:val="0"/>
          <w:color w:val="000000"/>
          <w:spacing w:val="0"/>
          <w:kern w:val="0"/>
          <w:sz w:val="32"/>
          <w:szCs w:val="32"/>
          <w:shd w:val="clear" w:fill="FFFFFF"/>
          <w:lang w:val="en-US" w:eastAsia="zh-CN" w:bidi="ar"/>
        </w:rPr>
        <w:t>矢志不渝坚持党建引领</w:t>
      </w:r>
    </w:p>
    <w:p w14:paraId="3063BD23">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line="600" w:lineRule="atLeast"/>
        <w:ind w:left="0" w:right="0" w:firstLine="736"/>
        <w:jc w:val="both"/>
        <w:rPr>
          <w:rFonts w:hint="default" w:ascii="Calibri" w:hAnsi="Calibri" w:cs="Calibri"/>
          <w:i w:val="0"/>
          <w:iCs w:val="0"/>
          <w:caps w:val="0"/>
          <w:color w:val="3D3D3D"/>
          <w:spacing w:val="0"/>
          <w:sz w:val="27"/>
          <w:szCs w:val="27"/>
        </w:rPr>
      </w:pPr>
      <w:r>
        <w:rPr>
          <w:rFonts w:hint="default" w:ascii="仿宋_GB2312" w:hAnsi="Calibri" w:eastAsia="仿宋_GB2312" w:cs="仿宋_GB2312"/>
          <w:i w:val="0"/>
          <w:iCs w:val="0"/>
          <w:caps w:val="0"/>
          <w:color w:val="000000"/>
          <w:spacing w:val="0"/>
          <w:kern w:val="0"/>
          <w:sz w:val="32"/>
          <w:szCs w:val="32"/>
          <w:shd w:val="clear" w:fill="FFFFFF"/>
          <w:lang w:val="en-US" w:eastAsia="zh-CN" w:bidi="ar"/>
        </w:rPr>
        <w:t>时刻把讲政治摆在首位，对上级党委召开的重要会议、作出的重大决策部署坚持第一时间学习贯彻落实。不断强化党要管党、从严治党意识，抓紧抓牢机关党建各项工作。一是抓细抓深党的二十大精神学习。二是抓牢抓实意识形态。三是抓长抓常组织建设。</w:t>
      </w:r>
    </w:p>
    <w:p w14:paraId="2D5253CA">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line="600" w:lineRule="atLeast"/>
        <w:ind w:left="0" w:right="0" w:firstLine="640"/>
        <w:jc w:val="both"/>
        <w:rPr>
          <w:rFonts w:hint="default" w:ascii="Calibri" w:hAnsi="Calibri" w:cs="Calibri"/>
          <w:i w:val="0"/>
          <w:iCs w:val="0"/>
          <w:caps w:val="0"/>
          <w:color w:val="3D3D3D"/>
          <w:spacing w:val="0"/>
          <w:sz w:val="27"/>
          <w:szCs w:val="27"/>
        </w:rPr>
      </w:pPr>
      <w:r>
        <w:rPr>
          <w:rFonts w:hint="default" w:ascii="Times New Roman" w:hAnsi="Times New Roman" w:eastAsia="仿宋_GB2312" w:cs="Times New Roman"/>
          <w:i w:val="0"/>
          <w:iCs w:val="0"/>
          <w:caps w:val="0"/>
          <w:color w:val="000000"/>
          <w:spacing w:val="0"/>
          <w:kern w:val="0"/>
          <w:sz w:val="32"/>
          <w:szCs w:val="32"/>
          <w:shd w:val="clear" w:fill="FFFFFF"/>
          <w:lang w:val="en-US" w:eastAsia="zh-CN" w:bidi="ar"/>
        </w:rPr>
        <w:t>(</w:t>
      </w:r>
      <w:r>
        <w:rPr>
          <w:rFonts w:hint="default" w:ascii="仿宋_GB2312" w:hAnsi="Calibri" w:eastAsia="仿宋_GB2312" w:cs="仿宋_GB2312"/>
          <w:i w:val="0"/>
          <w:iCs w:val="0"/>
          <w:caps w:val="0"/>
          <w:color w:val="000000"/>
          <w:spacing w:val="0"/>
          <w:kern w:val="0"/>
          <w:sz w:val="32"/>
          <w:szCs w:val="32"/>
          <w:shd w:val="clear" w:fill="FFFFFF"/>
          <w:lang w:val="en-US" w:eastAsia="zh-CN" w:bidi="ar"/>
        </w:rPr>
        <w:t>二</w:t>
      </w:r>
      <w:r>
        <w:rPr>
          <w:rFonts w:hint="default" w:ascii="Times New Roman" w:hAnsi="Times New Roman" w:eastAsia="仿宋_GB2312" w:cs="Times New Roman"/>
          <w:i w:val="0"/>
          <w:iCs w:val="0"/>
          <w:caps w:val="0"/>
          <w:color w:val="000000"/>
          <w:spacing w:val="0"/>
          <w:kern w:val="0"/>
          <w:sz w:val="32"/>
          <w:szCs w:val="32"/>
          <w:shd w:val="clear" w:fill="FFFFFF"/>
          <w:lang w:val="en-US" w:eastAsia="zh-CN" w:bidi="ar"/>
        </w:rPr>
        <w:t>)</w:t>
      </w:r>
      <w:r>
        <w:rPr>
          <w:rFonts w:hint="default" w:ascii="仿宋_GB2312" w:hAnsi="Calibri" w:eastAsia="仿宋_GB2312" w:cs="仿宋_GB2312"/>
          <w:i w:val="0"/>
          <w:iCs w:val="0"/>
          <w:caps w:val="0"/>
          <w:color w:val="000000"/>
          <w:spacing w:val="0"/>
          <w:kern w:val="0"/>
          <w:sz w:val="32"/>
          <w:szCs w:val="32"/>
          <w:shd w:val="clear" w:fill="FFFFFF"/>
          <w:lang w:val="en-US" w:eastAsia="zh-CN" w:bidi="ar"/>
        </w:rPr>
        <w:t>围绕中心谋划业务工作</w:t>
      </w:r>
    </w:p>
    <w:p w14:paraId="57605410">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line="600" w:lineRule="atLeast"/>
        <w:ind w:left="0" w:right="0" w:firstLine="640"/>
        <w:jc w:val="both"/>
        <w:rPr>
          <w:rFonts w:hint="default" w:ascii="Calibri" w:hAnsi="Calibri" w:cs="Calibri"/>
          <w:i w:val="0"/>
          <w:iCs w:val="0"/>
          <w:caps w:val="0"/>
          <w:color w:val="3D3D3D"/>
          <w:spacing w:val="0"/>
          <w:sz w:val="27"/>
          <w:szCs w:val="27"/>
        </w:rPr>
      </w:pPr>
      <w:r>
        <w:rPr>
          <w:rFonts w:hint="default" w:ascii="仿宋_GB2312" w:hAnsi="Calibri" w:eastAsia="仿宋_GB2312" w:cs="仿宋_GB2312"/>
          <w:i w:val="0"/>
          <w:iCs w:val="0"/>
          <w:caps w:val="0"/>
          <w:color w:val="000000"/>
          <w:spacing w:val="0"/>
          <w:kern w:val="0"/>
          <w:sz w:val="32"/>
          <w:szCs w:val="32"/>
          <w:shd w:val="clear" w:fill="FFFFFF"/>
          <w:lang w:val="en-US" w:eastAsia="zh-CN" w:bidi="ar"/>
        </w:rPr>
        <w:t>不断强化政治担当、历史担当，紧紧围绕市委“五新四城”战略，主动作为，稳中求进，增强系统观念，统筹优化机构编制资源配置，不断提升资源使用效益。一是全力助推经济发展。二是盘活用好编制资源。三是加强文物保护和考古工作机构编制保障。四是扎实开展调查研究。五是优质办理提案建议。</w:t>
      </w:r>
    </w:p>
    <w:p w14:paraId="152301D6">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line="600" w:lineRule="atLeast"/>
        <w:ind w:left="0" w:right="0" w:firstLine="640"/>
        <w:jc w:val="both"/>
        <w:rPr>
          <w:rFonts w:hint="default" w:ascii="Calibri" w:hAnsi="Calibri" w:cs="Calibri"/>
          <w:i w:val="0"/>
          <w:iCs w:val="0"/>
          <w:caps w:val="0"/>
          <w:color w:val="3D3D3D"/>
          <w:spacing w:val="0"/>
          <w:sz w:val="27"/>
          <w:szCs w:val="27"/>
        </w:rPr>
      </w:pPr>
      <w:r>
        <w:rPr>
          <w:rFonts w:hint="default" w:ascii="Times New Roman" w:hAnsi="Times New Roman" w:eastAsia="仿宋_GB2312" w:cs="Times New Roman"/>
          <w:i w:val="0"/>
          <w:iCs w:val="0"/>
          <w:caps w:val="0"/>
          <w:color w:val="000000"/>
          <w:spacing w:val="0"/>
          <w:kern w:val="0"/>
          <w:sz w:val="32"/>
          <w:szCs w:val="32"/>
          <w:shd w:val="clear" w:fill="FFFFFF"/>
          <w:lang w:val="en-US" w:eastAsia="zh-CN" w:bidi="ar"/>
        </w:rPr>
        <w:t>(</w:t>
      </w:r>
      <w:r>
        <w:rPr>
          <w:rFonts w:hint="default" w:ascii="仿宋_GB2312" w:hAnsi="Calibri" w:eastAsia="仿宋_GB2312" w:cs="仿宋_GB2312"/>
          <w:i w:val="0"/>
          <w:iCs w:val="0"/>
          <w:caps w:val="0"/>
          <w:color w:val="000000"/>
          <w:spacing w:val="0"/>
          <w:kern w:val="0"/>
          <w:sz w:val="32"/>
          <w:szCs w:val="32"/>
          <w:shd w:val="clear" w:fill="FFFFFF"/>
          <w:lang w:val="en-US" w:eastAsia="zh-CN" w:bidi="ar"/>
        </w:rPr>
        <w:t>三</w:t>
      </w:r>
      <w:r>
        <w:rPr>
          <w:rFonts w:hint="default" w:ascii="Times New Roman" w:hAnsi="Times New Roman" w:eastAsia="仿宋_GB2312" w:cs="Times New Roman"/>
          <w:i w:val="0"/>
          <w:iCs w:val="0"/>
          <w:caps w:val="0"/>
          <w:color w:val="000000"/>
          <w:spacing w:val="0"/>
          <w:kern w:val="0"/>
          <w:sz w:val="32"/>
          <w:szCs w:val="32"/>
          <w:shd w:val="clear" w:fill="FFFFFF"/>
          <w:lang w:val="en-US" w:eastAsia="zh-CN" w:bidi="ar"/>
        </w:rPr>
        <w:t>)</w:t>
      </w:r>
      <w:r>
        <w:rPr>
          <w:rFonts w:hint="default" w:ascii="仿宋_GB2312" w:hAnsi="Calibri" w:eastAsia="仿宋_GB2312" w:cs="仿宋_GB2312"/>
          <w:i w:val="0"/>
          <w:iCs w:val="0"/>
          <w:caps w:val="0"/>
          <w:color w:val="000000"/>
          <w:spacing w:val="0"/>
          <w:kern w:val="0"/>
          <w:sz w:val="32"/>
          <w:szCs w:val="32"/>
          <w:shd w:val="clear" w:fill="FFFFFF"/>
          <w:lang w:val="en-US" w:eastAsia="zh-CN" w:bidi="ar"/>
        </w:rPr>
        <w:t>凝心聚力统筹各类改革</w:t>
      </w:r>
    </w:p>
    <w:p w14:paraId="39C3E3B7">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line="600" w:lineRule="atLeast"/>
        <w:ind w:left="0" w:right="0" w:firstLine="640"/>
        <w:jc w:val="both"/>
        <w:rPr>
          <w:rFonts w:hint="default" w:ascii="Calibri" w:hAnsi="Calibri" w:cs="Calibri"/>
          <w:i w:val="0"/>
          <w:iCs w:val="0"/>
          <w:caps w:val="0"/>
          <w:color w:val="3D3D3D"/>
          <w:spacing w:val="0"/>
          <w:sz w:val="27"/>
          <w:szCs w:val="27"/>
        </w:rPr>
      </w:pPr>
      <w:r>
        <w:rPr>
          <w:rFonts w:hint="default" w:ascii="仿宋_GB2312" w:hAnsi="Calibri" w:eastAsia="仿宋_GB2312" w:cs="仿宋_GB2312"/>
          <w:i w:val="0"/>
          <w:iCs w:val="0"/>
          <w:caps w:val="0"/>
          <w:color w:val="000000"/>
          <w:spacing w:val="0"/>
          <w:kern w:val="0"/>
          <w:sz w:val="32"/>
          <w:szCs w:val="32"/>
          <w:shd w:val="clear" w:fill="FFFFFF"/>
          <w:lang w:val="en-US" w:eastAsia="zh-CN" w:bidi="ar"/>
        </w:rPr>
        <w:t>以深化机构改革为重点，通过改革破难题、增活力，不断创新机构编制管理思路办法。根据统一部署安排，已完成国安体制、绩效体制调整，完成了行政复议、疾病预防、国防动员体制改革工作。同时，着力推进应急、自然资源等行政执法改革。一是推进市县应急管理综合行政执法改革。二是推进市县自然资源行政执法改革。三是进一步理顺调优了市区征拆体制。四是开展党政机关内设机构优化。五是推进涉改人员转隶</w:t>
      </w:r>
      <w:r>
        <w:rPr>
          <w:rFonts w:hint="default" w:ascii="仿宋_GB2312" w:hAnsi="Times New Roman" w:eastAsia="仿宋_GB2312" w:cs="仿宋_GB2312"/>
          <w:i w:val="0"/>
          <w:iCs w:val="0"/>
          <w:caps w:val="0"/>
          <w:color w:val="000000"/>
          <w:spacing w:val="0"/>
          <w:kern w:val="0"/>
          <w:sz w:val="32"/>
          <w:szCs w:val="32"/>
          <w:shd w:val="clear" w:fill="FFFFFF"/>
          <w:lang w:val="en-US" w:eastAsia="zh-CN" w:bidi="ar"/>
        </w:rPr>
        <w:t>。</w:t>
      </w:r>
    </w:p>
    <w:p w14:paraId="74124556">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line="600" w:lineRule="atLeast"/>
        <w:ind w:left="0" w:right="0" w:firstLine="640"/>
        <w:jc w:val="left"/>
        <w:rPr>
          <w:rFonts w:hint="default" w:ascii="Calibri" w:hAnsi="Calibri" w:cs="Calibri"/>
          <w:i w:val="0"/>
          <w:iCs w:val="0"/>
          <w:caps w:val="0"/>
          <w:color w:val="3D3D3D"/>
          <w:spacing w:val="0"/>
          <w:sz w:val="27"/>
          <w:szCs w:val="27"/>
        </w:rPr>
      </w:pPr>
      <w:r>
        <w:rPr>
          <w:rFonts w:hint="default" w:ascii="Times New Roman" w:hAnsi="Times New Roman" w:eastAsia="仿宋_GB2312" w:cs="Times New Roman"/>
          <w:i w:val="0"/>
          <w:iCs w:val="0"/>
          <w:caps w:val="0"/>
          <w:color w:val="000000"/>
          <w:spacing w:val="0"/>
          <w:kern w:val="0"/>
          <w:sz w:val="32"/>
          <w:szCs w:val="32"/>
          <w:shd w:val="clear" w:fill="FFFFFF"/>
          <w:lang w:val="en-US" w:eastAsia="zh-CN" w:bidi="ar"/>
        </w:rPr>
        <w:t>(</w:t>
      </w:r>
      <w:r>
        <w:rPr>
          <w:rFonts w:hint="default" w:ascii="仿宋_GB2312" w:hAnsi="Calibri" w:eastAsia="仿宋_GB2312" w:cs="仿宋_GB2312"/>
          <w:i w:val="0"/>
          <w:iCs w:val="0"/>
          <w:caps w:val="0"/>
          <w:color w:val="000000"/>
          <w:spacing w:val="0"/>
          <w:kern w:val="0"/>
          <w:sz w:val="32"/>
          <w:szCs w:val="32"/>
          <w:shd w:val="clear" w:fill="FFFFFF"/>
          <w:lang w:val="en-US" w:eastAsia="zh-CN" w:bidi="ar"/>
        </w:rPr>
        <w:t>四</w:t>
      </w:r>
      <w:r>
        <w:rPr>
          <w:rFonts w:hint="default" w:ascii="Times New Roman" w:hAnsi="Times New Roman" w:eastAsia="仿宋_GB2312" w:cs="Times New Roman"/>
          <w:i w:val="0"/>
          <w:iCs w:val="0"/>
          <w:caps w:val="0"/>
          <w:color w:val="000000"/>
          <w:spacing w:val="0"/>
          <w:kern w:val="0"/>
          <w:sz w:val="32"/>
          <w:szCs w:val="32"/>
          <w:shd w:val="clear" w:fill="FFFFFF"/>
          <w:lang w:val="en-US" w:eastAsia="zh-CN" w:bidi="ar"/>
        </w:rPr>
        <w:t>)</w:t>
      </w:r>
      <w:r>
        <w:rPr>
          <w:rFonts w:hint="default" w:ascii="仿宋_GB2312" w:hAnsi="Calibri" w:eastAsia="仿宋_GB2312" w:cs="仿宋_GB2312"/>
          <w:i w:val="0"/>
          <w:iCs w:val="0"/>
          <w:caps w:val="0"/>
          <w:color w:val="000000"/>
          <w:spacing w:val="0"/>
          <w:kern w:val="0"/>
          <w:sz w:val="32"/>
          <w:szCs w:val="32"/>
          <w:shd w:val="clear" w:fill="FFFFFF"/>
          <w:lang w:val="en-US" w:eastAsia="zh-CN" w:bidi="ar"/>
        </w:rPr>
        <w:t>主动作为梳理安全生产职责</w:t>
      </w:r>
    </w:p>
    <w:p w14:paraId="0B84EFD6">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line="600" w:lineRule="atLeast"/>
        <w:ind w:left="0" w:right="0" w:firstLine="640"/>
        <w:jc w:val="both"/>
        <w:rPr>
          <w:rFonts w:hint="default" w:ascii="Calibri" w:hAnsi="Calibri" w:cs="Calibri"/>
          <w:i w:val="0"/>
          <w:iCs w:val="0"/>
          <w:caps w:val="0"/>
          <w:color w:val="3D3D3D"/>
          <w:spacing w:val="0"/>
          <w:sz w:val="27"/>
          <w:szCs w:val="27"/>
        </w:rPr>
      </w:pPr>
      <w:r>
        <w:rPr>
          <w:rFonts w:hint="default" w:ascii="仿宋_GB2312" w:hAnsi="Calibri" w:eastAsia="仿宋_GB2312" w:cs="仿宋_GB2312"/>
          <w:i w:val="0"/>
          <w:iCs w:val="0"/>
          <w:caps w:val="0"/>
          <w:color w:val="000000"/>
          <w:spacing w:val="0"/>
          <w:kern w:val="0"/>
          <w:sz w:val="32"/>
          <w:szCs w:val="32"/>
          <w:shd w:val="clear" w:fill="FFFFFF"/>
          <w:lang w:val="en-US" w:eastAsia="zh-CN" w:bidi="ar"/>
        </w:rPr>
        <w:t>紧盯安全生产这个重中之重，主动对市安委会成员单位、市政府工作部门承担的安全生产职责进行全面梳理、明晰，确保责任落实落地</w:t>
      </w:r>
      <w:r>
        <w:rPr>
          <w:rFonts w:hint="default" w:ascii="Times New Roman" w:hAnsi="Times New Roman" w:eastAsia="仿宋_GB2312" w:cs="Times New Roman"/>
          <w:i w:val="0"/>
          <w:iCs w:val="0"/>
          <w:caps w:val="0"/>
          <w:color w:val="000000"/>
          <w:spacing w:val="0"/>
          <w:kern w:val="0"/>
          <w:sz w:val="32"/>
          <w:szCs w:val="32"/>
          <w:shd w:val="clear" w:fill="FFFFFF"/>
          <w:lang w:val="en-US" w:eastAsia="zh-CN" w:bidi="ar"/>
        </w:rPr>
        <w:t>,</w:t>
      </w:r>
      <w:r>
        <w:rPr>
          <w:rFonts w:hint="default" w:ascii="仿宋_GB2312" w:hAnsi="Calibri" w:eastAsia="仿宋_GB2312" w:cs="仿宋_GB2312"/>
          <w:i w:val="0"/>
          <w:iCs w:val="0"/>
          <w:caps w:val="0"/>
          <w:color w:val="000000"/>
          <w:spacing w:val="0"/>
          <w:kern w:val="0"/>
          <w:sz w:val="32"/>
          <w:szCs w:val="32"/>
          <w:shd w:val="clear" w:fill="FFFFFF"/>
          <w:lang w:val="en-US" w:eastAsia="zh-CN" w:bidi="ar"/>
        </w:rPr>
        <w:t>这一做法得到了省政府、省委编办、省安委会的肯定和推介。一是全面梳理职能职责。二是全面厘清职责边界。三是全面落实职责分工。</w:t>
      </w:r>
    </w:p>
    <w:p w14:paraId="00D11FAA">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line="600" w:lineRule="atLeast"/>
        <w:ind w:left="0" w:right="0" w:firstLine="640"/>
        <w:jc w:val="both"/>
        <w:rPr>
          <w:rFonts w:hint="default" w:ascii="Calibri" w:hAnsi="Calibri" w:cs="Calibri"/>
          <w:i w:val="0"/>
          <w:iCs w:val="0"/>
          <w:caps w:val="0"/>
          <w:color w:val="3D3D3D"/>
          <w:spacing w:val="0"/>
          <w:sz w:val="27"/>
          <w:szCs w:val="27"/>
        </w:rPr>
      </w:pPr>
      <w:r>
        <w:rPr>
          <w:rFonts w:hint="default" w:ascii="Times New Roman" w:hAnsi="Times New Roman" w:eastAsia="仿宋_GB2312" w:cs="Times New Roman"/>
          <w:i w:val="0"/>
          <w:iCs w:val="0"/>
          <w:caps w:val="0"/>
          <w:color w:val="000000"/>
          <w:spacing w:val="0"/>
          <w:kern w:val="0"/>
          <w:sz w:val="32"/>
          <w:szCs w:val="32"/>
          <w:shd w:val="clear" w:fill="FFFFFF"/>
          <w:lang w:val="en-US" w:eastAsia="zh-CN" w:bidi="ar"/>
        </w:rPr>
        <w:t>(</w:t>
      </w:r>
      <w:r>
        <w:rPr>
          <w:rFonts w:hint="default" w:ascii="仿宋_GB2312" w:hAnsi="Calibri" w:eastAsia="仿宋_GB2312" w:cs="仿宋_GB2312"/>
          <w:i w:val="0"/>
          <w:iCs w:val="0"/>
          <w:caps w:val="0"/>
          <w:color w:val="000000"/>
          <w:spacing w:val="0"/>
          <w:kern w:val="0"/>
          <w:sz w:val="32"/>
          <w:szCs w:val="32"/>
          <w:shd w:val="clear" w:fill="FFFFFF"/>
          <w:lang w:val="en-US" w:eastAsia="zh-CN" w:bidi="ar"/>
        </w:rPr>
        <w:t>五</w:t>
      </w:r>
      <w:r>
        <w:rPr>
          <w:rFonts w:hint="default" w:ascii="Times New Roman" w:hAnsi="Times New Roman" w:eastAsia="仿宋_GB2312" w:cs="Times New Roman"/>
          <w:i w:val="0"/>
          <w:iCs w:val="0"/>
          <w:caps w:val="0"/>
          <w:color w:val="000000"/>
          <w:spacing w:val="0"/>
          <w:kern w:val="0"/>
          <w:sz w:val="32"/>
          <w:szCs w:val="32"/>
          <w:shd w:val="clear" w:fill="FFFFFF"/>
          <w:lang w:val="en-US" w:eastAsia="zh-CN" w:bidi="ar"/>
        </w:rPr>
        <w:t>)</w:t>
      </w:r>
      <w:r>
        <w:rPr>
          <w:rFonts w:hint="default" w:ascii="仿宋_GB2312" w:hAnsi="Calibri" w:eastAsia="仿宋_GB2312" w:cs="仿宋_GB2312"/>
          <w:i w:val="0"/>
          <w:iCs w:val="0"/>
          <w:caps w:val="0"/>
          <w:color w:val="000000"/>
          <w:spacing w:val="0"/>
          <w:kern w:val="0"/>
          <w:sz w:val="32"/>
          <w:szCs w:val="32"/>
          <w:shd w:val="clear" w:fill="FFFFFF"/>
          <w:lang w:val="en-US" w:eastAsia="zh-CN" w:bidi="ar"/>
        </w:rPr>
        <w:t>坚持不懈抓实监督检查</w:t>
      </w:r>
    </w:p>
    <w:p w14:paraId="670495C4">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line="600" w:lineRule="atLeast"/>
        <w:ind w:left="0" w:right="0" w:firstLine="640"/>
        <w:jc w:val="both"/>
        <w:rPr>
          <w:rFonts w:hint="default" w:ascii="Calibri" w:hAnsi="Calibri" w:cs="Calibri"/>
          <w:i w:val="0"/>
          <w:iCs w:val="0"/>
          <w:caps w:val="0"/>
          <w:color w:val="3D3D3D"/>
          <w:spacing w:val="0"/>
          <w:sz w:val="27"/>
          <w:szCs w:val="27"/>
        </w:rPr>
      </w:pPr>
      <w:r>
        <w:rPr>
          <w:rFonts w:hint="default" w:ascii="仿宋_GB2312" w:hAnsi="Calibri" w:eastAsia="仿宋_GB2312" w:cs="仿宋_GB2312"/>
          <w:i w:val="0"/>
          <w:iCs w:val="0"/>
          <w:caps w:val="0"/>
          <w:color w:val="000000"/>
          <w:spacing w:val="0"/>
          <w:kern w:val="0"/>
          <w:sz w:val="32"/>
          <w:szCs w:val="32"/>
          <w:shd w:val="clear" w:fill="FFFFFF"/>
          <w:lang w:val="en-US" w:eastAsia="zh-CN" w:bidi="ar"/>
        </w:rPr>
        <w:t>认真学习贯彻《中国共产党机构编制工作条例》及相关法规制度，以专项整治为抓手，狠抓问题整改，进一步增强机构编制刚性约束。一是抓好巡视问题整改落实。二是紧盯违纪违规违法问题清理整治工作。三是有序推进行政编制超编专项整治工作。</w:t>
      </w:r>
    </w:p>
    <w:p w14:paraId="029C6BF4">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line="600" w:lineRule="atLeast"/>
        <w:ind w:left="0" w:right="0" w:firstLine="640"/>
        <w:jc w:val="both"/>
        <w:rPr>
          <w:rFonts w:hint="default" w:ascii="Calibri" w:hAnsi="Calibri" w:cs="Calibri"/>
          <w:i w:val="0"/>
          <w:iCs w:val="0"/>
          <w:caps w:val="0"/>
          <w:color w:val="3D3D3D"/>
          <w:spacing w:val="0"/>
          <w:sz w:val="27"/>
          <w:szCs w:val="27"/>
        </w:rPr>
      </w:pPr>
      <w:r>
        <w:rPr>
          <w:rFonts w:hint="default" w:ascii="Times New Roman" w:hAnsi="Times New Roman" w:eastAsia="仿宋_GB2312" w:cs="Times New Roman"/>
          <w:i w:val="0"/>
          <w:iCs w:val="0"/>
          <w:caps w:val="0"/>
          <w:color w:val="000000"/>
          <w:spacing w:val="0"/>
          <w:kern w:val="0"/>
          <w:sz w:val="32"/>
          <w:szCs w:val="32"/>
          <w:shd w:val="clear" w:fill="FFFFFF"/>
          <w:lang w:val="en-US" w:eastAsia="zh-CN" w:bidi="ar"/>
        </w:rPr>
        <w:t>(</w:t>
      </w:r>
      <w:r>
        <w:rPr>
          <w:rFonts w:hint="default" w:ascii="仿宋_GB2312" w:hAnsi="Calibri" w:eastAsia="仿宋_GB2312" w:cs="仿宋_GB2312"/>
          <w:i w:val="0"/>
          <w:iCs w:val="0"/>
          <w:caps w:val="0"/>
          <w:color w:val="000000"/>
          <w:spacing w:val="0"/>
          <w:kern w:val="0"/>
          <w:sz w:val="32"/>
          <w:szCs w:val="32"/>
          <w:shd w:val="clear" w:fill="FFFFFF"/>
          <w:lang w:val="en-US" w:eastAsia="zh-CN" w:bidi="ar"/>
        </w:rPr>
        <w:t>六</w:t>
      </w:r>
      <w:r>
        <w:rPr>
          <w:rFonts w:hint="default" w:ascii="Times New Roman" w:hAnsi="Times New Roman" w:eastAsia="仿宋_GB2312" w:cs="Times New Roman"/>
          <w:i w:val="0"/>
          <w:iCs w:val="0"/>
          <w:caps w:val="0"/>
          <w:color w:val="000000"/>
          <w:spacing w:val="0"/>
          <w:kern w:val="0"/>
          <w:sz w:val="32"/>
          <w:szCs w:val="32"/>
          <w:shd w:val="clear" w:fill="FFFFFF"/>
          <w:lang w:val="en-US" w:eastAsia="zh-CN" w:bidi="ar"/>
        </w:rPr>
        <w:t>)</w:t>
      </w:r>
      <w:r>
        <w:rPr>
          <w:rFonts w:hint="default" w:ascii="仿宋_GB2312" w:hAnsi="Calibri" w:eastAsia="仿宋_GB2312" w:cs="仿宋_GB2312"/>
          <w:i w:val="0"/>
          <w:iCs w:val="0"/>
          <w:caps w:val="0"/>
          <w:color w:val="000000"/>
          <w:spacing w:val="0"/>
          <w:kern w:val="0"/>
          <w:sz w:val="32"/>
          <w:szCs w:val="32"/>
          <w:shd w:val="clear" w:fill="FFFFFF"/>
          <w:lang w:val="en-US" w:eastAsia="zh-CN" w:bidi="ar"/>
        </w:rPr>
        <w:t>久久为功规范日常管理</w:t>
      </w:r>
    </w:p>
    <w:p w14:paraId="57545169">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line="600" w:lineRule="atLeast"/>
        <w:ind w:left="0" w:right="0" w:firstLine="640"/>
        <w:jc w:val="both"/>
        <w:rPr>
          <w:rFonts w:hint="default" w:ascii="Calibri" w:hAnsi="Calibri" w:cs="Calibri"/>
          <w:i w:val="0"/>
          <w:iCs w:val="0"/>
          <w:caps w:val="0"/>
          <w:color w:val="3D3D3D"/>
          <w:spacing w:val="0"/>
          <w:sz w:val="27"/>
          <w:szCs w:val="27"/>
        </w:rPr>
      </w:pPr>
      <w:r>
        <w:rPr>
          <w:rFonts w:hint="default" w:ascii="仿宋_GB2312" w:hAnsi="Calibri" w:eastAsia="仿宋_GB2312" w:cs="仿宋_GB2312"/>
          <w:i w:val="0"/>
          <w:iCs w:val="0"/>
          <w:caps w:val="0"/>
          <w:color w:val="000000"/>
          <w:spacing w:val="0"/>
          <w:kern w:val="0"/>
          <w:sz w:val="32"/>
          <w:szCs w:val="32"/>
          <w:shd w:val="clear" w:fill="FFFFFF"/>
          <w:lang w:val="en-US" w:eastAsia="zh-CN" w:bidi="ar"/>
        </w:rPr>
        <w:t>创新资源配置思路和方式，健全机构编制管理动态调整机制，加大统筹使用各类编制资源力度，全面加强机构编制实名制管理，充分发挥在管理全流程中的基础性作用。一是规范实名制管理。二是认真做好登记工作。三是扎实推进乡村振兴工作。四是做好综合管理平台相关工作。</w:t>
      </w:r>
    </w:p>
    <w:p w14:paraId="0EEB1E74">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line="600" w:lineRule="atLeast"/>
        <w:ind w:left="0" w:right="0" w:firstLine="640"/>
        <w:jc w:val="left"/>
        <w:rPr>
          <w:rFonts w:hint="default" w:ascii="Calibri" w:hAnsi="Calibri" w:cs="Calibri"/>
          <w:i w:val="0"/>
          <w:iCs w:val="0"/>
          <w:caps w:val="0"/>
          <w:color w:val="3D3D3D"/>
          <w:spacing w:val="0"/>
          <w:sz w:val="27"/>
          <w:szCs w:val="27"/>
        </w:rPr>
      </w:pPr>
      <w:r>
        <w:rPr>
          <w:rFonts w:hint="default" w:ascii="Times New Roman" w:hAnsi="Times New Roman" w:eastAsia="仿宋_GB2312" w:cs="Times New Roman"/>
          <w:i w:val="0"/>
          <w:iCs w:val="0"/>
          <w:caps w:val="0"/>
          <w:color w:val="000000"/>
          <w:spacing w:val="0"/>
          <w:kern w:val="0"/>
          <w:sz w:val="32"/>
          <w:szCs w:val="32"/>
          <w:shd w:val="clear" w:fill="FFFFFF"/>
          <w:lang w:val="en-US" w:eastAsia="zh-CN" w:bidi="ar"/>
        </w:rPr>
        <w:t>(</w:t>
      </w:r>
      <w:r>
        <w:rPr>
          <w:rFonts w:hint="eastAsia" w:ascii="Times New Roman" w:hAnsi="Times New Roman" w:eastAsia="仿宋_GB2312" w:cs="Times New Roman"/>
          <w:i w:val="0"/>
          <w:iCs w:val="0"/>
          <w:caps w:val="0"/>
          <w:color w:val="000000"/>
          <w:spacing w:val="0"/>
          <w:kern w:val="0"/>
          <w:sz w:val="32"/>
          <w:szCs w:val="32"/>
          <w:shd w:val="clear" w:fill="FFFFFF"/>
          <w:lang w:val="en-US" w:eastAsia="zh-CN" w:bidi="ar"/>
        </w:rPr>
        <w:t>七</w:t>
      </w:r>
      <w:r>
        <w:rPr>
          <w:rFonts w:hint="default" w:ascii="Times New Roman" w:hAnsi="Times New Roman" w:eastAsia="仿宋_GB2312" w:cs="Times New Roman"/>
          <w:i w:val="0"/>
          <w:iCs w:val="0"/>
          <w:caps w:val="0"/>
          <w:color w:val="000000"/>
          <w:spacing w:val="0"/>
          <w:kern w:val="0"/>
          <w:sz w:val="32"/>
          <w:szCs w:val="32"/>
          <w:shd w:val="clear" w:fill="FFFFFF"/>
          <w:lang w:val="en-US" w:eastAsia="zh-CN" w:bidi="ar"/>
        </w:rPr>
        <w:t>)</w:t>
      </w:r>
      <w:r>
        <w:rPr>
          <w:rFonts w:hint="default" w:ascii="仿宋_GB2312" w:hAnsi="Calibri" w:eastAsia="仿宋_GB2312" w:cs="仿宋_GB2312"/>
          <w:i w:val="0"/>
          <w:iCs w:val="0"/>
          <w:caps w:val="0"/>
          <w:color w:val="000000"/>
          <w:spacing w:val="0"/>
          <w:kern w:val="0"/>
          <w:sz w:val="32"/>
          <w:szCs w:val="32"/>
          <w:shd w:val="clear" w:fill="FFFFFF"/>
          <w:lang w:val="en-US" w:eastAsia="zh-CN" w:bidi="ar"/>
        </w:rPr>
        <w:t>坚定不移抓好队伍建设</w:t>
      </w:r>
    </w:p>
    <w:p w14:paraId="75D3B38B">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line="600" w:lineRule="atLeast"/>
        <w:ind w:left="0" w:right="0" w:firstLine="640"/>
        <w:jc w:val="both"/>
        <w:rPr>
          <w:rFonts w:hint="default" w:ascii="Calibri" w:hAnsi="Calibri" w:cs="Calibri"/>
          <w:i w:val="0"/>
          <w:iCs w:val="0"/>
          <w:caps w:val="0"/>
          <w:color w:val="3D3D3D"/>
          <w:spacing w:val="0"/>
          <w:sz w:val="27"/>
          <w:szCs w:val="27"/>
        </w:rPr>
      </w:pPr>
      <w:r>
        <w:rPr>
          <w:rFonts w:hint="default" w:ascii="仿宋_GB2312" w:hAnsi="Calibri" w:eastAsia="仿宋_GB2312" w:cs="仿宋_GB2312"/>
          <w:i w:val="0"/>
          <w:iCs w:val="0"/>
          <w:caps w:val="0"/>
          <w:color w:val="000000"/>
          <w:spacing w:val="0"/>
          <w:kern w:val="0"/>
          <w:sz w:val="32"/>
          <w:szCs w:val="32"/>
          <w:shd w:val="clear" w:fill="FFFFFF"/>
          <w:lang w:val="en-US" w:eastAsia="zh-CN" w:bidi="ar"/>
        </w:rPr>
        <w:t>着力打造一支高素质专业化的机构编制队伍，努力建设讲政治、守纪律、负责任、有效率的模范机关，树立正确用人导向</w:t>
      </w:r>
      <w:r>
        <w:rPr>
          <w:rFonts w:hint="default" w:ascii="仿宋_GB2312" w:hAnsi="Times New Roman" w:eastAsia="仿宋_GB2312" w:cs="仿宋_GB2312"/>
          <w:i w:val="0"/>
          <w:iCs w:val="0"/>
          <w:caps w:val="0"/>
          <w:color w:val="000000"/>
          <w:spacing w:val="0"/>
          <w:kern w:val="0"/>
          <w:sz w:val="32"/>
          <w:szCs w:val="32"/>
          <w:shd w:val="clear" w:fill="FFFFFF"/>
          <w:lang w:val="en-US" w:eastAsia="zh-CN" w:bidi="ar"/>
        </w:rPr>
        <w:t>，</w:t>
      </w:r>
      <w:r>
        <w:rPr>
          <w:rFonts w:hint="default" w:ascii="仿宋_GB2312" w:hAnsi="Calibri" w:eastAsia="仿宋_GB2312" w:cs="仿宋_GB2312"/>
          <w:i w:val="0"/>
          <w:iCs w:val="0"/>
          <w:caps w:val="0"/>
          <w:color w:val="000000"/>
          <w:spacing w:val="0"/>
          <w:kern w:val="0"/>
          <w:sz w:val="32"/>
          <w:szCs w:val="32"/>
          <w:shd w:val="clear" w:fill="FFFFFF"/>
          <w:lang w:val="en-US" w:eastAsia="zh-CN" w:bidi="ar"/>
        </w:rPr>
        <w:t>广大干部群众对市委编办的满意度不断提升。一是紧抓党风廉政建设。二是严格机关日常管理。三是创建学习型机关</w:t>
      </w:r>
      <w:r>
        <w:rPr>
          <w:rFonts w:hint="default" w:ascii="仿宋_GB2312" w:hAnsi="Times New Roman" w:eastAsia="仿宋_GB2312" w:cs="仿宋_GB2312"/>
          <w:i w:val="0"/>
          <w:iCs w:val="0"/>
          <w:caps w:val="0"/>
          <w:color w:val="000000"/>
          <w:spacing w:val="0"/>
          <w:kern w:val="0"/>
          <w:sz w:val="32"/>
          <w:szCs w:val="32"/>
          <w:shd w:val="clear" w:fill="FFFFFF"/>
          <w:lang w:val="en-US" w:eastAsia="zh-CN" w:bidi="ar"/>
        </w:rPr>
        <w:t>。</w:t>
      </w:r>
    </w:p>
    <w:p w14:paraId="49AC234C">
      <w:pPr>
        <w:pStyle w:val="13"/>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jc w:val="left"/>
        <w:textAlignment w:val="auto"/>
        <w:rPr>
          <w:rFonts w:hint="eastAsia" w:ascii="楷体" w:hAnsi="楷体" w:eastAsia="楷体" w:cs="楷体"/>
          <w:b/>
          <w:bCs/>
          <w:sz w:val="32"/>
          <w:szCs w:val="32"/>
        </w:rPr>
      </w:pPr>
      <w:r>
        <w:rPr>
          <w:rFonts w:hint="eastAsia" w:ascii="楷体" w:hAnsi="楷体" w:eastAsia="楷体" w:cs="楷体"/>
          <w:b/>
          <w:bCs/>
          <w:sz w:val="32"/>
          <w:szCs w:val="32"/>
          <w:lang w:eastAsia="zh-CN"/>
        </w:rPr>
        <w:t>（三）</w:t>
      </w:r>
      <w:r>
        <w:rPr>
          <w:rFonts w:hint="eastAsia" w:ascii="楷体" w:hAnsi="楷体" w:eastAsia="楷体" w:cs="楷体"/>
          <w:b/>
          <w:bCs/>
          <w:sz w:val="32"/>
          <w:szCs w:val="32"/>
        </w:rPr>
        <w:t>存在的问题及原因分析</w:t>
      </w:r>
    </w:p>
    <w:p w14:paraId="7368317B">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line="600" w:lineRule="atLeast"/>
        <w:ind w:left="0" w:right="0" w:firstLine="640"/>
        <w:jc w:val="both"/>
        <w:rPr>
          <w:rFonts w:ascii="Calibri" w:hAnsi="Calibri" w:cs="Calibri"/>
          <w:i w:val="0"/>
          <w:iCs w:val="0"/>
          <w:caps w:val="0"/>
          <w:color w:val="3D3D3D"/>
          <w:spacing w:val="0"/>
          <w:sz w:val="27"/>
          <w:szCs w:val="27"/>
        </w:rPr>
      </w:pPr>
      <w:r>
        <w:rPr>
          <w:rFonts w:ascii="仿宋_GB2312" w:hAnsi="Calibri" w:eastAsia="仿宋_GB2312" w:cs="仿宋_GB2312"/>
          <w:i w:val="0"/>
          <w:iCs w:val="0"/>
          <w:caps w:val="0"/>
          <w:color w:val="000000"/>
          <w:spacing w:val="0"/>
          <w:kern w:val="0"/>
          <w:sz w:val="32"/>
          <w:szCs w:val="32"/>
          <w:shd w:val="clear" w:fill="FFFFFF"/>
          <w:lang w:val="en-US" w:eastAsia="zh-CN" w:bidi="ar"/>
        </w:rPr>
        <w:t>（一）科学编制年度预算。应进一步提高工作预见性及工作效率，提升预算准确度，降低预决算差异率，提高资金使用效益。</w:t>
      </w:r>
    </w:p>
    <w:p w14:paraId="63B9BAE3">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line="600" w:lineRule="atLeast"/>
        <w:ind w:left="0" w:right="0" w:firstLine="640"/>
        <w:jc w:val="both"/>
        <w:rPr>
          <w:rFonts w:hint="default" w:ascii="Calibri" w:hAnsi="Calibri" w:cs="Calibri"/>
          <w:i w:val="0"/>
          <w:iCs w:val="0"/>
          <w:caps w:val="0"/>
          <w:color w:val="3D3D3D"/>
          <w:spacing w:val="0"/>
          <w:sz w:val="27"/>
          <w:szCs w:val="27"/>
        </w:rPr>
      </w:pPr>
      <w:r>
        <w:rPr>
          <w:rFonts w:hint="default" w:ascii="仿宋_GB2312" w:hAnsi="Calibri" w:eastAsia="仿宋_GB2312" w:cs="仿宋_GB2312"/>
          <w:i w:val="0"/>
          <w:iCs w:val="0"/>
          <w:caps w:val="0"/>
          <w:color w:val="000000"/>
          <w:spacing w:val="0"/>
          <w:kern w:val="0"/>
          <w:sz w:val="32"/>
          <w:szCs w:val="32"/>
          <w:shd w:val="clear" w:fill="FFFFFF"/>
          <w:lang w:val="en-US" w:eastAsia="zh-CN" w:bidi="ar"/>
        </w:rPr>
        <w:t>（二）加强财务管理，严格财务审核。在费用报账支付时，按照预算规定的费用项目和用途进行资金使用审核。</w:t>
      </w:r>
    </w:p>
    <w:p w14:paraId="411CAC35">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line="600" w:lineRule="atLeast"/>
        <w:ind w:left="0" w:right="0" w:firstLine="640"/>
        <w:jc w:val="both"/>
        <w:rPr>
          <w:rFonts w:hint="default" w:ascii="Calibri" w:hAnsi="Calibri" w:cs="Calibri"/>
          <w:i w:val="0"/>
          <w:iCs w:val="0"/>
          <w:caps w:val="0"/>
          <w:color w:val="3D3D3D"/>
          <w:spacing w:val="0"/>
          <w:sz w:val="27"/>
          <w:szCs w:val="27"/>
        </w:rPr>
      </w:pPr>
      <w:r>
        <w:rPr>
          <w:rFonts w:hint="default" w:ascii="仿宋_GB2312" w:hAnsi="Calibri" w:eastAsia="仿宋_GB2312" w:cs="仿宋_GB2312"/>
          <w:i w:val="0"/>
          <w:iCs w:val="0"/>
          <w:caps w:val="0"/>
          <w:color w:val="000000"/>
          <w:spacing w:val="0"/>
          <w:kern w:val="0"/>
          <w:sz w:val="32"/>
          <w:szCs w:val="32"/>
          <w:shd w:val="clear" w:fill="FFFFFF"/>
          <w:lang w:val="en-US" w:eastAsia="zh-CN" w:bidi="ar"/>
        </w:rPr>
        <w:t>（三）继续抓好“三公”经费控制管理。严格</w:t>
      </w:r>
      <w:r>
        <w:rPr>
          <w:rFonts w:hint="eastAsia" w:ascii="仿宋_GB2312" w:hAnsi="Calibri" w:eastAsia="仿宋_GB2312" w:cs="仿宋_GB2312"/>
          <w:i w:val="0"/>
          <w:iCs w:val="0"/>
          <w:caps w:val="0"/>
          <w:color w:val="000000"/>
          <w:spacing w:val="0"/>
          <w:kern w:val="0"/>
          <w:sz w:val="32"/>
          <w:szCs w:val="32"/>
          <w:shd w:val="clear" w:fill="FFFFFF"/>
          <w:lang w:val="en-US" w:eastAsia="zh-CN" w:bidi="ar"/>
        </w:rPr>
        <w:t>控</w:t>
      </w:r>
      <w:r>
        <w:rPr>
          <w:rFonts w:hint="default" w:ascii="仿宋_GB2312" w:hAnsi="Calibri" w:eastAsia="仿宋_GB2312" w:cs="仿宋_GB2312"/>
          <w:i w:val="0"/>
          <w:iCs w:val="0"/>
          <w:caps w:val="0"/>
          <w:color w:val="000000"/>
          <w:spacing w:val="0"/>
          <w:kern w:val="0"/>
          <w:sz w:val="32"/>
          <w:szCs w:val="32"/>
          <w:shd w:val="clear" w:fill="FFFFFF"/>
          <w:lang w:val="en-US" w:eastAsia="zh-CN" w:bidi="ar"/>
        </w:rPr>
        <w:t>制“三公”经费的规模和比例</w:t>
      </w:r>
      <w:r>
        <w:rPr>
          <w:rFonts w:hint="default" w:ascii="Times New Roman" w:hAnsi="Times New Roman" w:eastAsia="仿宋_GB2312" w:cs="Times New Roman"/>
          <w:i w:val="0"/>
          <w:iCs w:val="0"/>
          <w:caps w:val="0"/>
          <w:color w:val="000000"/>
          <w:spacing w:val="0"/>
          <w:kern w:val="0"/>
          <w:sz w:val="32"/>
          <w:szCs w:val="32"/>
          <w:shd w:val="clear" w:fill="FFFFFF"/>
          <w:lang w:val="en-US" w:eastAsia="zh-CN" w:bidi="ar"/>
        </w:rPr>
        <w:t> </w:t>
      </w:r>
      <w:r>
        <w:rPr>
          <w:rFonts w:hint="default" w:ascii="仿宋_GB2312" w:hAnsi="Calibri" w:eastAsia="仿宋_GB2312" w:cs="仿宋_GB2312"/>
          <w:i w:val="0"/>
          <w:iCs w:val="0"/>
          <w:caps w:val="0"/>
          <w:color w:val="000000"/>
          <w:spacing w:val="0"/>
          <w:kern w:val="0"/>
          <w:sz w:val="32"/>
          <w:szCs w:val="32"/>
          <w:shd w:val="clear" w:fill="FFFFFF"/>
          <w:lang w:val="en-US" w:eastAsia="zh-CN" w:bidi="ar"/>
        </w:rPr>
        <w:t>，把好“三公”经费支出的审核、审批关。</w:t>
      </w:r>
    </w:p>
    <w:p w14:paraId="74D7BDE8">
      <w:pPr>
        <w:pStyle w:val="13"/>
        <w:jc w:val="both"/>
        <w:rPr>
          <w:sz w:val="72"/>
          <w:szCs w:val="72"/>
        </w:rPr>
      </w:pPr>
    </w:p>
    <w:p w14:paraId="208106BB">
      <w:pPr>
        <w:pStyle w:val="13"/>
        <w:jc w:val="both"/>
        <w:rPr>
          <w:sz w:val="72"/>
          <w:szCs w:val="72"/>
        </w:rPr>
      </w:pPr>
    </w:p>
    <w:p w14:paraId="23BE5071">
      <w:pPr>
        <w:pStyle w:val="13"/>
        <w:jc w:val="both"/>
        <w:rPr>
          <w:sz w:val="72"/>
          <w:szCs w:val="72"/>
        </w:rPr>
      </w:pPr>
    </w:p>
    <w:p w14:paraId="2B5F8E27">
      <w:pPr>
        <w:pStyle w:val="13"/>
        <w:jc w:val="both"/>
        <w:rPr>
          <w:sz w:val="72"/>
          <w:szCs w:val="72"/>
        </w:rPr>
      </w:pPr>
    </w:p>
    <w:p w14:paraId="26041A29">
      <w:pPr>
        <w:pStyle w:val="13"/>
        <w:jc w:val="both"/>
        <w:rPr>
          <w:sz w:val="72"/>
          <w:szCs w:val="72"/>
        </w:rPr>
      </w:pPr>
    </w:p>
    <w:p w14:paraId="054CFF8C">
      <w:pPr>
        <w:pStyle w:val="13"/>
        <w:jc w:val="center"/>
        <w:rPr>
          <w:sz w:val="72"/>
          <w:szCs w:val="72"/>
        </w:rPr>
      </w:pPr>
    </w:p>
    <w:p w14:paraId="6777B064">
      <w:pPr>
        <w:pStyle w:val="13"/>
        <w:jc w:val="center"/>
        <w:rPr>
          <w:sz w:val="72"/>
          <w:szCs w:val="72"/>
        </w:rPr>
      </w:pPr>
    </w:p>
    <w:p w14:paraId="40B4F341">
      <w:pPr>
        <w:pStyle w:val="13"/>
        <w:jc w:val="both"/>
        <w:rPr>
          <w:rFonts w:hint="eastAsia" w:ascii="方正小标宋_GBK" w:hAnsi="方正小标宋_GBK" w:eastAsia="方正小标宋_GBK" w:cs="方正小标宋_GBK"/>
          <w:sz w:val="72"/>
          <w:szCs w:val="72"/>
        </w:rPr>
      </w:pPr>
    </w:p>
    <w:p w14:paraId="6D23D6D1">
      <w:pPr>
        <w:pStyle w:val="13"/>
        <w:jc w:val="center"/>
        <w:rPr>
          <w:rFonts w:hint="eastAsia" w:ascii="方正小标宋_GBK" w:hAnsi="方正小标宋_GBK" w:eastAsia="方正小标宋_GBK" w:cs="方正小标宋_GBK"/>
          <w:sz w:val="72"/>
          <w:szCs w:val="72"/>
        </w:rPr>
      </w:pPr>
      <w:r>
        <w:rPr>
          <w:rFonts w:hint="eastAsia" w:ascii="方正小标宋_GBK" w:hAnsi="方正小标宋_GBK" w:eastAsia="方正小标宋_GBK" w:cs="方正小标宋_GBK"/>
          <w:sz w:val="72"/>
          <w:szCs w:val="72"/>
        </w:rPr>
        <w:t>第四部分</w:t>
      </w:r>
    </w:p>
    <w:p w14:paraId="435223F5">
      <w:pPr>
        <w:jc w:val="center"/>
        <w:rPr>
          <w:rFonts w:hint="eastAsia" w:ascii="方正小标宋_GBK" w:hAnsi="方正小标宋_GBK" w:eastAsia="方正小标宋_GBK" w:cs="方正小标宋_GBK"/>
          <w:color w:val="000000"/>
          <w:kern w:val="0"/>
          <w:sz w:val="70"/>
          <w:szCs w:val="70"/>
        </w:rPr>
      </w:pPr>
    </w:p>
    <w:p w14:paraId="1F0EC361">
      <w:pPr>
        <w:jc w:val="center"/>
        <w:rPr>
          <w:rFonts w:hint="eastAsia" w:ascii="方正小标宋_GBK" w:hAnsi="方正小标宋_GBK" w:eastAsia="方正小标宋_GBK" w:cs="方正小标宋_GBK"/>
          <w:color w:val="000000"/>
          <w:kern w:val="0"/>
          <w:sz w:val="70"/>
          <w:szCs w:val="70"/>
        </w:rPr>
      </w:pPr>
      <w:r>
        <w:rPr>
          <w:rFonts w:hint="eastAsia" w:ascii="方正小标宋_GBK" w:hAnsi="方正小标宋_GBK" w:eastAsia="方正小标宋_GBK" w:cs="方正小标宋_GBK"/>
          <w:color w:val="000000"/>
          <w:kern w:val="0"/>
          <w:sz w:val="70"/>
          <w:szCs w:val="70"/>
        </w:rPr>
        <w:t>名词解释</w:t>
      </w:r>
    </w:p>
    <w:p w14:paraId="0FD814D6">
      <w:pPr>
        <w:widowControl/>
        <w:jc w:val="left"/>
        <w:rPr>
          <w:rFonts w:cs="黑体" w:asciiTheme="minorEastAsia" w:hAnsiTheme="minorEastAsia"/>
          <w:color w:val="000000"/>
          <w:kern w:val="0"/>
          <w:sz w:val="32"/>
          <w:szCs w:val="32"/>
        </w:rPr>
      </w:pPr>
      <w:r>
        <w:rPr>
          <w:rFonts w:hint="eastAsia" w:ascii="方正小标宋_GBK" w:hAnsi="方正小标宋_GBK" w:eastAsia="方正小标宋_GBK" w:cs="方正小标宋_GBK"/>
          <w:color w:val="000000"/>
          <w:kern w:val="0"/>
          <w:sz w:val="70"/>
          <w:szCs w:val="70"/>
        </w:rPr>
        <w:br w:type="page"/>
      </w:r>
    </w:p>
    <w:p w14:paraId="4A8CB166">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640"/>
        <w:jc w:val="left"/>
        <w:rPr>
          <w:rFonts w:ascii="Calibri" w:hAnsi="Calibri" w:cs="Calibri"/>
          <w:i w:val="0"/>
          <w:iCs w:val="0"/>
          <w:caps w:val="0"/>
          <w:color w:val="3D3D3D"/>
          <w:spacing w:val="0"/>
          <w:sz w:val="27"/>
          <w:szCs w:val="27"/>
        </w:rPr>
      </w:pPr>
      <w:r>
        <w:rPr>
          <w:rFonts w:ascii="仿宋" w:hAnsi="仿宋" w:eastAsia="仿宋" w:cs="仿宋"/>
          <w:i w:val="0"/>
          <w:iCs w:val="0"/>
          <w:caps w:val="0"/>
          <w:color w:val="000000"/>
          <w:spacing w:val="0"/>
          <w:sz w:val="32"/>
          <w:szCs w:val="32"/>
          <w:shd w:val="clear" w:fill="FFFFFF"/>
        </w:rPr>
        <w:t>一、机关运行经费：为保障行政单位（包括参照公务员法管理的事业单位）运行，用一般预算拨款安排，用于购买货物和服务的各项资金，包括办公及印刷费、邮电费、差旅费、会议费、福利费、日常维修费，办公用房水电费、办公用房取暖费、办公用房物业管理费、公务用车运行维护费以及其他费用，即为行政单位和参照公务员法管理事业单位一般公共预算财政拨款基本支出中的公用经费支出。</w:t>
      </w:r>
    </w:p>
    <w:p w14:paraId="1ACFF28E">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640"/>
        <w:jc w:val="left"/>
        <w:rPr>
          <w:rFonts w:hint="default" w:ascii="Calibri" w:hAnsi="Calibri" w:cs="Calibri"/>
          <w:i w:val="0"/>
          <w:iCs w:val="0"/>
          <w:caps w:val="0"/>
          <w:color w:val="3D3D3D"/>
          <w:spacing w:val="0"/>
          <w:sz w:val="27"/>
          <w:szCs w:val="27"/>
        </w:rPr>
      </w:pPr>
      <w:r>
        <w:rPr>
          <w:rFonts w:hint="eastAsia" w:ascii="仿宋" w:hAnsi="仿宋" w:eastAsia="仿宋" w:cs="仿宋"/>
          <w:i w:val="0"/>
          <w:iCs w:val="0"/>
          <w:caps w:val="0"/>
          <w:color w:val="000000"/>
          <w:spacing w:val="0"/>
          <w:sz w:val="32"/>
          <w:szCs w:val="32"/>
          <w:shd w:val="clear" w:fill="FFFFFF"/>
        </w:rPr>
        <w:t>二、“三公”经费：纳入财政预算管理的“三公”经费，是指用一般公共预算拨款安排的公务接待费、公务用车购置及运行维护费和因公出国（境）费。其中，公务接待费反映单位按规定开支的各类公务接待支出；公务用车购置</w:t>
      </w:r>
      <w:r>
        <w:rPr>
          <w:rFonts w:hint="eastAsia" w:ascii="仿宋" w:hAnsi="仿宋" w:eastAsia="仿宋" w:cs="仿宋"/>
          <w:i w:val="0"/>
          <w:iCs w:val="0"/>
          <w:caps w:val="0"/>
          <w:color w:val="000000"/>
          <w:spacing w:val="0"/>
          <w:sz w:val="32"/>
          <w:szCs w:val="32"/>
          <w:shd w:val="clear" w:fill="FFFFFF"/>
          <w:lang w:eastAsia="zh-CN"/>
        </w:rPr>
        <w:t>及</w:t>
      </w:r>
      <w:r>
        <w:rPr>
          <w:rFonts w:hint="eastAsia" w:ascii="仿宋" w:hAnsi="仿宋" w:eastAsia="仿宋" w:cs="仿宋"/>
          <w:i w:val="0"/>
          <w:iCs w:val="0"/>
          <w:caps w:val="0"/>
          <w:color w:val="000000"/>
          <w:spacing w:val="0"/>
          <w:sz w:val="32"/>
          <w:szCs w:val="32"/>
          <w:shd w:val="clear" w:fill="FFFFFF"/>
        </w:rPr>
        <w:t>运行</w:t>
      </w:r>
      <w:r>
        <w:rPr>
          <w:rFonts w:hint="eastAsia" w:ascii="仿宋" w:hAnsi="仿宋" w:eastAsia="仿宋" w:cs="仿宋"/>
          <w:i w:val="0"/>
          <w:iCs w:val="0"/>
          <w:caps w:val="0"/>
          <w:color w:val="000000"/>
          <w:spacing w:val="0"/>
          <w:sz w:val="32"/>
          <w:szCs w:val="32"/>
          <w:shd w:val="clear" w:fill="FFFFFF"/>
          <w:lang w:eastAsia="zh-CN"/>
        </w:rPr>
        <w:t>维护</w:t>
      </w:r>
      <w:bookmarkStart w:id="0" w:name="_GoBack"/>
      <w:bookmarkEnd w:id="0"/>
      <w:r>
        <w:rPr>
          <w:rFonts w:hint="eastAsia" w:ascii="仿宋" w:hAnsi="仿宋" w:eastAsia="仿宋" w:cs="仿宋"/>
          <w:i w:val="0"/>
          <w:iCs w:val="0"/>
          <w:caps w:val="0"/>
          <w:color w:val="000000"/>
          <w:spacing w:val="0"/>
          <w:sz w:val="32"/>
          <w:szCs w:val="32"/>
          <w:shd w:val="clear" w:fill="FFFFFF"/>
        </w:rPr>
        <w:t>费反映单位公务用车车辆购置支出（含车辆购置税），以及燃料费、维修费、保险费等支出；因公出国（境）费反映单位公务出国（境）的国际旅费、国外城市间交通费、食宿费等支出。</w:t>
      </w:r>
    </w:p>
    <w:p w14:paraId="08F0566B">
      <w:pPr>
        <w:pStyle w:val="13"/>
        <w:jc w:val="center"/>
        <w:rPr>
          <w:sz w:val="72"/>
          <w:szCs w:val="72"/>
        </w:rPr>
      </w:pPr>
    </w:p>
    <w:p w14:paraId="2E563FD8">
      <w:pPr>
        <w:pStyle w:val="13"/>
        <w:jc w:val="center"/>
        <w:rPr>
          <w:sz w:val="72"/>
          <w:szCs w:val="72"/>
        </w:rPr>
      </w:pPr>
    </w:p>
    <w:p w14:paraId="599EB842">
      <w:pPr>
        <w:pStyle w:val="13"/>
        <w:jc w:val="center"/>
        <w:rPr>
          <w:sz w:val="72"/>
          <w:szCs w:val="72"/>
        </w:rPr>
      </w:pPr>
    </w:p>
    <w:p w14:paraId="36F4D711">
      <w:pPr>
        <w:pStyle w:val="13"/>
        <w:jc w:val="center"/>
        <w:rPr>
          <w:sz w:val="72"/>
          <w:szCs w:val="72"/>
        </w:rPr>
      </w:pPr>
    </w:p>
    <w:p w14:paraId="72B9540A">
      <w:pPr>
        <w:pStyle w:val="13"/>
        <w:jc w:val="center"/>
        <w:rPr>
          <w:sz w:val="72"/>
          <w:szCs w:val="72"/>
        </w:rPr>
      </w:pPr>
    </w:p>
    <w:p w14:paraId="604AD4A9">
      <w:pPr>
        <w:pStyle w:val="13"/>
        <w:jc w:val="center"/>
        <w:rPr>
          <w:sz w:val="72"/>
          <w:szCs w:val="72"/>
        </w:rPr>
      </w:pPr>
    </w:p>
    <w:p w14:paraId="5ECE44EE">
      <w:pPr>
        <w:pStyle w:val="13"/>
        <w:jc w:val="center"/>
        <w:rPr>
          <w:sz w:val="72"/>
          <w:szCs w:val="72"/>
        </w:rPr>
      </w:pPr>
    </w:p>
    <w:p w14:paraId="5C744DB1">
      <w:pPr>
        <w:pStyle w:val="13"/>
        <w:jc w:val="center"/>
        <w:rPr>
          <w:sz w:val="72"/>
          <w:szCs w:val="72"/>
        </w:rPr>
      </w:pPr>
    </w:p>
    <w:p w14:paraId="4BEDDD8E">
      <w:pPr>
        <w:rPr>
          <w:rFonts w:hint="eastAsia" w:ascii="方正小标宋_GBK" w:hAnsi="方正小标宋_GBK" w:eastAsia="方正小标宋_GBK" w:cs="方正小标宋_GBK"/>
          <w:sz w:val="72"/>
          <w:szCs w:val="72"/>
        </w:rPr>
      </w:pPr>
      <w:r>
        <w:rPr>
          <w:sz w:val="72"/>
          <w:szCs w:val="72"/>
        </w:rPr>
        <w:br w:type="page"/>
      </w:r>
    </w:p>
    <w:p w14:paraId="06568277">
      <w:pPr>
        <w:pStyle w:val="13"/>
        <w:jc w:val="center"/>
        <w:rPr>
          <w:rFonts w:hint="eastAsia" w:ascii="方正小标宋_GBK" w:hAnsi="方正小标宋_GBK" w:eastAsia="方正小标宋_GBK" w:cs="方正小标宋_GBK"/>
          <w:sz w:val="72"/>
          <w:szCs w:val="72"/>
        </w:rPr>
      </w:pPr>
    </w:p>
    <w:p w14:paraId="6E645347">
      <w:pPr>
        <w:pStyle w:val="13"/>
        <w:jc w:val="center"/>
        <w:rPr>
          <w:rFonts w:hint="eastAsia" w:ascii="方正小标宋_GBK" w:hAnsi="方正小标宋_GBK" w:eastAsia="方正小标宋_GBK" w:cs="方正小标宋_GBK"/>
          <w:sz w:val="72"/>
          <w:szCs w:val="72"/>
        </w:rPr>
      </w:pPr>
      <w:r>
        <w:rPr>
          <w:rFonts w:hint="eastAsia" w:ascii="方正小标宋_GBK" w:hAnsi="方正小标宋_GBK" w:eastAsia="方正小标宋_GBK" w:cs="方正小标宋_GBK"/>
          <w:sz w:val="72"/>
          <w:szCs w:val="72"/>
        </w:rPr>
        <w:t>第</w:t>
      </w:r>
      <w:r>
        <w:rPr>
          <w:rFonts w:hint="eastAsia" w:ascii="方正小标宋_GBK" w:hAnsi="方正小标宋_GBK" w:eastAsia="方正小标宋_GBK" w:cs="方正小标宋_GBK"/>
          <w:sz w:val="72"/>
          <w:szCs w:val="72"/>
          <w:lang w:eastAsia="zh-CN"/>
        </w:rPr>
        <w:t>五</w:t>
      </w:r>
      <w:r>
        <w:rPr>
          <w:rFonts w:hint="eastAsia" w:ascii="方正小标宋_GBK" w:hAnsi="方正小标宋_GBK" w:eastAsia="方正小标宋_GBK" w:cs="方正小标宋_GBK"/>
          <w:sz w:val="72"/>
          <w:szCs w:val="72"/>
        </w:rPr>
        <w:t>部分</w:t>
      </w:r>
    </w:p>
    <w:p w14:paraId="10219B8A">
      <w:pPr>
        <w:pStyle w:val="13"/>
        <w:jc w:val="center"/>
        <w:rPr>
          <w:rFonts w:hint="eastAsia" w:ascii="方正小标宋_GBK" w:hAnsi="方正小标宋_GBK" w:eastAsia="方正小标宋_GBK" w:cs="方正小标宋_GBK"/>
          <w:sz w:val="70"/>
          <w:szCs w:val="70"/>
        </w:rPr>
      </w:pPr>
    </w:p>
    <w:p w14:paraId="2130A603">
      <w:pPr>
        <w:pStyle w:val="13"/>
        <w:jc w:val="center"/>
        <w:rPr>
          <w:rFonts w:hint="eastAsia" w:eastAsia="黑体"/>
          <w:sz w:val="72"/>
          <w:szCs w:val="72"/>
          <w:lang w:eastAsia="zh-CN"/>
        </w:rPr>
      </w:pPr>
      <w:r>
        <w:rPr>
          <w:rFonts w:hint="eastAsia" w:ascii="方正小标宋_GBK" w:hAnsi="方正小标宋_GBK" w:eastAsia="方正小标宋_GBK" w:cs="方正小标宋_GBK"/>
          <w:sz w:val="70"/>
          <w:szCs w:val="70"/>
          <w:lang w:eastAsia="zh-CN"/>
        </w:rPr>
        <w:t>附</w:t>
      </w:r>
      <w:r>
        <w:rPr>
          <w:rFonts w:hint="eastAsia" w:ascii="方正小标宋_GBK" w:hAnsi="方正小标宋_GBK" w:eastAsia="方正小标宋_GBK" w:cs="方正小标宋_GBK"/>
          <w:sz w:val="70"/>
          <w:szCs w:val="70"/>
          <w:lang w:val="en-US" w:eastAsia="zh-CN"/>
        </w:rPr>
        <w:t xml:space="preserve"> </w:t>
      </w:r>
      <w:r>
        <w:rPr>
          <w:rFonts w:hint="eastAsia" w:ascii="方正小标宋_GBK" w:hAnsi="方正小标宋_GBK" w:eastAsia="方正小标宋_GBK" w:cs="方正小标宋_GBK"/>
          <w:sz w:val="70"/>
          <w:szCs w:val="70"/>
          <w:lang w:eastAsia="zh-CN"/>
        </w:rPr>
        <w:t>件</w:t>
      </w:r>
    </w:p>
    <w:p w14:paraId="6F4B6730">
      <w:pPr>
        <w:rPr>
          <w:sz w:val="72"/>
          <w:szCs w:val="72"/>
        </w:rPr>
      </w:pPr>
      <w:r>
        <w:rPr>
          <w:sz w:val="72"/>
          <w:szCs w:val="72"/>
        </w:rPr>
        <w:br w:type="page"/>
      </w:r>
    </w:p>
    <w:p w14:paraId="4386D2AA">
      <w:pPr>
        <w:pStyle w:val="13"/>
        <w:keepNext w:val="0"/>
        <w:keepLines w:val="0"/>
        <w:pageBreakBefore w:val="0"/>
        <w:widowControl w:val="0"/>
        <w:kinsoku/>
        <w:wordWrap/>
        <w:overflowPunct/>
        <w:topLinePunct w:val="0"/>
        <w:bidi w:val="0"/>
        <w:snapToGrid/>
        <w:spacing w:line="600" w:lineRule="exact"/>
        <w:ind w:firstLine="640" w:firstLineChars="200"/>
        <w:jc w:val="left"/>
        <w:textAlignment w:val="auto"/>
        <w:rPr>
          <w:rFonts w:hint="eastAsia" w:ascii="Times New Roman" w:hAnsi="Times New Roman" w:eastAsia="仿宋_GB2312"/>
          <w:sz w:val="32"/>
          <w:szCs w:val="32"/>
          <w:lang w:val="en-US" w:eastAsia="zh-CN"/>
        </w:rPr>
      </w:pPr>
      <w:r>
        <w:rPr>
          <w:rFonts w:hint="eastAsia" w:ascii="楷体" w:hAnsi="楷体" w:eastAsia="楷体" w:cs="楷体"/>
          <w:b/>
          <w:bCs/>
          <w:sz w:val="32"/>
          <w:szCs w:val="32"/>
          <w:lang w:eastAsia="zh-CN"/>
        </w:rPr>
        <w:t>一、</w:t>
      </w:r>
      <w:r>
        <w:rPr>
          <w:rFonts w:hint="default" w:ascii="Times New Roman" w:hAnsi="Times New Roman" w:eastAsia="仿宋_GB2312"/>
          <w:sz w:val="32"/>
          <w:szCs w:val="32"/>
          <w:lang w:val="en-US" w:eastAsia="zh-CN"/>
        </w:rPr>
        <w:t>2025</w:t>
      </w:r>
      <w:r>
        <w:rPr>
          <w:rFonts w:hint="eastAsia" w:ascii="Times New Roman" w:hAnsi="Times New Roman" w:eastAsia="仿宋_GB2312"/>
          <w:sz w:val="32"/>
          <w:szCs w:val="32"/>
          <w:lang w:val="en-US" w:eastAsia="zh-CN"/>
        </w:rPr>
        <w:t>年度部门(单位)整体支出绩效自评报告。</w:t>
      </w:r>
    </w:p>
    <w:p w14:paraId="4A36196A">
      <w:pPr>
        <w:pStyle w:val="13"/>
        <w:ind w:firstLine="1280" w:firstLineChars="400"/>
        <w:rPr>
          <w:rFonts w:hint="eastAsia" w:cs="黑体" w:asciiTheme="minorEastAsia" w:hAnsiTheme="minorEastAsia" w:eastAsiaTheme="minorEastAsia"/>
          <w:color w:val="000000"/>
          <w:kern w:val="0"/>
          <w:sz w:val="32"/>
          <w:szCs w:val="32"/>
          <w:lang w:val="en-US" w:eastAsia="zh-CN" w:bidi="ar-SA"/>
        </w:rPr>
      </w:pPr>
      <w:r>
        <w:rPr>
          <w:rFonts w:hint="eastAsia" w:cs="黑体" w:asciiTheme="minorEastAsia" w:hAnsiTheme="minorEastAsia" w:eastAsiaTheme="minorEastAsia"/>
          <w:color w:val="000000"/>
          <w:kern w:val="0"/>
          <w:sz w:val="32"/>
          <w:szCs w:val="32"/>
          <w:lang w:val="en-US" w:eastAsia="zh-CN" w:bidi="ar-SA"/>
        </w:rPr>
        <w:t>………</w:t>
      </w:r>
    </w:p>
    <w:p w14:paraId="7DDFDE29">
      <w:pPr>
        <w:pStyle w:val="13"/>
        <w:keepNext w:val="0"/>
        <w:keepLines w:val="0"/>
        <w:pageBreakBefore w:val="0"/>
        <w:widowControl w:val="0"/>
        <w:kinsoku/>
        <w:wordWrap/>
        <w:overflowPunct/>
        <w:topLinePunct w:val="0"/>
        <w:bidi w:val="0"/>
        <w:snapToGrid/>
        <w:spacing w:line="600" w:lineRule="exact"/>
        <w:ind w:firstLine="640" w:firstLineChars="200"/>
        <w:jc w:val="left"/>
        <w:textAlignment w:val="auto"/>
        <w:rPr>
          <w:rFonts w:hint="eastAsia" w:ascii="Times New Roman" w:hAnsi="Times New Roman" w:eastAsia="仿宋_GB2312"/>
          <w:sz w:val="32"/>
          <w:szCs w:val="32"/>
          <w:lang w:val="en-US" w:eastAsia="zh-CN"/>
        </w:rPr>
      </w:pPr>
    </w:p>
    <w:p w14:paraId="42F59CFC">
      <w:pPr>
        <w:pStyle w:val="13"/>
        <w:jc w:val="center"/>
        <w:rPr>
          <w:sz w:val="72"/>
          <w:szCs w:val="72"/>
        </w:rPr>
      </w:pPr>
    </w:p>
    <w:p w14:paraId="09860929">
      <w:pPr>
        <w:pStyle w:val="13"/>
        <w:jc w:val="center"/>
        <w:rPr>
          <w:sz w:val="72"/>
          <w:szCs w:val="72"/>
        </w:rPr>
      </w:pPr>
    </w:p>
    <w:p w14:paraId="1D92FB14">
      <w:pPr>
        <w:jc w:val="left"/>
        <w:rPr>
          <w:rFonts w:cs="黑体" w:asciiTheme="minorEastAsia" w:hAnsiTheme="minorEastAsia"/>
          <w:color w:val="000000"/>
          <w:kern w:val="0"/>
          <w:sz w:val="32"/>
          <w:szCs w:val="32"/>
        </w:rPr>
      </w:pPr>
    </w:p>
    <w:sectPr>
      <w:pgSz w:w="11906" w:h="16838"/>
      <w:pgMar w:top="720" w:right="720" w:bottom="720" w:left="720"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00007A87" w:usb1="80000000" w:usb2="00000008"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altName w:val="Noto Music"/>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Noto Music"/>
    <w:panose1 w:val="05050102010706020507"/>
    <w:charset w:val="02"/>
    <w:family w:val="roman"/>
    <w:pitch w:val="default"/>
    <w:sig w:usb0="00000000" w:usb1="00000000" w:usb2="00000000" w:usb3="00000000" w:csb0="80000000" w:csb1="00000000"/>
  </w:font>
  <w:font w:name="Calibri">
    <w:altName w:val="Times New Roman"/>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楷体">
    <w:altName w:val="方正楷体_GBK"/>
    <w:panose1 w:val="02010609060101010101"/>
    <w:charset w:val="86"/>
    <w:family w:val="auto"/>
    <w:pitch w:val="default"/>
    <w:sig w:usb0="00000000" w:usb1="00000000" w:usb2="00000016" w:usb3="00000000" w:csb0="00040001" w:csb1="00000000"/>
  </w:font>
  <w:font w:name="方正楷体_GBK">
    <w:panose1 w:val="02000000000000000000"/>
    <w:charset w:val="86"/>
    <w:family w:val="auto"/>
    <w:pitch w:val="default"/>
    <w:sig w:usb0="00000001" w:usb1="08000000" w:usb2="00000000" w:usb3="00000000" w:csb0="00040000" w:csb1="00000000"/>
  </w:font>
  <w:font w:name="方正小标宋_GBK">
    <w:panose1 w:val="02000000000000000000"/>
    <w:charset w:val="86"/>
    <w:family w:val="script"/>
    <w:pitch w:val="default"/>
    <w:sig w:usb0="00000001" w:usb1="08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altName w:val="方正仿宋_GBK"/>
    <w:panose1 w:val="02010609060101010101"/>
    <w:charset w:val="86"/>
    <w:family w:val="auto"/>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微软雅黑">
    <w:altName w:val="方正黑体_GBK"/>
    <w:panose1 w:val="020B0503020204020204"/>
    <w:charset w:val="86"/>
    <w:family w:val="auto"/>
    <w:pitch w:val="default"/>
    <w:sig w:usb0="00000000" w:usb1="00000000" w:usb2="00000016" w:usb3="00000000" w:csb0="0004001F" w:csb1="00000000"/>
  </w:font>
  <w:font w:name="文泉驿微米黑">
    <w:panose1 w:val="020B0606030804020204"/>
    <w:charset w:val="86"/>
    <w:family w:val="auto"/>
    <w:pitch w:val="default"/>
    <w:sig w:usb0="E10002EF" w:usb1="6BDFFCFB" w:usb2="00800036" w:usb3="00000000" w:csb0="603E019F" w:csb1="DFD7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491CA6D"/>
    <w:multiLevelType w:val="singleLevel"/>
    <w:tmpl w:val="8491CA6D"/>
    <w:lvl w:ilvl="0" w:tentative="0">
      <w:start w:val="7"/>
      <w:numFmt w:val="chineseCounting"/>
      <w:suff w:val="nothing"/>
      <w:lvlText w:val="%1、"/>
      <w:lvlJc w:val="left"/>
      <w:rPr>
        <w:rFonts w:hint="eastAsia"/>
      </w:rPr>
    </w:lvl>
  </w:abstractNum>
  <w:abstractNum w:abstractNumId="1">
    <w:nsid w:val="373518C1"/>
    <w:multiLevelType w:val="multilevel"/>
    <w:tmpl w:val="373518C1"/>
    <w:lvl w:ilvl="0" w:tentative="0">
      <w:start w:val="1"/>
      <w:numFmt w:val="none"/>
      <w:lvlText w:val="一、"/>
      <w:lvlJc w:val="left"/>
      <w:pPr>
        <w:ind w:left="720" w:hanging="7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2Y3OTRjMzA3MWY1ZDRiNDI3NjE0ZDIyZDA3N2MzYjYifQ=="/>
  </w:docVars>
  <w:rsids>
    <w:rsidRoot w:val="004506F9"/>
    <w:rsid w:val="0002229B"/>
    <w:rsid w:val="000273BD"/>
    <w:rsid w:val="00040CBC"/>
    <w:rsid w:val="000415B7"/>
    <w:rsid w:val="00041E3F"/>
    <w:rsid w:val="00055DAA"/>
    <w:rsid w:val="00061F7B"/>
    <w:rsid w:val="000658A3"/>
    <w:rsid w:val="00074155"/>
    <w:rsid w:val="000A3F69"/>
    <w:rsid w:val="00103957"/>
    <w:rsid w:val="00152C6D"/>
    <w:rsid w:val="00162D39"/>
    <w:rsid w:val="001678BD"/>
    <w:rsid w:val="00182373"/>
    <w:rsid w:val="001A67DB"/>
    <w:rsid w:val="001C3C29"/>
    <w:rsid w:val="001D51E5"/>
    <w:rsid w:val="001E080D"/>
    <w:rsid w:val="001E53D0"/>
    <w:rsid w:val="001F0C3B"/>
    <w:rsid w:val="00202C82"/>
    <w:rsid w:val="00214427"/>
    <w:rsid w:val="00226CB7"/>
    <w:rsid w:val="00264552"/>
    <w:rsid w:val="00264EF9"/>
    <w:rsid w:val="00265724"/>
    <w:rsid w:val="0027426B"/>
    <w:rsid w:val="002E0A30"/>
    <w:rsid w:val="003130C4"/>
    <w:rsid w:val="00316C4B"/>
    <w:rsid w:val="0032192B"/>
    <w:rsid w:val="003479BD"/>
    <w:rsid w:val="0037197D"/>
    <w:rsid w:val="003768D5"/>
    <w:rsid w:val="003926B9"/>
    <w:rsid w:val="003C47E6"/>
    <w:rsid w:val="003C4FC2"/>
    <w:rsid w:val="00416E61"/>
    <w:rsid w:val="0042790C"/>
    <w:rsid w:val="004506F9"/>
    <w:rsid w:val="004717A2"/>
    <w:rsid w:val="00473DF3"/>
    <w:rsid w:val="00487911"/>
    <w:rsid w:val="00491741"/>
    <w:rsid w:val="004B0CEE"/>
    <w:rsid w:val="00500E5F"/>
    <w:rsid w:val="005122EF"/>
    <w:rsid w:val="0051441A"/>
    <w:rsid w:val="00517C33"/>
    <w:rsid w:val="00517D5F"/>
    <w:rsid w:val="00523644"/>
    <w:rsid w:val="0054069E"/>
    <w:rsid w:val="00544866"/>
    <w:rsid w:val="005767CC"/>
    <w:rsid w:val="00590D9F"/>
    <w:rsid w:val="00595D26"/>
    <w:rsid w:val="005A74E6"/>
    <w:rsid w:val="005B404E"/>
    <w:rsid w:val="005D4D55"/>
    <w:rsid w:val="005E2CFB"/>
    <w:rsid w:val="005F2103"/>
    <w:rsid w:val="005F3D1C"/>
    <w:rsid w:val="0062378F"/>
    <w:rsid w:val="00641842"/>
    <w:rsid w:val="00651EEC"/>
    <w:rsid w:val="00686673"/>
    <w:rsid w:val="00691E8C"/>
    <w:rsid w:val="006A22C4"/>
    <w:rsid w:val="006A351B"/>
    <w:rsid w:val="006B0422"/>
    <w:rsid w:val="006C1B53"/>
    <w:rsid w:val="006D7730"/>
    <w:rsid w:val="006E5284"/>
    <w:rsid w:val="006F3EB5"/>
    <w:rsid w:val="00702E34"/>
    <w:rsid w:val="00704395"/>
    <w:rsid w:val="00710FE7"/>
    <w:rsid w:val="00717621"/>
    <w:rsid w:val="00720FF1"/>
    <w:rsid w:val="00727A53"/>
    <w:rsid w:val="00787B42"/>
    <w:rsid w:val="007C4539"/>
    <w:rsid w:val="007F3657"/>
    <w:rsid w:val="00812ED5"/>
    <w:rsid w:val="008277D9"/>
    <w:rsid w:val="0084478C"/>
    <w:rsid w:val="0086638C"/>
    <w:rsid w:val="008A3E8D"/>
    <w:rsid w:val="009237C4"/>
    <w:rsid w:val="00944C48"/>
    <w:rsid w:val="00950252"/>
    <w:rsid w:val="00967F5D"/>
    <w:rsid w:val="009A0F95"/>
    <w:rsid w:val="009B3ADF"/>
    <w:rsid w:val="009C3B52"/>
    <w:rsid w:val="009E6817"/>
    <w:rsid w:val="009E6E9A"/>
    <w:rsid w:val="00A01D2B"/>
    <w:rsid w:val="00A42218"/>
    <w:rsid w:val="00A70249"/>
    <w:rsid w:val="00A70B02"/>
    <w:rsid w:val="00A71D9F"/>
    <w:rsid w:val="00A92E9F"/>
    <w:rsid w:val="00AB18FF"/>
    <w:rsid w:val="00B33BEA"/>
    <w:rsid w:val="00B57C9F"/>
    <w:rsid w:val="00B63572"/>
    <w:rsid w:val="00B845B3"/>
    <w:rsid w:val="00B85D8B"/>
    <w:rsid w:val="00BB4A40"/>
    <w:rsid w:val="00BD6C3E"/>
    <w:rsid w:val="00BE3674"/>
    <w:rsid w:val="00C10681"/>
    <w:rsid w:val="00C3049A"/>
    <w:rsid w:val="00C31B1E"/>
    <w:rsid w:val="00C77645"/>
    <w:rsid w:val="00CE04C3"/>
    <w:rsid w:val="00CE76A0"/>
    <w:rsid w:val="00D148C6"/>
    <w:rsid w:val="00D17A8A"/>
    <w:rsid w:val="00D415BA"/>
    <w:rsid w:val="00D63780"/>
    <w:rsid w:val="00D644EE"/>
    <w:rsid w:val="00DD06FF"/>
    <w:rsid w:val="00DD5FE9"/>
    <w:rsid w:val="00E00C7A"/>
    <w:rsid w:val="00E37D6C"/>
    <w:rsid w:val="00E55B68"/>
    <w:rsid w:val="00E561AE"/>
    <w:rsid w:val="00E67BE6"/>
    <w:rsid w:val="00E8683C"/>
    <w:rsid w:val="00EA2B72"/>
    <w:rsid w:val="00F74360"/>
    <w:rsid w:val="00FB462F"/>
    <w:rsid w:val="00FE16FA"/>
    <w:rsid w:val="00FE328A"/>
    <w:rsid w:val="00FE6269"/>
    <w:rsid w:val="00FF5CD6"/>
    <w:rsid w:val="0D5B35B7"/>
    <w:rsid w:val="16994D72"/>
    <w:rsid w:val="1AFF4A9C"/>
    <w:rsid w:val="1D97DEFF"/>
    <w:rsid w:val="1DFF72E5"/>
    <w:rsid w:val="1EFC6F07"/>
    <w:rsid w:val="229A48AD"/>
    <w:rsid w:val="232C1EE7"/>
    <w:rsid w:val="28E15521"/>
    <w:rsid w:val="2F5F655C"/>
    <w:rsid w:val="2FADC2AF"/>
    <w:rsid w:val="2FDF85B8"/>
    <w:rsid w:val="2FFFEE04"/>
    <w:rsid w:val="33DF43FA"/>
    <w:rsid w:val="34DF85B0"/>
    <w:rsid w:val="34F3965B"/>
    <w:rsid w:val="376B32F0"/>
    <w:rsid w:val="377B4469"/>
    <w:rsid w:val="3B8F36BC"/>
    <w:rsid w:val="3BED7564"/>
    <w:rsid w:val="3C4E2A76"/>
    <w:rsid w:val="3D2E25C3"/>
    <w:rsid w:val="3EFD281E"/>
    <w:rsid w:val="3FACF633"/>
    <w:rsid w:val="3FFFAAD3"/>
    <w:rsid w:val="430F5721"/>
    <w:rsid w:val="491FF225"/>
    <w:rsid w:val="4D3F299F"/>
    <w:rsid w:val="4FFD214C"/>
    <w:rsid w:val="5777D4F5"/>
    <w:rsid w:val="57BFC552"/>
    <w:rsid w:val="59DD8326"/>
    <w:rsid w:val="5AF79E72"/>
    <w:rsid w:val="5B67027F"/>
    <w:rsid w:val="5D3DCC23"/>
    <w:rsid w:val="5DEF592A"/>
    <w:rsid w:val="5F0C4EEA"/>
    <w:rsid w:val="5FC6BB1E"/>
    <w:rsid w:val="5FF720F1"/>
    <w:rsid w:val="65C74ED2"/>
    <w:rsid w:val="67FF5C0B"/>
    <w:rsid w:val="6DFA7AF8"/>
    <w:rsid w:val="6DFB02DC"/>
    <w:rsid w:val="6EFC0924"/>
    <w:rsid w:val="6FB74722"/>
    <w:rsid w:val="6FEF8B7E"/>
    <w:rsid w:val="71A6591B"/>
    <w:rsid w:val="72B79C0E"/>
    <w:rsid w:val="737D59BA"/>
    <w:rsid w:val="77C37683"/>
    <w:rsid w:val="77F99D79"/>
    <w:rsid w:val="79FF515B"/>
    <w:rsid w:val="7E595CE9"/>
    <w:rsid w:val="7E9E1962"/>
    <w:rsid w:val="7E9F11B4"/>
    <w:rsid w:val="7F37EC1E"/>
    <w:rsid w:val="7F57BCEB"/>
    <w:rsid w:val="7F7DB033"/>
    <w:rsid w:val="7F7DCD9D"/>
    <w:rsid w:val="7F7FCC53"/>
    <w:rsid w:val="7F970A6F"/>
    <w:rsid w:val="7FC1FFF3"/>
    <w:rsid w:val="7FC69637"/>
    <w:rsid w:val="7FDF8620"/>
    <w:rsid w:val="7FFB242F"/>
    <w:rsid w:val="7FFDB408"/>
    <w:rsid w:val="7FFE4EEB"/>
    <w:rsid w:val="8F7DD702"/>
    <w:rsid w:val="95FB2B98"/>
    <w:rsid w:val="9A639BC2"/>
    <w:rsid w:val="9FF7D786"/>
    <w:rsid w:val="A6FE61B8"/>
    <w:rsid w:val="ABBFB23D"/>
    <w:rsid w:val="BFFFB635"/>
    <w:rsid w:val="C3B4DA5A"/>
    <w:rsid w:val="C73EA498"/>
    <w:rsid w:val="CBFF70E0"/>
    <w:rsid w:val="CFF50B82"/>
    <w:rsid w:val="CFFFAD89"/>
    <w:rsid w:val="DA9D3FE2"/>
    <w:rsid w:val="DCFF0D8B"/>
    <w:rsid w:val="DFF7B841"/>
    <w:rsid w:val="DFFE359E"/>
    <w:rsid w:val="DFFE4FFD"/>
    <w:rsid w:val="EBED7D52"/>
    <w:rsid w:val="EEABED75"/>
    <w:rsid w:val="EF5F3356"/>
    <w:rsid w:val="F1FB003C"/>
    <w:rsid w:val="F56200B9"/>
    <w:rsid w:val="F56FDF51"/>
    <w:rsid w:val="F573AF7A"/>
    <w:rsid w:val="F6B69F17"/>
    <w:rsid w:val="F77F1D61"/>
    <w:rsid w:val="F7FED3A9"/>
    <w:rsid w:val="F8C9DB26"/>
    <w:rsid w:val="F97E8EAE"/>
    <w:rsid w:val="FB36E1A6"/>
    <w:rsid w:val="FB3BE134"/>
    <w:rsid w:val="FCFF4275"/>
    <w:rsid w:val="FD7FEEEA"/>
    <w:rsid w:val="FDBD4AE5"/>
    <w:rsid w:val="FDC3E5E9"/>
    <w:rsid w:val="FDFC1D5D"/>
    <w:rsid w:val="FDFFB577"/>
    <w:rsid w:val="FE773163"/>
    <w:rsid w:val="FEEA50FE"/>
    <w:rsid w:val="FF339C06"/>
    <w:rsid w:val="FF3EDB41"/>
    <w:rsid w:val="FF473810"/>
    <w:rsid w:val="FF7D47A9"/>
    <w:rsid w:val="FF7F5324"/>
    <w:rsid w:val="FF7F99C8"/>
    <w:rsid w:val="FFC3F497"/>
    <w:rsid w:val="FFCA9155"/>
    <w:rsid w:val="FFCF21CB"/>
    <w:rsid w:val="FFEB5F8D"/>
    <w:rsid w:val="FFEFBE18"/>
    <w:rsid w:val="FFFDC322"/>
    <w:rsid w:val="FFFF1C8B"/>
    <w:rsid w:val="FFFF9DA0"/>
    <w:rsid w:val="FFFFA2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0">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footnote text"/>
    <w:basedOn w:val="1"/>
    <w:next w:val="3"/>
    <w:semiHidden/>
    <w:qFormat/>
    <w:uiPriority w:val="0"/>
    <w:pPr>
      <w:snapToGrid w:val="0"/>
      <w:jc w:val="left"/>
    </w:pPr>
    <w:rPr>
      <w:sz w:val="18"/>
      <w:szCs w:val="18"/>
    </w:rPr>
  </w:style>
  <w:style w:type="paragraph" w:styleId="3">
    <w:name w:val="Body Text First Indent 2"/>
    <w:basedOn w:val="4"/>
    <w:next w:val="1"/>
    <w:unhideWhenUsed/>
    <w:qFormat/>
    <w:uiPriority w:val="99"/>
    <w:pPr>
      <w:ind w:firstLine="420" w:firstLineChars="200"/>
    </w:pPr>
  </w:style>
  <w:style w:type="paragraph" w:styleId="4">
    <w:name w:val="Body Text Indent"/>
    <w:basedOn w:val="1"/>
    <w:next w:val="3"/>
    <w:unhideWhenUsed/>
    <w:qFormat/>
    <w:uiPriority w:val="99"/>
    <w:pPr>
      <w:widowControl/>
      <w:spacing w:after="120"/>
      <w:ind w:left="420" w:leftChars="200"/>
      <w:jc w:val="left"/>
    </w:pPr>
    <w:rPr>
      <w:rFonts w:ascii="宋体" w:hAnsi="宋体" w:eastAsia="宋体" w:cs="宋体"/>
      <w:kern w:val="0"/>
      <w:sz w:val="24"/>
    </w:rPr>
  </w:style>
  <w:style w:type="paragraph" w:styleId="5">
    <w:name w:val="Balloon Text"/>
    <w:basedOn w:val="1"/>
    <w:link w:val="15"/>
    <w:semiHidden/>
    <w:unhideWhenUsed/>
    <w:qFormat/>
    <w:uiPriority w:val="99"/>
    <w:rPr>
      <w:sz w:val="18"/>
      <w:szCs w:val="18"/>
    </w:rPr>
  </w:style>
  <w:style w:type="paragraph" w:styleId="6">
    <w:name w:val="footer"/>
    <w:basedOn w:val="1"/>
    <w:link w:val="12"/>
    <w:unhideWhenUsed/>
    <w:qFormat/>
    <w:uiPriority w:val="99"/>
    <w:pPr>
      <w:tabs>
        <w:tab w:val="center" w:pos="4153"/>
        <w:tab w:val="right" w:pos="8306"/>
      </w:tabs>
      <w:snapToGrid w:val="0"/>
      <w:jc w:val="left"/>
    </w:pPr>
    <w:rPr>
      <w:sz w:val="18"/>
      <w:szCs w:val="18"/>
    </w:rPr>
  </w:style>
  <w:style w:type="paragraph" w:styleId="7">
    <w:name w:val="header"/>
    <w:basedOn w:val="1"/>
    <w:link w:val="11"/>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character" w:customStyle="1" w:styleId="11">
    <w:name w:val="页眉 Char"/>
    <w:basedOn w:val="10"/>
    <w:link w:val="7"/>
    <w:qFormat/>
    <w:uiPriority w:val="99"/>
    <w:rPr>
      <w:sz w:val="18"/>
      <w:szCs w:val="18"/>
    </w:rPr>
  </w:style>
  <w:style w:type="character" w:customStyle="1" w:styleId="12">
    <w:name w:val="页脚 Char"/>
    <w:basedOn w:val="10"/>
    <w:link w:val="6"/>
    <w:qFormat/>
    <w:uiPriority w:val="99"/>
    <w:rPr>
      <w:sz w:val="18"/>
      <w:szCs w:val="18"/>
    </w:rPr>
  </w:style>
  <w:style w:type="paragraph" w:customStyle="1" w:styleId="13">
    <w:name w:val="Default"/>
    <w:qFormat/>
    <w:uiPriority w:val="0"/>
    <w:pPr>
      <w:widowControl w:val="0"/>
      <w:autoSpaceDE w:val="0"/>
      <w:autoSpaceDN w:val="0"/>
      <w:adjustRightInd w:val="0"/>
    </w:pPr>
    <w:rPr>
      <w:rFonts w:ascii="黑体" w:eastAsia="黑体" w:cs="黑体" w:hAnsiTheme="minorHAnsi"/>
      <w:color w:val="000000"/>
      <w:kern w:val="0"/>
      <w:sz w:val="24"/>
      <w:szCs w:val="24"/>
      <w:lang w:val="en-US" w:eastAsia="zh-CN" w:bidi="ar-SA"/>
    </w:rPr>
  </w:style>
  <w:style w:type="paragraph" w:styleId="14">
    <w:name w:val="List Paragraph"/>
    <w:basedOn w:val="1"/>
    <w:qFormat/>
    <w:uiPriority w:val="34"/>
    <w:pPr>
      <w:ind w:firstLine="420" w:firstLineChars="200"/>
    </w:pPr>
  </w:style>
  <w:style w:type="character" w:customStyle="1" w:styleId="15">
    <w:name w:val="批注框文本 Char"/>
    <w:basedOn w:val="10"/>
    <w:link w:val="5"/>
    <w:semiHidden/>
    <w:qFormat/>
    <w:uiPriority w:val="99"/>
    <w:rPr>
      <w:sz w:val="18"/>
      <w:szCs w:val="18"/>
    </w:rPr>
  </w:style>
  <w:style w:type="character" w:customStyle="1" w:styleId="16">
    <w:name w:val="font01"/>
    <w:basedOn w:val="10"/>
    <w:qFormat/>
    <w:uiPriority w:val="0"/>
    <w:rPr>
      <w:rFonts w:hint="eastAsia" w:ascii="宋体" w:hAnsi="宋体" w:eastAsia="宋体" w:cs="宋体"/>
      <w:color w:val="000000"/>
      <w:sz w:val="22"/>
      <w:szCs w:val="22"/>
      <w:u w:val="none"/>
    </w:rPr>
  </w:style>
  <w:style w:type="character" w:customStyle="1" w:styleId="17">
    <w:name w:val="font21"/>
    <w:basedOn w:val="10"/>
    <w:qFormat/>
    <w:uiPriority w:val="0"/>
    <w:rPr>
      <w:rFonts w:hint="eastAsia" w:ascii="宋体" w:hAnsi="宋体" w:eastAsia="宋体" w:cs="宋体"/>
      <w:color w:val="000000"/>
      <w:sz w:val="24"/>
      <w:szCs w:val="24"/>
      <w:u w:val="none"/>
    </w:rPr>
  </w:style>
  <w:style w:type="character" w:customStyle="1" w:styleId="18">
    <w:name w:val="font11"/>
    <w:basedOn w:val="10"/>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18</Pages>
  <Words>3924</Words>
  <Characters>4299</Characters>
  <Lines>63</Lines>
  <Paragraphs>18</Paragraphs>
  <TotalTime>16</TotalTime>
  <ScaleCrop>false</ScaleCrop>
  <LinksUpToDate>false</LinksUpToDate>
  <CharactersWithSpaces>4316</CharactersWithSpaces>
  <Application>WPS Office_12.1.2.23578_F1E327BC-269C-435d-A152-05C5408002CA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2020-07-09T02:32:00Z</dcterms:created>
  <dc:creator>李航 null</dc:creator>
  <cp:lastModifiedBy>A梦</cp:lastModifiedBy>
  <cp:lastPrinted>2024-08-09T10:20:00Z</cp:lastPrinted>
  <dcterms:modified xsi:type="dcterms:W3CDTF">2026-10-12T17:28:30Z</dcterms:modified>
  <cp:revision>67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2052-12.1.2.23578</vt:lpwstr>
  </property>
  <property fmtid="{D5CDD505-2E9C-101B-9397-08002B2CF9AE}" pid="3" name="ICV">
    <vt:lpwstr>25F24837A33C8E6C76C8B96A334AD4F4_43</vt:lpwstr>
  </property>
</Properties>
</file>