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6B410">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附件5</w:t>
      </w:r>
    </w:p>
    <w:p w14:paraId="030DFA76">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7C0A8974">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2BBB85AA">
      <w:pPr>
        <w:pStyle w:val="6"/>
        <w:widowControl/>
        <w:shd w:val="clear" w:color="auto" w:fill="FFFFFF"/>
        <w:spacing w:beforeAutospacing="0" w:afterAutospacing="0" w:line="480" w:lineRule="exact"/>
        <w:ind w:firstLine="1200" w:firstLineChars="300"/>
        <w:jc w:val="center"/>
        <w:rPr>
          <w:rFonts w:ascii="方正小标宋_GBK" w:hAnsi="方正小标宋_GBK" w:eastAsia="方正小标宋_GBK" w:cs="方正小标宋_GBK"/>
          <w:color w:val="000000"/>
          <w:sz w:val="40"/>
          <w:szCs w:val="40"/>
          <w:shd w:val="clear" w:color="auto" w:fill="FFFFFF"/>
        </w:rPr>
      </w:pPr>
      <w:r>
        <w:rPr>
          <w:rFonts w:ascii="方正小标宋_GBK" w:hAnsi="方正小标宋_GBK" w:eastAsia="方正小标宋_GBK" w:cs="方正小标宋_GBK"/>
          <w:color w:val="000000"/>
          <w:sz w:val="40"/>
          <w:szCs w:val="40"/>
          <w:shd w:val="clear" w:color="auto" w:fill="FFFFFF"/>
        </w:rPr>
        <w:t>2</w:t>
      </w:r>
      <w:r>
        <w:rPr>
          <w:rFonts w:ascii="Cambria" w:hAnsi="Cambria" w:eastAsia="方正小标宋_GBK" w:cs="方正小标宋_GBK"/>
          <w:color w:val="000000"/>
          <w:sz w:val="40"/>
          <w:szCs w:val="40"/>
          <w:shd w:val="clear" w:color="auto" w:fill="FFFFFF"/>
        </w:rPr>
        <w:t>025</w:t>
      </w:r>
      <w:r>
        <w:rPr>
          <w:rFonts w:hint="eastAsia" w:ascii="方正小标宋_GBK" w:hAnsi="方正小标宋_GBK" w:eastAsia="方正小标宋_GBK" w:cs="方正小标宋_GBK"/>
          <w:color w:val="000000"/>
          <w:sz w:val="40"/>
          <w:szCs w:val="40"/>
          <w:shd w:val="clear" w:color="auto" w:fill="FFFFFF"/>
        </w:rPr>
        <w:t>年度</w:t>
      </w:r>
      <w:r>
        <w:rPr>
          <w:rFonts w:hint="eastAsia" w:ascii="方正小标宋_GBK" w:hAnsi="方正小标宋_GBK" w:eastAsia="方正小标宋_GBK" w:cs="方正小标宋_GBK"/>
          <w:color w:val="000000"/>
          <w:sz w:val="40"/>
          <w:szCs w:val="40"/>
          <w:shd w:val="clear" w:color="auto" w:fill="FFFFFF"/>
          <w:lang w:val="en-US" w:eastAsia="zh-CN"/>
        </w:rPr>
        <w:t>中国民主同盟怀化市委员会</w:t>
      </w:r>
      <w:r>
        <w:rPr>
          <w:rFonts w:hint="eastAsia" w:ascii="方正小标宋_GBK" w:hAnsi="方正小标宋_GBK" w:eastAsia="方正小标宋_GBK" w:cs="方正小标宋_GBK"/>
          <w:color w:val="000000"/>
          <w:sz w:val="40"/>
          <w:szCs w:val="40"/>
          <w:shd w:val="clear" w:color="auto" w:fill="FFFFFF"/>
        </w:rPr>
        <w:t>整体支出绩效自评报告</w:t>
      </w:r>
    </w:p>
    <w:p w14:paraId="40191BC6">
      <w:pPr>
        <w:pStyle w:val="6"/>
        <w:widowControl/>
        <w:shd w:val="clear" w:color="auto" w:fill="FFFFFF"/>
        <w:spacing w:beforeAutospacing="0" w:afterAutospacing="0" w:line="480" w:lineRule="exact"/>
        <w:ind w:firstLine="2800" w:firstLineChars="700"/>
        <w:jc w:val="center"/>
        <w:rPr>
          <w:rFonts w:ascii="方正小标宋_GBK" w:hAnsi="方正小标宋_GBK" w:eastAsia="方正小标宋_GBK" w:cs="方正小标宋_GBK"/>
          <w:color w:val="000000"/>
          <w:sz w:val="40"/>
          <w:szCs w:val="40"/>
          <w:shd w:val="clear" w:color="auto" w:fill="FFFFFF"/>
        </w:rPr>
      </w:pPr>
    </w:p>
    <w:p w14:paraId="1BF2C180">
      <w:pPr>
        <w:snapToGrid w:val="0"/>
        <w:spacing w:line="520" w:lineRule="exact"/>
        <w:ind w:firstLine="643" w:firstLineChars="200"/>
        <w:rPr>
          <w:rFonts w:ascii="方正黑体_GBK" w:hAnsi="方正黑体_GBK" w:eastAsia="方正黑体_GBK" w:cs="方正黑体_GBK"/>
          <w:b/>
          <w:bCs/>
          <w:sz w:val="32"/>
          <w:szCs w:val="32"/>
        </w:rPr>
      </w:pPr>
    </w:p>
    <w:p w14:paraId="016CECA1">
      <w:pPr>
        <w:snapToGrid w:val="0"/>
        <w:spacing w:line="520" w:lineRule="exact"/>
        <w:ind w:firstLine="643" w:firstLineChars="200"/>
        <w:rPr>
          <w:rFonts w:ascii="方正黑体_GBK" w:hAnsi="方正黑体_GBK" w:eastAsia="方正黑体_GBK" w:cs="方正黑体_GBK"/>
          <w:b/>
          <w:bCs/>
          <w:sz w:val="32"/>
          <w:szCs w:val="32"/>
        </w:rPr>
      </w:pPr>
    </w:p>
    <w:p w14:paraId="0104DEA0">
      <w:pPr>
        <w:snapToGrid w:val="0"/>
        <w:spacing w:line="520" w:lineRule="exact"/>
        <w:ind w:firstLine="643" w:firstLineChars="200"/>
        <w:rPr>
          <w:rFonts w:ascii="方正黑体_GBK" w:hAnsi="方正黑体_GBK" w:eastAsia="方正黑体_GBK" w:cs="方正黑体_GBK"/>
          <w:b/>
          <w:bCs/>
          <w:sz w:val="32"/>
          <w:szCs w:val="32"/>
        </w:rPr>
      </w:pPr>
    </w:p>
    <w:p w14:paraId="0E128BDB">
      <w:pPr>
        <w:snapToGrid w:val="0"/>
        <w:spacing w:line="520" w:lineRule="exact"/>
        <w:ind w:firstLine="643" w:firstLineChars="200"/>
        <w:rPr>
          <w:rFonts w:ascii="方正黑体_GBK" w:hAnsi="方正黑体_GBK" w:eastAsia="方正黑体_GBK" w:cs="方正黑体_GBK"/>
          <w:b/>
          <w:bCs/>
          <w:sz w:val="32"/>
          <w:szCs w:val="32"/>
        </w:rPr>
      </w:pPr>
    </w:p>
    <w:p w14:paraId="3C6197AF">
      <w:pPr>
        <w:snapToGrid w:val="0"/>
        <w:spacing w:line="520" w:lineRule="exact"/>
        <w:ind w:firstLine="643" w:firstLineChars="200"/>
        <w:rPr>
          <w:rFonts w:ascii="方正黑体_GBK" w:hAnsi="方正黑体_GBK" w:eastAsia="方正黑体_GBK" w:cs="方正黑体_GBK"/>
          <w:b/>
          <w:bCs/>
          <w:sz w:val="32"/>
          <w:szCs w:val="32"/>
        </w:rPr>
      </w:pPr>
    </w:p>
    <w:p w14:paraId="0B0FC158">
      <w:pPr>
        <w:snapToGrid w:val="0"/>
        <w:spacing w:line="520" w:lineRule="exact"/>
        <w:ind w:firstLine="643" w:firstLineChars="200"/>
        <w:rPr>
          <w:rFonts w:ascii="方正黑体_GBK" w:hAnsi="方正黑体_GBK" w:eastAsia="方正黑体_GBK" w:cs="方正黑体_GBK"/>
          <w:b/>
          <w:bCs/>
          <w:sz w:val="32"/>
          <w:szCs w:val="32"/>
        </w:rPr>
      </w:pPr>
    </w:p>
    <w:p w14:paraId="47BB1325">
      <w:pPr>
        <w:snapToGrid w:val="0"/>
        <w:spacing w:line="520" w:lineRule="exact"/>
        <w:ind w:firstLine="643" w:firstLineChars="200"/>
        <w:rPr>
          <w:rFonts w:ascii="方正黑体_GBK" w:hAnsi="方正黑体_GBK" w:eastAsia="方正黑体_GBK" w:cs="方正黑体_GBK"/>
          <w:b/>
          <w:bCs/>
          <w:sz w:val="32"/>
          <w:szCs w:val="32"/>
        </w:rPr>
      </w:pPr>
    </w:p>
    <w:p w14:paraId="2E5E0042">
      <w:pPr>
        <w:snapToGrid w:val="0"/>
        <w:spacing w:line="520" w:lineRule="exact"/>
        <w:ind w:firstLine="643" w:firstLineChars="200"/>
        <w:rPr>
          <w:rFonts w:ascii="方正黑体_GBK" w:hAnsi="方正黑体_GBK" w:eastAsia="方正黑体_GBK" w:cs="方正黑体_GBK"/>
          <w:b/>
          <w:bCs/>
          <w:sz w:val="32"/>
          <w:szCs w:val="32"/>
        </w:rPr>
      </w:pPr>
    </w:p>
    <w:p w14:paraId="73825318">
      <w:pPr>
        <w:snapToGrid w:val="0"/>
        <w:spacing w:line="520" w:lineRule="exact"/>
        <w:ind w:firstLine="643" w:firstLineChars="200"/>
        <w:rPr>
          <w:rFonts w:ascii="方正黑体_GBK" w:hAnsi="方正黑体_GBK" w:eastAsia="方正黑体_GBK" w:cs="方正黑体_GBK"/>
          <w:b/>
          <w:bCs/>
          <w:sz w:val="32"/>
          <w:szCs w:val="32"/>
        </w:rPr>
      </w:pPr>
    </w:p>
    <w:p w14:paraId="1CEA66D8">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76F91076">
      <w:pPr>
        <w:snapToGrid w:val="0"/>
        <w:spacing w:line="520" w:lineRule="exact"/>
        <w:ind w:firstLine="643" w:firstLineChars="200"/>
        <w:rPr>
          <w:rFonts w:ascii="方正黑体_GBK" w:hAnsi="方正黑体_GBK" w:eastAsia="方正黑体_GBK" w:cs="方正黑体_GBK"/>
          <w:b/>
          <w:bCs/>
          <w:sz w:val="32"/>
          <w:szCs w:val="32"/>
        </w:rPr>
      </w:pPr>
    </w:p>
    <w:p w14:paraId="40C19AE3">
      <w:pPr>
        <w:snapToGrid w:val="0"/>
        <w:spacing w:line="520" w:lineRule="exact"/>
        <w:ind w:firstLine="643" w:firstLineChars="200"/>
        <w:rPr>
          <w:rFonts w:ascii="方正黑体_GBK" w:hAnsi="方正黑体_GBK" w:eastAsia="方正黑体_GBK" w:cs="方正黑体_GBK"/>
          <w:b/>
          <w:bCs/>
          <w:sz w:val="32"/>
          <w:szCs w:val="32"/>
        </w:rPr>
      </w:pPr>
    </w:p>
    <w:p w14:paraId="535DB881">
      <w:pPr>
        <w:snapToGrid w:val="0"/>
        <w:spacing w:line="52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6180C901">
      <w:pPr>
        <w:snapToGrid w:val="0"/>
        <w:spacing w:line="520" w:lineRule="exact"/>
        <w:ind w:firstLine="643" w:firstLineChars="200"/>
        <w:rPr>
          <w:rFonts w:ascii="方正黑体_GBK" w:hAnsi="方正黑体_GBK" w:eastAsia="方正黑体_GBK" w:cs="方正黑体_GBK"/>
          <w:b/>
          <w:bCs/>
          <w:sz w:val="32"/>
          <w:szCs w:val="32"/>
        </w:rPr>
      </w:pPr>
    </w:p>
    <w:p w14:paraId="55EB0A61">
      <w:pPr>
        <w:snapToGrid w:val="0"/>
        <w:spacing w:line="520" w:lineRule="exact"/>
        <w:rPr>
          <w:rFonts w:hint="eastAsia" w:ascii="Times New Roman Regular" w:hAnsi="Times New Roman Regular" w:eastAsia="仿宋_GB2312" w:cs="Times New Roman Regular"/>
          <w:sz w:val="32"/>
          <w:szCs w:val="32"/>
          <w:lang w:val="en-US" w:eastAsia="zh-CN"/>
        </w:rPr>
      </w:pPr>
      <w:r>
        <w:rPr>
          <w:rFonts w:hint="eastAsia" w:ascii="方正黑体_GBK" w:hAnsi="方正黑体_GBK" w:eastAsia="方正黑体_GBK" w:cs="方正黑体_GBK"/>
          <w:b/>
          <w:bCs/>
          <w:sz w:val="32"/>
          <w:szCs w:val="32"/>
        </w:rPr>
        <w:t>单位名称（盖章）：</w:t>
      </w:r>
      <w:r>
        <w:rPr>
          <w:rFonts w:hint="eastAsia" w:ascii="Times New Roman Regular" w:hAnsi="Times New Roman Regular" w:eastAsia="仿宋_GB2312" w:cs="Times New Roman Regular"/>
          <w:sz w:val="32"/>
          <w:szCs w:val="32"/>
          <w:lang w:val="en-US" w:eastAsia="zh-CN"/>
        </w:rPr>
        <w:t>中国民主同盟怀化市委员会</w:t>
      </w:r>
    </w:p>
    <w:p w14:paraId="1CC7C911">
      <w:pPr>
        <w:snapToGrid w:val="0"/>
        <w:spacing w:line="520" w:lineRule="exact"/>
        <w:rPr>
          <w:rFonts w:hint="eastAsia" w:ascii="Times New Roman Regular" w:hAnsi="Times New Roman Regular" w:eastAsia="仿宋_GB2312" w:cs="Times New Roman Regular"/>
          <w:sz w:val="32"/>
          <w:szCs w:val="32"/>
          <w:lang w:val="en-US" w:eastAsia="zh-CN"/>
        </w:rPr>
      </w:pPr>
    </w:p>
    <w:p w14:paraId="2A9ED3B9">
      <w:pPr>
        <w:snapToGrid w:val="0"/>
        <w:spacing w:line="520" w:lineRule="exact"/>
        <w:rPr>
          <w:rFonts w:ascii="方正黑体_GBK" w:hAnsi="方正黑体_GBK" w:eastAsia="方正黑体_GBK" w:cs="方正黑体_GBK"/>
          <w:b/>
          <w:bCs/>
          <w:sz w:val="32"/>
          <w:szCs w:val="32"/>
        </w:rPr>
      </w:pPr>
    </w:p>
    <w:p w14:paraId="15496184">
      <w:pPr>
        <w:snapToGrid w:val="0"/>
        <w:spacing w:line="520" w:lineRule="exact"/>
        <w:rPr>
          <w:rFonts w:hint="eastAsia" w:ascii="方正黑体_GBK" w:hAnsi="方正黑体_GBK" w:eastAsia="方正黑体_GBK" w:cs="方正黑体_GBK"/>
          <w:b/>
          <w:bCs/>
          <w:sz w:val="32"/>
          <w:szCs w:val="32"/>
        </w:rPr>
      </w:pPr>
    </w:p>
    <w:p w14:paraId="0312FB73">
      <w:pPr>
        <w:snapToGrid w:val="0"/>
        <w:spacing w:line="520" w:lineRule="exact"/>
        <w:rPr>
          <w:rFonts w:ascii="方正黑体_GBK" w:hAnsi="方正黑体_GBK" w:eastAsia="方正黑体_GBK" w:cs="方正黑体_GBK"/>
          <w:b/>
          <w:bCs/>
          <w:sz w:val="32"/>
          <w:szCs w:val="32"/>
        </w:rPr>
      </w:pPr>
    </w:p>
    <w:p w14:paraId="1C384BC5">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一、部门概况</w:t>
      </w:r>
    </w:p>
    <w:p w14:paraId="4DCF40F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（一）部门（单位）基本情况。</w:t>
      </w:r>
    </w:p>
    <w:p w14:paraId="395F83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1.机构设置情况</w:t>
      </w:r>
    </w:p>
    <w:p w14:paraId="60BA7BD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中国民主同盟怀化市委员会作为一级部门预算单位，内设科室为：办公室、参政议政宣传科。</w:t>
      </w:r>
    </w:p>
    <w:p w14:paraId="630D89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人员编制情况</w:t>
      </w:r>
    </w:p>
    <w:p w14:paraId="206F83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截止2025年12月31日，我单位人员编制数4名，实有在职人员4人。</w:t>
      </w:r>
    </w:p>
    <w:p w14:paraId="0E6C35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3.部门职责</w:t>
      </w:r>
    </w:p>
    <w:p w14:paraId="68E0465D">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中国民主同盟怀化市委员会是主要由从事文化教育以及相关科学技术工作的高、中级知识分子组成的、具有政治联盟特点的，接受中国共产党领导、同中国共产党通力合作，进步性与广泛性相统一、致力于中国特色社会主义事业的参政党。中国民主同盟怀化市委员会主要有参政议政、民主监督和参加中国共产党领导的政治协商三大职能。</w:t>
      </w:r>
    </w:p>
    <w:p w14:paraId="3B65938E">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4.绩效目标设定情况</w:t>
      </w:r>
    </w:p>
    <w:p w14:paraId="039CC50C">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rPr>
        <w:t>目标1.</w:t>
      </w:r>
      <w:r>
        <w:rPr>
          <w:rFonts w:hint="eastAsia" w:ascii="Times New Roman Regular" w:hAnsi="Times New Roman Regular" w:eastAsia="仿宋_GB2312" w:cs="Times New Roman Regular"/>
          <w:sz w:val="32"/>
          <w:szCs w:val="32"/>
          <w:lang w:val="en-US" w:eastAsia="zh-CN"/>
        </w:rPr>
        <w:t>深化理论武装，思想根基更加牢固；</w:t>
      </w:r>
    </w:p>
    <w:p w14:paraId="5A9D8BD8">
      <w:pPr>
        <w:snapToGrid w:val="0"/>
        <w:spacing w:line="520" w:lineRule="exact"/>
        <w:ind w:firstLine="640" w:firstLineChars="200"/>
        <w:rPr>
          <w:rFonts w:hint="eastAsia" w:ascii="Times New Roman Regular" w:hAnsi="Times New Roman Regular" w:eastAsia="仿宋_GB2312" w:cs="Times New Roman Regular"/>
          <w:sz w:val="32"/>
          <w:szCs w:val="32"/>
          <w:lang w:eastAsia="zh-CN"/>
        </w:rPr>
      </w:pPr>
      <w:r>
        <w:rPr>
          <w:rFonts w:hint="eastAsia" w:ascii="Times New Roman Regular" w:hAnsi="Times New Roman Regular" w:eastAsia="仿宋_GB2312" w:cs="Times New Roman Regular"/>
          <w:sz w:val="32"/>
          <w:szCs w:val="32"/>
        </w:rPr>
        <w:t>目标2.聚焦中心任务，参政议政</w:t>
      </w:r>
      <w:r>
        <w:rPr>
          <w:rFonts w:hint="eastAsia" w:ascii="Times New Roman Regular" w:hAnsi="Times New Roman Regular" w:eastAsia="仿宋_GB2312" w:cs="Times New Roman Regular"/>
          <w:sz w:val="32"/>
          <w:szCs w:val="32"/>
          <w:lang w:eastAsia="zh-CN"/>
        </w:rPr>
        <w:t>更有</w:t>
      </w:r>
      <w:r>
        <w:rPr>
          <w:rFonts w:hint="eastAsia" w:ascii="Times New Roman Regular" w:hAnsi="Times New Roman Regular" w:eastAsia="仿宋_GB2312" w:cs="Times New Roman Regular"/>
          <w:sz w:val="32"/>
          <w:szCs w:val="32"/>
        </w:rPr>
        <w:t>质效</w:t>
      </w:r>
      <w:r>
        <w:rPr>
          <w:rFonts w:hint="eastAsia" w:ascii="Times New Roman Regular" w:hAnsi="Times New Roman Regular" w:eastAsia="仿宋_GB2312" w:cs="Times New Roman Regular"/>
          <w:sz w:val="32"/>
          <w:szCs w:val="32"/>
          <w:lang w:eastAsia="zh-CN"/>
        </w:rPr>
        <w:t>；</w:t>
      </w:r>
    </w:p>
    <w:p w14:paraId="44104CDE">
      <w:pPr>
        <w:snapToGrid w:val="0"/>
        <w:spacing w:line="520" w:lineRule="exact"/>
        <w:ind w:firstLine="640" w:firstLineChars="200"/>
        <w:rPr>
          <w:rFonts w:hint="eastAsia" w:ascii="Times New Roman Regular" w:hAnsi="Times New Roman Regular" w:eastAsia="仿宋_GB2312" w:cs="Times New Roman Regular"/>
          <w:sz w:val="32"/>
          <w:szCs w:val="32"/>
          <w:lang w:eastAsia="zh-CN"/>
        </w:rPr>
      </w:pPr>
      <w:r>
        <w:rPr>
          <w:rFonts w:hint="eastAsia" w:ascii="Times New Roman Regular" w:hAnsi="Times New Roman Regular" w:eastAsia="仿宋_GB2312" w:cs="Times New Roman Regular"/>
          <w:sz w:val="32"/>
          <w:szCs w:val="32"/>
        </w:rPr>
        <w:t>目标3.</w:t>
      </w:r>
      <w:r>
        <w:rPr>
          <w:rFonts w:hint="default" w:ascii="Times New Roman Regular" w:hAnsi="Times New Roman Regular" w:eastAsia="仿宋_GB2312" w:cs="Times New Roman Regular"/>
          <w:sz w:val="32"/>
          <w:szCs w:val="32"/>
        </w:rPr>
        <w:t>强化责任担当，民主监督</w:t>
      </w:r>
      <w:r>
        <w:rPr>
          <w:rFonts w:hint="eastAsia" w:ascii="Times New Roman Regular" w:hAnsi="Times New Roman Regular" w:eastAsia="仿宋_GB2312" w:cs="Times New Roman Regular"/>
          <w:sz w:val="32"/>
          <w:szCs w:val="32"/>
          <w:lang w:eastAsia="zh-CN"/>
        </w:rPr>
        <w:t>更富</w:t>
      </w:r>
      <w:r>
        <w:rPr>
          <w:rFonts w:hint="default" w:ascii="Times New Roman Regular" w:hAnsi="Times New Roman Regular" w:eastAsia="仿宋_GB2312" w:cs="Times New Roman Regular"/>
          <w:sz w:val="32"/>
          <w:szCs w:val="32"/>
        </w:rPr>
        <w:t>实效</w:t>
      </w:r>
      <w:r>
        <w:rPr>
          <w:rFonts w:hint="eastAsia" w:ascii="Times New Roman Regular" w:hAnsi="Times New Roman Regular" w:eastAsia="仿宋_GB2312" w:cs="Times New Roman Regular"/>
          <w:sz w:val="32"/>
          <w:szCs w:val="32"/>
          <w:lang w:eastAsia="zh-CN"/>
        </w:rPr>
        <w:t>；</w:t>
      </w:r>
    </w:p>
    <w:p w14:paraId="45CFDDB3">
      <w:pPr>
        <w:snapToGrid w:val="0"/>
        <w:spacing w:line="520" w:lineRule="exact"/>
        <w:ind w:firstLine="640" w:firstLineChars="200"/>
        <w:rPr>
          <w:rFonts w:hint="eastAsia" w:ascii="Times New Roman Regular" w:hAnsi="Times New Roman Regular" w:eastAsia="仿宋_GB2312" w:cs="Times New Roman Regular"/>
          <w:sz w:val="32"/>
          <w:szCs w:val="32"/>
          <w:lang w:eastAsia="zh-CN"/>
        </w:rPr>
      </w:pPr>
      <w:r>
        <w:rPr>
          <w:rFonts w:hint="eastAsia" w:ascii="Times New Roman Regular" w:hAnsi="Times New Roman Regular" w:eastAsia="仿宋_GB2312" w:cs="Times New Roman Regular"/>
          <w:sz w:val="32"/>
          <w:szCs w:val="32"/>
        </w:rPr>
        <w:t>目标4.</w:t>
      </w:r>
      <w:r>
        <w:rPr>
          <w:rFonts w:hint="default" w:ascii="Times New Roman Regular" w:hAnsi="Times New Roman Regular" w:eastAsia="仿宋_GB2312" w:cs="Times New Roman Regular"/>
          <w:sz w:val="32"/>
          <w:szCs w:val="32"/>
        </w:rPr>
        <w:t>强化自身建设，履职根基</w:t>
      </w:r>
      <w:r>
        <w:rPr>
          <w:rFonts w:hint="eastAsia" w:ascii="Times New Roman Regular" w:hAnsi="Times New Roman Regular" w:eastAsia="仿宋_GB2312" w:cs="Times New Roman Regular"/>
          <w:sz w:val="32"/>
          <w:szCs w:val="32"/>
          <w:lang w:eastAsia="zh-CN"/>
        </w:rPr>
        <w:t>更加厚重；</w:t>
      </w:r>
    </w:p>
    <w:p w14:paraId="0643A544">
      <w:pPr>
        <w:snapToGrid w:val="0"/>
        <w:spacing w:line="520" w:lineRule="exact"/>
        <w:ind w:firstLine="640" w:firstLineChars="200"/>
        <w:rPr>
          <w:rFonts w:hint="default"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rPr>
        <w:t>目标</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w:t>
      </w:r>
      <w:r>
        <w:rPr>
          <w:rFonts w:hint="default" w:ascii="Times New Roman Regular" w:hAnsi="Times New Roman Regular" w:eastAsia="仿宋_GB2312" w:cs="Times New Roman Regular"/>
          <w:sz w:val="32"/>
          <w:szCs w:val="32"/>
          <w:lang w:val="en-US" w:eastAsia="zh-CN"/>
        </w:rPr>
        <w:t>心系民生福祉，社会服务</w:t>
      </w:r>
      <w:r>
        <w:rPr>
          <w:rFonts w:hint="eastAsia" w:ascii="Times New Roman Regular" w:hAnsi="Times New Roman Regular" w:eastAsia="仿宋_GB2312" w:cs="Times New Roman Regular"/>
          <w:sz w:val="32"/>
          <w:szCs w:val="32"/>
          <w:lang w:val="en-US" w:eastAsia="zh-CN"/>
        </w:rPr>
        <w:t>更有广度。</w:t>
      </w:r>
    </w:p>
    <w:p w14:paraId="21117954">
      <w:pPr>
        <w:snapToGrid w:val="0"/>
        <w:spacing w:line="520" w:lineRule="exact"/>
        <w:ind w:firstLine="640" w:firstLineChars="200"/>
        <w:rPr>
          <w:rFonts w:hint="eastAsia" w:ascii="仿宋" w:hAnsi="仿宋" w:eastAsia="仿宋" w:cs="Times New Roman Regular"/>
          <w:sz w:val="32"/>
          <w:szCs w:val="32"/>
          <w:highlight w:val="none"/>
        </w:rPr>
      </w:pPr>
    </w:p>
    <w:p w14:paraId="3E6DBAD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楷体_GB2312" w:hAnsi="楷体_GB2312" w:eastAsia="楷体_GB2312" w:cs="楷体_GB2312"/>
          <w:color w:val="auto"/>
          <w:sz w:val="32"/>
          <w:szCs w:val="32"/>
          <w:highlight w:val="none"/>
          <w:lang w:val="en-US" w:eastAsia="zh-CN"/>
        </w:rPr>
        <w:t>（二）部门（单位）整体支出规模、使用方向和主要内容、涉及范围等。</w:t>
      </w:r>
    </w:p>
    <w:p w14:paraId="0FD5AFCF">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中国民主同盟怀化市委员会年度总收入120.99万元，一般公共预算财政拨款收入120.99万元，占比100%。中国民主同盟怀化市委员会2025年度总支出120.99万元，其中基本支出87.88万元，项目支出33.11万元。</w:t>
      </w:r>
    </w:p>
    <w:p w14:paraId="712C09AF">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部门整体支出主要使用方向如下：</w:t>
      </w:r>
    </w:p>
    <w:p w14:paraId="466555F5">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工资福利支出76.61万元，主要用于基本工资、津贴补贴、奖金、伙食补助费、机关事业单位基本养老保险缴费、职工基本医疗保险缴费、其他社会保障缴费、住房公积金等支出。</w:t>
      </w:r>
    </w:p>
    <w:p w14:paraId="07118456">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商品和服务支出8.45万元，主要用于办公费、印刷费、水费、邮电费、差旅费、会议费、培训费、公务接待费、劳务费、委托业务费、工会经费、公务用车运行维护费、其他交通费用、其他商品和服务支出等支出。</w:t>
      </w:r>
    </w:p>
    <w:p w14:paraId="56B7508E">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对个人和家庭的补助2.82万元，主要用于生活补助、其他对个人和家庭的补助。</w:t>
      </w:r>
    </w:p>
    <w:p w14:paraId="73106C1D">
      <w:pPr>
        <w:snapToGrid w:val="0"/>
        <w:spacing w:line="520" w:lineRule="exact"/>
        <w:ind w:firstLine="640" w:firstLineChars="200"/>
        <w:rPr>
          <w:rFonts w:hint="default" w:ascii="Times New Roman Regular" w:hAnsi="Times New Roman Regular" w:eastAsia="仿宋_GB2312" w:cs="Times New Roman Regular"/>
          <w:sz w:val="32"/>
          <w:szCs w:val="32"/>
          <w:lang w:val="en-US" w:eastAsia="zh-CN"/>
        </w:rPr>
      </w:pPr>
      <w:r>
        <w:rPr>
          <w:rFonts w:hint="default" w:ascii="Times New Roman Regular" w:hAnsi="Times New Roman Regular" w:eastAsia="仿宋_GB2312" w:cs="Times New Roman Regular"/>
          <w:sz w:val="32"/>
          <w:szCs w:val="32"/>
          <w:lang w:val="en-US" w:eastAsia="zh-CN"/>
        </w:rPr>
        <w:t>资本性支出</w:t>
      </w:r>
      <w:r>
        <w:rPr>
          <w:rFonts w:hint="eastAsia" w:ascii="Times New Roman Regular" w:hAnsi="Times New Roman Regular" w:eastAsia="仿宋_GB2312" w:cs="Times New Roman Regular"/>
          <w:sz w:val="32"/>
          <w:szCs w:val="32"/>
          <w:lang w:val="en-US" w:eastAsia="zh-CN"/>
        </w:rPr>
        <w:t>0万元，主要用于办公设备购置。</w:t>
      </w:r>
    </w:p>
    <w:p w14:paraId="019B06DD">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二、一般公共预算支出情况</w:t>
      </w:r>
    </w:p>
    <w:p w14:paraId="1CECC0CD">
      <w:pPr>
        <w:snapToGrid w:val="0"/>
        <w:spacing w:line="52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（一）基本支出</w:t>
      </w:r>
    </w:p>
    <w:p w14:paraId="06052A6A">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基本支出主要用于保障机构正常运转、完成日常工作任务所必需的支出。基本支出总支出</w:t>
      </w:r>
      <w:r>
        <w:rPr>
          <w:rFonts w:hint="eastAsia" w:ascii="Times New Roman Regular" w:hAnsi="Times New Roman Regular" w:eastAsia="仿宋_GB2312" w:cs="Times New Roman Regular"/>
          <w:sz w:val="32"/>
          <w:szCs w:val="32"/>
          <w:lang w:val="en-US" w:eastAsia="zh-CN"/>
        </w:rPr>
        <w:t>87.88</w:t>
      </w:r>
      <w:r>
        <w:rPr>
          <w:rFonts w:hint="eastAsia" w:ascii="Times New Roman Regular" w:hAnsi="Times New Roman Regular" w:eastAsia="仿宋_GB2312" w:cs="Times New Roman Regular"/>
          <w:sz w:val="32"/>
          <w:szCs w:val="32"/>
        </w:rPr>
        <w:t>万元，主要包括：工资福利支出</w:t>
      </w:r>
      <w:r>
        <w:rPr>
          <w:rFonts w:hint="eastAsia" w:ascii="Times New Roman Regular" w:hAnsi="Times New Roman Regular" w:eastAsia="仿宋_GB2312" w:cs="Times New Roman Regular"/>
          <w:sz w:val="32"/>
          <w:szCs w:val="32"/>
          <w:lang w:val="en-US" w:eastAsia="zh-CN"/>
        </w:rPr>
        <w:t>76.61</w:t>
      </w:r>
      <w:r>
        <w:rPr>
          <w:rFonts w:hint="eastAsia" w:ascii="Times New Roman Regular" w:hAnsi="Times New Roman Regular" w:eastAsia="仿宋_GB2312" w:cs="Times New Roman Regular"/>
          <w:sz w:val="32"/>
          <w:szCs w:val="32"/>
        </w:rPr>
        <w:t>万元、商品和服务支出</w:t>
      </w:r>
      <w:r>
        <w:rPr>
          <w:rFonts w:hint="eastAsia" w:ascii="Times New Roman Regular" w:hAnsi="Times New Roman Regular" w:eastAsia="仿宋_GB2312" w:cs="Times New Roman Regular"/>
          <w:sz w:val="32"/>
          <w:szCs w:val="32"/>
          <w:lang w:val="en-US" w:eastAsia="zh-CN"/>
        </w:rPr>
        <w:t>8.45</w:t>
      </w:r>
      <w:r>
        <w:rPr>
          <w:rFonts w:hint="eastAsia" w:ascii="Times New Roman Regular" w:hAnsi="Times New Roman Regular" w:eastAsia="仿宋_GB2312" w:cs="Times New Roman Regular"/>
          <w:sz w:val="32"/>
          <w:szCs w:val="32"/>
        </w:rPr>
        <w:t>万元、对个人和家庭的补助</w:t>
      </w:r>
      <w:r>
        <w:rPr>
          <w:rFonts w:hint="eastAsia" w:ascii="Times New Roman Regular" w:hAnsi="Times New Roman Regular" w:eastAsia="仿宋_GB2312" w:cs="Times New Roman Regular"/>
          <w:sz w:val="32"/>
          <w:szCs w:val="32"/>
          <w:lang w:val="en-US" w:eastAsia="zh-CN"/>
        </w:rPr>
        <w:t>2.82</w:t>
      </w:r>
      <w:r>
        <w:rPr>
          <w:rFonts w:hint="eastAsia" w:ascii="Times New Roman Regular" w:hAnsi="Times New Roman Regular" w:eastAsia="仿宋_GB2312" w:cs="Times New Roman Regular"/>
          <w:sz w:val="32"/>
          <w:szCs w:val="32"/>
        </w:rPr>
        <w:t>万元。较上年相比</w:t>
      </w:r>
      <w:r>
        <w:rPr>
          <w:rFonts w:hint="eastAsia" w:ascii="Times New Roman Regular" w:hAnsi="Times New Roman Regular" w:eastAsia="仿宋_GB2312" w:cs="Times New Roman Regular"/>
          <w:sz w:val="32"/>
          <w:szCs w:val="32"/>
          <w:lang w:val="en-US" w:eastAsia="zh-CN"/>
        </w:rPr>
        <w:t>增加28.82</w:t>
      </w:r>
      <w:r>
        <w:rPr>
          <w:rFonts w:hint="eastAsia"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val="en-US" w:eastAsia="zh-CN"/>
        </w:rPr>
        <w:t>增加48.80</w:t>
      </w:r>
      <w:r>
        <w:rPr>
          <w:rFonts w:hint="eastAsia" w:ascii="Times New Roman Regular" w:hAnsi="Times New Roman Regular" w:eastAsia="仿宋_GB2312" w:cs="Times New Roman Regular"/>
          <w:sz w:val="32"/>
          <w:szCs w:val="32"/>
        </w:rPr>
        <w:t>%，主要原因是25年度人员变动，导致整体支出增加</w:t>
      </w:r>
      <w:r>
        <w:rPr>
          <w:rFonts w:hint="eastAsia" w:ascii="Times New Roman Regular" w:hAnsi="Times New Roman Regular" w:eastAsia="仿宋_GB2312" w:cs="Times New Roman Regular"/>
          <w:sz w:val="32"/>
          <w:szCs w:val="32"/>
          <w:lang w:val="en-US" w:eastAsia="zh-CN"/>
        </w:rPr>
        <w:t>。</w:t>
      </w:r>
    </w:p>
    <w:p w14:paraId="198F5EA8">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“三公”经费支出</w:t>
      </w:r>
      <w:r>
        <w:rPr>
          <w:rFonts w:hint="eastAsia" w:ascii="Times New Roman Regular" w:hAnsi="Times New Roman Regular" w:eastAsia="仿宋_GB2312" w:cs="Times New Roman Regular"/>
          <w:sz w:val="32"/>
          <w:szCs w:val="32"/>
          <w:lang w:val="en-US" w:eastAsia="zh-CN"/>
        </w:rPr>
        <w:t>2.54</w:t>
      </w:r>
      <w:r>
        <w:rPr>
          <w:rFonts w:hint="eastAsia" w:ascii="Times New Roman Regular" w:hAnsi="Times New Roman Regular" w:eastAsia="仿宋_GB2312" w:cs="Times New Roman Regular"/>
          <w:sz w:val="32"/>
          <w:szCs w:val="32"/>
        </w:rPr>
        <w:t>万元。“三公经费”总体支出比上年增加</w:t>
      </w:r>
      <w:r>
        <w:rPr>
          <w:rFonts w:hint="eastAsia" w:ascii="Times New Roman Regular" w:hAnsi="Times New Roman Regular" w:eastAsia="仿宋_GB2312" w:cs="Times New Roman Regular"/>
          <w:sz w:val="32"/>
          <w:szCs w:val="32"/>
          <w:lang w:val="en-US" w:eastAsia="zh-CN"/>
        </w:rPr>
        <w:t>0.41</w:t>
      </w:r>
      <w:r>
        <w:rPr>
          <w:rFonts w:hint="eastAsia" w:ascii="Times New Roman Regular" w:hAnsi="Times New Roman Regular" w:eastAsia="仿宋_GB2312" w:cs="Times New Roman Regular"/>
          <w:sz w:val="32"/>
          <w:szCs w:val="32"/>
        </w:rPr>
        <w:t>万元，增加</w:t>
      </w:r>
      <w:r>
        <w:rPr>
          <w:rFonts w:hint="eastAsia" w:ascii="Times New Roman Regular" w:hAnsi="Times New Roman Regular" w:eastAsia="仿宋_GB2312" w:cs="Times New Roman Regular"/>
          <w:sz w:val="32"/>
          <w:szCs w:val="32"/>
          <w:lang w:val="en-US" w:eastAsia="zh-CN"/>
        </w:rPr>
        <w:t>19.25</w:t>
      </w:r>
      <w:r>
        <w:rPr>
          <w:rFonts w:hint="eastAsia"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年度根据政策要求严格按照预算安排，合理开支三公经费。其中公务用车运行维护费</w:t>
      </w:r>
      <w:r>
        <w:rPr>
          <w:rFonts w:hint="eastAsia" w:ascii="Times New Roman Regular" w:hAnsi="Times New Roman Regular" w:eastAsia="仿宋_GB2312" w:cs="Times New Roman Regular"/>
          <w:sz w:val="32"/>
          <w:szCs w:val="32"/>
          <w:lang w:val="en-US" w:eastAsia="zh-CN"/>
        </w:rPr>
        <w:t>2</w:t>
      </w:r>
      <w:r>
        <w:rPr>
          <w:rFonts w:hint="eastAsia" w:ascii="Times New Roman Regular" w:hAnsi="Times New Roman Regular" w:eastAsia="仿宋_GB2312" w:cs="Times New Roman Regular"/>
          <w:sz w:val="32"/>
          <w:szCs w:val="32"/>
        </w:rPr>
        <w:t>万元，较上年增加</w:t>
      </w:r>
      <w:r>
        <w:rPr>
          <w:rFonts w:hint="eastAsia" w:ascii="Times New Roman Regular" w:hAnsi="Times New Roman Regular" w:eastAsia="仿宋_GB2312" w:cs="Times New Roman Regular"/>
          <w:sz w:val="32"/>
          <w:szCs w:val="32"/>
          <w:lang w:val="en-US" w:eastAsia="zh-CN"/>
        </w:rPr>
        <w:t>0.07</w:t>
      </w:r>
      <w:r>
        <w:rPr>
          <w:rFonts w:hint="eastAsia" w:ascii="Times New Roman Regular" w:hAnsi="Times New Roman Regular" w:eastAsia="仿宋_GB2312" w:cs="Times New Roman Regular"/>
          <w:sz w:val="32"/>
          <w:szCs w:val="32"/>
        </w:rPr>
        <w:t>万元；公务接待费</w:t>
      </w:r>
      <w:r>
        <w:rPr>
          <w:rFonts w:hint="eastAsia" w:ascii="Times New Roman Regular" w:hAnsi="Times New Roman Regular" w:eastAsia="仿宋_GB2312" w:cs="Times New Roman Regular"/>
          <w:sz w:val="32"/>
          <w:szCs w:val="32"/>
          <w:lang w:val="en-US" w:eastAsia="zh-CN"/>
        </w:rPr>
        <w:t>0.54</w:t>
      </w:r>
      <w:r>
        <w:rPr>
          <w:rFonts w:hint="eastAsia" w:ascii="Times New Roman Regular" w:hAnsi="Times New Roman Regular" w:eastAsia="仿宋_GB2312" w:cs="Times New Roman Regular"/>
          <w:sz w:val="32"/>
          <w:szCs w:val="32"/>
        </w:rPr>
        <w:t>万元，较上年增加</w:t>
      </w:r>
      <w:r>
        <w:rPr>
          <w:rFonts w:hint="eastAsia" w:ascii="Times New Roman Regular" w:hAnsi="Times New Roman Regular" w:eastAsia="仿宋_GB2312" w:cs="Times New Roman Regular"/>
          <w:sz w:val="32"/>
          <w:szCs w:val="32"/>
          <w:lang w:val="en-US" w:eastAsia="zh-CN"/>
        </w:rPr>
        <w:t>0.34</w:t>
      </w:r>
      <w:r>
        <w:rPr>
          <w:rFonts w:hint="eastAsia" w:ascii="Times New Roman Regular" w:hAnsi="Times New Roman Regular" w:eastAsia="仿宋_GB2312" w:cs="Times New Roman Regular"/>
          <w:sz w:val="32"/>
          <w:szCs w:val="32"/>
        </w:rPr>
        <w:t>万元，主要是本年度公务接待批次增加，费用增加</w:t>
      </w:r>
      <w:r>
        <w:rPr>
          <w:rFonts w:ascii="Times New Roman Regular" w:hAnsi="Times New Roman Regular" w:eastAsia="仿宋_GB2312" w:cs="Times New Roman Regular"/>
          <w:sz w:val="32"/>
          <w:szCs w:val="32"/>
        </w:rPr>
        <w:t>。</w:t>
      </w:r>
    </w:p>
    <w:p w14:paraId="36884F06">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楷体_GB2312" w:hAnsi="楷体_GB2312" w:eastAsia="楷体_GB2312" w:cs="楷体_GB2312"/>
          <w:sz w:val="32"/>
          <w:szCs w:val="32"/>
        </w:rPr>
        <w:t>（二）项目支出</w:t>
      </w:r>
    </w:p>
    <w:p w14:paraId="7EEEA71A">
      <w:pPr>
        <w:snapToGrid w:val="0"/>
        <w:spacing w:line="520" w:lineRule="exact"/>
        <w:ind w:firstLine="640" w:firstLineChars="200"/>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rPr>
        <w:t>1、根据《怀化市财政局关于</w:t>
      </w:r>
      <w:r>
        <w:rPr>
          <w:rFonts w:hint="eastAsia" w:ascii="Times New Roman Regular" w:hAnsi="Times New Roman Regular" w:eastAsia="仿宋_GB2312" w:cs="Times New Roman Regular"/>
          <w:sz w:val="32"/>
          <w:szCs w:val="32"/>
          <w:lang w:val="en-US" w:eastAsia="zh-CN"/>
        </w:rPr>
        <w:t>开展2025年度市级预算部门绩效自评和部门评价</w:t>
      </w:r>
      <w:r>
        <w:rPr>
          <w:rFonts w:hint="eastAsia" w:ascii="Times New Roman Regular" w:hAnsi="Times New Roman Regular" w:eastAsia="仿宋_GB2312" w:cs="Times New Roman Regular"/>
          <w:sz w:val="32"/>
          <w:szCs w:val="32"/>
        </w:rPr>
        <w:t>的通知》（怀财</w:t>
      </w:r>
      <w:r>
        <w:rPr>
          <w:rFonts w:hint="eastAsia" w:ascii="Times New Roman Regular" w:hAnsi="Times New Roman Regular" w:eastAsia="仿宋_GB2312" w:cs="Times New Roman Regular"/>
          <w:sz w:val="32"/>
          <w:szCs w:val="32"/>
          <w:lang w:val="en-US" w:eastAsia="zh-CN"/>
        </w:rPr>
        <w:t>绩</w:t>
      </w:r>
      <w:r>
        <w:rPr>
          <w:rFonts w:hint="eastAsia"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6</w:t>
      </w:r>
      <w:r>
        <w:rPr>
          <w:rFonts w:hint="eastAsia" w:ascii="Times New Roman Regular" w:hAnsi="Times New Roman Regular" w:eastAsia="仿宋_GB2312" w:cs="Times New Roman Regular"/>
          <w:sz w:val="32"/>
          <w:szCs w:val="32"/>
        </w:rPr>
        <w:t>〕</w:t>
      </w:r>
      <w:r>
        <w:rPr>
          <w:rFonts w:hint="eastAsia" w:ascii="Times New Roman Regular" w:hAnsi="Times New Roman Regular" w:eastAsia="仿宋_GB2312" w:cs="Times New Roman Regular"/>
          <w:sz w:val="32"/>
          <w:szCs w:val="32"/>
          <w:lang w:val="en-US" w:eastAsia="zh-CN"/>
        </w:rPr>
        <w:t>36</w:t>
      </w:r>
      <w:r>
        <w:rPr>
          <w:rFonts w:hint="eastAsia" w:ascii="Times New Roman Regular" w:hAnsi="Times New Roman Regular" w:eastAsia="仿宋_GB2312" w:cs="Times New Roman Regular"/>
          <w:sz w:val="32"/>
          <w:szCs w:val="32"/>
        </w:rPr>
        <w:t>号），2025年项目支出预算安排50万元，</w:t>
      </w:r>
      <w:r>
        <w:rPr>
          <w:rFonts w:hint="eastAsia" w:ascii="Times New Roman Regular" w:hAnsi="Times New Roman Regular" w:eastAsia="仿宋_GB2312" w:cs="Times New Roman Regular"/>
          <w:sz w:val="32"/>
          <w:szCs w:val="32"/>
          <w:lang w:val="en-US" w:eastAsia="zh-CN"/>
        </w:rPr>
        <w:t>包括有关事业发展专项、专项业务费、基本建设支出等。其中：</w:t>
      </w:r>
      <w:r>
        <w:rPr>
          <w:rFonts w:hint="eastAsia" w:ascii="Times New Roman Regular" w:hAnsi="Times New Roman Regular" w:eastAsia="仿宋_GB2312" w:cs="Times New Roman Regular"/>
          <w:sz w:val="32"/>
          <w:szCs w:val="32"/>
          <w:lang w:eastAsia="zh-CN"/>
        </w:rPr>
        <w:t>民主党派管理经费支出</w:t>
      </w:r>
      <w:r>
        <w:rPr>
          <w:rFonts w:hint="eastAsia" w:ascii="Times New Roman Regular" w:hAnsi="Times New Roman Regular" w:eastAsia="仿宋_GB2312" w:cs="Times New Roman Regular"/>
          <w:sz w:val="32"/>
          <w:szCs w:val="32"/>
          <w:lang w:val="en-US" w:eastAsia="zh-CN"/>
        </w:rPr>
        <w:t>50</w:t>
      </w:r>
      <w:r>
        <w:rPr>
          <w:rFonts w:hint="eastAsia" w:ascii="Times New Roman Regular" w:hAnsi="Times New Roman Regular" w:eastAsia="仿宋_GB2312" w:cs="Times New Roman Regular"/>
          <w:sz w:val="32"/>
          <w:szCs w:val="32"/>
          <w:lang w:eastAsia="zh-CN"/>
        </w:rPr>
        <w:t>万元，主要用于</w:t>
      </w:r>
      <w:r>
        <w:rPr>
          <w:rFonts w:hint="default" w:ascii="Times New Roman Regular" w:hAnsi="Times New Roman Regular" w:eastAsia="仿宋_GB2312" w:cs="Times New Roman Regular"/>
          <w:sz w:val="32"/>
          <w:szCs w:val="32"/>
          <w:lang w:val="en-US" w:eastAsia="zh-CN"/>
        </w:rPr>
        <w:t>民主监督、</w:t>
      </w:r>
      <w:r>
        <w:rPr>
          <w:rFonts w:hint="eastAsia" w:ascii="Times New Roman Regular" w:hAnsi="Times New Roman Regular" w:eastAsia="仿宋_GB2312" w:cs="Times New Roman Regular"/>
          <w:sz w:val="32"/>
          <w:szCs w:val="32"/>
          <w:lang w:val="en-US" w:eastAsia="zh-CN"/>
        </w:rPr>
        <w:t>参政议政、</w:t>
      </w:r>
      <w:r>
        <w:rPr>
          <w:rFonts w:hint="default" w:ascii="Times New Roman Regular" w:hAnsi="Times New Roman Regular" w:eastAsia="仿宋_GB2312" w:cs="Times New Roman Regular"/>
          <w:sz w:val="32"/>
          <w:szCs w:val="32"/>
          <w:lang w:val="en-US" w:eastAsia="zh-CN"/>
        </w:rPr>
        <w:t>调研等方面。</w:t>
      </w:r>
      <w:r>
        <w:rPr>
          <w:rFonts w:hint="eastAsia" w:ascii="Times New Roman Regular" w:hAnsi="Times New Roman Regular" w:eastAsia="仿宋_GB2312" w:cs="Times New Roman Regular"/>
          <w:sz w:val="32"/>
          <w:szCs w:val="32"/>
          <w:lang w:val="en-US" w:eastAsia="zh-CN"/>
        </w:rPr>
        <w:t>年中追加</w:t>
      </w:r>
      <w:r>
        <w:rPr>
          <w:rFonts w:hint="eastAsia" w:ascii="Times New Roman Regular" w:hAnsi="Times New Roman Regular" w:eastAsia="仿宋_GB2312" w:cs="Times New Roman Regular"/>
          <w:sz w:val="32"/>
          <w:szCs w:val="32"/>
        </w:rPr>
        <w:t>市政协</w:t>
      </w:r>
      <w:r>
        <w:rPr>
          <w:rFonts w:hint="eastAsia" w:ascii="Times New Roman Regular" w:hAnsi="Times New Roman Regular" w:eastAsia="仿宋_GB2312" w:cs="Times New Roman Regular"/>
          <w:sz w:val="32"/>
          <w:szCs w:val="32"/>
          <w:lang w:val="en-US" w:eastAsia="zh-CN"/>
        </w:rPr>
        <w:t>委员工作室建设和运行经费2万元，</w:t>
      </w:r>
      <w:r>
        <w:rPr>
          <w:rFonts w:hint="eastAsia" w:ascii="Times New Roman Regular" w:hAnsi="Times New Roman Regular" w:eastAsia="仿宋_GB2312" w:cs="Times New Roman Regular"/>
          <w:sz w:val="32"/>
          <w:szCs w:val="32"/>
          <w:lang w:eastAsia="zh-CN"/>
        </w:rPr>
        <w:t>盟史整理宣传经费</w:t>
      </w:r>
      <w:r>
        <w:rPr>
          <w:rFonts w:hint="eastAsia" w:ascii="Times New Roman Regular" w:hAnsi="Times New Roman Regular" w:eastAsia="仿宋_GB2312" w:cs="Times New Roman Regular"/>
          <w:sz w:val="32"/>
          <w:szCs w:val="32"/>
          <w:lang w:val="en-US" w:eastAsia="zh-CN"/>
        </w:rPr>
        <w:t>2万元，</w:t>
      </w:r>
      <w:r>
        <w:rPr>
          <w:rFonts w:hint="default" w:ascii="Times New Roman Regular" w:hAnsi="Times New Roman Regular" w:eastAsia="仿宋_GB2312" w:cs="Times New Roman Regular"/>
          <w:sz w:val="32"/>
          <w:szCs w:val="32"/>
          <w:lang w:val="en-US" w:eastAsia="zh-CN"/>
        </w:rPr>
        <w:t>本年度项目支出</w:t>
      </w:r>
      <w:r>
        <w:rPr>
          <w:rFonts w:hint="eastAsia" w:ascii="Times New Roman Regular" w:hAnsi="Times New Roman Regular" w:eastAsia="仿宋_GB2312" w:cs="Times New Roman Regular"/>
          <w:sz w:val="32"/>
          <w:szCs w:val="32"/>
          <w:lang w:val="en-US" w:eastAsia="zh-CN"/>
        </w:rPr>
        <w:t>总</w:t>
      </w:r>
      <w:r>
        <w:rPr>
          <w:rFonts w:hint="default" w:ascii="Times New Roman Regular" w:hAnsi="Times New Roman Regular" w:eastAsia="仿宋_GB2312" w:cs="Times New Roman Regular"/>
          <w:sz w:val="32"/>
          <w:szCs w:val="32"/>
          <w:lang w:val="en-US" w:eastAsia="zh-CN"/>
        </w:rPr>
        <w:t>预算数</w:t>
      </w:r>
      <w:r>
        <w:rPr>
          <w:rFonts w:hint="eastAsia" w:ascii="Times New Roman Regular" w:hAnsi="Times New Roman Regular" w:eastAsia="仿宋_GB2312" w:cs="Times New Roman Regular"/>
          <w:sz w:val="32"/>
          <w:szCs w:val="32"/>
          <w:lang w:val="en-US" w:eastAsia="zh-CN"/>
        </w:rPr>
        <w:t>54万元，</w:t>
      </w:r>
      <w:r>
        <w:rPr>
          <w:rFonts w:hint="eastAsia" w:ascii="Times New Roman Regular" w:hAnsi="Times New Roman Regular" w:eastAsia="仿宋_GB2312" w:cs="Times New Roman Regular"/>
          <w:sz w:val="32"/>
          <w:szCs w:val="32"/>
        </w:rPr>
        <w:t>实际到位</w:t>
      </w:r>
      <w:r>
        <w:rPr>
          <w:rFonts w:hint="eastAsia" w:ascii="Times New Roman Regular" w:hAnsi="Times New Roman Regular" w:eastAsia="仿宋_GB2312" w:cs="Times New Roman Regular"/>
          <w:sz w:val="32"/>
          <w:szCs w:val="32"/>
          <w:lang w:val="en-US" w:eastAsia="zh-CN"/>
        </w:rPr>
        <w:t>36.21</w:t>
      </w:r>
      <w:r>
        <w:rPr>
          <w:rFonts w:hint="eastAsia" w:ascii="Times New Roman Regular" w:hAnsi="Times New Roman Regular" w:eastAsia="仿宋_GB2312" w:cs="Times New Roman Regular"/>
          <w:sz w:val="32"/>
          <w:szCs w:val="32"/>
        </w:rPr>
        <w:t>万元，到位率</w:t>
      </w:r>
      <w:r>
        <w:rPr>
          <w:rFonts w:hint="eastAsia" w:ascii="Times New Roman Regular" w:hAnsi="Times New Roman Regular" w:eastAsia="仿宋_GB2312" w:cs="Times New Roman Regular"/>
          <w:sz w:val="32"/>
          <w:szCs w:val="32"/>
          <w:lang w:val="en-US" w:eastAsia="zh-CN"/>
        </w:rPr>
        <w:t>67.06</w:t>
      </w:r>
      <w:r>
        <w:rPr>
          <w:rFonts w:hint="eastAsia" w:ascii="Times New Roman Regular" w:hAnsi="Times New Roman Regular" w:eastAsia="仿宋_GB2312" w:cs="Times New Roman Regular"/>
          <w:sz w:val="32"/>
          <w:szCs w:val="32"/>
        </w:rPr>
        <w:t>%</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lang w:val="en-US" w:eastAsia="zh-CN"/>
        </w:rPr>
        <w:t>实际支出33.11万元，执行率61.31%。</w:t>
      </w:r>
    </w:p>
    <w:p w14:paraId="65D36AFE">
      <w:pPr>
        <w:snapToGrid w:val="0"/>
        <w:spacing w:line="520" w:lineRule="exact"/>
        <w:ind w:firstLine="640" w:firstLineChars="200"/>
        <w:rPr>
          <w:rFonts w:hint="default"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rPr>
        <w:t>市政协委员工作室建设和运行经费2万元，预算执行2万元，执行率100%</w:t>
      </w:r>
      <w:r>
        <w:rPr>
          <w:rFonts w:hint="eastAsia" w:ascii="Times New Roman Regular" w:hAnsi="Times New Roman Regular" w:eastAsia="仿宋_GB2312" w:cs="Times New Roman Regular"/>
          <w:sz w:val="32"/>
          <w:szCs w:val="32"/>
          <w:lang w:eastAsia="zh-CN"/>
        </w:rPr>
        <w:t>；盟史整理宣传经费</w:t>
      </w:r>
      <w:r>
        <w:rPr>
          <w:rFonts w:hint="eastAsia" w:ascii="Times New Roman Regular" w:hAnsi="Times New Roman Regular" w:eastAsia="仿宋_GB2312" w:cs="Times New Roman Regular"/>
          <w:sz w:val="32"/>
          <w:szCs w:val="32"/>
          <w:lang w:val="en-US" w:eastAsia="zh-CN"/>
        </w:rPr>
        <w:t>2万元，</w:t>
      </w:r>
      <w:r>
        <w:rPr>
          <w:rFonts w:hint="eastAsia" w:ascii="Times New Roman Regular" w:hAnsi="Times New Roman Regular" w:eastAsia="仿宋_GB2312" w:cs="Times New Roman Regular"/>
          <w:sz w:val="32"/>
          <w:szCs w:val="32"/>
        </w:rPr>
        <w:t>预算执行</w:t>
      </w:r>
      <w:r>
        <w:rPr>
          <w:rFonts w:hint="eastAsia" w:ascii="Times New Roman Regular" w:hAnsi="Times New Roman Regular" w:eastAsia="仿宋_GB2312" w:cs="Times New Roman Regular"/>
          <w:sz w:val="32"/>
          <w:szCs w:val="32"/>
          <w:lang w:val="en-US" w:eastAsia="zh-CN"/>
        </w:rPr>
        <w:t>1.99</w:t>
      </w:r>
      <w:r>
        <w:rPr>
          <w:rFonts w:hint="eastAsia" w:ascii="Times New Roman Regular" w:hAnsi="Times New Roman Regular" w:eastAsia="仿宋_GB2312" w:cs="Times New Roman Regular"/>
          <w:sz w:val="32"/>
          <w:szCs w:val="32"/>
        </w:rPr>
        <w:t>万元，执行率</w:t>
      </w:r>
      <w:r>
        <w:rPr>
          <w:rFonts w:hint="eastAsia" w:ascii="Times New Roman Regular" w:hAnsi="Times New Roman Regular" w:eastAsia="仿宋_GB2312" w:cs="Times New Roman Regular"/>
          <w:sz w:val="32"/>
          <w:szCs w:val="32"/>
          <w:lang w:val="en-US" w:eastAsia="zh-CN"/>
        </w:rPr>
        <w:t>99.50</w:t>
      </w:r>
      <w:r>
        <w:rPr>
          <w:rFonts w:hint="eastAsia" w:ascii="Times New Roman Regular" w:hAnsi="Times New Roman Regular" w:eastAsia="仿宋_GB2312" w:cs="Times New Roman Regular"/>
          <w:sz w:val="32"/>
          <w:szCs w:val="32"/>
        </w:rPr>
        <w:t>%</w:t>
      </w:r>
      <w:r>
        <w:rPr>
          <w:rFonts w:hint="eastAsia" w:ascii="Times New Roman Regular" w:hAnsi="Times New Roman Regular" w:eastAsia="仿宋_GB2312" w:cs="Times New Roman Regular"/>
          <w:sz w:val="32"/>
          <w:szCs w:val="32"/>
          <w:lang w:eastAsia="zh-CN"/>
        </w:rPr>
        <w:t>。</w:t>
      </w:r>
    </w:p>
    <w:p w14:paraId="739F9CFE">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2</w:t>
      </w:r>
      <w:r>
        <w:rPr>
          <w:rFonts w:ascii="Times New Roman Regular" w:hAnsi="Times New Roman Regular" w:eastAsia="仿宋_GB2312" w:cs="Times New Roman Regular"/>
          <w:sz w:val="32"/>
          <w:szCs w:val="32"/>
        </w:rPr>
        <w:t>、项目资金管理情况分析，主要包括管理制度、办法的制订及执行情况。</w:t>
      </w:r>
    </w:p>
    <w:p w14:paraId="1372EBC2">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r>
        <w:rPr>
          <w:rFonts w:ascii="Times New Roman Regular" w:hAnsi="Times New Roman Regular" w:eastAsia="仿宋_GB2312" w:cs="Times New Roman Regular"/>
          <w:sz w:val="32"/>
          <w:szCs w:val="32"/>
        </w:rPr>
        <w:t>。</w:t>
      </w:r>
    </w:p>
    <w:p w14:paraId="625D5239">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三、项目组织实施情况</w:t>
      </w:r>
    </w:p>
    <w:p w14:paraId="7A39FBCA">
      <w:pPr>
        <w:snapToGrid w:val="0"/>
        <w:spacing w:line="52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（一）项目组织情况分析，主要包括项目招投标、调整、竣工验收等情况。</w:t>
      </w:r>
    </w:p>
    <w:p w14:paraId="40D40B4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政府采购限额标准以上的采购项目，通过集体决策确定采购方式组织项目实施。</w:t>
      </w:r>
    </w:p>
    <w:p w14:paraId="21DA99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color w:val="auto"/>
          <w:sz w:val="32"/>
          <w:szCs w:val="32"/>
          <w:highlight w:val="none"/>
          <w:lang w:val="en-US" w:eastAsia="zh-CN"/>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6CA0066B">
      <w:pPr>
        <w:snapToGrid w:val="0"/>
        <w:spacing w:line="52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（二）项目管理情况分析，主要包括项目管理制度建设、日常检查监督管理等情况。</w:t>
      </w:r>
    </w:p>
    <w:p w14:paraId="127DA7B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color w:val="auto"/>
          <w:sz w:val="32"/>
          <w:szCs w:val="32"/>
          <w:highlight w:val="none"/>
          <w:lang w:val="en-US" w:eastAsia="zh-CN"/>
        </w:rPr>
        <w:t>为确保各专项项目实施，各部室严格按照相关质量控制体系、标准制定业务管理制度及业务管理实施方案，并建立业务绩效考核管理办法，对各专项项目实施监测、检查和验收。</w:t>
      </w:r>
    </w:p>
    <w:p w14:paraId="599A10ED">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四、资产管理情况</w:t>
      </w:r>
    </w:p>
    <w:p w14:paraId="771917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严格按照财务管理制度，认真落实内部控制管理实施细则，理顺资产管理体制，加强资产管理制度建设、落实现行资产管理的流程和工作机制、管理方式等。加强人、财、物的规范管理，做到财物账实相符。合理配备并节约、有效使用资产，提高资产使用效率，保障资产的安全和完整。</w:t>
      </w:r>
    </w:p>
    <w:p w14:paraId="5FB058A2">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五、政府性基金预算支出情况</w:t>
      </w:r>
    </w:p>
    <w:p w14:paraId="51FE70A5">
      <w:pPr>
        <w:widowControl/>
        <w:shd w:val="clear" w:color="auto" w:fill="FFFFFF"/>
        <w:spacing w:line="520" w:lineRule="exact"/>
        <w:ind w:firstLine="641"/>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本单位无政府性基金预算支出</w:t>
      </w:r>
    </w:p>
    <w:p w14:paraId="4E067788">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六、国有资本经营预算支出情况</w:t>
      </w:r>
    </w:p>
    <w:p w14:paraId="5C669C64">
      <w:pPr>
        <w:widowControl/>
        <w:shd w:val="clear" w:color="auto" w:fill="FFFFFF"/>
        <w:spacing w:line="520" w:lineRule="exact"/>
        <w:ind w:firstLine="641"/>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本单位无国有资本经营预算支出</w:t>
      </w:r>
    </w:p>
    <w:p w14:paraId="4F31CF55">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七、社会保险基金预算支出情况</w:t>
      </w:r>
    </w:p>
    <w:p w14:paraId="5619DA01">
      <w:pPr>
        <w:widowControl/>
        <w:shd w:val="clear" w:color="auto" w:fill="FFFFFF"/>
        <w:spacing w:line="520" w:lineRule="exact"/>
        <w:ind w:firstLine="641"/>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本单位无社会保险基金预算支出</w:t>
      </w:r>
    </w:p>
    <w:p w14:paraId="377E86ED">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八、部门整体支出绩效情况</w:t>
      </w:r>
    </w:p>
    <w:p w14:paraId="2846F49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w:t>
      </w:r>
    </w:p>
    <w:p w14:paraId="31B4CC6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中国民主同盟会怀化市委员会</w:t>
      </w:r>
      <w:r>
        <w:rPr>
          <w:rFonts w:hint="default" w:ascii="Times New Roman Regular" w:hAnsi="Times New Roman Regular" w:eastAsia="仿宋_GB2312" w:cs="Times New Roman Regular"/>
          <w:color w:val="auto"/>
          <w:sz w:val="32"/>
          <w:szCs w:val="32"/>
          <w:highlight w:val="none"/>
          <w:lang w:val="en-US" w:eastAsia="zh-CN"/>
        </w:rPr>
        <w:t>2025年认真履职，按年初计划完成了各项工作任务</w:t>
      </w:r>
      <w:r>
        <w:rPr>
          <w:rFonts w:hint="eastAsia" w:ascii="Times New Roman Regular" w:hAnsi="Times New Roman Regular" w:eastAsia="仿宋_GB2312" w:cs="Times New Roman Regular"/>
          <w:color w:val="auto"/>
          <w:sz w:val="32"/>
          <w:szCs w:val="32"/>
          <w:highlight w:val="none"/>
          <w:lang w:val="en-US" w:eastAsia="zh-CN"/>
        </w:rPr>
        <w:t>，部门</w:t>
      </w:r>
      <w:r>
        <w:rPr>
          <w:rFonts w:hint="default" w:ascii="Times New Roman Regular" w:hAnsi="Times New Roman Regular" w:eastAsia="仿宋_GB2312" w:cs="Times New Roman Regular"/>
          <w:color w:val="auto"/>
          <w:sz w:val="32"/>
          <w:szCs w:val="32"/>
          <w:highlight w:val="none"/>
          <w:lang w:val="en-US" w:eastAsia="zh-CN"/>
        </w:rPr>
        <w:t>整体支出绩效评价得分为</w:t>
      </w:r>
      <w:r>
        <w:rPr>
          <w:rFonts w:hint="eastAsia" w:ascii="Times New Roman Regular" w:hAnsi="Times New Roman Regular" w:eastAsia="仿宋_GB2312" w:cs="Times New Roman Regular"/>
          <w:color w:val="auto"/>
          <w:sz w:val="32"/>
          <w:szCs w:val="32"/>
          <w:highlight w:val="none"/>
          <w:lang w:val="en-US" w:eastAsia="zh-CN"/>
        </w:rPr>
        <w:t>97.75</w:t>
      </w:r>
      <w:r>
        <w:rPr>
          <w:rFonts w:hint="default" w:ascii="Times New Roman Regular" w:hAnsi="Times New Roman Regular" w:eastAsia="仿宋_GB2312" w:cs="Times New Roman Regular"/>
          <w:color w:val="auto"/>
          <w:sz w:val="32"/>
          <w:szCs w:val="32"/>
          <w:highlight w:val="none"/>
          <w:lang w:val="en-US" w:eastAsia="zh-CN"/>
        </w:rPr>
        <w:t>分，自评等级为优。</w:t>
      </w:r>
    </w:p>
    <w:p w14:paraId="3AC503B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评价指标分析</w:t>
      </w:r>
    </w:p>
    <w:p w14:paraId="1B13D96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1.综合评价分析</w:t>
      </w:r>
    </w:p>
    <w:p w14:paraId="315EF0A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绩效目标设定方面：我单位严格按照绩效目标制定的相关规定，</w:t>
      </w:r>
      <w:r>
        <w:rPr>
          <w:rFonts w:hint="default" w:ascii="Times New Roman Regular" w:hAnsi="Times New Roman Regular" w:eastAsia="仿宋_GB2312" w:cs="Times New Roman Regular"/>
          <w:color w:val="auto"/>
          <w:sz w:val="32"/>
          <w:szCs w:val="32"/>
          <w:highlight w:val="none"/>
          <w:lang w:val="en-US" w:eastAsia="zh-CN"/>
        </w:rPr>
        <w:t>围绕部门职责、</w:t>
      </w:r>
      <w:r>
        <w:rPr>
          <w:rFonts w:hint="eastAsia" w:ascii="Times New Roman Regular" w:hAnsi="Times New Roman Regular" w:eastAsia="仿宋_GB2312" w:cs="Times New Roman Regular"/>
          <w:color w:val="auto"/>
          <w:sz w:val="32"/>
          <w:szCs w:val="32"/>
          <w:highlight w:val="none"/>
          <w:lang w:val="en-US" w:eastAsia="zh-CN"/>
        </w:rPr>
        <w:t>整体</w:t>
      </w:r>
      <w:r>
        <w:rPr>
          <w:rFonts w:hint="default" w:ascii="Times New Roman Regular" w:hAnsi="Times New Roman Regular" w:eastAsia="仿宋_GB2312" w:cs="Times New Roman Regular"/>
          <w:color w:val="auto"/>
          <w:sz w:val="32"/>
          <w:szCs w:val="32"/>
          <w:highlight w:val="none"/>
          <w:lang w:val="en-US" w:eastAsia="zh-CN"/>
        </w:rPr>
        <w:t>发展规划</w:t>
      </w:r>
      <w:r>
        <w:rPr>
          <w:rFonts w:hint="eastAsia" w:ascii="Times New Roman Regular" w:hAnsi="Times New Roman Regular" w:eastAsia="仿宋_GB2312" w:cs="Times New Roman Regular"/>
          <w:color w:val="auto"/>
          <w:sz w:val="32"/>
          <w:szCs w:val="32"/>
          <w:highlight w:val="none"/>
          <w:lang w:val="en-US" w:eastAsia="zh-CN"/>
        </w:rPr>
        <w:t>，完整、合理地制定整体绩效目标，绩效指标基本做到细化量化。</w:t>
      </w:r>
    </w:p>
    <w:p w14:paraId="6FEDF17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配置方面：我单位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54208F9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预算执行</w:t>
      </w:r>
      <w:r>
        <w:rPr>
          <w:rFonts w:hint="eastAsia" w:ascii="Times New Roman Regular" w:hAnsi="Times New Roman Regular" w:eastAsia="仿宋_GB2312" w:cs="Times New Roman Regular"/>
          <w:color w:val="auto"/>
          <w:sz w:val="32"/>
          <w:szCs w:val="32"/>
          <w:highlight w:val="none"/>
          <w:lang w:val="en-US" w:eastAsia="zh-CN"/>
        </w:rPr>
        <w:t>方面：严格执行批复的各项支出预算，不擅自扩大支出范围、提高开支标准，严格按照预算批复的支出用途使用资金。</w:t>
      </w:r>
    </w:p>
    <w:p w14:paraId="178ABC9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预算管理</w:t>
      </w:r>
      <w:r>
        <w:rPr>
          <w:rFonts w:hint="eastAsia" w:ascii="Times New Roman Regular" w:hAnsi="Times New Roman Regular" w:eastAsia="仿宋_GB2312" w:cs="Times New Roman Regular"/>
          <w:color w:val="auto"/>
          <w:sz w:val="32"/>
          <w:szCs w:val="32"/>
          <w:highlight w:val="none"/>
          <w:lang w:val="en-US" w:eastAsia="zh-CN"/>
        </w:rPr>
        <w:t>方面：我单位按照预算法要求进行“一上”申报，在“一下”的基础上进行修改进行“二上”申报，形成以单位领导支持、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1D85756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资产管理</w:t>
      </w:r>
      <w:r>
        <w:rPr>
          <w:rFonts w:hint="eastAsia" w:ascii="Times New Roman Regular" w:hAnsi="Times New Roman Regular" w:eastAsia="仿宋_GB2312" w:cs="Times New Roman Regular"/>
          <w:color w:val="auto"/>
          <w:sz w:val="32"/>
          <w:szCs w:val="32"/>
          <w:highlight w:val="none"/>
          <w:lang w:val="en-US" w:eastAsia="zh-CN"/>
        </w:rPr>
        <w:t>方面：我单位严格执行资产配置、使用、处置管理办法，做到购置有预算，实物有专人管理，处置按流程，定期盘点清理资产，掌握固定资产的使用情况，确保设备完好提高利用率。资产账务管理合规、账实相符、处置规范。</w:t>
      </w:r>
    </w:p>
    <w:p w14:paraId="2A03206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职责履行</w:t>
      </w:r>
      <w:r>
        <w:rPr>
          <w:rFonts w:hint="eastAsia" w:ascii="Times New Roman Regular" w:hAnsi="Times New Roman Regular" w:eastAsia="仿宋_GB2312" w:cs="Times New Roman Regular"/>
          <w:color w:val="auto"/>
          <w:sz w:val="32"/>
          <w:szCs w:val="32"/>
          <w:highlight w:val="none"/>
          <w:lang w:val="en-US" w:eastAsia="zh-CN"/>
        </w:rPr>
        <w:t>方面：我单位202</w:t>
      </w:r>
      <w:r>
        <w:rPr>
          <w:rFonts w:hint="default" w:ascii="Times New Roman Regular" w:hAnsi="Times New Roman Regular" w:eastAsia="仿宋_GB2312" w:cs="Times New Roman Regular"/>
          <w:color w:val="auto"/>
          <w:sz w:val="32"/>
          <w:szCs w:val="32"/>
          <w:highlight w:val="none"/>
          <w:lang w:val="en-US" w:eastAsia="zh-CN"/>
        </w:rPr>
        <w:t>5</w:t>
      </w:r>
      <w:r>
        <w:rPr>
          <w:rFonts w:hint="eastAsia" w:ascii="Times New Roman Regular" w:hAnsi="Times New Roman Regular" w:eastAsia="仿宋_GB2312" w:cs="Times New Roman Regular"/>
          <w:color w:val="auto"/>
          <w:sz w:val="32"/>
          <w:szCs w:val="32"/>
          <w:highlight w:val="none"/>
          <w:lang w:val="en-US" w:eastAsia="zh-CN"/>
        </w:rPr>
        <w:t>年严格落实各项工作，按照市局下达的任务及本单位的目标任务，积极推进了各项工作平稳、有序的开展。</w:t>
      </w:r>
    </w:p>
    <w:p w14:paraId="03268BB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2.目标完成情况及</w:t>
      </w:r>
      <w:r>
        <w:rPr>
          <w:rFonts w:hint="default" w:ascii="Times New Roman Regular" w:hAnsi="Times New Roman Regular" w:eastAsia="仿宋_GB2312" w:cs="Times New Roman Regular"/>
          <w:color w:val="auto"/>
          <w:sz w:val="32"/>
          <w:szCs w:val="32"/>
          <w:highlight w:val="none"/>
          <w:lang w:val="en-US" w:eastAsia="zh-CN"/>
        </w:rPr>
        <w:t>指标分析</w:t>
      </w:r>
    </w:p>
    <w:p w14:paraId="4DAC4E3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我部门202</w:t>
      </w:r>
      <w:r>
        <w:rPr>
          <w:rFonts w:hint="default" w:ascii="Times New Roman Regular" w:hAnsi="Times New Roman Regular" w:eastAsia="仿宋_GB2312" w:cs="Times New Roman Regular"/>
          <w:color w:val="auto"/>
          <w:sz w:val="32"/>
          <w:szCs w:val="32"/>
          <w:highlight w:val="none"/>
          <w:lang w:val="en-US" w:eastAsia="zh-CN"/>
        </w:rPr>
        <w:t>5</w:t>
      </w:r>
      <w:r>
        <w:rPr>
          <w:rFonts w:hint="eastAsia" w:ascii="Times New Roman Regular" w:hAnsi="Times New Roman Regular" w:eastAsia="仿宋_GB2312" w:cs="Times New Roman Regular"/>
          <w:color w:val="auto"/>
          <w:sz w:val="32"/>
          <w:szCs w:val="32"/>
          <w:highlight w:val="none"/>
          <w:lang w:val="en-US" w:eastAsia="zh-CN"/>
        </w:rPr>
        <w:t>年一般公共预算资金总体目标完成较好，具体如下：</w:t>
      </w:r>
    </w:p>
    <w:p w14:paraId="55F9EF9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目标1.深化理论武装，思想根基更加牢固；</w:t>
      </w:r>
    </w:p>
    <w:p w14:paraId="5D244A0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目标2.聚焦中心任务，参政议政更有质效；</w:t>
      </w:r>
    </w:p>
    <w:p w14:paraId="613B707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目标3.</w:t>
      </w:r>
      <w:r>
        <w:rPr>
          <w:rFonts w:hint="default" w:ascii="Times New Roman Regular" w:hAnsi="Times New Roman Regular" w:eastAsia="仿宋_GB2312" w:cs="Times New Roman Regular"/>
          <w:color w:val="auto"/>
          <w:sz w:val="32"/>
          <w:szCs w:val="32"/>
          <w:highlight w:val="none"/>
          <w:lang w:val="en-US" w:eastAsia="zh-CN"/>
        </w:rPr>
        <w:t>强化责任担当，民主监督</w:t>
      </w:r>
      <w:r>
        <w:rPr>
          <w:rFonts w:hint="eastAsia" w:ascii="Times New Roman Regular" w:hAnsi="Times New Roman Regular" w:eastAsia="仿宋_GB2312" w:cs="Times New Roman Regular"/>
          <w:color w:val="auto"/>
          <w:sz w:val="32"/>
          <w:szCs w:val="32"/>
          <w:highlight w:val="none"/>
          <w:lang w:val="en-US" w:eastAsia="zh-CN"/>
        </w:rPr>
        <w:t>更富</w:t>
      </w:r>
      <w:r>
        <w:rPr>
          <w:rFonts w:hint="default" w:ascii="Times New Roman Regular" w:hAnsi="Times New Roman Regular" w:eastAsia="仿宋_GB2312" w:cs="Times New Roman Regular"/>
          <w:color w:val="auto"/>
          <w:sz w:val="32"/>
          <w:szCs w:val="32"/>
          <w:highlight w:val="none"/>
          <w:lang w:val="en-US" w:eastAsia="zh-CN"/>
        </w:rPr>
        <w:t>实效</w:t>
      </w:r>
      <w:r>
        <w:rPr>
          <w:rFonts w:hint="eastAsia" w:ascii="Times New Roman Regular" w:hAnsi="Times New Roman Regular" w:eastAsia="仿宋_GB2312" w:cs="Times New Roman Regular"/>
          <w:color w:val="auto"/>
          <w:sz w:val="32"/>
          <w:szCs w:val="32"/>
          <w:highlight w:val="none"/>
          <w:lang w:val="en-US" w:eastAsia="zh-CN"/>
        </w:rPr>
        <w:t>；</w:t>
      </w:r>
    </w:p>
    <w:p w14:paraId="179B6B3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目标4.</w:t>
      </w:r>
      <w:r>
        <w:rPr>
          <w:rFonts w:hint="default" w:ascii="Times New Roman Regular" w:hAnsi="Times New Roman Regular" w:eastAsia="仿宋_GB2312" w:cs="Times New Roman Regular"/>
          <w:color w:val="auto"/>
          <w:sz w:val="32"/>
          <w:szCs w:val="32"/>
          <w:highlight w:val="none"/>
          <w:lang w:val="en-US" w:eastAsia="zh-CN"/>
        </w:rPr>
        <w:t>强化自身建设，履职根基</w:t>
      </w:r>
      <w:r>
        <w:rPr>
          <w:rFonts w:hint="eastAsia" w:ascii="Times New Roman Regular" w:hAnsi="Times New Roman Regular" w:eastAsia="仿宋_GB2312" w:cs="Times New Roman Regular"/>
          <w:color w:val="auto"/>
          <w:sz w:val="32"/>
          <w:szCs w:val="32"/>
          <w:highlight w:val="none"/>
          <w:lang w:val="en-US" w:eastAsia="zh-CN"/>
        </w:rPr>
        <w:t>更加厚重；</w:t>
      </w:r>
    </w:p>
    <w:p w14:paraId="7319683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目标5.</w:t>
      </w:r>
      <w:r>
        <w:rPr>
          <w:rFonts w:hint="default" w:ascii="Times New Roman Regular" w:hAnsi="Times New Roman Regular" w:eastAsia="仿宋_GB2312" w:cs="Times New Roman Regular"/>
          <w:color w:val="auto"/>
          <w:sz w:val="32"/>
          <w:szCs w:val="32"/>
          <w:highlight w:val="none"/>
          <w:lang w:val="en-US" w:eastAsia="zh-CN"/>
        </w:rPr>
        <w:t>心系民生福祉，社会服务</w:t>
      </w:r>
      <w:r>
        <w:rPr>
          <w:rFonts w:hint="eastAsia" w:ascii="Times New Roman Regular" w:hAnsi="Times New Roman Regular" w:eastAsia="仿宋_GB2312" w:cs="Times New Roman Regular"/>
          <w:color w:val="auto"/>
          <w:sz w:val="32"/>
          <w:szCs w:val="32"/>
          <w:highlight w:val="none"/>
          <w:lang w:val="en-US" w:eastAsia="zh-CN"/>
        </w:rPr>
        <w:t>更有广度。</w:t>
      </w:r>
    </w:p>
    <w:p w14:paraId="0920FFD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（1）产出指标分析</w:t>
      </w:r>
    </w:p>
    <w:p w14:paraId="10365A6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2025年盟市委会印发工作方案，提出18条工作清单，5次举行领导班子集中学习活动，2次召开市委扩大会议进行专题辅导。</w:t>
      </w:r>
      <w:r>
        <w:rPr>
          <w:rFonts w:hint="default" w:ascii="Times New Roman Regular" w:hAnsi="Times New Roman Regular" w:eastAsia="仿宋_GB2312" w:cs="Times New Roman Regular"/>
          <w:color w:val="auto"/>
          <w:sz w:val="32"/>
          <w:szCs w:val="32"/>
          <w:highlight w:val="none"/>
          <w:lang w:val="en-US" w:eastAsia="zh-CN"/>
        </w:rPr>
        <w:t>在公众号发布政治学习、思想宣传、</w:t>
      </w:r>
      <w:r>
        <w:rPr>
          <w:rFonts w:hint="eastAsia" w:ascii="Times New Roman Regular" w:hAnsi="Times New Roman Regular" w:eastAsia="仿宋_GB2312" w:cs="Times New Roman Regular"/>
          <w:color w:val="auto"/>
          <w:sz w:val="32"/>
          <w:szCs w:val="32"/>
          <w:highlight w:val="none"/>
          <w:lang w:val="en-US" w:eastAsia="zh-CN"/>
        </w:rPr>
        <w:t>参政议政范文、</w:t>
      </w:r>
      <w:r>
        <w:rPr>
          <w:rFonts w:hint="default" w:ascii="Times New Roman Regular" w:hAnsi="Times New Roman Regular" w:eastAsia="仿宋_GB2312" w:cs="Times New Roman Regular"/>
          <w:color w:val="auto"/>
          <w:sz w:val="32"/>
          <w:szCs w:val="32"/>
          <w:highlight w:val="none"/>
          <w:lang w:val="en-US" w:eastAsia="zh-CN"/>
        </w:rPr>
        <w:t>模范典型</w:t>
      </w:r>
      <w:r>
        <w:rPr>
          <w:rFonts w:hint="eastAsia" w:ascii="Times New Roman Regular" w:hAnsi="Times New Roman Regular" w:eastAsia="仿宋_GB2312" w:cs="Times New Roman Regular"/>
          <w:color w:val="auto"/>
          <w:sz w:val="32"/>
          <w:szCs w:val="32"/>
          <w:highlight w:val="none"/>
          <w:lang w:val="en-US" w:eastAsia="zh-CN"/>
        </w:rPr>
        <w:t>事迹共</w:t>
      </w:r>
      <w:r>
        <w:rPr>
          <w:rFonts w:hint="default" w:ascii="Times New Roman Regular" w:hAnsi="Times New Roman Regular" w:eastAsia="仿宋_GB2312" w:cs="Times New Roman Regular"/>
          <w:color w:val="auto"/>
          <w:sz w:val="32"/>
          <w:szCs w:val="32"/>
          <w:highlight w:val="none"/>
          <w:lang w:val="en-US" w:eastAsia="zh-CN"/>
        </w:rPr>
        <w:t>5</w:t>
      </w: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篇</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累计提交人大建议7份、集体提案16份、个人提案25份，其中2篇集体提案、1篇个人提案被市政协列为重点提案。</w:t>
      </w:r>
      <w:r>
        <w:rPr>
          <w:rFonts w:hint="eastAsia" w:ascii="Times New Roman Regular" w:hAnsi="Times New Roman Regular" w:eastAsia="仿宋_GB2312" w:cs="Times New Roman Regular"/>
          <w:color w:val="auto"/>
          <w:sz w:val="32"/>
          <w:szCs w:val="32"/>
          <w:highlight w:val="none"/>
          <w:lang w:val="en-US" w:eastAsia="zh-CN"/>
        </w:rPr>
        <w:t>全年</w:t>
      </w:r>
      <w:r>
        <w:rPr>
          <w:rFonts w:hint="default" w:ascii="Times New Roman Regular" w:hAnsi="Times New Roman Regular" w:eastAsia="仿宋_GB2312" w:cs="Times New Roman Regular"/>
          <w:color w:val="auto"/>
          <w:sz w:val="32"/>
          <w:szCs w:val="32"/>
          <w:highlight w:val="none"/>
          <w:lang w:val="en-US" w:eastAsia="zh-CN"/>
        </w:rPr>
        <w:t>报送社情民意</w:t>
      </w: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0余篇，</w:t>
      </w:r>
      <w:r>
        <w:rPr>
          <w:rFonts w:hint="eastAsia" w:ascii="Times New Roman Regular" w:hAnsi="Times New Roman Regular" w:eastAsia="仿宋_GB2312" w:cs="Times New Roman Regular"/>
          <w:color w:val="auto"/>
          <w:sz w:val="32"/>
          <w:szCs w:val="32"/>
          <w:highlight w:val="none"/>
          <w:lang w:val="en-US" w:eastAsia="zh-CN"/>
        </w:rPr>
        <w:t>微建议50条</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全年新发展盟员22名，平均年龄40.36岁，主界别占比100%，其中博士3人，高级职称6人，民盟中央代表人士1人。</w:t>
      </w:r>
      <w:r>
        <w:rPr>
          <w:rFonts w:hint="default" w:ascii="Times New Roman Regular" w:hAnsi="Times New Roman Regular" w:eastAsia="仿宋_GB2312" w:cs="Times New Roman Regular"/>
          <w:color w:val="auto"/>
          <w:sz w:val="32"/>
          <w:szCs w:val="32"/>
          <w:highlight w:val="none"/>
          <w:lang w:val="en-US" w:eastAsia="zh-CN"/>
        </w:rPr>
        <w:t>圆满完成11个基层组织换届，拆分1个支部、新成立2个支部</w:t>
      </w:r>
      <w:r>
        <w:rPr>
          <w:rFonts w:hint="eastAsia" w:ascii="Times New Roman Regular" w:hAnsi="Times New Roman Regular" w:eastAsia="仿宋_GB2312" w:cs="Times New Roman Regular"/>
          <w:color w:val="auto"/>
          <w:sz w:val="32"/>
          <w:szCs w:val="32"/>
          <w:highlight w:val="none"/>
          <w:lang w:val="en-US" w:eastAsia="zh-CN"/>
        </w:rPr>
        <w:t>，支部总数达到13个</w:t>
      </w:r>
      <w:r>
        <w:rPr>
          <w:rFonts w:hint="default" w:ascii="Times New Roman Regular" w:hAnsi="Times New Roman Regular" w:eastAsia="仿宋_GB2312" w:cs="Times New Roman Regular"/>
          <w:color w:val="auto"/>
          <w:sz w:val="32"/>
          <w:szCs w:val="32"/>
          <w:highlight w:val="none"/>
          <w:lang w:val="en-US" w:eastAsia="zh-CN"/>
        </w:rPr>
        <w:t>。选举产生支委会班子41名，其中女性20人、新进26人、新任主委9人；平均年龄37.7岁，含90后11人；博士3人、硕士10人、正副高15人。</w:t>
      </w:r>
      <w:r>
        <w:rPr>
          <w:rFonts w:hint="eastAsia" w:ascii="Times New Roman Regular" w:hAnsi="Times New Roman Regular" w:eastAsia="仿宋_GB2312" w:cs="Times New Roman Regular"/>
          <w:color w:val="auto"/>
          <w:sz w:val="32"/>
          <w:szCs w:val="32"/>
          <w:highlight w:val="none"/>
          <w:lang w:val="en-US" w:eastAsia="zh-CN"/>
        </w:rPr>
        <w:t>开展了主委接待日、走访盟员所在单位的活动，先后21次</w:t>
      </w:r>
      <w:r>
        <w:rPr>
          <w:rFonts w:hint="default" w:ascii="Times New Roman Regular" w:hAnsi="Times New Roman Regular" w:eastAsia="仿宋_GB2312" w:cs="Times New Roman Regular"/>
          <w:color w:val="auto"/>
          <w:sz w:val="32"/>
          <w:szCs w:val="32"/>
          <w:highlight w:val="none"/>
          <w:lang w:val="en-US" w:eastAsia="zh-CN"/>
        </w:rPr>
        <w:t>走访</w:t>
      </w:r>
      <w:r>
        <w:rPr>
          <w:rFonts w:hint="eastAsia" w:ascii="Times New Roman Regular" w:hAnsi="Times New Roman Regular" w:eastAsia="仿宋_GB2312" w:cs="Times New Roman Regular"/>
          <w:color w:val="auto"/>
          <w:sz w:val="32"/>
          <w:szCs w:val="32"/>
          <w:highlight w:val="none"/>
          <w:lang w:val="en-US" w:eastAsia="zh-CN"/>
        </w:rPr>
        <w:t>调研基层组织、盟员企业、盟员单位。参与</w:t>
      </w:r>
      <w:r>
        <w:rPr>
          <w:rFonts w:hint="default" w:ascii="Times New Roman Regular" w:hAnsi="Times New Roman Regular" w:eastAsia="仿宋_GB2312" w:cs="Times New Roman Regular"/>
          <w:color w:val="auto"/>
          <w:sz w:val="32"/>
          <w:szCs w:val="32"/>
          <w:highlight w:val="none"/>
          <w:lang w:val="en-US" w:eastAsia="zh-CN"/>
        </w:rPr>
        <w:t>“烛光行动·守护心灵”公益捐赠活动，为全市13个县市区建成钢琴音乐、美术教室</w:t>
      </w:r>
      <w:r>
        <w:rPr>
          <w:rFonts w:hint="eastAsia" w:ascii="Times New Roman Regular" w:hAnsi="Times New Roman Regular" w:eastAsia="仿宋_GB2312" w:cs="Times New Roman Regular"/>
          <w:color w:val="auto"/>
          <w:sz w:val="32"/>
          <w:szCs w:val="32"/>
          <w:highlight w:val="none"/>
          <w:lang w:val="en-US" w:eastAsia="zh-CN"/>
        </w:rPr>
        <w:t>200</w:t>
      </w:r>
      <w:r>
        <w:rPr>
          <w:rFonts w:hint="default" w:ascii="Times New Roman Regular" w:hAnsi="Times New Roman Regular" w:eastAsia="仿宋_GB2312" w:cs="Times New Roman Regular"/>
          <w:color w:val="auto"/>
          <w:sz w:val="32"/>
          <w:szCs w:val="32"/>
          <w:highlight w:val="none"/>
          <w:lang w:val="en-US" w:eastAsia="zh-CN"/>
        </w:rPr>
        <w:t>个</w:t>
      </w:r>
      <w:r>
        <w:rPr>
          <w:rFonts w:hint="eastAsia" w:ascii="Times New Roman Regular" w:hAnsi="Times New Roman Regular" w:eastAsia="仿宋_GB2312" w:cs="Times New Roman Regular"/>
          <w:color w:val="auto"/>
          <w:sz w:val="32"/>
          <w:szCs w:val="32"/>
          <w:highlight w:val="none"/>
          <w:lang w:val="en-US" w:eastAsia="zh-CN"/>
        </w:rPr>
        <w:t>。积极参加或组织公益活动41场，参加活动盟员260余人次，服务群众达6万人次。持续监督沅水流域</w:t>
      </w:r>
      <w:r>
        <w:rPr>
          <w:rFonts w:hint="default" w:ascii="Times New Roman Regular" w:hAnsi="Times New Roman Regular" w:eastAsia="仿宋_GB2312" w:cs="Times New Roman Regular"/>
          <w:color w:val="auto"/>
          <w:sz w:val="32"/>
          <w:szCs w:val="32"/>
          <w:highlight w:val="none"/>
          <w:lang w:val="en-US" w:eastAsia="zh-CN"/>
        </w:rPr>
        <w:t>（中方段）</w:t>
      </w:r>
      <w:r>
        <w:rPr>
          <w:rFonts w:hint="eastAsia" w:ascii="Times New Roman Regular" w:hAnsi="Times New Roman Regular" w:eastAsia="仿宋_GB2312" w:cs="Times New Roman Regular"/>
          <w:color w:val="auto"/>
          <w:sz w:val="32"/>
          <w:szCs w:val="32"/>
          <w:highlight w:val="none"/>
          <w:lang w:val="en-US" w:eastAsia="zh-CN"/>
        </w:rPr>
        <w:t>生态环境改善，</w:t>
      </w:r>
      <w:r>
        <w:rPr>
          <w:rFonts w:hint="default" w:ascii="Times New Roman Regular" w:hAnsi="Times New Roman Regular" w:eastAsia="仿宋_GB2312" w:cs="Times New Roman Regular"/>
          <w:color w:val="auto"/>
          <w:sz w:val="32"/>
          <w:szCs w:val="32"/>
          <w:highlight w:val="none"/>
          <w:lang w:val="en-US" w:eastAsia="zh-CN"/>
        </w:rPr>
        <w:t>制定13项重点监督清单，采用“专项视察+随机抽查+无人机巡查+水质监测”模式，采取“四不两直”方式，走访30余个点位，重点监督污染源管控、生态修复等，形成监督意见书，建立“三本台账”，推动12项整改任务落地。</w:t>
      </w:r>
    </w:p>
    <w:p w14:paraId="58572C2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（2）效益指标分析</w:t>
      </w:r>
    </w:p>
    <w:p w14:paraId="4192F0D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民盟市委会被评为全省民盟组织建设、机关建设先进单位。兰燕、刘颖、仇云龙受到民盟中央表彰。持续擦亮委员工作室履职品牌，市政协民盟界别委员工作室获湖南省示范性政协委员工作室。3份民盟提案</w:t>
      </w:r>
      <w:r>
        <w:rPr>
          <w:rFonts w:hint="default" w:ascii="Times New Roman Regular" w:hAnsi="Times New Roman Regular" w:eastAsia="仿宋_GB2312" w:cs="Times New Roman Regular"/>
          <w:color w:val="auto"/>
          <w:sz w:val="32"/>
          <w:szCs w:val="32"/>
          <w:highlight w:val="none"/>
          <w:lang w:val="en-US" w:eastAsia="zh-CN"/>
        </w:rPr>
        <w:t>被市政协列为重点提案</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在公众号发布政治学习、思想宣传、</w:t>
      </w:r>
      <w:r>
        <w:rPr>
          <w:rFonts w:hint="eastAsia" w:ascii="Times New Roman Regular" w:hAnsi="Times New Roman Regular" w:eastAsia="仿宋_GB2312" w:cs="Times New Roman Regular"/>
          <w:color w:val="auto"/>
          <w:sz w:val="32"/>
          <w:szCs w:val="32"/>
          <w:highlight w:val="none"/>
          <w:lang w:val="en-US" w:eastAsia="zh-CN"/>
        </w:rPr>
        <w:t>参政议政范文、</w:t>
      </w:r>
      <w:r>
        <w:rPr>
          <w:rFonts w:hint="default" w:ascii="Times New Roman Regular" w:hAnsi="Times New Roman Regular" w:eastAsia="仿宋_GB2312" w:cs="Times New Roman Regular"/>
          <w:color w:val="auto"/>
          <w:sz w:val="32"/>
          <w:szCs w:val="32"/>
          <w:highlight w:val="none"/>
          <w:lang w:val="en-US" w:eastAsia="zh-CN"/>
        </w:rPr>
        <w:t>模范典型</w:t>
      </w:r>
      <w:r>
        <w:rPr>
          <w:rFonts w:hint="eastAsia" w:ascii="Times New Roman Regular" w:hAnsi="Times New Roman Regular" w:eastAsia="仿宋_GB2312" w:cs="Times New Roman Regular"/>
          <w:color w:val="auto"/>
          <w:sz w:val="32"/>
          <w:szCs w:val="32"/>
          <w:highlight w:val="none"/>
          <w:lang w:val="en-US" w:eastAsia="zh-CN"/>
        </w:rPr>
        <w:t>事迹共</w:t>
      </w:r>
      <w:r>
        <w:rPr>
          <w:rFonts w:hint="default" w:ascii="Times New Roman Regular" w:hAnsi="Times New Roman Regular" w:eastAsia="仿宋_GB2312" w:cs="Times New Roman Regular"/>
          <w:color w:val="auto"/>
          <w:sz w:val="32"/>
          <w:szCs w:val="32"/>
          <w:highlight w:val="none"/>
          <w:lang w:val="en-US" w:eastAsia="zh-CN"/>
        </w:rPr>
        <w:t>5</w:t>
      </w: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篇</w:t>
      </w:r>
      <w:r>
        <w:rPr>
          <w:rFonts w:hint="eastAsia" w:ascii="Times New Roman Regular" w:hAnsi="Times New Roman Regular" w:eastAsia="仿宋_GB2312" w:cs="Times New Roman Regular"/>
          <w:color w:val="auto"/>
          <w:sz w:val="32"/>
          <w:szCs w:val="32"/>
          <w:highlight w:val="none"/>
          <w:lang w:val="en-US" w:eastAsia="zh-CN"/>
        </w:rPr>
        <w:t>，《民盟怀化市委会集体提案推动国家粮食种植收入保险政策落地 助力涉农企业创新发展》</w:t>
      </w:r>
      <w:r>
        <w:rPr>
          <w:rFonts w:hint="default" w:ascii="Times New Roman Regular" w:hAnsi="Times New Roman Regular" w:eastAsia="仿宋_GB2312" w:cs="Times New Roman Regular"/>
          <w:color w:val="auto"/>
          <w:sz w:val="32"/>
          <w:szCs w:val="32"/>
          <w:highlight w:val="none"/>
          <w:lang w:val="en-US" w:eastAsia="zh-CN"/>
        </w:rPr>
        <w:t>《仰望与传承·民盟文化大家列传丨著名翻译家、作家、编辑出版家冯亦代》</w:t>
      </w:r>
      <w:r>
        <w:rPr>
          <w:rFonts w:hint="eastAsia" w:ascii="Times New Roman Regular" w:hAnsi="Times New Roman Regular" w:eastAsia="仿宋_GB2312" w:cs="Times New Roman Regular"/>
          <w:color w:val="auto"/>
          <w:sz w:val="32"/>
          <w:szCs w:val="32"/>
          <w:highlight w:val="none"/>
          <w:lang w:val="en-US" w:eastAsia="zh-CN"/>
        </w:rPr>
        <w:t>《立志报国守初心 一生无求著华章》等20余篇宣传稿件在湘声报、湖南民盟公众号、网站和内刊刊登。《</w:t>
      </w:r>
      <w:r>
        <w:rPr>
          <w:rFonts w:hint="default" w:ascii="Times New Roman Regular" w:hAnsi="Times New Roman Regular" w:eastAsia="仿宋_GB2312" w:cs="Times New Roman Regular"/>
          <w:color w:val="auto"/>
          <w:sz w:val="32"/>
          <w:szCs w:val="32"/>
          <w:highlight w:val="none"/>
          <w:lang w:val="en-US" w:eastAsia="zh-CN"/>
        </w:rPr>
        <w:t>涂西畴：言传身教传家风</w:t>
      </w:r>
      <w:r>
        <w:rPr>
          <w:rFonts w:hint="eastAsia" w:ascii="Times New Roman Regular" w:hAnsi="Times New Roman Regular" w:eastAsia="仿宋_GB2312" w:cs="Times New Roman Regular"/>
          <w:color w:val="auto"/>
          <w:sz w:val="32"/>
          <w:szCs w:val="32"/>
          <w:highlight w:val="none"/>
          <w:lang w:val="en-US" w:eastAsia="zh-CN"/>
        </w:rPr>
        <w:t>》被吉林民盟</w:t>
      </w:r>
      <w:r>
        <w:rPr>
          <w:rFonts w:hint="default" w:ascii="Times New Roman Regular" w:hAnsi="Times New Roman Regular" w:eastAsia="仿宋_GB2312" w:cs="Times New Roman Regular"/>
          <w:color w:val="auto"/>
          <w:sz w:val="32"/>
          <w:szCs w:val="32"/>
          <w:highlight w:val="none"/>
          <w:lang w:val="en-US" w:eastAsia="zh-CN"/>
        </w:rPr>
        <w:t>【民盟名人堂·“双百”行动】第二十四期</w:t>
      </w:r>
      <w:r>
        <w:rPr>
          <w:rFonts w:hint="eastAsia" w:ascii="Times New Roman Regular" w:hAnsi="Times New Roman Regular" w:eastAsia="仿宋_GB2312" w:cs="Times New Roman Regular"/>
          <w:color w:val="auto"/>
          <w:sz w:val="32"/>
          <w:szCs w:val="32"/>
          <w:highlight w:val="none"/>
          <w:lang w:val="en-US" w:eastAsia="zh-CN"/>
        </w:rPr>
        <w:t>转载。</w:t>
      </w:r>
      <w:r>
        <w:rPr>
          <w:rFonts w:hint="default" w:ascii="Times New Roman Regular" w:hAnsi="Times New Roman Regular" w:eastAsia="仿宋_GB2312" w:cs="Times New Roman Regular"/>
          <w:color w:val="auto"/>
          <w:sz w:val="32"/>
          <w:szCs w:val="32"/>
          <w:highlight w:val="none"/>
          <w:lang w:val="en-US" w:eastAsia="zh-CN"/>
        </w:rPr>
        <w:t>盟员讲盟史</w:t>
      </w:r>
      <w:r>
        <w:rPr>
          <w:rFonts w:hint="eastAsia" w:ascii="Times New Roman Regular" w:hAnsi="Times New Roman Regular" w:eastAsia="仿宋_GB2312" w:cs="Times New Roman Regular"/>
          <w:color w:val="auto"/>
          <w:sz w:val="32"/>
          <w:szCs w:val="32"/>
          <w:highlight w:val="none"/>
          <w:lang w:val="en-US" w:eastAsia="zh-CN"/>
        </w:rPr>
        <w:t>短</w:t>
      </w:r>
      <w:r>
        <w:rPr>
          <w:rFonts w:hint="default" w:ascii="Times New Roman Regular" w:hAnsi="Times New Roman Regular" w:eastAsia="仿宋_GB2312" w:cs="Times New Roman Regular"/>
          <w:color w:val="auto"/>
          <w:sz w:val="32"/>
          <w:szCs w:val="32"/>
          <w:highlight w:val="none"/>
          <w:lang w:val="en-US" w:eastAsia="zh-CN"/>
        </w:rPr>
        <w:t>视频《扬先辈风骨 守立盟初心》</w:t>
      </w:r>
      <w:r>
        <w:rPr>
          <w:rFonts w:hint="eastAsia" w:ascii="Times New Roman Regular" w:hAnsi="Times New Roman Regular" w:eastAsia="仿宋_GB2312" w:cs="Times New Roman Regular"/>
          <w:color w:val="auto"/>
          <w:sz w:val="32"/>
          <w:szCs w:val="32"/>
          <w:highlight w:val="none"/>
          <w:lang w:val="en-US" w:eastAsia="zh-CN"/>
        </w:rPr>
        <w:t>在全市盟员中竞相传播，使民盟先辈</w:t>
      </w:r>
      <w:r>
        <w:rPr>
          <w:rFonts w:hint="default" w:ascii="Times New Roman Regular" w:hAnsi="Times New Roman Regular" w:eastAsia="仿宋_GB2312" w:cs="Times New Roman Regular"/>
          <w:color w:val="auto"/>
          <w:sz w:val="32"/>
          <w:szCs w:val="32"/>
          <w:highlight w:val="none"/>
          <w:lang w:val="en-US" w:eastAsia="zh-CN"/>
        </w:rPr>
        <w:t>涂西畴</w:t>
      </w:r>
      <w:r>
        <w:rPr>
          <w:rFonts w:hint="eastAsia" w:ascii="Times New Roman Regular" w:hAnsi="Times New Roman Regular" w:eastAsia="仿宋_GB2312" w:cs="Times New Roman Regular"/>
          <w:color w:val="auto"/>
          <w:sz w:val="32"/>
          <w:szCs w:val="32"/>
          <w:highlight w:val="none"/>
          <w:lang w:val="en-US" w:eastAsia="zh-CN"/>
        </w:rPr>
        <w:t>精神得以广泛传扬，从而</w:t>
      </w:r>
      <w:r>
        <w:rPr>
          <w:rFonts w:hint="default" w:ascii="Times New Roman Regular" w:hAnsi="Times New Roman Regular" w:eastAsia="仿宋_GB2312" w:cs="Times New Roman Regular"/>
          <w:color w:val="auto"/>
          <w:sz w:val="32"/>
          <w:szCs w:val="32"/>
          <w:highlight w:val="none"/>
          <w:lang w:val="en-US" w:eastAsia="zh-CN"/>
        </w:rPr>
        <w:t>引领主流共识，筑牢</w:t>
      </w:r>
      <w:r>
        <w:rPr>
          <w:rFonts w:hint="eastAsia" w:ascii="Times New Roman Regular" w:hAnsi="Times New Roman Regular" w:eastAsia="仿宋_GB2312" w:cs="Times New Roman Regular"/>
          <w:color w:val="auto"/>
          <w:sz w:val="32"/>
          <w:szCs w:val="32"/>
          <w:highlight w:val="none"/>
          <w:lang w:val="en-US" w:eastAsia="zh-CN"/>
        </w:rPr>
        <w:t>思想</w:t>
      </w:r>
      <w:r>
        <w:rPr>
          <w:rFonts w:hint="default" w:ascii="Times New Roman Regular" w:hAnsi="Times New Roman Regular" w:eastAsia="仿宋_GB2312" w:cs="Times New Roman Regular"/>
          <w:color w:val="auto"/>
          <w:sz w:val="32"/>
          <w:szCs w:val="32"/>
          <w:highlight w:val="none"/>
          <w:lang w:val="en-US" w:eastAsia="zh-CN"/>
        </w:rPr>
        <w:t>根基。</w:t>
      </w:r>
      <w:r>
        <w:rPr>
          <w:rFonts w:hint="eastAsia" w:ascii="Times New Roman Regular" w:hAnsi="Times New Roman Regular" w:eastAsia="仿宋_GB2312" w:cs="Times New Roman Regular"/>
          <w:color w:val="auto"/>
          <w:sz w:val="32"/>
          <w:szCs w:val="32"/>
          <w:highlight w:val="none"/>
          <w:lang w:val="en-US" w:eastAsia="zh-CN"/>
        </w:rPr>
        <w:t>委员提案《加快乡村养老服务体系建设，积极应对人口老龄化问题的建议》推动农村公办养老机构入住率超65%，并依托养老服务“关爱地图”向社会公开76家养老机构、106家村居助餐点信息，积极探索以数字化赋能县乡村三级养老服务体系建设；</w:t>
      </w:r>
      <w:r>
        <w:rPr>
          <w:rFonts w:hint="default" w:ascii="Times New Roman Regular" w:hAnsi="Times New Roman Regular" w:eastAsia="仿宋_GB2312" w:cs="Times New Roman Regular"/>
          <w:color w:val="auto"/>
          <w:sz w:val="32"/>
          <w:szCs w:val="32"/>
          <w:highlight w:val="none"/>
          <w:lang w:val="en-US" w:eastAsia="zh-CN"/>
        </w:rPr>
        <w:t>《美化亮化公交站台，提升怀化城市形象》</w:t>
      </w:r>
      <w:r>
        <w:rPr>
          <w:rFonts w:hint="eastAsia" w:ascii="Times New Roman Regular" w:hAnsi="Times New Roman Regular" w:eastAsia="仿宋_GB2312" w:cs="Times New Roman Regular"/>
          <w:color w:val="auto"/>
          <w:sz w:val="32"/>
          <w:szCs w:val="32"/>
          <w:highlight w:val="none"/>
          <w:lang w:val="en-US" w:eastAsia="zh-CN"/>
        </w:rPr>
        <w:t>促进5G智慧公交站台建设启用，让市民出行迈入“数字时代”，</w:t>
      </w:r>
      <w:r>
        <w:rPr>
          <w:rFonts w:hint="default" w:ascii="Times New Roman Regular" w:hAnsi="Times New Roman Regular" w:eastAsia="仿宋_GB2312" w:cs="Times New Roman Regular"/>
          <w:color w:val="auto"/>
          <w:sz w:val="32"/>
          <w:szCs w:val="32"/>
          <w:highlight w:val="none"/>
          <w:lang w:val="en-US" w:eastAsia="zh-CN"/>
        </w:rPr>
        <w:t>切实将主题教育成效体现在服务发展大局、彰显担当作为的具体实践中。</w:t>
      </w:r>
      <w:r>
        <w:rPr>
          <w:rFonts w:hint="eastAsia" w:ascii="Times New Roman Regular" w:hAnsi="Times New Roman Regular" w:eastAsia="仿宋_GB2312" w:cs="Times New Roman Regular"/>
          <w:color w:val="auto"/>
          <w:sz w:val="32"/>
          <w:szCs w:val="32"/>
          <w:highlight w:val="none"/>
          <w:lang w:val="en-US" w:eastAsia="zh-CN"/>
        </w:rPr>
        <w:t>《进一步加强高水平医院结对帮扶 支持怀化打造五省周边区域医疗中心的建议》被市政协采用，得到市委主要领导签批；《关注失智失能老人 完善老年人监护制度机制》《关于多措并举推动我省师范类专科学校转型发展的建议》两篇被民盟省委会采用。</w:t>
      </w:r>
      <w:r>
        <w:rPr>
          <w:rFonts w:hint="default" w:ascii="Times New Roman Regular" w:hAnsi="Times New Roman Regular" w:eastAsia="仿宋_GB2312" w:cs="Times New Roman Regular"/>
          <w:color w:val="auto"/>
          <w:sz w:val="32"/>
          <w:szCs w:val="32"/>
          <w:highlight w:val="none"/>
          <w:lang w:val="en-US" w:eastAsia="zh-CN"/>
        </w:rPr>
        <w:t>建强“同心健康驿站”，完善基层医疗设施，提供基础医疗与防疫服务；组织民盟爱尔眼科支部、湖南医药学院第一附属医院支部盟员医务专家</w:t>
      </w:r>
      <w:r>
        <w:rPr>
          <w:rFonts w:hint="eastAsia" w:ascii="Times New Roman Regular" w:hAnsi="Times New Roman Regular" w:eastAsia="仿宋_GB2312" w:cs="Times New Roman Regular"/>
          <w:color w:val="auto"/>
          <w:sz w:val="32"/>
          <w:szCs w:val="32"/>
          <w:highlight w:val="none"/>
          <w:lang w:val="en-US" w:eastAsia="zh-CN"/>
        </w:rPr>
        <w:t>下乡</w:t>
      </w:r>
      <w:r>
        <w:rPr>
          <w:rFonts w:hint="default" w:ascii="Times New Roman Regular" w:hAnsi="Times New Roman Regular" w:eastAsia="仿宋_GB2312" w:cs="Times New Roman Regular"/>
          <w:color w:val="auto"/>
          <w:sz w:val="32"/>
          <w:szCs w:val="32"/>
          <w:highlight w:val="none"/>
          <w:lang w:val="en-US" w:eastAsia="zh-CN"/>
        </w:rPr>
        <w:t>义诊</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开展健康科普</w:t>
      </w:r>
      <w:r>
        <w:rPr>
          <w:rFonts w:hint="eastAsia" w:ascii="Times New Roman Regular" w:hAnsi="Times New Roman Regular" w:eastAsia="仿宋_GB2312" w:cs="Times New Roman Regular"/>
          <w:color w:val="auto"/>
          <w:sz w:val="32"/>
          <w:szCs w:val="32"/>
          <w:highlight w:val="none"/>
          <w:lang w:val="en-US" w:eastAsia="zh-CN"/>
        </w:rPr>
        <w:t>进村庄、</w:t>
      </w:r>
      <w:r>
        <w:rPr>
          <w:rFonts w:hint="default" w:ascii="Times New Roman Regular" w:hAnsi="Times New Roman Regular" w:eastAsia="仿宋_GB2312" w:cs="Times New Roman Regular"/>
          <w:color w:val="auto"/>
          <w:sz w:val="32"/>
          <w:szCs w:val="32"/>
          <w:highlight w:val="none"/>
          <w:lang w:val="en-US" w:eastAsia="zh-CN"/>
        </w:rPr>
        <w:t>进社区、进校园活动，</w:t>
      </w:r>
      <w:r>
        <w:rPr>
          <w:rFonts w:hint="eastAsia" w:ascii="Times New Roman Regular" w:hAnsi="Times New Roman Regular" w:eastAsia="仿宋_GB2312" w:cs="Times New Roman Regular"/>
          <w:color w:val="auto"/>
          <w:sz w:val="32"/>
          <w:szCs w:val="32"/>
          <w:highlight w:val="none"/>
          <w:lang w:val="en-US" w:eastAsia="zh-CN"/>
        </w:rPr>
        <w:t>宣传疾病预防知识，免费看病送药，助力基层医疗服务慢病管理，</w:t>
      </w:r>
      <w:r>
        <w:rPr>
          <w:rFonts w:hint="default" w:ascii="Times New Roman Regular" w:hAnsi="Times New Roman Regular" w:eastAsia="仿宋_GB2312" w:cs="Times New Roman Regular"/>
          <w:color w:val="auto"/>
          <w:sz w:val="32"/>
          <w:szCs w:val="32"/>
          <w:highlight w:val="none"/>
          <w:lang w:val="en-US" w:eastAsia="zh-CN"/>
        </w:rPr>
        <w:t>建强“同心健康驿站”，完善基层医疗设施，提供基础医疗与防疫服务；组织民盟爱尔眼科支部、湖南医药学院第一附属医院支部盟员医务专家</w:t>
      </w:r>
      <w:r>
        <w:rPr>
          <w:rFonts w:hint="eastAsia" w:ascii="Times New Roman Regular" w:hAnsi="Times New Roman Regular" w:eastAsia="仿宋_GB2312" w:cs="Times New Roman Regular"/>
          <w:color w:val="auto"/>
          <w:sz w:val="32"/>
          <w:szCs w:val="32"/>
          <w:highlight w:val="none"/>
          <w:lang w:val="en-US" w:eastAsia="zh-CN"/>
        </w:rPr>
        <w:t>下乡</w:t>
      </w:r>
      <w:r>
        <w:rPr>
          <w:rFonts w:hint="default" w:ascii="Times New Roman Regular" w:hAnsi="Times New Roman Regular" w:eastAsia="仿宋_GB2312" w:cs="Times New Roman Regular"/>
          <w:color w:val="auto"/>
          <w:sz w:val="32"/>
          <w:szCs w:val="32"/>
          <w:highlight w:val="none"/>
          <w:lang w:val="en-US" w:eastAsia="zh-CN"/>
        </w:rPr>
        <w:t>义诊</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开展健康科普</w:t>
      </w:r>
      <w:r>
        <w:rPr>
          <w:rFonts w:hint="eastAsia" w:ascii="Times New Roman Regular" w:hAnsi="Times New Roman Regular" w:eastAsia="仿宋_GB2312" w:cs="Times New Roman Regular"/>
          <w:color w:val="auto"/>
          <w:sz w:val="32"/>
          <w:szCs w:val="32"/>
          <w:highlight w:val="none"/>
          <w:lang w:val="en-US" w:eastAsia="zh-CN"/>
        </w:rPr>
        <w:t>进村庄、</w:t>
      </w:r>
      <w:r>
        <w:rPr>
          <w:rFonts w:hint="default" w:ascii="Times New Roman Regular" w:hAnsi="Times New Roman Regular" w:eastAsia="仿宋_GB2312" w:cs="Times New Roman Regular"/>
          <w:color w:val="auto"/>
          <w:sz w:val="32"/>
          <w:szCs w:val="32"/>
          <w:highlight w:val="none"/>
          <w:lang w:val="en-US" w:eastAsia="zh-CN"/>
        </w:rPr>
        <w:t>进社区、进校园活动，</w:t>
      </w:r>
      <w:r>
        <w:rPr>
          <w:rFonts w:hint="eastAsia" w:ascii="Times New Roman Regular" w:hAnsi="Times New Roman Regular" w:eastAsia="仿宋_GB2312" w:cs="Times New Roman Regular"/>
          <w:color w:val="auto"/>
          <w:sz w:val="32"/>
          <w:szCs w:val="32"/>
          <w:highlight w:val="none"/>
          <w:lang w:val="en-US" w:eastAsia="zh-CN"/>
        </w:rPr>
        <w:t>宣传疾病预防知识，免费看病送药，助力基层医疗服务慢病管理。</w:t>
      </w:r>
    </w:p>
    <w:p w14:paraId="14C40C0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（3）满意度指标分析</w:t>
      </w:r>
    </w:p>
    <w:p w14:paraId="334CE3D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社会公众满意度在90%以上，完成年初目标</w:t>
      </w:r>
      <w:r>
        <w:rPr>
          <w:rFonts w:hint="default" w:ascii="Times New Roman Regular" w:hAnsi="Times New Roman Regular" w:eastAsia="仿宋_GB2312" w:cs="Times New Roman Regular"/>
          <w:color w:val="auto"/>
          <w:sz w:val="32"/>
          <w:szCs w:val="32"/>
          <w:highlight w:val="none"/>
          <w:lang w:val="en-US" w:eastAsia="zh-CN"/>
        </w:rPr>
        <w:t>。</w:t>
      </w:r>
    </w:p>
    <w:p w14:paraId="551F644A">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九、存在的问题及原因分析</w:t>
      </w:r>
    </w:p>
    <w:p w14:paraId="1E921AC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年初绩效评价指标体系不完善，绩效目标设立不够明确、细化和量化。</w:t>
      </w:r>
    </w:p>
    <w:p w14:paraId="0675C9C9">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十、下一步改进措施</w:t>
      </w:r>
    </w:p>
    <w:p w14:paraId="66EACF9A">
      <w:pPr>
        <w:snapToGrid w:val="0"/>
        <w:spacing w:line="520" w:lineRule="exact"/>
        <w:ind w:firstLine="640" w:firstLineChars="200"/>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color w:val="auto"/>
          <w:sz w:val="32"/>
          <w:szCs w:val="32"/>
          <w:highlight w:val="none"/>
          <w:lang w:val="en-US" w:eastAsia="zh-CN"/>
        </w:rPr>
        <w:t>年初绩效目标设立要细化、量化；加强预算编制。确定编制标准，统一预决算口径，增强预算编制的科学性。</w:t>
      </w:r>
    </w:p>
    <w:p w14:paraId="44F93E92">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十一、绩效自评结果拟应用和公开情况</w:t>
      </w:r>
    </w:p>
    <w:p w14:paraId="3B53F8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w:t>
      </w:r>
    </w:p>
    <w:p w14:paraId="3333D65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default" w:ascii="Times New Roman Regular" w:hAnsi="Times New Roman Regular" w:eastAsia="仿宋_GB2312" w:cs="Times New Roman Regular"/>
          <w:color w:val="auto"/>
          <w:sz w:val="32"/>
          <w:szCs w:val="32"/>
          <w:highlight w:val="none"/>
          <w:lang w:val="en-US" w:eastAsia="zh-CN"/>
        </w:rPr>
        <w:t>拟用于作为下一年度预算编制的参考依据，绩效自评结果按照财政要求及时公开。</w:t>
      </w:r>
    </w:p>
    <w:p w14:paraId="203D8FF5">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十二、</w:t>
      </w:r>
      <w:r>
        <w:rPr>
          <w:rFonts w:hint="eastAsia" w:ascii="黑体" w:hAnsi="黑体" w:eastAsia="黑体" w:cs="黑体"/>
          <w:b w:val="0"/>
          <w:bCs w:val="0"/>
          <w:sz w:val="32"/>
          <w:szCs w:val="32"/>
        </w:rPr>
        <w:t>其他需要说明的情况</w:t>
      </w:r>
    </w:p>
    <w:p w14:paraId="6DFAC7C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ascii="方正黑体_GBK" w:hAnsi="方正黑体_GBK" w:eastAsia="方正黑体_GBK" w:cs="方正黑体_GBK"/>
          <w:b/>
          <w:bCs/>
          <w:sz w:val="32"/>
          <w:szCs w:val="32"/>
        </w:rPr>
      </w:pPr>
      <w:r>
        <w:rPr>
          <w:rFonts w:hint="eastAsia" w:ascii="Times New Roman Regular" w:hAnsi="Times New Roman Regular" w:eastAsia="仿宋_GB2312" w:cs="Times New Roman Regular"/>
          <w:color w:val="auto"/>
          <w:sz w:val="32"/>
          <w:szCs w:val="32"/>
          <w:highlight w:val="none"/>
          <w:lang w:val="en-US" w:eastAsia="zh-CN"/>
        </w:rPr>
        <w:t>无其他需要说明的情况。</w:t>
      </w:r>
    </w:p>
    <w:p w14:paraId="644F70C0">
      <w:pPr>
        <w:widowControl w:val="0"/>
        <w:numPr>
          <w:ilvl w:val="0"/>
          <w:numId w:val="0"/>
        </w:numPr>
        <w:snapToGrid w:val="0"/>
        <w:spacing w:line="520" w:lineRule="exact"/>
        <w:jc w:val="both"/>
        <w:rPr>
          <w:rFonts w:ascii="方正黑体_GBK" w:hAnsi="方正黑体_GBK" w:eastAsia="方正黑体_GBK" w:cs="方正黑体_GBK"/>
          <w:b/>
          <w:bCs/>
          <w:sz w:val="32"/>
          <w:szCs w:val="32"/>
        </w:rPr>
      </w:pPr>
    </w:p>
    <w:p w14:paraId="5EE7A0D7">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337D57E4">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431B9747">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420BD905">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4F6C6BC">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43406362">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478E7AF6">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3006D6CE">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251EE0B3">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7B4F44BD">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7A0618D3">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0011F59">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7290C84E">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附件1</w:t>
      </w:r>
    </w:p>
    <w:p w14:paraId="442B8F65">
      <w:pPr>
        <w:widowControl/>
        <w:tabs>
          <w:tab w:val="left" w:pos="3611"/>
          <w:tab w:val="left" w:pos="4791"/>
          <w:tab w:val="left" w:pos="5951"/>
          <w:tab w:val="left" w:pos="7071"/>
          <w:tab w:val="left" w:pos="8191"/>
          <w:tab w:val="left" w:pos="9311"/>
        </w:tabs>
        <w:spacing w:line="480" w:lineRule="exact"/>
        <w:ind w:left="91"/>
        <w:jc w:val="center"/>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部门整体支出绩效评价基础数据表</w:t>
      </w:r>
    </w:p>
    <w:p w14:paraId="350BFB51">
      <w:pPr>
        <w:widowControl/>
        <w:tabs>
          <w:tab w:val="left" w:pos="3611"/>
          <w:tab w:val="left" w:pos="4791"/>
          <w:tab w:val="left" w:pos="5951"/>
          <w:tab w:val="left" w:pos="7071"/>
          <w:tab w:val="left" w:pos="8191"/>
          <w:tab w:val="left" w:pos="9311"/>
        </w:tabs>
        <w:ind w:left="91"/>
        <w:jc w:val="left"/>
        <w:rPr>
          <w:rFonts w:eastAsia="仿宋_GB2312"/>
          <w:kern w:val="0"/>
          <w:sz w:val="24"/>
        </w:rPr>
      </w:pPr>
      <w:r>
        <w:rPr>
          <w:rFonts w:hint="eastAsia" w:eastAsia="仿宋_GB2312"/>
          <w:kern w:val="0"/>
          <w:sz w:val="24"/>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2DEB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vAlign w:val="center"/>
          </w:tcPr>
          <w:p w14:paraId="340D19DE">
            <w:pPr>
              <w:widowControl/>
              <w:jc w:val="center"/>
              <w:rPr>
                <w:rFonts w:ascii="仿宋" w:hAnsi="仿宋" w:eastAsia="仿宋" w:cs="仿宋"/>
                <w:kern w:val="0"/>
                <w:sz w:val="20"/>
                <w:szCs w:val="20"/>
              </w:rPr>
            </w:pPr>
            <w:r>
              <w:rPr>
                <w:rFonts w:hint="eastAsia" w:ascii="仿宋" w:hAnsi="仿宋" w:eastAsia="仿宋" w:cs="仿宋"/>
                <w:kern w:val="0"/>
                <w:sz w:val="20"/>
                <w:szCs w:val="20"/>
              </w:rPr>
              <w:t>财政供养人员情况</w:t>
            </w:r>
          </w:p>
        </w:tc>
        <w:tc>
          <w:tcPr>
            <w:tcW w:w="2038" w:type="dxa"/>
            <w:gridSpan w:val="2"/>
            <w:vAlign w:val="center"/>
          </w:tcPr>
          <w:p w14:paraId="55BDAED9">
            <w:pPr>
              <w:widowControl/>
              <w:jc w:val="center"/>
              <w:rPr>
                <w:rFonts w:ascii="仿宋" w:hAnsi="仿宋" w:eastAsia="仿宋" w:cs="仿宋"/>
                <w:kern w:val="0"/>
                <w:sz w:val="20"/>
                <w:szCs w:val="20"/>
              </w:rPr>
            </w:pPr>
            <w:r>
              <w:rPr>
                <w:rFonts w:hint="eastAsia" w:ascii="仿宋" w:hAnsi="仿宋" w:eastAsia="仿宋" w:cs="仿宋"/>
                <w:kern w:val="0"/>
                <w:sz w:val="20"/>
                <w:szCs w:val="20"/>
              </w:rPr>
              <w:t>编制数</w:t>
            </w:r>
          </w:p>
        </w:tc>
        <w:tc>
          <w:tcPr>
            <w:tcW w:w="2240" w:type="dxa"/>
            <w:gridSpan w:val="2"/>
            <w:vAlign w:val="center"/>
          </w:tcPr>
          <w:p w14:paraId="2B839EB0">
            <w:pPr>
              <w:widowControl/>
              <w:jc w:val="center"/>
              <w:rPr>
                <w:rFonts w:ascii="仿宋" w:hAnsi="仿宋" w:eastAsia="仿宋" w:cs="仿宋"/>
                <w:kern w:val="0"/>
                <w:sz w:val="20"/>
                <w:szCs w:val="20"/>
              </w:rPr>
            </w:pPr>
            <w:r>
              <w:rPr>
                <w:rFonts w:hint="eastAsia" w:ascii="仿宋" w:hAnsi="仿宋" w:eastAsia="仿宋" w:cs="仿宋"/>
                <w:kern w:val="0"/>
                <w:sz w:val="20"/>
                <w:szCs w:val="20"/>
              </w:rPr>
              <w:t>2025年实际在职人数</w:t>
            </w:r>
          </w:p>
        </w:tc>
        <w:tc>
          <w:tcPr>
            <w:tcW w:w="1832" w:type="dxa"/>
            <w:gridSpan w:val="2"/>
            <w:vAlign w:val="center"/>
          </w:tcPr>
          <w:p w14:paraId="38B2747B">
            <w:pPr>
              <w:widowControl/>
              <w:jc w:val="center"/>
              <w:rPr>
                <w:rFonts w:ascii="仿宋" w:hAnsi="仿宋" w:eastAsia="仿宋" w:cs="仿宋"/>
                <w:kern w:val="0"/>
                <w:sz w:val="20"/>
                <w:szCs w:val="20"/>
              </w:rPr>
            </w:pPr>
            <w:r>
              <w:rPr>
                <w:rFonts w:hint="eastAsia" w:ascii="仿宋" w:hAnsi="仿宋" w:eastAsia="仿宋" w:cs="仿宋"/>
                <w:kern w:val="0"/>
                <w:sz w:val="20"/>
                <w:szCs w:val="20"/>
              </w:rPr>
              <w:t>控制率</w:t>
            </w:r>
          </w:p>
        </w:tc>
      </w:tr>
      <w:tr w14:paraId="5AC3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vAlign w:val="center"/>
          </w:tcPr>
          <w:p w14:paraId="6104CD1A">
            <w:pPr>
              <w:widowControl/>
              <w:jc w:val="left"/>
              <w:rPr>
                <w:rFonts w:ascii="仿宋" w:hAnsi="仿宋" w:eastAsia="仿宋" w:cs="仿宋"/>
                <w:kern w:val="0"/>
                <w:sz w:val="20"/>
                <w:szCs w:val="20"/>
              </w:rPr>
            </w:pPr>
          </w:p>
        </w:tc>
        <w:tc>
          <w:tcPr>
            <w:tcW w:w="2038" w:type="dxa"/>
            <w:gridSpan w:val="2"/>
            <w:vAlign w:val="center"/>
          </w:tcPr>
          <w:p w14:paraId="71FE2554">
            <w:pPr>
              <w:widowControl/>
              <w:jc w:val="center"/>
              <w:rPr>
                <w:rFonts w:hint="eastAsia"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rPr>
              <w:t>　</w:t>
            </w:r>
            <w:r>
              <w:rPr>
                <w:rFonts w:hint="eastAsia" w:ascii="仿宋" w:hAnsi="仿宋" w:eastAsia="仿宋" w:cs="仿宋"/>
                <w:color w:val="auto"/>
                <w:kern w:val="0"/>
                <w:sz w:val="20"/>
                <w:szCs w:val="20"/>
                <w:highlight w:val="none"/>
                <w:lang w:val="en-US" w:eastAsia="zh-CN"/>
              </w:rPr>
              <w:t>4</w:t>
            </w:r>
          </w:p>
        </w:tc>
        <w:tc>
          <w:tcPr>
            <w:tcW w:w="2240" w:type="dxa"/>
            <w:gridSpan w:val="2"/>
            <w:vAlign w:val="center"/>
          </w:tcPr>
          <w:p w14:paraId="6EBA3EC9">
            <w:pPr>
              <w:widowControl/>
              <w:jc w:val="center"/>
              <w:rPr>
                <w:rFonts w:hint="eastAsia"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rPr>
              <w:t>　</w:t>
            </w:r>
            <w:r>
              <w:rPr>
                <w:rFonts w:hint="eastAsia" w:ascii="仿宋" w:hAnsi="仿宋" w:eastAsia="仿宋" w:cs="仿宋"/>
                <w:color w:val="auto"/>
                <w:kern w:val="0"/>
                <w:sz w:val="20"/>
                <w:szCs w:val="20"/>
                <w:highlight w:val="none"/>
                <w:lang w:val="en-US" w:eastAsia="zh-CN"/>
              </w:rPr>
              <w:t>4</w:t>
            </w:r>
          </w:p>
        </w:tc>
        <w:tc>
          <w:tcPr>
            <w:tcW w:w="1832" w:type="dxa"/>
            <w:gridSpan w:val="2"/>
            <w:vAlign w:val="center"/>
          </w:tcPr>
          <w:p w14:paraId="22E74EFC">
            <w:pPr>
              <w:widowControl/>
              <w:jc w:val="center"/>
              <w:rPr>
                <w:rFonts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lang w:val="en-US" w:eastAsia="zh-CN"/>
              </w:rPr>
              <w:t>100%</w:t>
            </w:r>
            <w:r>
              <w:rPr>
                <w:rFonts w:hint="eastAsia" w:ascii="仿宋" w:hAnsi="仿宋" w:eastAsia="仿宋" w:cs="仿宋"/>
                <w:color w:val="auto"/>
                <w:kern w:val="0"/>
                <w:sz w:val="20"/>
                <w:szCs w:val="20"/>
                <w:highlight w:val="none"/>
              </w:rPr>
              <w:t>　</w:t>
            </w:r>
          </w:p>
        </w:tc>
      </w:tr>
      <w:tr w14:paraId="3DCA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03DF1868">
            <w:pPr>
              <w:widowControl/>
              <w:jc w:val="center"/>
              <w:rPr>
                <w:rFonts w:ascii="仿宋" w:hAnsi="仿宋" w:eastAsia="仿宋" w:cs="仿宋"/>
                <w:kern w:val="0"/>
                <w:sz w:val="20"/>
                <w:szCs w:val="20"/>
              </w:rPr>
            </w:pPr>
            <w:r>
              <w:rPr>
                <w:rFonts w:hint="eastAsia" w:ascii="仿宋" w:hAnsi="仿宋" w:eastAsia="仿宋" w:cs="仿宋"/>
                <w:kern w:val="0"/>
                <w:sz w:val="20"/>
                <w:szCs w:val="20"/>
              </w:rPr>
              <w:t>经费控制情况</w:t>
            </w:r>
          </w:p>
        </w:tc>
        <w:tc>
          <w:tcPr>
            <w:tcW w:w="2038" w:type="dxa"/>
            <w:gridSpan w:val="2"/>
            <w:vAlign w:val="center"/>
          </w:tcPr>
          <w:p w14:paraId="3E7ABE62">
            <w:pPr>
              <w:widowControl/>
              <w:jc w:val="center"/>
              <w:rPr>
                <w:rFonts w:ascii="仿宋" w:hAnsi="仿宋" w:eastAsia="仿宋" w:cs="仿宋"/>
                <w:kern w:val="0"/>
                <w:sz w:val="20"/>
                <w:szCs w:val="20"/>
              </w:rPr>
            </w:pPr>
            <w:r>
              <w:rPr>
                <w:rFonts w:hint="eastAsia" w:ascii="仿宋" w:hAnsi="仿宋" w:eastAsia="仿宋" w:cs="仿宋"/>
                <w:kern w:val="0"/>
                <w:sz w:val="20"/>
                <w:szCs w:val="20"/>
              </w:rPr>
              <w:t>2024年决算数</w:t>
            </w:r>
          </w:p>
        </w:tc>
        <w:tc>
          <w:tcPr>
            <w:tcW w:w="2240" w:type="dxa"/>
            <w:gridSpan w:val="2"/>
            <w:vAlign w:val="center"/>
          </w:tcPr>
          <w:p w14:paraId="0BB2351F">
            <w:pPr>
              <w:widowControl/>
              <w:jc w:val="center"/>
              <w:rPr>
                <w:rFonts w:ascii="仿宋" w:hAnsi="仿宋" w:eastAsia="仿宋" w:cs="仿宋"/>
                <w:kern w:val="0"/>
                <w:sz w:val="20"/>
                <w:szCs w:val="20"/>
              </w:rPr>
            </w:pPr>
            <w:r>
              <w:rPr>
                <w:rFonts w:hint="eastAsia" w:ascii="仿宋" w:hAnsi="仿宋" w:eastAsia="仿宋" w:cs="仿宋"/>
                <w:kern w:val="0"/>
                <w:sz w:val="20"/>
                <w:szCs w:val="20"/>
              </w:rPr>
              <w:t>2025年预算数</w:t>
            </w:r>
          </w:p>
        </w:tc>
        <w:tc>
          <w:tcPr>
            <w:tcW w:w="1832" w:type="dxa"/>
            <w:gridSpan w:val="2"/>
            <w:vAlign w:val="center"/>
          </w:tcPr>
          <w:p w14:paraId="193A9AB2">
            <w:pPr>
              <w:widowControl/>
              <w:jc w:val="center"/>
              <w:rPr>
                <w:rFonts w:ascii="仿宋" w:hAnsi="仿宋" w:eastAsia="仿宋" w:cs="仿宋"/>
                <w:kern w:val="0"/>
                <w:sz w:val="20"/>
                <w:szCs w:val="20"/>
              </w:rPr>
            </w:pPr>
            <w:r>
              <w:rPr>
                <w:rFonts w:hint="eastAsia" w:ascii="仿宋" w:hAnsi="仿宋" w:eastAsia="仿宋" w:cs="仿宋"/>
                <w:kern w:val="0"/>
                <w:sz w:val="20"/>
                <w:szCs w:val="20"/>
              </w:rPr>
              <w:t>2025年决算数</w:t>
            </w:r>
          </w:p>
        </w:tc>
      </w:tr>
      <w:tr w14:paraId="59A7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4C87FCB">
            <w:pPr>
              <w:widowControl/>
              <w:jc w:val="left"/>
              <w:rPr>
                <w:rFonts w:ascii="仿宋" w:hAnsi="仿宋" w:eastAsia="仿宋" w:cs="仿宋"/>
                <w:kern w:val="0"/>
                <w:sz w:val="20"/>
                <w:szCs w:val="20"/>
              </w:rPr>
            </w:pPr>
            <w:r>
              <w:rPr>
                <w:rFonts w:hint="eastAsia" w:ascii="仿宋" w:hAnsi="仿宋" w:eastAsia="仿宋" w:cs="仿宋"/>
                <w:kern w:val="0"/>
                <w:sz w:val="20"/>
                <w:szCs w:val="20"/>
              </w:rPr>
              <w:t>三公经费</w:t>
            </w:r>
          </w:p>
        </w:tc>
        <w:tc>
          <w:tcPr>
            <w:tcW w:w="2038" w:type="dxa"/>
            <w:gridSpan w:val="2"/>
            <w:vAlign w:val="center"/>
          </w:tcPr>
          <w:p w14:paraId="5F91A539">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2.13</w:t>
            </w:r>
          </w:p>
        </w:tc>
        <w:tc>
          <w:tcPr>
            <w:tcW w:w="2240" w:type="dxa"/>
            <w:gridSpan w:val="2"/>
            <w:vAlign w:val="center"/>
          </w:tcPr>
          <w:p w14:paraId="1B6971C3">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2.60</w:t>
            </w:r>
            <w:r>
              <w:rPr>
                <w:rFonts w:hint="eastAsia" w:ascii="仿宋" w:hAnsi="仿宋" w:eastAsia="仿宋" w:cs="仿宋"/>
                <w:kern w:val="0"/>
                <w:sz w:val="20"/>
                <w:szCs w:val="20"/>
              </w:rPr>
              <w:t>　</w:t>
            </w:r>
          </w:p>
        </w:tc>
        <w:tc>
          <w:tcPr>
            <w:tcW w:w="1832" w:type="dxa"/>
            <w:gridSpan w:val="2"/>
            <w:vAlign w:val="center"/>
          </w:tcPr>
          <w:p w14:paraId="1876B3D7">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2.54</w:t>
            </w:r>
          </w:p>
        </w:tc>
      </w:tr>
      <w:tr w14:paraId="7429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71B21E4">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1、公务用车购置和维护经费</w:t>
            </w:r>
          </w:p>
        </w:tc>
        <w:tc>
          <w:tcPr>
            <w:tcW w:w="2038" w:type="dxa"/>
            <w:gridSpan w:val="2"/>
            <w:vAlign w:val="center"/>
          </w:tcPr>
          <w:p w14:paraId="7740423C">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1.93</w:t>
            </w:r>
          </w:p>
        </w:tc>
        <w:tc>
          <w:tcPr>
            <w:tcW w:w="2240" w:type="dxa"/>
            <w:gridSpan w:val="2"/>
            <w:vAlign w:val="center"/>
          </w:tcPr>
          <w:p w14:paraId="00595112">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2.60</w:t>
            </w:r>
          </w:p>
        </w:tc>
        <w:tc>
          <w:tcPr>
            <w:tcW w:w="1832" w:type="dxa"/>
            <w:gridSpan w:val="2"/>
            <w:vAlign w:val="center"/>
          </w:tcPr>
          <w:p w14:paraId="0E6398BB">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2.54</w:t>
            </w:r>
          </w:p>
        </w:tc>
      </w:tr>
      <w:tr w14:paraId="3C13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3948336">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其中：公车购置</w:t>
            </w:r>
          </w:p>
        </w:tc>
        <w:tc>
          <w:tcPr>
            <w:tcW w:w="2038" w:type="dxa"/>
            <w:gridSpan w:val="2"/>
            <w:vAlign w:val="center"/>
          </w:tcPr>
          <w:p w14:paraId="6D49DC18">
            <w:pPr>
              <w:widowControl/>
              <w:jc w:val="center"/>
              <w:rPr>
                <w:rFonts w:ascii="仿宋" w:hAnsi="仿宋" w:eastAsia="仿宋" w:cs="仿宋"/>
                <w:kern w:val="0"/>
                <w:sz w:val="20"/>
                <w:szCs w:val="20"/>
              </w:rPr>
            </w:pPr>
          </w:p>
        </w:tc>
        <w:tc>
          <w:tcPr>
            <w:tcW w:w="2240" w:type="dxa"/>
            <w:gridSpan w:val="2"/>
            <w:vAlign w:val="center"/>
          </w:tcPr>
          <w:p w14:paraId="7E1002FF">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768F23CA">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63E3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D69867D">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公车运行维护</w:t>
            </w:r>
          </w:p>
        </w:tc>
        <w:tc>
          <w:tcPr>
            <w:tcW w:w="2038" w:type="dxa"/>
            <w:gridSpan w:val="2"/>
            <w:vAlign w:val="center"/>
          </w:tcPr>
          <w:p w14:paraId="129FBA14">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1.93</w:t>
            </w:r>
          </w:p>
        </w:tc>
        <w:tc>
          <w:tcPr>
            <w:tcW w:w="2240" w:type="dxa"/>
            <w:gridSpan w:val="2"/>
            <w:vAlign w:val="center"/>
          </w:tcPr>
          <w:p w14:paraId="54380958">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2.00</w:t>
            </w:r>
          </w:p>
        </w:tc>
        <w:tc>
          <w:tcPr>
            <w:tcW w:w="1832" w:type="dxa"/>
            <w:gridSpan w:val="2"/>
            <w:vAlign w:val="center"/>
          </w:tcPr>
          <w:p w14:paraId="006893EB">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2.00</w:t>
            </w:r>
          </w:p>
        </w:tc>
      </w:tr>
      <w:tr w14:paraId="1CA1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26B4331">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2、出国经费</w:t>
            </w:r>
          </w:p>
        </w:tc>
        <w:tc>
          <w:tcPr>
            <w:tcW w:w="2038" w:type="dxa"/>
            <w:gridSpan w:val="2"/>
            <w:vAlign w:val="center"/>
          </w:tcPr>
          <w:p w14:paraId="529D6170">
            <w:pPr>
              <w:widowControl/>
              <w:jc w:val="center"/>
              <w:rPr>
                <w:rFonts w:ascii="仿宋" w:hAnsi="仿宋" w:eastAsia="仿宋" w:cs="仿宋"/>
                <w:kern w:val="0"/>
                <w:sz w:val="20"/>
                <w:szCs w:val="20"/>
              </w:rPr>
            </w:pPr>
          </w:p>
        </w:tc>
        <w:tc>
          <w:tcPr>
            <w:tcW w:w="2240" w:type="dxa"/>
            <w:gridSpan w:val="2"/>
            <w:vAlign w:val="center"/>
          </w:tcPr>
          <w:p w14:paraId="07B59489">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1CA893DE">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672C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08C00A9C">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3、公务接待</w:t>
            </w:r>
          </w:p>
        </w:tc>
        <w:tc>
          <w:tcPr>
            <w:tcW w:w="2038" w:type="dxa"/>
            <w:gridSpan w:val="2"/>
            <w:vAlign w:val="center"/>
          </w:tcPr>
          <w:p w14:paraId="0E5F5B0F">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0.20</w:t>
            </w:r>
          </w:p>
        </w:tc>
        <w:tc>
          <w:tcPr>
            <w:tcW w:w="2240" w:type="dxa"/>
            <w:gridSpan w:val="2"/>
            <w:vAlign w:val="center"/>
          </w:tcPr>
          <w:p w14:paraId="4D0FC369">
            <w:pPr>
              <w:widowControl/>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0.60</w:t>
            </w:r>
          </w:p>
        </w:tc>
        <w:tc>
          <w:tcPr>
            <w:tcW w:w="1832" w:type="dxa"/>
            <w:gridSpan w:val="2"/>
            <w:vAlign w:val="center"/>
          </w:tcPr>
          <w:p w14:paraId="6417000C">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0.54</w:t>
            </w:r>
          </w:p>
        </w:tc>
      </w:tr>
      <w:tr w14:paraId="4C91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E711664">
            <w:pPr>
              <w:widowControl/>
              <w:jc w:val="left"/>
              <w:rPr>
                <w:rFonts w:ascii="仿宋" w:hAnsi="仿宋" w:eastAsia="仿宋" w:cs="仿宋"/>
                <w:kern w:val="0"/>
                <w:sz w:val="20"/>
                <w:szCs w:val="20"/>
                <w:highlight w:val="none"/>
              </w:rPr>
            </w:pPr>
            <w:r>
              <w:rPr>
                <w:rFonts w:hint="eastAsia" w:ascii="仿宋" w:hAnsi="仿宋" w:eastAsia="仿宋" w:cs="仿宋"/>
                <w:kern w:val="0"/>
                <w:sz w:val="20"/>
                <w:szCs w:val="20"/>
                <w:highlight w:val="none"/>
              </w:rPr>
              <w:t>项目支出：</w:t>
            </w:r>
          </w:p>
        </w:tc>
        <w:tc>
          <w:tcPr>
            <w:tcW w:w="2038" w:type="dxa"/>
            <w:gridSpan w:val="2"/>
            <w:vAlign w:val="center"/>
          </w:tcPr>
          <w:p w14:paraId="4A8A378A">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50.06</w:t>
            </w:r>
          </w:p>
        </w:tc>
        <w:tc>
          <w:tcPr>
            <w:tcW w:w="2240" w:type="dxa"/>
            <w:gridSpan w:val="2"/>
            <w:vAlign w:val="center"/>
          </w:tcPr>
          <w:p w14:paraId="27715218">
            <w:pPr>
              <w:widowControl/>
              <w:jc w:val="center"/>
              <w:rPr>
                <w:rFonts w:hint="default" w:ascii="仿宋" w:hAnsi="仿宋" w:eastAsia="仿宋" w:cs="仿宋"/>
                <w:kern w:val="0"/>
                <w:sz w:val="20"/>
                <w:szCs w:val="20"/>
                <w:lang w:val="en-US"/>
              </w:rPr>
            </w:pPr>
            <w:r>
              <w:rPr>
                <w:rFonts w:hint="eastAsia" w:ascii="仿宋" w:hAnsi="仿宋" w:eastAsia="仿宋" w:cs="仿宋"/>
                <w:kern w:val="0"/>
                <w:sz w:val="20"/>
                <w:szCs w:val="20"/>
                <w:lang w:val="en-US" w:eastAsia="zh-CN"/>
              </w:rPr>
              <w:t>54</w:t>
            </w:r>
          </w:p>
        </w:tc>
        <w:tc>
          <w:tcPr>
            <w:tcW w:w="1832" w:type="dxa"/>
            <w:gridSpan w:val="2"/>
            <w:vAlign w:val="center"/>
          </w:tcPr>
          <w:p w14:paraId="5F85AD0B">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33.11</w:t>
            </w:r>
          </w:p>
        </w:tc>
      </w:tr>
      <w:tr w14:paraId="46A8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9D60345">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1、业务工作经费</w:t>
            </w:r>
          </w:p>
        </w:tc>
        <w:tc>
          <w:tcPr>
            <w:tcW w:w="2038" w:type="dxa"/>
            <w:gridSpan w:val="2"/>
            <w:vAlign w:val="center"/>
          </w:tcPr>
          <w:p w14:paraId="6C7598BD">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48.16</w:t>
            </w:r>
          </w:p>
        </w:tc>
        <w:tc>
          <w:tcPr>
            <w:tcW w:w="2240" w:type="dxa"/>
            <w:gridSpan w:val="2"/>
            <w:vAlign w:val="center"/>
          </w:tcPr>
          <w:p w14:paraId="1AF818DE">
            <w:pPr>
              <w:widowControl/>
              <w:jc w:val="center"/>
              <w:rPr>
                <w:rFonts w:ascii="仿宋" w:hAnsi="仿宋" w:eastAsia="仿宋" w:cs="仿宋"/>
                <w:kern w:val="0"/>
                <w:sz w:val="20"/>
                <w:szCs w:val="20"/>
              </w:rPr>
            </w:pPr>
            <w:r>
              <w:rPr>
                <w:rFonts w:hint="eastAsia" w:ascii="仿宋" w:hAnsi="仿宋" w:eastAsia="仿宋" w:cs="仿宋"/>
                <w:kern w:val="0"/>
                <w:sz w:val="20"/>
                <w:szCs w:val="20"/>
                <w:lang w:val="en-US" w:eastAsia="zh-CN"/>
              </w:rPr>
              <w:t>50</w:t>
            </w:r>
            <w:r>
              <w:rPr>
                <w:rFonts w:hint="eastAsia" w:ascii="仿宋" w:hAnsi="仿宋" w:eastAsia="仿宋" w:cs="仿宋"/>
                <w:kern w:val="0"/>
                <w:sz w:val="20"/>
                <w:szCs w:val="20"/>
              </w:rPr>
              <w:t>　</w:t>
            </w:r>
          </w:p>
        </w:tc>
        <w:tc>
          <w:tcPr>
            <w:tcW w:w="1832" w:type="dxa"/>
            <w:gridSpan w:val="2"/>
            <w:vAlign w:val="center"/>
          </w:tcPr>
          <w:p w14:paraId="755A6752">
            <w:pPr>
              <w:widowControl/>
              <w:jc w:val="center"/>
              <w:rPr>
                <w:rFonts w:hint="default" w:ascii="仿宋" w:hAnsi="仿宋" w:eastAsia="仿宋" w:cs="仿宋"/>
                <w:kern w:val="0"/>
                <w:sz w:val="20"/>
                <w:szCs w:val="20"/>
                <w:lang w:val="en-US"/>
              </w:rPr>
            </w:pPr>
            <w:r>
              <w:rPr>
                <w:rFonts w:hint="eastAsia" w:ascii="仿宋" w:hAnsi="仿宋" w:eastAsia="仿宋" w:cs="仿宋"/>
                <w:kern w:val="0"/>
                <w:sz w:val="20"/>
                <w:szCs w:val="20"/>
                <w:lang w:val="en-US" w:eastAsia="zh-CN"/>
              </w:rPr>
              <w:t>29.12</w:t>
            </w:r>
          </w:p>
        </w:tc>
      </w:tr>
      <w:tr w14:paraId="61C7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A1FA12B">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2、运行维护经费</w:t>
            </w:r>
          </w:p>
        </w:tc>
        <w:tc>
          <w:tcPr>
            <w:tcW w:w="2038" w:type="dxa"/>
            <w:gridSpan w:val="2"/>
            <w:vAlign w:val="center"/>
          </w:tcPr>
          <w:p w14:paraId="12B48F99">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69670FA5">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5FE03F5E">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3603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A04F8AD">
            <w:pPr>
              <w:widowControl/>
              <w:ind w:firstLine="400" w:firstLineChars="200"/>
              <w:jc w:val="left"/>
              <w:rPr>
                <w:rFonts w:ascii="仿宋" w:hAnsi="仿宋" w:eastAsia="仿宋" w:cs="仿宋"/>
                <w:kern w:val="0"/>
                <w:sz w:val="20"/>
                <w:szCs w:val="20"/>
              </w:rPr>
            </w:pPr>
            <w:r>
              <w:rPr>
                <w:rFonts w:hint="eastAsia" w:ascii="仿宋" w:hAnsi="仿宋" w:eastAsia="仿宋" w:cs="仿宋"/>
                <w:kern w:val="0"/>
                <w:sz w:val="20"/>
                <w:szCs w:val="20"/>
              </w:rPr>
              <w:t>3、本级专项资金</w:t>
            </w:r>
          </w:p>
          <w:p w14:paraId="6924E194">
            <w:pPr>
              <w:widowControl/>
              <w:ind w:firstLine="600" w:firstLineChars="300"/>
              <w:jc w:val="left"/>
              <w:rPr>
                <w:rFonts w:ascii="仿宋" w:hAnsi="仿宋" w:eastAsia="仿宋" w:cs="仿宋"/>
                <w:kern w:val="0"/>
                <w:sz w:val="20"/>
                <w:szCs w:val="20"/>
              </w:rPr>
            </w:pPr>
            <w:r>
              <w:rPr>
                <w:rFonts w:hint="eastAsia" w:ascii="仿宋" w:hAnsi="仿宋" w:eastAsia="仿宋" w:cs="仿宋"/>
                <w:kern w:val="0"/>
                <w:sz w:val="20"/>
                <w:szCs w:val="20"/>
              </w:rPr>
              <w:t>（一个专项一行）</w:t>
            </w:r>
          </w:p>
        </w:tc>
        <w:tc>
          <w:tcPr>
            <w:tcW w:w="2038" w:type="dxa"/>
            <w:gridSpan w:val="2"/>
            <w:vAlign w:val="center"/>
          </w:tcPr>
          <w:p w14:paraId="0F7A5171">
            <w:pPr>
              <w:widowControl/>
              <w:jc w:val="center"/>
              <w:rPr>
                <w:rFonts w:ascii="仿宋" w:hAnsi="仿宋" w:eastAsia="仿宋" w:cs="仿宋"/>
                <w:kern w:val="0"/>
                <w:sz w:val="20"/>
                <w:szCs w:val="20"/>
              </w:rPr>
            </w:pPr>
          </w:p>
        </w:tc>
        <w:tc>
          <w:tcPr>
            <w:tcW w:w="2240" w:type="dxa"/>
            <w:gridSpan w:val="2"/>
            <w:vAlign w:val="center"/>
          </w:tcPr>
          <w:p w14:paraId="01499AEF">
            <w:pPr>
              <w:widowControl/>
              <w:jc w:val="center"/>
              <w:rPr>
                <w:rFonts w:ascii="仿宋" w:hAnsi="仿宋" w:eastAsia="仿宋" w:cs="仿宋"/>
                <w:kern w:val="0"/>
                <w:sz w:val="20"/>
                <w:szCs w:val="20"/>
              </w:rPr>
            </w:pPr>
          </w:p>
        </w:tc>
        <w:tc>
          <w:tcPr>
            <w:tcW w:w="1832" w:type="dxa"/>
            <w:gridSpan w:val="2"/>
            <w:vAlign w:val="center"/>
          </w:tcPr>
          <w:p w14:paraId="247470DA">
            <w:pPr>
              <w:widowControl/>
              <w:jc w:val="center"/>
              <w:rPr>
                <w:rFonts w:ascii="仿宋" w:hAnsi="仿宋" w:eastAsia="仿宋" w:cs="仿宋"/>
                <w:kern w:val="0"/>
                <w:sz w:val="20"/>
                <w:szCs w:val="20"/>
              </w:rPr>
            </w:pPr>
          </w:p>
        </w:tc>
      </w:tr>
      <w:tr w14:paraId="47BD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91EC730">
            <w:pPr>
              <w:widowControl/>
              <w:ind w:firstLine="600" w:firstLineChars="300"/>
              <w:jc w:val="left"/>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3.1</w:t>
            </w:r>
            <w:r>
              <w:rPr>
                <w:rFonts w:hint="eastAsia" w:ascii="仿宋" w:hAnsi="仿宋" w:eastAsia="仿宋" w:cs="仿宋"/>
                <w:kern w:val="0"/>
                <w:sz w:val="20"/>
                <w:szCs w:val="20"/>
              </w:rPr>
              <w:t>市政协委员工作室建设和运行经费</w:t>
            </w:r>
          </w:p>
        </w:tc>
        <w:tc>
          <w:tcPr>
            <w:tcW w:w="2038" w:type="dxa"/>
            <w:gridSpan w:val="2"/>
            <w:vAlign w:val="center"/>
          </w:tcPr>
          <w:p w14:paraId="4C86362B">
            <w:pPr>
              <w:widowControl/>
              <w:jc w:val="center"/>
              <w:rPr>
                <w:rFonts w:ascii="仿宋" w:hAnsi="仿宋" w:eastAsia="仿宋" w:cs="仿宋"/>
                <w:kern w:val="0"/>
                <w:sz w:val="20"/>
                <w:szCs w:val="20"/>
              </w:rPr>
            </w:pPr>
            <w:r>
              <w:rPr>
                <w:rFonts w:hint="eastAsia" w:ascii="仿宋" w:hAnsi="仿宋" w:eastAsia="仿宋" w:cs="仿宋"/>
                <w:color w:val="auto"/>
                <w:kern w:val="0"/>
                <w:sz w:val="20"/>
                <w:szCs w:val="20"/>
                <w:lang w:val="en-US" w:eastAsia="zh-CN"/>
              </w:rPr>
              <w:t>1.90</w:t>
            </w:r>
          </w:p>
        </w:tc>
        <w:tc>
          <w:tcPr>
            <w:tcW w:w="2240" w:type="dxa"/>
            <w:gridSpan w:val="2"/>
            <w:vAlign w:val="center"/>
          </w:tcPr>
          <w:p w14:paraId="71A86DE7">
            <w:pPr>
              <w:widowControl/>
              <w:jc w:val="center"/>
              <w:rPr>
                <w:rFonts w:ascii="仿宋" w:hAnsi="仿宋" w:eastAsia="仿宋" w:cs="仿宋"/>
                <w:kern w:val="0"/>
                <w:sz w:val="20"/>
                <w:szCs w:val="20"/>
              </w:rPr>
            </w:pPr>
            <w:r>
              <w:rPr>
                <w:rFonts w:hint="eastAsia" w:ascii="仿宋" w:hAnsi="仿宋" w:eastAsia="仿宋" w:cs="仿宋"/>
                <w:color w:val="auto"/>
                <w:kern w:val="0"/>
                <w:sz w:val="20"/>
                <w:szCs w:val="20"/>
                <w:lang w:val="en-US" w:eastAsia="zh-CN"/>
              </w:rPr>
              <w:t>2</w:t>
            </w:r>
          </w:p>
        </w:tc>
        <w:tc>
          <w:tcPr>
            <w:tcW w:w="1832" w:type="dxa"/>
            <w:gridSpan w:val="2"/>
            <w:vAlign w:val="center"/>
          </w:tcPr>
          <w:p w14:paraId="4A3A7524">
            <w:pPr>
              <w:widowControl/>
              <w:jc w:val="center"/>
              <w:rPr>
                <w:rFonts w:ascii="仿宋" w:hAnsi="仿宋" w:eastAsia="仿宋" w:cs="仿宋"/>
                <w:kern w:val="0"/>
                <w:sz w:val="20"/>
                <w:szCs w:val="20"/>
              </w:rPr>
            </w:pPr>
            <w:r>
              <w:rPr>
                <w:rFonts w:hint="eastAsia" w:ascii="仿宋" w:hAnsi="仿宋" w:eastAsia="仿宋" w:cs="仿宋"/>
                <w:color w:val="auto"/>
                <w:kern w:val="0"/>
                <w:sz w:val="20"/>
                <w:szCs w:val="20"/>
                <w:lang w:val="en-US" w:eastAsia="zh-CN"/>
              </w:rPr>
              <w:t>2</w:t>
            </w:r>
          </w:p>
        </w:tc>
      </w:tr>
      <w:tr w14:paraId="1576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01676652">
            <w:pPr>
              <w:widowControl/>
              <w:ind w:firstLine="600" w:firstLineChars="300"/>
              <w:jc w:val="left"/>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3.2盟史整理宣传经费</w:t>
            </w:r>
          </w:p>
        </w:tc>
        <w:tc>
          <w:tcPr>
            <w:tcW w:w="2038" w:type="dxa"/>
            <w:gridSpan w:val="2"/>
            <w:vAlign w:val="center"/>
          </w:tcPr>
          <w:p w14:paraId="217AEE86">
            <w:pPr>
              <w:widowControl/>
              <w:jc w:val="center"/>
              <w:rPr>
                <w:rFonts w:ascii="仿宋" w:hAnsi="仿宋" w:eastAsia="仿宋" w:cs="仿宋"/>
                <w:kern w:val="0"/>
                <w:sz w:val="20"/>
                <w:szCs w:val="20"/>
              </w:rPr>
            </w:pPr>
          </w:p>
        </w:tc>
        <w:tc>
          <w:tcPr>
            <w:tcW w:w="2240" w:type="dxa"/>
            <w:gridSpan w:val="2"/>
            <w:vAlign w:val="center"/>
          </w:tcPr>
          <w:p w14:paraId="461F6E07">
            <w:pPr>
              <w:widowControl/>
              <w:jc w:val="center"/>
              <w:rPr>
                <w:rFonts w:ascii="仿宋" w:hAnsi="仿宋" w:eastAsia="仿宋" w:cs="仿宋"/>
                <w:kern w:val="0"/>
                <w:sz w:val="20"/>
                <w:szCs w:val="20"/>
              </w:rPr>
            </w:pPr>
            <w:r>
              <w:rPr>
                <w:rFonts w:hint="eastAsia" w:ascii="仿宋" w:hAnsi="仿宋" w:eastAsia="仿宋" w:cs="仿宋"/>
                <w:color w:val="auto"/>
                <w:kern w:val="0"/>
                <w:sz w:val="20"/>
                <w:szCs w:val="20"/>
                <w:lang w:val="en-US" w:eastAsia="zh-CN"/>
              </w:rPr>
              <w:t>2</w:t>
            </w:r>
          </w:p>
        </w:tc>
        <w:tc>
          <w:tcPr>
            <w:tcW w:w="1832" w:type="dxa"/>
            <w:gridSpan w:val="2"/>
            <w:vAlign w:val="center"/>
          </w:tcPr>
          <w:p w14:paraId="017D85D4">
            <w:pPr>
              <w:widowControl/>
              <w:jc w:val="center"/>
              <w:rPr>
                <w:rFonts w:ascii="仿宋" w:hAnsi="仿宋" w:eastAsia="仿宋" w:cs="仿宋"/>
                <w:kern w:val="0"/>
                <w:sz w:val="20"/>
                <w:szCs w:val="20"/>
              </w:rPr>
            </w:pPr>
            <w:r>
              <w:rPr>
                <w:rFonts w:hint="eastAsia" w:ascii="仿宋" w:hAnsi="仿宋" w:eastAsia="仿宋" w:cs="仿宋"/>
                <w:color w:val="auto"/>
                <w:kern w:val="0"/>
                <w:sz w:val="20"/>
                <w:szCs w:val="20"/>
                <w:lang w:val="en-US" w:eastAsia="zh-CN"/>
              </w:rPr>
              <w:t>1.99</w:t>
            </w:r>
          </w:p>
        </w:tc>
      </w:tr>
      <w:tr w14:paraId="558F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1417300">
            <w:pPr>
              <w:widowControl/>
              <w:ind w:firstLine="400" w:firstLineChars="200"/>
              <w:jc w:val="left"/>
              <w:rPr>
                <w:rFonts w:ascii="仿宋" w:hAnsi="仿宋" w:eastAsia="仿宋" w:cs="仿宋"/>
                <w:kern w:val="0"/>
                <w:sz w:val="20"/>
                <w:szCs w:val="20"/>
              </w:rPr>
            </w:pPr>
            <w:r>
              <w:rPr>
                <w:rFonts w:hint="eastAsia" w:ascii="仿宋" w:hAnsi="仿宋" w:eastAsia="仿宋" w:cs="仿宋"/>
                <w:kern w:val="0"/>
                <w:sz w:val="20"/>
                <w:szCs w:val="20"/>
              </w:rPr>
              <w:t>4、其他事业类发展资金</w:t>
            </w:r>
          </w:p>
        </w:tc>
        <w:tc>
          <w:tcPr>
            <w:tcW w:w="2038" w:type="dxa"/>
            <w:gridSpan w:val="2"/>
            <w:vAlign w:val="center"/>
          </w:tcPr>
          <w:p w14:paraId="619CC2D7">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2240" w:type="dxa"/>
            <w:gridSpan w:val="2"/>
            <w:vAlign w:val="center"/>
          </w:tcPr>
          <w:p w14:paraId="33196CD8">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1832" w:type="dxa"/>
            <w:gridSpan w:val="2"/>
            <w:vAlign w:val="center"/>
          </w:tcPr>
          <w:p w14:paraId="776A094B">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r>
      <w:tr w14:paraId="2BE3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05131F1">
            <w:pPr>
              <w:widowControl/>
              <w:jc w:val="left"/>
              <w:rPr>
                <w:rFonts w:ascii="仿宋" w:hAnsi="仿宋" w:eastAsia="仿宋" w:cs="仿宋"/>
                <w:kern w:val="0"/>
                <w:sz w:val="20"/>
                <w:szCs w:val="20"/>
                <w:highlight w:val="none"/>
              </w:rPr>
            </w:pPr>
            <w:r>
              <w:rPr>
                <w:rFonts w:hint="eastAsia" w:ascii="仿宋" w:hAnsi="仿宋" w:eastAsia="仿宋" w:cs="仿宋"/>
                <w:kern w:val="0"/>
                <w:sz w:val="20"/>
                <w:szCs w:val="20"/>
                <w:highlight w:val="none"/>
              </w:rPr>
              <w:t>公用经费</w:t>
            </w:r>
          </w:p>
        </w:tc>
        <w:tc>
          <w:tcPr>
            <w:tcW w:w="2038" w:type="dxa"/>
            <w:gridSpan w:val="2"/>
            <w:vAlign w:val="center"/>
          </w:tcPr>
          <w:p w14:paraId="7CF2EC59">
            <w:pPr>
              <w:widowControl/>
              <w:jc w:val="center"/>
              <w:rPr>
                <w:rFonts w:hint="default" w:ascii="仿宋" w:hAnsi="仿宋" w:eastAsia="仿宋" w:cs="仿宋"/>
                <w:color w:val="auto"/>
                <w:kern w:val="0"/>
                <w:sz w:val="20"/>
                <w:szCs w:val="20"/>
                <w:lang w:val="en-US"/>
              </w:rPr>
            </w:pPr>
            <w:r>
              <w:rPr>
                <w:rFonts w:hint="eastAsia" w:ascii="仿宋" w:hAnsi="仿宋" w:eastAsia="仿宋" w:cs="仿宋"/>
                <w:color w:val="auto"/>
                <w:kern w:val="0"/>
                <w:sz w:val="20"/>
                <w:szCs w:val="20"/>
                <w:lang w:val="en-US" w:eastAsia="zh-CN"/>
              </w:rPr>
              <w:t>6.26</w:t>
            </w:r>
          </w:p>
        </w:tc>
        <w:tc>
          <w:tcPr>
            <w:tcW w:w="2240" w:type="dxa"/>
            <w:gridSpan w:val="2"/>
            <w:vAlign w:val="center"/>
          </w:tcPr>
          <w:p w14:paraId="7BED773B">
            <w:pPr>
              <w:widowControl/>
              <w:jc w:val="center"/>
              <w:rPr>
                <w:rFonts w:hint="default" w:ascii="仿宋" w:hAnsi="仿宋" w:eastAsia="仿宋" w:cs="仿宋"/>
                <w:color w:val="auto"/>
                <w:kern w:val="0"/>
                <w:sz w:val="20"/>
                <w:szCs w:val="20"/>
                <w:lang w:val="en-US"/>
              </w:rPr>
            </w:pPr>
            <w:r>
              <w:rPr>
                <w:rFonts w:hint="eastAsia" w:ascii="仿宋" w:hAnsi="仿宋" w:eastAsia="仿宋" w:cs="仿宋"/>
                <w:color w:val="auto"/>
                <w:kern w:val="0"/>
                <w:sz w:val="20"/>
                <w:szCs w:val="20"/>
                <w:lang w:val="en-US" w:eastAsia="zh-CN"/>
              </w:rPr>
              <w:t>7.32</w:t>
            </w:r>
          </w:p>
        </w:tc>
        <w:tc>
          <w:tcPr>
            <w:tcW w:w="1832" w:type="dxa"/>
            <w:gridSpan w:val="2"/>
            <w:vAlign w:val="center"/>
          </w:tcPr>
          <w:p w14:paraId="2939C722">
            <w:pPr>
              <w:widowControl/>
              <w:jc w:val="center"/>
              <w:rPr>
                <w:rFonts w:hint="default" w:ascii="仿宋" w:hAnsi="仿宋" w:eastAsia="仿宋" w:cs="仿宋"/>
                <w:color w:val="auto"/>
                <w:kern w:val="0"/>
                <w:sz w:val="20"/>
                <w:szCs w:val="20"/>
                <w:lang w:val="en-US"/>
              </w:rPr>
            </w:pPr>
            <w:r>
              <w:rPr>
                <w:rFonts w:hint="eastAsia" w:ascii="仿宋" w:hAnsi="仿宋" w:eastAsia="仿宋" w:cs="仿宋"/>
                <w:color w:val="auto"/>
                <w:kern w:val="0"/>
                <w:sz w:val="20"/>
                <w:szCs w:val="20"/>
                <w:lang w:val="en-US" w:eastAsia="zh-CN"/>
              </w:rPr>
              <w:t>8.45</w:t>
            </w:r>
          </w:p>
        </w:tc>
      </w:tr>
      <w:tr w14:paraId="7615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1D742B66">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其中：办公费</w:t>
            </w:r>
          </w:p>
        </w:tc>
        <w:tc>
          <w:tcPr>
            <w:tcW w:w="2038" w:type="dxa"/>
            <w:gridSpan w:val="2"/>
            <w:vAlign w:val="center"/>
          </w:tcPr>
          <w:p w14:paraId="3A7A1FF6">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2240" w:type="dxa"/>
            <w:gridSpan w:val="2"/>
            <w:vAlign w:val="center"/>
          </w:tcPr>
          <w:p w14:paraId="0C47F8C0">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1832" w:type="dxa"/>
            <w:gridSpan w:val="2"/>
            <w:vAlign w:val="center"/>
          </w:tcPr>
          <w:p w14:paraId="67CC691A">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lang w:val="en-US" w:eastAsia="zh-CN"/>
              </w:rPr>
              <w:t>0.14</w:t>
            </w:r>
            <w:r>
              <w:rPr>
                <w:rFonts w:hint="eastAsia" w:ascii="仿宋" w:hAnsi="仿宋" w:eastAsia="仿宋" w:cs="仿宋"/>
                <w:color w:val="auto"/>
                <w:kern w:val="0"/>
                <w:sz w:val="20"/>
                <w:szCs w:val="20"/>
              </w:rPr>
              <w:t>　</w:t>
            </w:r>
          </w:p>
        </w:tc>
      </w:tr>
      <w:tr w14:paraId="184B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400252E">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水费、电费、差旅费</w:t>
            </w:r>
          </w:p>
        </w:tc>
        <w:tc>
          <w:tcPr>
            <w:tcW w:w="2038" w:type="dxa"/>
            <w:gridSpan w:val="2"/>
            <w:vAlign w:val="center"/>
          </w:tcPr>
          <w:p w14:paraId="2EA2F8A9">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2240" w:type="dxa"/>
            <w:gridSpan w:val="2"/>
            <w:vAlign w:val="center"/>
          </w:tcPr>
          <w:p w14:paraId="56F5CF6A">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1832" w:type="dxa"/>
            <w:gridSpan w:val="2"/>
            <w:vAlign w:val="center"/>
          </w:tcPr>
          <w:p w14:paraId="46C3E848">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r>
      <w:tr w14:paraId="6F94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11C2CA90">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          会议费、培训费</w:t>
            </w:r>
          </w:p>
        </w:tc>
        <w:tc>
          <w:tcPr>
            <w:tcW w:w="2038" w:type="dxa"/>
            <w:gridSpan w:val="2"/>
            <w:vAlign w:val="center"/>
          </w:tcPr>
          <w:p w14:paraId="0539C621">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2240" w:type="dxa"/>
            <w:gridSpan w:val="2"/>
            <w:vAlign w:val="center"/>
          </w:tcPr>
          <w:p w14:paraId="0E209B2D">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1832" w:type="dxa"/>
            <w:gridSpan w:val="2"/>
            <w:vAlign w:val="center"/>
          </w:tcPr>
          <w:p w14:paraId="507D9B33">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r>
      <w:tr w14:paraId="3684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6E36F8FC">
            <w:pPr>
              <w:widowControl/>
              <w:ind w:firstLine="1000" w:firstLineChars="500"/>
              <w:jc w:val="left"/>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工会经费</w:t>
            </w:r>
          </w:p>
        </w:tc>
        <w:tc>
          <w:tcPr>
            <w:tcW w:w="2038" w:type="dxa"/>
            <w:gridSpan w:val="2"/>
            <w:vAlign w:val="center"/>
          </w:tcPr>
          <w:p w14:paraId="46061DEE">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2.84</w:t>
            </w:r>
          </w:p>
        </w:tc>
        <w:tc>
          <w:tcPr>
            <w:tcW w:w="2240" w:type="dxa"/>
            <w:gridSpan w:val="2"/>
            <w:vAlign w:val="center"/>
          </w:tcPr>
          <w:p w14:paraId="59B0EC33">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2.23</w:t>
            </w:r>
          </w:p>
        </w:tc>
        <w:tc>
          <w:tcPr>
            <w:tcW w:w="1832" w:type="dxa"/>
            <w:gridSpan w:val="2"/>
            <w:vAlign w:val="center"/>
          </w:tcPr>
          <w:p w14:paraId="5277AF99">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3.14</w:t>
            </w:r>
          </w:p>
        </w:tc>
      </w:tr>
      <w:tr w14:paraId="532A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228E1E64">
            <w:pPr>
              <w:widowControl/>
              <w:ind w:firstLine="1000" w:firstLineChars="500"/>
              <w:jc w:val="left"/>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福利费</w:t>
            </w:r>
          </w:p>
        </w:tc>
        <w:tc>
          <w:tcPr>
            <w:tcW w:w="2038" w:type="dxa"/>
            <w:gridSpan w:val="2"/>
            <w:vAlign w:val="center"/>
          </w:tcPr>
          <w:p w14:paraId="32A19057">
            <w:pPr>
              <w:widowControl/>
              <w:jc w:val="center"/>
              <w:rPr>
                <w:rFonts w:hint="eastAsia" w:ascii="仿宋" w:hAnsi="仿宋" w:eastAsia="仿宋" w:cs="仿宋"/>
                <w:color w:val="auto"/>
                <w:kern w:val="0"/>
                <w:sz w:val="20"/>
                <w:szCs w:val="20"/>
                <w:lang w:val="en-US" w:eastAsia="zh-CN"/>
              </w:rPr>
            </w:pPr>
          </w:p>
        </w:tc>
        <w:tc>
          <w:tcPr>
            <w:tcW w:w="2240" w:type="dxa"/>
            <w:gridSpan w:val="2"/>
            <w:vAlign w:val="center"/>
          </w:tcPr>
          <w:p w14:paraId="058A8DE5">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0.88</w:t>
            </w:r>
          </w:p>
        </w:tc>
        <w:tc>
          <w:tcPr>
            <w:tcW w:w="1832" w:type="dxa"/>
            <w:gridSpan w:val="2"/>
            <w:vAlign w:val="center"/>
          </w:tcPr>
          <w:p w14:paraId="1F943193">
            <w:pPr>
              <w:widowControl/>
              <w:jc w:val="center"/>
              <w:rPr>
                <w:rFonts w:hint="eastAsia" w:ascii="仿宋" w:hAnsi="仿宋" w:eastAsia="仿宋" w:cs="仿宋"/>
                <w:color w:val="auto"/>
                <w:kern w:val="0"/>
                <w:sz w:val="20"/>
                <w:szCs w:val="20"/>
                <w:lang w:val="en-US" w:eastAsia="zh-CN"/>
              </w:rPr>
            </w:pPr>
          </w:p>
        </w:tc>
      </w:tr>
      <w:tr w14:paraId="3658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316ECD7E">
            <w:pPr>
              <w:widowControl/>
              <w:ind w:firstLine="800" w:firstLineChars="400"/>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其他交通费用</w:t>
            </w:r>
          </w:p>
        </w:tc>
        <w:tc>
          <w:tcPr>
            <w:tcW w:w="2038" w:type="dxa"/>
            <w:gridSpan w:val="2"/>
            <w:vAlign w:val="center"/>
          </w:tcPr>
          <w:p w14:paraId="51F91E5F">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3.35</w:t>
            </w:r>
          </w:p>
        </w:tc>
        <w:tc>
          <w:tcPr>
            <w:tcW w:w="2240" w:type="dxa"/>
            <w:gridSpan w:val="2"/>
            <w:vAlign w:val="center"/>
          </w:tcPr>
          <w:p w14:paraId="3C3674E7">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3.28</w:t>
            </w:r>
          </w:p>
        </w:tc>
        <w:tc>
          <w:tcPr>
            <w:tcW w:w="1832" w:type="dxa"/>
            <w:gridSpan w:val="2"/>
            <w:vAlign w:val="center"/>
          </w:tcPr>
          <w:p w14:paraId="6911198F">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4.90</w:t>
            </w:r>
          </w:p>
        </w:tc>
      </w:tr>
      <w:tr w14:paraId="605E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5F7B5DC1">
            <w:pPr>
              <w:widowControl/>
              <w:ind w:firstLine="800" w:firstLineChars="400"/>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其他商品和服务支出</w:t>
            </w:r>
          </w:p>
        </w:tc>
        <w:tc>
          <w:tcPr>
            <w:tcW w:w="2038" w:type="dxa"/>
            <w:gridSpan w:val="2"/>
            <w:vAlign w:val="center"/>
          </w:tcPr>
          <w:p w14:paraId="4A6D92A4">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0.07</w:t>
            </w:r>
          </w:p>
        </w:tc>
        <w:tc>
          <w:tcPr>
            <w:tcW w:w="2240" w:type="dxa"/>
            <w:gridSpan w:val="2"/>
            <w:vAlign w:val="center"/>
          </w:tcPr>
          <w:p w14:paraId="21C2DF75">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0.93</w:t>
            </w:r>
          </w:p>
        </w:tc>
        <w:tc>
          <w:tcPr>
            <w:tcW w:w="1832" w:type="dxa"/>
            <w:gridSpan w:val="2"/>
            <w:vAlign w:val="center"/>
          </w:tcPr>
          <w:p w14:paraId="7D5CCE7F">
            <w:pPr>
              <w:widowControl/>
              <w:jc w:val="center"/>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0.27</w:t>
            </w:r>
          </w:p>
        </w:tc>
      </w:tr>
      <w:tr w14:paraId="73B8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05C5FF4F">
            <w:pPr>
              <w:widowControl/>
              <w:jc w:val="left"/>
              <w:rPr>
                <w:rFonts w:ascii="仿宋" w:hAnsi="仿宋" w:eastAsia="仿宋" w:cs="仿宋"/>
                <w:kern w:val="0"/>
                <w:sz w:val="20"/>
                <w:szCs w:val="20"/>
              </w:rPr>
            </w:pPr>
            <w:r>
              <w:rPr>
                <w:rFonts w:hint="eastAsia" w:ascii="仿宋" w:hAnsi="仿宋" w:eastAsia="仿宋" w:cs="仿宋"/>
                <w:kern w:val="0"/>
                <w:sz w:val="20"/>
                <w:szCs w:val="20"/>
              </w:rPr>
              <w:t>政府采购金额</w:t>
            </w:r>
          </w:p>
        </w:tc>
        <w:tc>
          <w:tcPr>
            <w:tcW w:w="2038" w:type="dxa"/>
            <w:gridSpan w:val="2"/>
            <w:vAlign w:val="center"/>
          </w:tcPr>
          <w:p w14:paraId="478DD335">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w:t>
            </w:r>
          </w:p>
        </w:tc>
        <w:tc>
          <w:tcPr>
            <w:tcW w:w="2240" w:type="dxa"/>
            <w:gridSpan w:val="2"/>
            <w:vAlign w:val="center"/>
          </w:tcPr>
          <w:p w14:paraId="108046FF">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c>
          <w:tcPr>
            <w:tcW w:w="1832" w:type="dxa"/>
            <w:gridSpan w:val="2"/>
            <w:vAlign w:val="center"/>
          </w:tcPr>
          <w:p w14:paraId="67229C04">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　</w:t>
            </w:r>
          </w:p>
        </w:tc>
      </w:tr>
      <w:tr w14:paraId="6DA2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C1FB936">
            <w:pPr>
              <w:widowControl/>
              <w:jc w:val="left"/>
              <w:rPr>
                <w:rFonts w:ascii="仿宋" w:hAnsi="仿宋" w:eastAsia="仿宋" w:cs="仿宋"/>
                <w:kern w:val="0"/>
                <w:sz w:val="20"/>
                <w:szCs w:val="20"/>
              </w:rPr>
            </w:pPr>
            <w:r>
              <w:rPr>
                <w:rFonts w:hint="eastAsia" w:ascii="仿宋" w:hAnsi="仿宋" w:eastAsia="仿宋" w:cs="仿宋"/>
                <w:kern w:val="0"/>
                <w:sz w:val="20"/>
                <w:szCs w:val="20"/>
              </w:rPr>
              <w:t xml:space="preserve">部门基本支出预算调整 </w:t>
            </w:r>
          </w:p>
        </w:tc>
        <w:tc>
          <w:tcPr>
            <w:tcW w:w="2038" w:type="dxa"/>
            <w:gridSpan w:val="2"/>
            <w:vAlign w:val="center"/>
          </w:tcPr>
          <w:p w14:paraId="687D8FFE">
            <w:pPr>
              <w:widowControl/>
              <w:jc w:val="center"/>
              <w:rPr>
                <w:rFonts w:ascii="仿宋" w:hAnsi="仿宋" w:eastAsia="仿宋" w:cs="仿宋"/>
                <w:kern w:val="0"/>
                <w:sz w:val="20"/>
                <w:szCs w:val="20"/>
              </w:rPr>
            </w:pPr>
            <w:r>
              <w:rPr>
                <w:rFonts w:hint="eastAsia" w:ascii="仿宋" w:hAnsi="仿宋" w:eastAsia="仿宋" w:cs="仿宋"/>
                <w:kern w:val="0"/>
                <w:sz w:val="20"/>
                <w:szCs w:val="20"/>
              </w:rPr>
              <w:t>——</w:t>
            </w:r>
          </w:p>
        </w:tc>
        <w:tc>
          <w:tcPr>
            <w:tcW w:w="2240" w:type="dxa"/>
            <w:gridSpan w:val="2"/>
            <w:vAlign w:val="center"/>
          </w:tcPr>
          <w:p w14:paraId="45FD4C09">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13443CFF">
            <w:pPr>
              <w:widowControl/>
              <w:jc w:val="center"/>
              <w:rPr>
                <w:rFonts w:ascii="仿宋" w:hAnsi="仿宋" w:eastAsia="仿宋" w:cs="仿宋"/>
                <w:kern w:val="0"/>
                <w:sz w:val="20"/>
                <w:szCs w:val="20"/>
              </w:rPr>
            </w:pPr>
            <w:r>
              <w:rPr>
                <w:rFonts w:hint="eastAsia" w:ascii="仿宋" w:hAnsi="仿宋" w:eastAsia="仿宋" w:cs="仿宋"/>
                <w:kern w:val="0"/>
                <w:sz w:val="20"/>
                <w:szCs w:val="20"/>
              </w:rPr>
              <w:t>　</w:t>
            </w:r>
          </w:p>
        </w:tc>
      </w:tr>
      <w:tr w14:paraId="57D2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vAlign w:val="center"/>
          </w:tcPr>
          <w:p w14:paraId="501C7175">
            <w:pPr>
              <w:widowControl/>
              <w:jc w:val="center"/>
              <w:rPr>
                <w:rFonts w:ascii="仿宋" w:hAnsi="仿宋" w:eastAsia="仿宋" w:cs="仿宋"/>
                <w:kern w:val="0"/>
                <w:sz w:val="20"/>
                <w:szCs w:val="20"/>
              </w:rPr>
            </w:pPr>
            <w:r>
              <w:rPr>
                <w:rFonts w:hint="eastAsia" w:ascii="仿宋" w:hAnsi="仿宋" w:eastAsia="仿宋" w:cs="仿宋"/>
                <w:kern w:val="0"/>
                <w:sz w:val="20"/>
                <w:szCs w:val="20"/>
              </w:rPr>
              <w:t>楼堂馆所控制情况</w:t>
            </w:r>
            <w:r>
              <w:rPr>
                <w:rFonts w:hint="eastAsia" w:ascii="仿宋" w:hAnsi="仿宋" w:eastAsia="仿宋" w:cs="仿宋"/>
                <w:kern w:val="0"/>
                <w:sz w:val="20"/>
                <w:szCs w:val="20"/>
              </w:rPr>
              <w:br w:type="textWrapping"/>
            </w:r>
            <w:r>
              <w:rPr>
                <w:rFonts w:hint="eastAsia" w:ascii="仿宋" w:hAnsi="仿宋" w:eastAsia="仿宋" w:cs="仿宋"/>
                <w:kern w:val="0"/>
                <w:sz w:val="20"/>
                <w:szCs w:val="20"/>
              </w:rPr>
              <w:t>（2025年完工情况）</w:t>
            </w:r>
          </w:p>
        </w:tc>
        <w:tc>
          <w:tcPr>
            <w:tcW w:w="1189" w:type="dxa"/>
            <w:vAlign w:val="center"/>
          </w:tcPr>
          <w:p w14:paraId="2DD6FA4A">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批复规模</w:t>
            </w:r>
            <w:r>
              <w:rPr>
                <w:rFonts w:hint="eastAsia" w:ascii="仿宋" w:hAnsi="仿宋" w:eastAsia="仿宋" w:cs="仿宋"/>
                <w:kern w:val="0"/>
                <w:sz w:val="20"/>
                <w:szCs w:val="20"/>
              </w:rPr>
              <w:br w:type="textWrapping"/>
            </w:r>
            <w:r>
              <w:rPr>
                <w:rFonts w:hint="eastAsia" w:ascii="仿宋" w:hAnsi="仿宋" w:eastAsia="仿宋" w:cs="仿宋"/>
                <w:kern w:val="0"/>
                <w:sz w:val="20"/>
                <w:szCs w:val="20"/>
              </w:rPr>
              <w:t>（㎡）</w:t>
            </w:r>
          </w:p>
        </w:tc>
        <w:tc>
          <w:tcPr>
            <w:tcW w:w="849" w:type="dxa"/>
            <w:vAlign w:val="center"/>
          </w:tcPr>
          <w:p w14:paraId="3A4E0375">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实际规模（㎡）</w:t>
            </w:r>
          </w:p>
        </w:tc>
        <w:tc>
          <w:tcPr>
            <w:tcW w:w="1129" w:type="dxa"/>
            <w:vAlign w:val="center"/>
          </w:tcPr>
          <w:p w14:paraId="1AB69164">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规模控制率</w:t>
            </w:r>
          </w:p>
        </w:tc>
        <w:tc>
          <w:tcPr>
            <w:tcW w:w="1111" w:type="dxa"/>
            <w:vAlign w:val="center"/>
          </w:tcPr>
          <w:p w14:paraId="025F7982">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预算投资（万元）</w:t>
            </w:r>
          </w:p>
        </w:tc>
        <w:tc>
          <w:tcPr>
            <w:tcW w:w="969" w:type="dxa"/>
            <w:vAlign w:val="center"/>
          </w:tcPr>
          <w:p w14:paraId="0C205192">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实际投资（万元）</w:t>
            </w:r>
          </w:p>
        </w:tc>
        <w:tc>
          <w:tcPr>
            <w:tcW w:w="863" w:type="dxa"/>
            <w:vAlign w:val="center"/>
          </w:tcPr>
          <w:p w14:paraId="7EE9020A">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投资概算控制率</w:t>
            </w:r>
          </w:p>
        </w:tc>
      </w:tr>
      <w:tr w14:paraId="5E41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vAlign w:val="center"/>
          </w:tcPr>
          <w:p w14:paraId="5C7A2257">
            <w:pPr>
              <w:widowControl/>
              <w:jc w:val="left"/>
              <w:rPr>
                <w:rFonts w:ascii="仿宋" w:hAnsi="仿宋" w:eastAsia="仿宋" w:cs="仿宋"/>
                <w:kern w:val="0"/>
                <w:sz w:val="20"/>
                <w:szCs w:val="20"/>
              </w:rPr>
            </w:pPr>
          </w:p>
        </w:tc>
        <w:tc>
          <w:tcPr>
            <w:tcW w:w="1189" w:type="dxa"/>
            <w:vAlign w:val="center"/>
          </w:tcPr>
          <w:p w14:paraId="7842069D">
            <w:pPr>
              <w:widowControl/>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849" w:type="dxa"/>
            <w:vAlign w:val="center"/>
          </w:tcPr>
          <w:p w14:paraId="452E129E">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1129" w:type="dxa"/>
            <w:vAlign w:val="center"/>
          </w:tcPr>
          <w:p w14:paraId="38471508">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1111" w:type="dxa"/>
            <w:vAlign w:val="center"/>
          </w:tcPr>
          <w:p w14:paraId="6877C861">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969" w:type="dxa"/>
            <w:vAlign w:val="center"/>
          </w:tcPr>
          <w:p w14:paraId="55298BE7">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c>
          <w:tcPr>
            <w:tcW w:w="863" w:type="dxa"/>
            <w:vAlign w:val="center"/>
          </w:tcPr>
          <w:p w14:paraId="615BE7FF">
            <w:pPr>
              <w:widowControl/>
              <w:jc w:val="left"/>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　</w:t>
            </w:r>
            <w:r>
              <w:rPr>
                <w:rFonts w:hint="eastAsia" w:ascii="仿宋" w:hAnsi="仿宋" w:eastAsia="仿宋" w:cs="仿宋"/>
                <w:kern w:val="0"/>
                <w:sz w:val="20"/>
                <w:szCs w:val="20"/>
                <w:lang w:val="en-US" w:eastAsia="zh-CN"/>
              </w:rPr>
              <w:t>0</w:t>
            </w:r>
          </w:p>
        </w:tc>
      </w:tr>
      <w:tr w14:paraId="41B7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vAlign w:val="center"/>
          </w:tcPr>
          <w:p w14:paraId="0725C6A9">
            <w:pPr>
              <w:widowControl/>
              <w:jc w:val="center"/>
              <w:rPr>
                <w:rFonts w:ascii="仿宋" w:hAnsi="仿宋" w:eastAsia="仿宋" w:cs="仿宋"/>
                <w:kern w:val="0"/>
                <w:sz w:val="20"/>
                <w:szCs w:val="20"/>
              </w:rPr>
            </w:pPr>
            <w:r>
              <w:rPr>
                <w:rFonts w:hint="eastAsia" w:ascii="仿宋" w:hAnsi="仿宋" w:eastAsia="仿宋" w:cs="仿宋"/>
                <w:kern w:val="0"/>
                <w:sz w:val="20"/>
                <w:szCs w:val="20"/>
              </w:rPr>
              <w:t>厉行节约保障措施</w:t>
            </w:r>
          </w:p>
        </w:tc>
        <w:tc>
          <w:tcPr>
            <w:tcW w:w="6110" w:type="dxa"/>
            <w:gridSpan w:val="6"/>
            <w:vAlign w:val="center"/>
          </w:tcPr>
          <w:p w14:paraId="7051C4E6">
            <w:pPr>
              <w:widowControl/>
              <w:jc w:val="center"/>
              <w:rPr>
                <w:rFonts w:ascii="仿宋" w:hAnsi="仿宋" w:eastAsia="仿宋" w:cs="仿宋"/>
                <w:kern w:val="0"/>
                <w:sz w:val="20"/>
                <w:szCs w:val="20"/>
              </w:rPr>
            </w:pPr>
            <w:r>
              <w:rPr>
                <w:rFonts w:hint="eastAsia" w:ascii="仿宋" w:hAnsi="仿宋" w:eastAsia="仿宋" w:cs="仿宋"/>
                <w:b w:val="0"/>
                <w:bCs w:val="0"/>
                <w:kern w:val="0"/>
                <w:sz w:val="20"/>
                <w:szCs w:val="20"/>
                <w:lang w:val="en-US" w:eastAsia="zh-CN"/>
              </w:rPr>
              <w:t>严格控制经费开支</w:t>
            </w:r>
            <w:r>
              <w:rPr>
                <w:rFonts w:hint="eastAsia" w:ascii="仿宋" w:hAnsi="仿宋" w:eastAsia="仿宋" w:cs="仿宋"/>
                <w:b w:val="0"/>
                <w:bCs w:val="0"/>
                <w:kern w:val="0"/>
                <w:sz w:val="20"/>
                <w:szCs w:val="20"/>
              </w:rPr>
              <w:t>　</w:t>
            </w:r>
            <w:r>
              <w:rPr>
                <w:rFonts w:hint="eastAsia" w:ascii="仿宋" w:hAnsi="仿宋" w:eastAsia="仿宋" w:cs="仿宋"/>
                <w:kern w:val="0"/>
                <w:sz w:val="20"/>
                <w:szCs w:val="20"/>
              </w:rPr>
              <w:t>　</w:t>
            </w:r>
          </w:p>
        </w:tc>
      </w:tr>
    </w:tbl>
    <w:p w14:paraId="543CB328">
      <w:pPr>
        <w:pStyle w:val="11"/>
        <w:spacing w:line="280" w:lineRule="exact"/>
        <w:ind w:firstLine="440"/>
      </w:pPr>
      <w:r>
        <w:rPr>
          <w:rFonts w:eastAsia="仿宋_GB2312"/>
          <w:kern w:val="0"/>
          <w:sz w:val="22"/>
        </w:rPr>
        <w:t>说明：“项目支出”需要填报基本支出以外的所有项目支出情况，“公用经费”填报基本支出中的一般商品和服务支出。</w:t>
      </w:r>
    </w:p>
    <w:p w14:paraId="566E76E5">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王莹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16674521577</w:t>
      </w:r>
    </w:p>
    <w:p w14:paraId="65D98A55">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0F6CE6EF">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56DF446B">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7511836A">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2E12CA7D">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13F2CA68">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2B6AC8F1">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4C2A865E">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445D73A8">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2D486EE8">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57730904">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1F38D6FF">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64CE0647">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13B68644">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6DC6E575">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0A658734">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58348D76">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4A150DDA">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55D5B8DC">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51E252CD">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42E3277E">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36767A8E">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1C4E8E4A">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03DE0085">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p>
    <w:p w14:paraId="035D2242">
      <w:pPr>
        <w:pStyle w:val="6"/>
        <w:widowControl/>
        <w:shd w:val="clear" w:color="auto" w:fill="FFFFFF"/>
        <w:spacing w:beforeAutospacing="0" w:afterAutospacing="0" w:line="480" w:lineRule="exact"/>
        <w:jc w:val="both"/>
        <w:rPr>
          <w:rFonts w:ascii="方正小标宋_GBK" w:hAnsi="方正小标宋_GBK" w:eastAsia="方正小标宋_GBK" w:cs="方正小标宋_GBK"/>
          <w:color w:val="000000"/>
          <w:shd w:val="clear" w:color="auto" w:fill="FFFFFF"/>
        </w:rPr>
      </w:pPr>
      <w:r>
        <w:rPr>
          <w:rFonts w:ascii="方正小标宋_GBK" w:hAnsi="方正小标宋_GBK" w:eastAsia="方正小标宋_GBK" w:cs="方正小标宋_GBK"/>
          <w:color w:val="000000"/>
          <w:shd w:val="clear" w:color="auto" w:fill="FFFFFF"/>
        </w:rPr>
        <w:t>附件2</w:t>
      </w:r>
    </w:p>
    <w:p w14:paraId="7CF99640">
      <w:pPr>
        <w:widowControl/>
        <w:tabs>
          <w:tab w:val="left" w:pos="2555"/>
          <w:tab w:val="left" w:pos="3611"/>
          <w:tab w:val="center" w:pos="4365"/>
          <w:tab w:val="left" w:pos="4791"/>
          <w:tab w:val="left" w:pos="5951"/>
          <w:tab w:val="left" w:pos="7071"/>
          <w:tab w:val="left" w:pos="8191"/>
          <w:tab w:val="left" w:pos="9311"/>
        </w:tabs>
        <w:spacing w:line="480" w:lineRule="exact"/>
        <w:ind w:left="91"/>
        <w:jc w:val="left"/>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ab/>
      </w:r>
      <w:r>
        <w:rPr>
          <w:rFonts w:hint="eastAsia" w:ascii="方正小标宋简体" w:hAnsi="方正小标宋简体" w:eastAsia="方正小标宋简体" w:cs="方正小标宋简体"/>
          <w:color w:val="000000"/>
          <w:kern w:val="0"/>
          <w:sz w:val="36"/>
          <w:szCs w:val="36"/>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089"/>
        <w:gridCol w:w="1046"/>
        <w:gridCol w:w="977"/>
        <w:gridCol w:w="88"/>
        <w:gridCol w:w="1152"/>
        <w:gridCol w:w="1098"/>
        <w:gridCol w:w="687"/>
        <w:gridCol w:w="916"/>
        <w:gridCol w:w="1104"/>
      </w:tblGrid>
      <w:tr w14:paraId="6B0D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05" w:type="dxa"/>
            <w:vAlign w:val="center"/>
          </w:tcPr>
          <w:p w14:paraId="03DAA5F0">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预算部门名称</w:t>
            </w:r>
          </w:p>
        </w:tc>
        <w:tc>
          <w:tcPr>
            <w:tcW w:w="8157" w:type="dxa"/>
            <w:gridSpan w:val="9"/>
            <w:vAlign w:val="center"/>
          </w:tcPr>
          <w:p w14:paraId="31B3AB17">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民盟</w:t>
            </w:r>
            <w:r>
              <w:rPr>
                <w:rFonts w:hint="eastAsia" w:ascii="仿宋" w:hAnsi="仿宋" w:eastAsia="仿宋" w:cs="仿宋"/>
                <w:color w:val="000000"/>
                <w:kern w:val="0"/>
                <w:sz w:val="20"/>
                <w:szCs w:val="20"/>
              </w:rPr>
              <w:t>部门整体支出目标表　</w:t>
            </w:r>
          </w:p>
        </w:tc>
      </w:tr>
      <w:tr w14:paraId="201B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05" w:type="dxa"/>
            <w:vMerge w:val="restart"/>
            <w:vAlign w:val="center"/>
          </w:tcPr>
          <w:p w14:paraId="5A4B2B6F">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BD41329">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35" w:type="dxa"/>
            <w:gridSpan w:val="2"/>
            <w:vAlign w:val="center"/>
          </w:tcPr>
          <w:p w14:paraId="650F0CC5">
            <w:pPr>
              <w:widowControl/>
              <w:spacing w:line="240" w:lineRule="exact"/>
              <w:jc w:val="center"/>
              <w:rPr>
                <w:rFonts w:ascii="仿宋" w:hAnsi="仿宋" w:eastAsia="仿宋" w:cs="仿宋"/>
                <w:sz w:val="20"/>
                <w:szCs w:val="20"/>
              </w:rPr>
            </w:pPr>
          </w:p>
        </w:tc>
        <w:tc>
          <w:tcPr>
            <w:tcW w:w="977" w:type="dxa"/>
            <w:vAlign w:val="center"/>
          </w:tcPr>
          <w:p w14:paraId="481E7CAA">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年初</w:t>
            </w:r>
          </w:p>
          <w:p w14:paraId="5436F09E">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预算数</w:t>
            </w:r>
          </w:p>
        </w:tc>
        <w:tc>
          <w:tcPr>
            <w:tcW w:w="1240" w:type="dxa"/>
            <w:gridSpan w:val="2"/>
            <w:vAlign w:val="center"/>
          </w:tcPr>
          <w:p w14:paraId="24E2B787">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全年预算数</w:t>
            </w:r>
          </w:p>
        </w:tc>
        <w:tc>
          <w:tcPr>
            <w:tcW w:w="1098" w:type="dxa"/>
            <w:vAlign w:val="center"/>
          </w:tcPr>
          <w:p w14:paraId="6E888F88">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全年</w:t>
            </w:r>
          </w:p>
          <w:p w14:paraId="11A5A5C0">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执行数</w:t>
            </w:r>
          </w:p>
        </w:tc>
        <w:tc>
          <w:tcPr>
            <w:tcW w:w="687" w:type="dxa"/>
            <w:vAlign w:val="center"/>
          </w:tcPr>
          <w:p w14:paraId="4F0FAB04">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分值</w:t>
            </w:r>
          </w:p>
        </w:tc>
        <w:tc>
          <w:tcPr>
            <w:tcW w:w="916" w:type="dxa"/>
            <w:vAlign w:val="center"/>
          </w:tcPr>
          <w:p w14:paraId="7EC0AF83">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执行率</w:t>
            </w:r>
          </w:p>
        </w:tc>
        <w:tc>
          <w:tcPr>
            <w:tcW w:w="1104" w:type="dxa"/>
            <w:vAlign w:val="center"/>
          </w:tcPr>
          <w:p w14:paraId="18314D18">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得分</w:t>
            </w:r>
          </w:p>
        </w:tc>
      </w:tr>
      <w:tr w14:paraId="3AEC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5765FAD0">
            <w:pPr>
              <w:widowControl/>
              <w:spacing w:line="240" w:lineRule="exact"/>
              <w:jc w:val="center"/>
              <w:rPr>
                <w:rFonts w:ascii="仿宋" w:hAnsi="仿宋" w:eastAsia="仿宋" w:cs="仿宋"/>
                <w:color w:val="000000"/>
                <w:kern w:val="0"/>
                <w:sz w:val="20"/>
                <w:szCs w:val="20"/>
              </w:rPr>
            </w:pPr>
          </w:p>
        </w:tc>
        <w:tc>
          <w:tcPr>
            <w:tcW w:w="2135" w:type="dxa"/>
            <w:gridSpan w:val="2"/>
            <w:vAlign w:val="center"/>
          </w:tcPr>
          <w:p w14:paraId="39142C14">
            <w:pPr>
              <w:widowControl/>
              <w:spacing w:line="240" w:lineRule="exact"/>
              <w:jc w:val="center"/>
              <w:rPr>
                <w:rFonts w:ascii="仿宋" w:hAnsi="仿宋" w:eastAsia="仿宋" w:cs="仿宋"/>
                <w:sz w:val="20"/>
                <w:szCs w:val="20"/>
              </w:rPr>
            </w:pPr>
            <w:r>
              <w:rPr>
                <w:rFonts w:hint="eastAsia" w:ascii="仿宋" w:hAnsi="仿宋" w:eastAsia="仿宋" w:cs="仿宋"/>
                <w:color w:val="000000"/>
                <w:kern w:val="0"/>
                <w:sz w:val="20"/>
                <w:szCs w:val="20"/>
              </w:rPr>
              <w:t>年度资金总额</w:t>
            </w:r>
          </w:p>
        </w:tc>
        <w:tc>
          <w:tcPr>
            <w:tcW w:w="977" w:type="dxa"/>
            <w:vAlign w:val="center"/>
          </w:tcPr>
          <w:p w14:paraId="275CE250">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109.79</w:t>
            </w:r>
          </w:p>
        </w:tc>
        <w:tc>
          <w:tcPr>
            <w:tcW w:w="1240" w:type="dxa"/>
            <w:gridSpan w:val="2"/>
            <w:vAlign w:val="center"/>
          </w:tcPr>
          <w:p w14:paraId="33F8BC49">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124.09</w:t>
            </w:r>
          </w:p>
        </w:tc>
        <w:tc>
          <w:tcPr>
            <w:tcW w:w="1098" w:type="dxa"/>
            <w:vAlign w:val="center"/>
          </w:tcPr>
          <w:p w14:paraId="3B0F8CAC">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120.99</w:t>
            </w:r>
          </w:p>
        </w:tc>
        <w:tc>
          <w:tcPr>
            <w:tcW w:w="687" w:type="dxa"/>
            <w:vAlign w:val="center"/>
          </w:tcPr>
          <w:p w14:paraId="5DC39418">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30F4C434">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97.50%</w:t>
            </w:r>
          </w:p>
        </w:tc>
        <w:tc>
          <w:tcPr>
            <w:tcW w:w="1104" w:type="dxa"/>
            <w:vAlign w:val="center"/>
          </w:tcPr>
          <w:p w14:paraId="07CD2260">
            <w:pPr>
              <w:widowControl/>
              <w:spacing w:line="24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9.75</w:t>
            </w:r>
          </w:p>
        </w:tc>
      </w:tr>
      <w:tr w14:paraId="6F88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05" w:type="dxa"/>
            <w:vMerge w:val="continue"/>
            <w:vAlign w:val="center"/>
          </w:tcPr>
          <w:p w14:paraId="23DA8715">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1C575F83">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805" w:type="dxa"/>
            <w:gridSpan w:val="4"/>
            <w:vAlign w:val="center"/>
          </w:tcPr>
          <w:p w14:paraId="4F85B793">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27C0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31639C33">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7186934A">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sz w:val="20"/>
                <w:szCs w:val="20"/>
                <w:lang w:val="en-US" w:eastAsia="zh-CN"/>
              </w:rPr>
              <w:t>124.09</w:t>
            </w:r>
          </w:p>
        </w:tc>
        <w:tc>
          <w:tcPr>
            <w:tcW w:w="3805" w:type="dxa"/>
            <w:gridSpan w:val="4"/>
            <w:vAlign w:val="center"/>
          </w:tcPr>
          <w:p w14:paraId="129618B1">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87.88</w:t>
            </w:r>
          </w:p>
        </w:tc>
      </w:tr>
      <w:tr w14:paraId="37D7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05" w:type="dxa"/>
            <w:vMerge w:val="continue"/>
            <w:vAlign w:val="center"/>
          </w:tcPr>
          <w:p w14:paraId="0838836A">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1EC215E2">
            <w:pPr>
              <w:widowControl/>
              <w:spacing w:line="240" w:lineRule="exact"/>
              <w:ind w:firstLine="800" w:firstLineChars="4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805" w:type="dxa"/>
            <w:gridSpan w:val="4"/>
            <w:vAlign w:val="center"/>
          </w:tcPr>
          <w:p w14:paraId="6FFD6F4C">
            <w:pPr>
              <w:widowControl/>
              <w:spacing w:line="240" w:lineRule="exact"/>
              <w:ind w:firstLine="600" w:firstLineChars="300"/>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36.21</w:t>
            </w:r>
          </w:p>
        </w:tc>
      </w:tr>
      <w:tr w14:paraId="6CF5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5" w:type="dxa"/>
            <w:vMerge w:val="continue"/>
            <w:vAlign w:val="center"/>
          </w:tcPr>
          <w:p w14:paraId="7CEA175A">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7E50E7CA">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805" w:type="dxa"/>
            <w:gridSpan w:val="4"/>
            <w:vAlign w:val="center"/>
          </w:tcPr>
          <w:p w14:paraId="14CAF58D">
            <w:pPr>
              <w:widowControl/>
              <w:spacing w:line="240" w:lineRule="exact"/>
              <w:jc w:val="left"/>
              <w:rPr>
                <w:rFonts w:ascii="仿宋" w:hAnsi="仿宋" w:eastAsia="仿宋" w:cs="仿宋"/>
                <w:color w:val="000000"/>
                <w:kern w:val="0"/>
                <w:sz w:val="20"/>
                <w:szCs w:val="20"/>
              </w:rPr>
            </w:pPr>
          </w:p>
        </w:tc>
      </w:tr>
      <w:tr w14:paraId="05AA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105" w:type="dxa"/>
            <w:vMerge w:val="continue"/>
            <w:vAlign w:val="center"/>
          </w:tcPr>
          <w:p w14:paraId="7B80E2AC">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714512B6">
            <w:pPr>
              <w:widowControl/>
              <w:spacing w:line="240" w:lineRule="exact"/>
              <w:ind w:firstLine="1400" w:firstLineChars="7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805" w:type="dxa"/>
            <w:gridSpan w:val="4"/>
            <w:vAlign w:val="center"/>
          </w:tcPr>
          <w:p w14:paraId="78F93552">
            <w:pPr>
              <w:widowControl/>
              <w:spacing w:line="240" w:lineRule="exact"/>
              <w:jc w:val="left"/>
              <w:rPr>
                <w:rFonts w:ascii="仿宋" w:hAnsi="仿宋" w:eastAsia="仿宋" w:cs="仿宋"/>
                <w:color w:val="000000"/>
                <w:kern w:val="0"/>
                <w:sz w:val="20"/>
                <w:szCs w:val="20"/>
              </w:rPr>
            </w:pPr>
          </w:p>
        </w:tc>
      </w:tr>
      <w:tr w14:paraId="1DFA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5" w:type="dxa"/>
            <w:vMerge w:val="restart"/>
            <w:vAlign w:val="center"/>
          </w:tcPr>
          <w:p w14:paraId="640A19A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352" w:type="dxa"/>
            <w:gridSpan w:val="5"/>
            <w:vAlign w:val="center"/>
          </w:tcPr>
          <w:p w14:paraId="0ABBA10E">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05" w:type="dxa"/>
            <w:gridSpan w:val="4"/>
            <w:vAlign w:val="center"/>
          </w:tcPr>
          <w:p w14:paraId="00ABB23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A4B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5" w:hRule="atLeast"/>
          <w:jc w:val="center"/>
        </w:trPr>
        <w:tc>
          <w:tcPr>
            <w:tcW w:w="1105" w:type="dxa"/>
            <w:vMerge w:val="continue"/>
            <w:vAlign w:val="center"/>
          </w:tcPr>
          <w:p w14:paraId="361B4D7F">
            <w:pPr>
              <w:widowControl/>
              <w:spacing w:line="240" w:lineRule="exact"/>
              <w:jc w:val="left"/>
              <w:rPr>
                <w:rFonts w:ascii="仿宋" w:hAnsi="仿宋" w:eastAsia="仿宋" w:cs="仿宋"/>
                <w:color w:val="000000"/>
                <w:kern w:val="0"/>
                <w:sz w:val="20"/>
                <w:szCs w:val="20"/>
              </w:rPr>
            </w:pPr>
          </w:p>
        </w:tc>
        <w:tc>
          <w:tcPr>
            <w:tcW w:w="4352" w:type="dxa"/>
            <w:gridSpan w:val="5"/>
            <w:vAlign w:val="center"/>
          </w:tcPr>
          <w:p w14:paraId="7331A5B5">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聚焦实施“五新四城”战略，“鹤中一体化”和“国际陆港”建设，深入调查研究，不断加强自身建设，提高议政建言能力和水平，提升民主监督实效，积极开展社会服务，为全面建设中国式现代化新怀化作出新的贡献。</w:t>
            </w:r>
            <w:r>
              <w:rPr>
                <w:rFonts w:hint="eastAsia" w:ascii="仿宋" w:hAnsi="仿宋" w:eastAsia="仿宋" w:cs="仿宋"/>
                <w:sz w:val="20"/>
                <w:szCs w:val="20"/>
                <w:lang w:val="en-US" w:eastAsia="zh-CN"/>
              </w:rPr>
              <w:t xml:space="preserve"> </w:t>
            </w:r>
          </w:p>
        </w:tc>
        <w:tc>
          <w:tcPr>
            <w:tcW w:w="3805" w:type="dxa"/>
            <w:gridSpan w:val="4"/>
            <w:vAlign w:val="center"/>
          </w:tcPr>
          <w:p w14:paraId="30C3FF2B">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w:t>
            </w:r>
            <w:r>
              <w:rPr>
                <w:rFonts w:hint="eastAsia" w:ascii="仿宋" w:hAnsi="仿宋" w:eastAsia="仿宋" w:cs="仿宋"/>
                <w:color w:val="000000"/>
                <w:kern w:val="0"/>
                <w:sz w:val="20"/>
                <w:szCs w:val="20"/>
                <w:lang w:eastAsia="zh-CN"/>
              </w:rPr>
              <w:t>盟市委会印发工作方案，提出</w:t>
            </w:r>
            <w:r>
              <w:rPr>
                <w:rFonts w:hint="eastAsia" w:ascii="仿宋" w:hAnsi="仿宋" w:eastAsia="仿宋" w:cs="仿宋"/>
                <w:color w:val="000000"/>
                <w:kern w:val="0"/>
                <w:sz w:val="20"/>
                <w:szCs w:val="20"/>
                <w:lang w:val="en-US" w:eastAsia="zh-CN"/>
              </w:rPr>
              <w:t>18条工作清单，5次举行领导班子集中学习活动，2次召开市委扩大会议进行专题辅导。</w:t>
            </w:r>
            <w:r>
              <w:rPr>
                <w:rFonts w:hint="default" w:ascii="仿宋" w:hAnsi="仿宋" w:eastAsia="仿宋" w:cs="仿宋"/>
                <w:color w:val="000000"/>
                <w:kern w:val="0"/>
                <w:sz w:val="20"/>
                <w:szCs w:val="20"/>
                <w:lang w:val="en-US" w:eastAsia="zh-CN"/>
              </w:rPr>
              <w:t>在公众号发布政治学习、思想宣传、</w:t>
            </w:r>
            <w:r>
              <w:rPr>
                <w:rFonts w:hint="eastAsia" w:ascii="仿宋" w:hAnsi="仿宋" w:eastAsia="仿宋" w:cs="仿宋"/>
                <w:color w:val="000000"/>
                <w:kern w:val="0"/>
                <w:sz w:val="20"/>
                <w:szCs w:val="20"/>
                <w:lang w:val="en-US" w:eastAsia="zh-CN"/>
              </w:rPr>
              <w:t>参政议政范文、</w:t>
            </w:r>
            <w:r>
              <w:rPr>
                <w:rFonts w:hint="default" w:ascii="仿宋" w:hAnsi="仿宋" w:eastAsia="仿宋" w:cs="仿宋"/>
                <w:color w:val="000000"/>
                <w:kern w:val="0"/>
                <w:sz w:val="20"/>
                <w:szCs w:val="20"/>
                <w:lang w:val="en-US" w:eastAsia="zh-CN"/>
              </w:rPr>
              <w:t>模范典型</w:t>
            </w:r>
            <w:r>
              <w:rPr>
                <w:rFonts w:hint="eastAsia" w:ascii="仿宋" w:hAnsi="仿宋" w:eastAsia="仿宋" w:cs="仿宋"/>
                <w:color w:val="000000"/>
                <w:kern w:val="0"/>
                <w:sz w:val="20"/>
                <w:szCs w:val="20"/>
                <w:lang w:val="en-US" w:eastAsia="zh-CN"/>
              </w:rPr>
              <w:t>事迹共</w:t>
            </w:r>
            <w:r>
              <w:rPr>
                <w:rFonts w:hint="default"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lang w:val="en-US" w:eastAsia="zh-CN"/>
              </w:rPr>
              <w:t>6</w:t>
            </w:r>
            <w:r>
              <w:rPr>
                <w:rFonts w:hint="default" w:ascii="仿宋" w:hAnsi="仿宋" w:eastAsia="仿宋" w:cs="仿宋"/>
                <w:color w:val="000000"/>
                <w:kern w:val="0"/>
                <w:sz w:val="20"/>
                <w:szCs w:val="20"/>
                <w:lang w:val="en-US" w:eastAsia="zh-CN"/>
              </w:rPr>
              <w:t>篇</w:t>
            </w:r>
            <w:r>
              <w:rPr>
                <w:rFonts w:hint="eastAsia" w:ascii="仿宋" w:hAnsi="仿宋" w:eastAsia="仿宋" w:cs="仿宋"/>
                <w:color w:val="000000"/>
                <w:kern w:val="0"/>
                <w:sz w:val="20"/>
                <w:szCs w:val="20"/>
                <w:lang w:val="en-US" w:eastAsia="zh-CN"/>
              </w:rPr>
              <w:t>，</w:t>
            </w:r>
            <w:r>
              <w:rPr>
                <w:rFonts w:hint="default" w:ascii="仿宋" w:hAnsi="仿宋" w:eastAsia="仿宋" w:cs="仿宋"/>
                <w:color w:val="000000"/>
                <w:kern w:val="0"/>
                <w:sz w:val="20"/>
                <w:szCs w:val="20"/>
                <w:lang w:val="en-US" w:eastAsia="zh-CN"/>
              </w:rPr>
              <w:t>累计提交人大建议7份、集体提案16份、个人提案25份，其中2篇集体提案、1篇个人提案被市政协列为重点提案。</w:t>
            </w:r>
            <w:r>
              <w:rPr>
                <w:rFonts w:hint="eastAsia" w:ascii="仿宋" w:hAnsi="仿宋" w:eastAsia="仿宋" w:cs="仿宋"/>
                <w:color w:val="000000"/>
                <w:kern w:val="0"/>
                <w:sz w:val="20"/>
                <w:szCs w:val="20"/>
                <w:lang w:val="en-US" w:eastAsia="zh-CN"/>
              </w:rPr>
              <w:t>全年</w:t>
            </w:r>
            <w:r>
              <w:rPr>
                <w:rFonts w:hint="default" w:ascii="仿宋" w:hAnsi="仿宋" w:eastAsia="仿宋" w:cs="仿宋"/>
                <w:color w:val="000000"/>
                <w:kern w:val="0"/>
                <w:sz w:val="20"/>
                <w:szCs w:val="20"/>
                <w:lang w:val="en-US" w:eastAsia="zh-CN"/>
              </w:rPr>
              <w:t>报送社情民意</w:t>
            </w:r>
            <w:r>
              <w:rPr>
                <w:rFonts w:hint="eastAsia" w:ascii="仿宋" w:hAnsi="仿宋" w:eastAsia="仿宋" w:cs="仿宋"/>
                <w:color w:val="000000"/>
                <w:kern w:val="0"/>
                <w:sz w:val="20"/>
                <w:szCs w:val="20"/>
                <w:lang w:val="en-US" w:eastAsia="zh-CN"/>
              </w:rPr>
              <w:t>3</w:t>
            </w:r>
            <w:r>
              <w:rPr>
                <w:rFonts w:hint="default" w:ascii="仿宋" w:hAnsi="仿宋" w:eastAsia="仿宋" w:cs="仿宋"/>
                <w:color w:val="000000"/>
                <w:kern w:val="0"/>
                <w:sz w:val="20"/>
                <w:szCs w:val="20"/>
                <w:lang w:val="en-US" w:eastAsia="zh-CN"/>
              </w:rPr>
              <w:t>0余篇，</w:t>
            </w:r>
            <w:r>
              <w:rPr>
                <w:rFonts w:hint="eastAsia" w:ascii="仿宋" w:hAnsi="仿宋" w:eastAsia="仿宋" w:cs="仿宋"/>
                <w:color w:val="000000"/>
                <w:kern w:val="0"/>
                <w:sz w:val="20"/>
                <w:szCs w:val="20"/>
                <w:lang w:val="en-US" w:eastAsia="zh-CN"/>
              </w:rPr>
              <w:t>微建议50条</w:t>
            </w:r>
            <w:r>
              <w:rPr>
                <w:rFonts w:hint="default"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lang w:eastAsia="zh-CN"/>
              </w:rPr>
              <w:t>全年新发展盟员</w:t>
            </w:r>
            <w:r>
              <w:rPr>
                <w:rFonts w:hint="eastAsia" w:ascii="仿宋" w:hAnsi="仿宋" w:eastAsia="仿宋" w:cs="仿宋"/>
                <w:color w:val="000000"/>
                <w:kern w:val="0"/>
                <w:sz w:val="20"/>
                <w:szCs w:val="20"/>
                <w:lang w:val="en-US" w:eastAsia="zh-CN"/>
              </w:rPr>
              <w:t>22名，平均年龄40.36岁，主界别占比100%，其中博士3人，高级职称6人，民盟中央代表人士1人。</w:t>
            </w:r>
            <w:r>
              <w:rPr>
                <w:rFonts w:hint="default" w:ascii="仿宋" w:hAnsi="仿宋" w:eastAsia="仿宋" w:cs="仿宋"/>
                <w:color w:val="000000"/>
                <w:kern w:val="0"/>
                <w:sz w:val="20"/>
                <w:szCs w:val="20"/>
                <w:lang w:val="en-US" w:eastAsia="zh-CN"/>
              </w:rPr>
              <w:t>圆满完成11个基层组织换届，拆分1个支部、新成立2个支部</w:t>
            </w:r>
            <w:r>
              <w:rPr>
                <w:rFonts w:hint="eastAsia" w:ascii="仿宋" w:hAnsi="仿宋" w:eastAsia="仿宋" w:cs="仿宋"/>
                <w:color w:val="000000"/>
                <w:kern w:val="0"/>
                <w:sz w:val="20"/>
                <w:szCs w:val="20"/>
                <w:lang w:val="en-US" w:eastAsia="zh-CN"/>
              </w:rPr>
              <w:t>，支部总数达到13个</w:t>
            </w:r>
            <w:r>
              <w:rPr>
                <w:rFonts w:hint="default" w:ascii="仿宋" w:hAnsi="仿宋" w:eastAsia="仿宋" w:cs="仿宋"/>
                <w:color w:val="000000"/>
                <w:kern w:val="0"/>
                <w:sz w:val="20"/>
                <w:szCs w:val="20"/>
                <w:lang w:val="en-US" w:eastAsia="zh-CN"/>
              </w:rPr>
              <w:t>。选举产生支委会班子41名，其中女性20人、新进26人、新任主委9人；平均年龄37.7岁，含90后11人；博士3人、硕士10人、正副高15人。</w:t>
            </w:r>
            <w:r>
              <w:rPr>
                <w:rFonts w:hint="eastAsia" w:ascii="仿宋" w:hAnsi="仿宋" w:eastAsia="仿宋" w:cs="仿宋"/>
                <w:color w:val="000000"/>
                <w:kern w:val="0"/>
                <w:sz w:val="20"/>
                <w:szCs w:val="20"/>
                <w:lang w:val="en-US" w:eastAsia="zh-CN"/>
              </w:rPr>
              <w:t>开展了主委接待日、走访盟员所在单位的活动，先后21次</w:t>
            </w:r>
            <w:r>
              <w:rPr>
                <w:rFonts w:hint="default" w:ascii="仿宋" w:hAnsi="仿宋" w:eastAsia="仿宋" w:cs="仿宋"/>
                <w:color w:val="000000"/>
                <w:kern w:val="0"/>
                <w:sz w:val="20"/>
                <w:szCs w:val="20"/>
                <w:lang w:val="en-US" w:eastAsia="zh-CN"/>
              </w:rPr>
              <w:t>走访</w:t>
            </w:r>
            <w:r>
              <w:rPr>
                <w:rFonts w:hint="eastAsia" w:ascii="仿宋" w:hAnsi="仿宋" w:eastAsia="仿宋" w:cs="仿宋"/>
                <w:color w:val="000000"/>
                <w:kern w:val="0"/>
                <w:sz w:val="20"/>
                <w:szCs w:val="20"/>
                <w:lang w:val="en-US" w:eastAsia="zh-CN"/>
              </w:rPr>
              <w:t>调研基层组织、盟员企业、盟员单位。</w:t>
            </w:r>
            <w:r>
              <w:rPr>
                <w:rFonts w:hint="eastAsia" w:ascii="仿宋" w:hAnsi="仿宋" w:eastAsia="仿宋" w:cs="仿宋"/>
                <w:color w:val="000000"/>
                <w:kern w:val="0"/>
                <w:sz w:val="20"/>
                <w:szCs w:val="20"/>
                <w:lang w:eastAsia="zh-CN"/>
              </w:rPr>
              <w:t>参与</w:t>
            </w:r>
            <w:r>
              <w:rPr>
                <w:rFonts w:hint="default" w:ascii="仿宋" w:hAnsi="仿宋" w:eastAsia="仿宋" w:cs="仿宋"/>
                <w:color w:val="000000"/>
                <w:kern w:val="0"/>
                <w:sz w:val="20"/>
                <w:szCs w:val="20"/>
              </w:rPr>
              <w:t>“烛光行动·守护心灵”公益捐赠活动，为全市13个县市区建成钢琴音乐、美术教室</w:t>
            </w:r>
            <w:r>
              <w:rPr>
                <w:rFonts w:hint="eastAsia" w:ascii="仿宋" w:hAnsi="仿宋" w:eastAsia="仿宋" w:cs="仿宋"/>
                <w:color w:val="000000"/>
                <w:kern w:val="0"/>
                <w:sz w:val="20"/>
                <w:szCs w:val="20"/>
                <w:lang w:val="en-US" w:eastAsia="zh-CN"/>
              </w:rPr>
              <w:t>200</w:t>
            </w:r>
            <w:r>
              <w:rPr>
                <w:rFonts w:hint="default" w:ascii="仿宋" w:hAnsi="仿宋" w:eastAsia="仿宋" w:cs="仿宋"/>
                <w:color w:val="000000"/>
                <w:kern w:val="0"/>
                <w:sz w:val="20"/>
                <w:szCs w:val="20"/>
              </w:rPr>
              <w:t>个</w:t>
            </w:r>
            <w:r>
              <w:rPr>
                <w:rFonts w:hint="eastAsia" w:ascii="仿宋" w:hAnsi="仿宋" w:eastAsia="仿宋" w:cs="仿宋"/>
                <w:color w:val="000000"/>
                <w:kern w:val="0"/>
                <w:sz w:val="20"/>
                <w:szCs w:val="20"/>
                <w:lang w:val="en-US" w:eastAsia="zh-CN"/>
              </w:rPr>
              <w:t>。积极参加或组织公益活动41场，参加活动盟员260余人次，服务群众达6万人次。</w:t>
            </w:r>
            <w:r>
              <w:rPr>
                <w:rFonts w:hint="eastAsia" w:ascii="仿宋" w:hAnsi="仿宋" w:eastAsia="仿宋" w:cs="仿宋"/>
                <w:color w:val="000000"/>
                <w:kern w:val="0"/>
                <w:sz w:val="20"/>
                <w:szCs w:val="20"/>
                <w:lang w:eastAsia="zh-CN"/>
              </w:rPr>
              <w:t>持续监督沅水流域</w:t>
            </w:r>
            <w:r>
              <w:rPr>
                <w:rFonts w:hint="default" w:ascii="仿宋" w:hAnsi="仿宋" w:eastAsia="仿宋" w:cs="仿宋"/>
                <w:color w:val="000000"/>
                <w:kern w:val="0"/>
                <w:sz w:val="20"/>
                <w:szCs w:val="20"/>
              </w:rPr>
              <w:t>（中方段）</w:t>
            </w:r>
            <w:r>
              <w:rPr>
                <w:rFonts w:hint="eastAsia" w:ascii="仿宋" w:hAnsi="仿宋" w:eastAsia="仿宋" w:cs="仿宋"/>
                <w:color w:val="000000"/>
                <w:kern w:val="0"/>
                <w:sz w:val="20"/>
                <w:szCs w:val="20"/>
                <w:lang w:eastAsia="zh-CN"/>
              </w:rPr>
              <w:t>生态环境改善，</w:t>
            </w:r>
            <w:r>
              <w:rPr>
                <w:rFonts w:hint="default" w:ascii="仿宋" w:hAnsi="仿宋" w:eastAsia="仿宋" w:cs="仿宋"/>
                <w:color w:val="000000"/>
                <w:kern w:val="0"/>
                <w:sz w:val="20"/>
                <w:szCs w:val="20"/>
              </w:rPr>
              <w:t>制定13项重点监督清单，采用“专项视察+随机抽查+无人机巡查+水质监测”模式，</w:t>
            </w:r>
            <w:r>
              <w:rPr>
                <w:rFonts w:hint="default" w:ascii="仿宋" w:hAnsi="仿宋" w:eastAsia="仿宋" w:cs="仿宋"/>
                <w:color w:val="000000"/>
                <w:kern w:val="0"/>
                <w:sz w:val="20"/>
                <w:szCs w:val="20"/>
                <w:lang w:val="en-US" w:eastAsia="zh-CN"/>
              </w:rPr>
              <w:t>采取“四不两直”方式，</w:t>
            </w:r>
            <w:r>
              <w:rPr>
                <w:rFonts w:hint="default" w:ascii="仿宋" w:hAnsi="仿宋" w:eastAsia="仿宋" w:cs="仿宋"/>
                <w:color w:val="000000"/>
                <w:kern w:val="0"/>
                <w:sz w:val="20"/>
                <w:szCs w:val="20"/>
              </w:rPr>
              <w:t>走访30余个点位，重点监督污染源管控、生态修复等</w:t>
            </w:r>
            <w:r>
              <w:rPr>
                <w:rFonts w:hint="default" w:ascii="仿宋" w:hAnsi="仿宋" w:eastAsia="仿宋" w:cs="仿宋"/>
                <w:color w:val="000000"/>
                <w:kern w:val="0"/>
                <w:sz w:val="20"/>
                <w:szCs w:val="20"/>
                <w:lang w:eastAsia="zh-CN"/>
              </w:rPr>
              <w:t>，</w:t>
            </w:r>
            <w:r>
              <w:rPr>
                <w:rFonts w:hint="default" w:ascii="仿宋" w:hAnsi="仿宋" w:eastAsia="仿宋" w:cs="仿宋"/>
                <w:color w:val="000000"/>
                <w:kern w:val="0"/>
                <w:sz w:val="20"/>
                <w:szCs w:val="20"/>
              </w:rPr>
              <w:t>形成监督意见书，建立“三本台账”，推动12项整改任务落地。</w:t>
            </w:r>
          </w:p>
        </w:tc>
      </w:tr>
      <w:tr w14:paraId="2991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05" w:type="dxa"/>
            <w:vMerge w:val="restart"/>
            <w:vAlign w:val="center"/>
          </w:tcPr>
          <w:p w14:paraId="3DD75497">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BEB7945">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F18924F">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5A9C188">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9" w:type="dxa"/>
            <w:vAlign w:val="center"/>
          </w:tcPr>
          <w:p w14:paraId="771B0A2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46" w:type="dxa"/>
            <w:vAlign w:val="center"/>
          </w:tcPr>
          <w:p w14:paraId="342966A3">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65" w:type="dxa"/>
            <w:gridSpan w:val="2"/>
            <w:vAlign w:val="center"/>
          </w:tcPr>
          <w:p w14:paraId="2A92BB8F">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52" w:type="dxa"/>
            <w:vAlign w:val="center"/>
          </w:tcPr>
          <w:p w14:paraId="122099D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DE82B5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98" w:type="dxa"/>
            <w:vAlign w:val="center"/>
          </w:tcPr>
          <w:p w14:paraId="3D598362">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E3A5F4D">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87" w:type="dxa"/>
            <w:vAlign w:val="center"/>
          </w:tcPr>
          <w:p w14:paraId="1CE2003E">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916" w:type="dxa"/>
            <w:vAlign w:val="center"/>
          </w:tcPr>
          <w:p w14:paraId="3BC1577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04" w:type="dxa"/>
          </w:tcPr>
          <w:p w14:paraId="5A61031E">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3B03C3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DDCEF0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C23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1105" w:type="dxa"/>
            <w:vMerge w:val="continue"/>
            <w:vAlign w:val="center"/>
          </w:tcPr>
          <w:p w14:paraId="59CFAB21">
            <w:pPr>
              <w:widowControl/>
              <w:spacing w:line="240" w:lineRule="exact"/>
              <w:jc w:val="center"/>
              <w:rPr>
                <w:rFonts w:ascii="仿宋" w:hAnsi="仿宋" w:eastAsia="仿宋" w:cs="仿宋"/>
                <w:color w:val="000000"/>
                <w:kern w:val="0"/>
                <w:sz w:val="20"/>
                <w:szCs w:val="20"/>
              </w:rPr>
            </w:pPr>
          </w:p>
        </w:tc>
        <w:tc>
          <w:tcPr>
            <w:tcW w:w="1089" w:type="dxa"/>
            <w:vMerge w:val="restart"/>
            <w:vAlign w:val="center"/>
          </w:tcPr>
          <w:p w14:paraId="75BFA19E">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46" w:type="dxa"/>
            <w:vAlign w:val="center"/>
          </w:tcPr>
          <w:p w14:paraId="47BEBAF7">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065" w:type="dxa"/>
            <w:gridSpan w:val="2"/>
            <w:vAlign w:val="center"/>
          </w:tcPr>
          <w:p w14:paraId="7E216D7A">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52" w:type="dxa"/>
            <w:vAlign w:val="center"/>
          </w:tcPr>
          <w:p w14:paraId="1DABACBB">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≤109.79</w:t>
            </w:r>
          </w:p>
        </w:tc>
        <w:tc>
          <w:tcPr>
            <w:tcW w:w="1098" w:type="dxa"/>
            <w:vAlign w:val="center"/>
          </w:tcPr>
          <w:p w14:paraId="712F6AF2">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120.99</w:t>
            </w:r>
          </w:p>
        </w:tc>
        <w:tc>
          <w:tcPr>
            <w:tcW w:w="687" w:type="dxa"/>
            <w:vAlign w:val="center"/>
          </w:tcPr>
          <w:p w14:paraId="6C9D83B7">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916" w:type="dxa"/>
            <w:vAlign w:val="center"/>
          </w:tcPr>
          <w:p w14:paraId="742CDCD3">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w:t>
            </w:r>
          </w:p>
        </w:tc>
        <w:tc>
          <w:tcPr>
            <w:tcW w:w="1104" w:type="dxa"/>
            <w:vAlign w:val="center"/>
          </w:tcPr>
          <w:p w14:paraId="397EB23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25年度人员变动，导致整体支出增加</w:t>
            </w:r>
          </w:p>
        </w:tc>
      </w:tr>
      <w:tr w14:paraId="3441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64B40C87">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1F8297EB">
            <w:pPr>
              <w:widowControl/>
              <w:spacing w:line="240" w:lineRule="exact"/>
              <w:jc w:val="center"/>
              <w:rPr>
                <w:rFonts w:ascii="仿宋" w:hAnsi="仿宋" w:eastAsia="仿宋" w:cs="仿宋"/>
                <w:color w:val="000000"/>
                <w:kern w:val="0"/>
                <w:sz w:val="20"/>
                <w:szCs w:val="20"/>
              </w:rPr>
            </w:pPr>
          </w:p>
        </w:tc>
        <w:tc>
          <w:tcPr>
            <w:tcW w:w="1046" w:type="dxa"/>
            <w:vAlign w:val="center"/>
          </w:tcPr>
          <w:p w14:paraId="744DCCC1">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065" w:type="dxa"/>
            <w:gridSpan w:val="2"/>
            <w:vAlign w:val="center"/>
          </w:tcPr>
          <w:p w14:paraId="0597486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52" w:type="dxa"/>
            <w:vAlign w:val="center"/>
          </w:tcPr>
          <w:p w14:paraId="084BD2B2">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098" w:type="dxa"/>
            <w:vAlign w:val="center"/>
          </w:tcPr>
          <w:p w14:paraId="18C26C86">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87" w:type="dxa"/>
            <w:vAlign w:val="center"/>
          </w:tcPr>
          <w:p w14:paraId="6E18CC73">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916" w:type="dxa"/>
            <w:vAlign w:val="center"/>
          </w:tcPr>
          <w:p w14:paraId="504E04EF">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04" w:type="dxa"/>
            <w:vAlign w:val="center"/>
          </w:tcPr>
          <w:p w14:paraId="21E7810C">
            <w:pPr>
              <w:widowControl/>
              <w:spacing w:line="240" w:lineRule="exact"/>
              <w:jc w:val="left"/>
              <w:rPr>
                <w:rFonts w:ascii="仿宋" w:hAnsi="仿宋" w:eastAsia="仿宋" w:cs="仿宋"/>
                <w:color w:val="000000"/>
                <w:kern w:val="0"/>
                <w:sz w:val="20"/>
                <w:szCs w:val="20"/>
              </w:rPr>
            </w:pPr>
          </w:p>
        </w:tc>
      </w:tr>
      <w:tr w14:paraId="258C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105" w:type="dxa"/>
            <w:vMerge w:val="continue"/>
            <w:vAlign w:val="center"/>
          </w:tcPr>
          <w:p w14:paraId="1BE8CA7B">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06E2B505">
            <w:pPr>
              <w:widowControl/>
              <w:spacing w:line="240" w:lineRule="exact"/>
              <w:jc w:val="center"/>
              <w:rPr>
                <w:rFonts w:ascii="仿宋" w:hAnsi="仿宋" w:eastAsia="仿宋" w:cs="仿宋"/>
                <w:color w:val="000000"/>
                <w:kern w:val="0"/>
                <w:sz w:val="20"/>
                <w:szCs w:val="20"/>
              </w:rPr>
            </w:pPr>
          </w:p>
        </w:tc>
        <w:tc>
          <w:tcPr>
            <w:tcW w:w="1046" w:type="dxa"/>
            <w:vAlign w:val="center"/>
          </w:tcPr>
          <w:p w14:paraId="116177B8">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生态成本指标</w:t>
            </w:r>
          </w:p>
        </w:tc>
        <w:tc>
          <w:tcPr>
            <w:tcW w:w="1065" w:type="dxa"/>
            <w:gridSpan w:val="2"/>
            <w:vAlign w:val="center"/>
          </w:tcPr>
          <w:p w14:paraId="55E3DE5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52" w:type="dxa"/>
            <w:shd w:val="clear" w:color="auto" w:fill="auto"/>
            <w:vAlign w:val="center"/>
          </w:tcPr>
          <w:p w14:paraId="037A9DB7">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1098" w:type="dxa"/>
            <w:shd w:val="clear" w:color="auto" w:fill="auto"/>
            <w:vAlign w:val="center"/>
          </w:tcPr>
          <w:p w14:paraId="511477DA">
            <w:pPr>
              <w:widowControl/>
              <w:spacing w:line="240" w:lineRule="exact"/>
              <w:jc w:val="left"/>
              <w:rPr>
                <w:rFonts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687" w:type="dxa"/>
            <w:shd w:val="clear" w:color="auto" w:fill="auto"/>
            <w:vAlign w:val="center"/>
          </w:tcPr>
          <w:p w14:paraId="68F94A63">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916" w:type="dxa"/>
            <w:shd w:val="clear" w:color="auto" w:fill="auto"/>
            <w:vAlign w:val="center"/>
          </w:tcPr>
          <w:p w14:paraId="3B6277F4">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04" w:type="dxa"/>
            <w:vAlign w:val="center"/>
          </w:tcPr>
          <w:p w14:paraId="22072997">
            <w:pPr>
              <w:widowControl/>
              <w:spacing w:line="240" w:lineRule="exact"/>
              <w:jc w:val="left"/>
              <w:rPr>
                <w:rFonts w:ascii="仿宋" w:hAnsi="仿宋" w:eastAsia="仿宋" w:cs="仿宋"/>
                <w:color w:val="000000"/>
                <w:kern w:val="0"/>
                <w:sz w:val="20"/>
                <w:szCs w:val="20"/>
              </w:rPr>
            </w:pPr>
          </w:p>
        </w:tc>
      </w:tr>
      <w:tr w14:paraId="1BD7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52FB8D1A">
            <w:pPr>
              <w:widowControl/>
              <w:spacing w:line="240" w:lineRule="exact"/>
              <w:jc w:val="center"/>
              <w:rPr>
                <w:rFonts w:ascii="仿宋" w:hAnsi="仿宋" w:eastAsia="仿宋" w:cs="仿宋"/>
                <w:color w:val="000000"/>
                <w:kern w:val="0"/>
                <w:sz w:val="20"/>
                <w:szCs w:val="20"/>
              </w:rPr>
            </w:pPr>
          </w:p>
        </w:tc>
        <w:tc>
          <w:tcPr>
            <w:tcW w:w="1089" w:type="dxa"/>
            <w:vMerge w:val="restart"/>
            <w:vAlign w:val="center"/>
          </w:tcPr>
          <w:p w14:paraId="6A489C2B">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1BFF6CE">
            <w:pPr>
              <w:widowControl/>
              <w:spacing w:line="240" w:lineRule="exact"/>
              <w:jc w:val="center"/>
              <w:rPr>
                <w:rFonts w:ascii="仿宋" w:hAnsi="仿宋" w:eastAsia="仿宋" w:cs="仿宋"/>
                <w:color w:val="000000"/>
                <w:kern w:val="0"/>
                <w:sz w:val="20"/>
                <w:szCs w:val="20"/>
              </w:rPr>
            </w:pPr>
          </w:p>
        </w:tc>
        <w:tc>
          <w:tcPr>
            <w:tcW w:w="1046" w:type="dxa"/>
            <w:vMerge w:val="restart"/>
            <w:vAlign w:val="center"/>
          </w:tcPr>
          <w:p w14:paraId="52E1EDF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36041540">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5" w:type="dxa"/>
            <w:gridSpan w:val="2"/>
            <w:vAlign w:val="center"/>
          </w:tcPr>
          <w:p w14:paraId="02E0E696">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新发展盟员</w:t>
            </w:r>
          </w:p>
        </w:tc>
        <w:tc>
          <w:tcPr>
            <w:tcW w:w="1152" w:type="dxa"/>
            <w:vAlign w:val="center"/>
          </w:tcPr>
          <w:p w14:paraId="3C455095">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98" w:type="dxa"/>
            <w:vAlign w:val="center"/>
          </w:tcPr>
          <w:p w14:paraId="7EB47138">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22</w:t>
            </w:r>
          </w:p>
        </w:tc>
        <w:tc>
          <w:tcPr>
            <w:tcW w:w="687" w:type="dxa"/>
            <w:shd w:val="clear" w:color="auto" w:fill="auto"/>
            <w:vAlign w:val="center"/>
          </w:tcPr>
          <w:p w14:paraId="1A978F28">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5EC90D80">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1104" w:type="dxa"/>
            <w:vAlign w:val="center"/>
          </w:tcPr>
          <w:p w14:paraId="69F41621">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D4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05" w:type="dxa"/>
            <w:vMerge w:val="continue"/>
            <w:vAlign w:val="center"/>
          </w:tcPr>
          <w:p w14:paraId="361DE3E9">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209214CF">
            <w:pPr>
              <w:widowControl/>
              <w:spacing w:line="240" w:lineRule="exact"/>
              <w:jc w:val="center"/>
              <w:rPr>
                <w:rFonts w:ascii="仿宋" w:hAnsi="仿宋" w:eastAsia="仿宋" w:cs="仿宋"/>
                <w:color w:val="000000"/>
                <w:kern w:val="0"/>
                <w:sz w:val="20"/>
                <w:szCs w:val="20"/>
              </w:rPr>
            </w:pPr>
          </w:p>
        </w:tc>
        <w:tc>
          <w:tcPr>
            <w:tcW w:w="1046" w:type="dxa"/>
            <w:vMerge w:val="continue"/>
            <w:vAlign w:val="center"/>
          </w:tcPr>
          <w:p w14:paraId="00296CCC">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0D4B8783">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向民盟省委会报送宣传信息稿件</w:t>
            </w:r>
          </w:p>
        </w:tc>
        <w:tc>
          <w:tcPr>
            <w:tcW w:w="1152" w:type="dxa"/>
            <w:vAlign w:val="center"/>
          </w:tcPr>
          <w:p w14:paraId="1BEA8EA6">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30</w:t>
            </w:r>
          </w:p>
        </w:tc>
        <w:tc>
          <w:tcPr>
            <w:tcW w:w="1098" w:type="dxa"/>
            <w:vAlign w:val="center"/>
          </w:tcPr>
          <w:p w14:paraId="06A06B38">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55</w:t>
            </w:r>
          </w:p>
        </w:tc>
        <w:tc>
          <w:tcPr>
            <w:tcW w:w="687" w:type="dxa"/>
            <w:shd w:val="clear" w:color="auto" w:fill="auto"/>
            <w:vAlign w:val="center"/>
          </w:tcPr>
          <w:p w14:paraId="5B299E28">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557DF5D4">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47733811">
            <w:pPr>
              <w:widowControl/>
              <w:spacing w:line="240" w:lineRule="exact"/>
              <w:jc w:val="left"/>
              <w:rPr>
                <w:rFonts w:hint="eastAsia" w:ascii="仿宋" w:hAnsi="仿宋" w:eastAsia="仿宋" w:cs="仿宋"/>
                <w:color w:val="000000"/>
                <w:kern w:val="0"/>
                <w:sz w:val="20"/>
                <w:szCs w:val="20"/>
              </w:rPr>
            </w:pPr>
          </w:p>
        </w:tc>
      </w:tr>
      <w:tr w14:paraId="781F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27501163">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6DC7609F">
            <w:pPr>
              <w:widowControl/>
              <w:spacing w:line="240" w:lineRule="exact"/>
              <w:jc w:val="center"/>
              <w:rPr>
                <w:rFonts w:ascii="仿宋" w:hAnsi="仿宋" w:eastAsia="仿宋" w:cs="仿宋"/>
                <w:color w:val="000000"/>
                <w:kern w:val="0"/>
                <w:sz w:val="20"/>
                <w:szCs w:val="20"/>
              </w:rPr>
            </w:pPr>
          </w:p>
        </w:tc>
        <w:tc>
          <w:tcPr>
            <w:tcW w:w="1046" w:type="dxa"/>
            <w:vMerge w:val="continue"/>
            <w:vAlign w:val="center"/>
          </w:tcPr>
          <w:p w14:paraId="73ADC66C">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4446088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微信公众号发布宣传信息、学习资料</w:t>
            </w:r>
          </w:p>
        </w:tc>
        <w:tc>
          <w:tcPr>
            <w:tcW w:w="1152" w:type="dxa"/>
            <w:vAlign w:val="center"/>
          </w:tcPr>
          <w:p w14:paraId="3062AFB8">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30</w:t>
            </w:r>
          </w:p>
        </w:tc>
        <w:tc>
          <w:tcPr>
            <w:tcW w:w="1098" w:type="dxa"/>
            <w:vAlign w:val="center"/>
          </w:tcPr>
          <w:p w14:paraId="4D99041B">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55</w:t>
            </w:r>
          </w:p>
        </w:tc>
        <w:tc>
          <w:tcPr>
            <w:tcW w:w="687" w:type="dxa"/>
            <w:shd w:val="clear" w:color="auto" w:fill="auto"/>
            <w:vAlign w:val="center"/>
          </w:tcPr>
          <w:p w14:paraId="32391B6C">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2FF6085D">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18553AAA">
            <w:pPr>
              <w:widowControl/>
              <w:spacing w:line="240" w:lineRule="exact"/>
              <w:jc w:val="left"/>
              <w:rPr>
                <w:rFonts w:hint="eastAsia" w:ascii="仿宋" w:hAnsi="仿宋" w:eastAsia="仿宋" w:cs="仿宋"/>
                <w:color w:val="000000"/>
                <w:kern w:val="0"/>
                <w:sz w:val="20"/>
                <w:szCs w:val="20"/>
              </w:rPr>
            </w:pPr>
          </w:p>
        </w:tc>
      </w:tr>
      <w:tr w14:paraId="7E26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05" w:type="dxa"/>
            <w:vMerge w:val="continue"/>
            <w:vAlign w:val="center"/>
          </w:tcPr>
          <w:p w14:paraId="0488BB21">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60D6F985">
            <w:pPr>
              <w:widowControl/>
              <w:spacing w:line="240" w:lineRule="exact"/>
              <w:jc w:val="center"/>
              <w:rPr>
                <w:rFonts w:ascii="仿宋" w:hAnsi="仿宋" w:eastAsia="仿宋" w:cs="仿宋"/>
                <w:color w:val="000000"/>
                <w:kern w:val="0"/>
                <w:sz w:val="20"/>
                <w:szCs w:val="20"/>
              </w:rPr>
            </w:pPr>
          </w:p>
        </w:tc>
        <w:tc>
          <w:tcPr>
            <w:tcW w:w="1046" w:type="dxa"/>
            <w:vMerge w:val="continue"/>
            <w:vAlign w:val="center"/>
          </w:tcPr>
          <w:p w14:paraId="48919479">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54FA6B81">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提交反映社情民意信息</w:t>
            </w:r>
          </w:p>
        </w:tc>
        <w:tc>
          <w:tcPr>
            <w:tcW w:w="1152" w:type="dxa"/>
            <w:vAlign w:val="center"/>
          </w:tcPr>
          <w:p w14:paraId="622E8AEB">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10</w:t>
            </w:r>
          </w:p>
        </w:tc>
        <w:tc>
          <w:tcPr>
            <w:tcW w:w="1098" w:type="dxa"/>
            <w:vAlign w:val="center"/>
          </w:tcPr>
          <w:p w14:paraId="05986D9D">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w:t>
            </w:r>
          </w:p>
        </w:tc>
        <w:tc>
          <w:tcPr>
            <w:tcW w:w="687" w:type="dxa"/>
            <w:shd w:val="clear" w:color="auto" w:fill="auto"/>
            <w:vAlign w:val="center"/>
          </w:tcPr>
          <w:p w14:paraId="18B95DF4">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14896A1A">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4DBF7303">
            <w:pPr>
              <w:widowControl/>
              <w:spacing w:line="240" w:lineRule="exact"/>
              <w:jc w:val="left"/>
              <w:rPr>
                <w:rFonts w:hint="eastAsia" w:ascii="仿宋" w:hAnsi="仿宋" w:eastAsia="仿宋" w:cs="仿宋"/>
                <w:color w:val="000000"/>
                <w:kern w:val="0"/>
                <w:sz w:val="20"/>
                <w:szCs w:val="20"/>
              </w:rPr>
            </w:pPr>
          </w:p>
        </w:tc>
      </w:tr>
      <w:tr w14:paraId="2497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5" w:type="dxa"/>
            <w:vMerge w:val="continue"/>
            <w:vAlign w:val="center"/>
          </w:tcPr>
          <w:p w14:paraId="1CF3F4AE">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12919AAC">
            <w:pPr>
              <w:widowControl/>
              <w:spacing w:line="240" w:lineRule="exact"/>
              <w:jc w:val="left"/>
              <w:rPr>
                <w:rFonts w:ascii="仿宋" w:hAnsi="仿宋" w:eastAsia="仿宋" w:cs="仿宋"/>
                <w:color w:val="000000"/>
                <w:kern w:val="0"/>
                <w:sz w:val="20"/>
                <w:szCs w:val="20"/>
              </w:rPr>
            </w:pPr>
          </w:p>
        </w:tc>
        <w:tc>
          <w:tcPr>
            <w:tcW w:w="1046" w:type="dxa"/>
            <w:vMerge w:val="continue"/>
            <w:vAlign w:val="center"/>
          </w:tcPr>
          <w:p w14:paraId="5CF9507C">
            <w:pPr>
              <w:widowControl/>
              <w:spacing w:line="240" w:lineRule="exact"/>
              <w:jc w:val="center"/>
              <w:rPr>
                <w:rFonts w:ascii="仿宋" w:hAnsi="仿宋" w:eastAsia="仿宋" w:cs="仿宋"/>
                <w:color w:val="000000"/>
                <w:kern w:val="0"/>
                <w:sz w:val="20"/>
                <w:szCs w:val="20"/>
              </w:rPr>
            </w:pPr>
          </w:p>
        </w:tc>
        <w:tc>
          <w:tcPr>
            <w:tcW w:w="1065" w:type="dxa"/>
            <w:gridSpan w:val="2"/>
            <w:vAlign w:val="center"/>
          </w:tcPr>
          <w:p w14:paraId="28F6D85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组织开展科普教育及培训</w:t>
            </w:r>
          </w:p>
        </w:tc>
        <w:tc>
          <w:tcPr>
            <w:tcW w:w="1152" w:type="dxa"/>
            <w:vAlign w:val="center"/>
          </w:tcPr>
          <w:p w14:paraId="5C262FE0">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1098" w:type="dxa"/>
            <w:vAlign w:val="center"/>
          </w:tcPr>
          <w:p w14:paraId="21F4873A">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687" w:type="dxa"/>
            <w:shd w:val="clear" w:color="auto" w:fill="auto"/>
            <w:vAlign w:val="center"/>
          </w:tcPr>
          <w:p w14:paraId="4CB5BC81">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916" w:type="dxa"/>
            <w:shd w:val="clear" w:color="auto" w:fill="auto"/>
            <w:vAlign w:val="center"/>
          </w:tcPr>
          <w:p w14:paraId="51E074B2">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04" w:type="dxa"/>
            <w:vAlign w:val="center"/>
          </w:tcPr>
          <w:p w14:paraId="22C5E116">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60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105" w:type="dxa"/>
            <w:vMerge w:val="continue"/>
            <w:vAlign w:val="center"/>
          </w:tcPr>
          <w:p w14:paraId="41EA6E60">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2022DB24">
            <w:pPr>
              <w:widowControl/>
              <w:spacing w:line="240" w:lineRule="exact"/>
              <w:jc w:val="left"/>
              <w:rPr>
                <w:rFonts w:ascii="仿宋" w:hAnsi="仿宋" w:eastAsia="仿宋" w:cs="仿宋"/>
                <w:color w:val="000000"/>
                <w:kern w:val="0"/>
                <w:sz w:val="20"/>
                <w:szCs w:val="20"/>
              </w:rPr>
            </w:pPr>
          </w:p>
        </w:tc>
        <w:tc>
          <w:tcPr>
            <w:tcW w:w="1046" w:type="dxa"/>
            <w:vMerge w:val="restart"/>
            <w:vAlign w:val="center"/>
          </w:tcPr>
          <w:p w14:paraId="3B3E4B1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21BCAFD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5" w:type="dxa"/>
            <w:gridSpan w:val="2"/>
            <w:vAlign w:val="center"/>
          </w:tcPr>
          <w:p w14:paraId="49CB319E">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上报市政协提案立案率</w:t>
            </w:r>
          </w:p>
        </w:tc>
        <w:tc>
          <w:tcPr>
            <w:tcW w:w="1152" w:type="dxa"/>
            <w:vAlign w:val="center"/>
          </w:tcPr>
          <w:p w14:paraId="55453A73">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098" w:type="dxa"/>
            <w:vAlign w:val="center"/>
          </w:tcPr>
          <w:p w14:paraId="2A105945">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687" w:type="dxa"/>
            <w:vAlign w:val="center"/>
          </w:tcPr>
          <w:p w14:paraId="55A6DEB5">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916" w:type="dxa"/>
            <w:shd w:val="clear" w:color="auto" w:fill="auto"/>
            <w:vAlign w:val="center"/>
          </w:tcPr>
          <w:p w14:paraId="5C4930EF">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1104" w:type="dxa"/>
            <w:vAlign w:val="center"/>
          </w:tcPr>
          <w:p w14:paraId="6E2CF19E">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C60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5" w:type="dxa"/>
            <w:vMerge w:val="continue"/>
            <w:vAlign w:val="center"/>
          </w:tcPr>
          <w:p w14:paraId="6DBBEDCF">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15FEBC99">
            <w:pPr>
              <w:widowControl/>
              <w:spacing w:line="240" w:lineRule="exact"/>
              <w:jc w:val="left"/>
              <w:rPr>
                <w:rFonts w:ascii="仿宋" w:hAnsi="仿宋" w:eastAsia="仿宋" w:cs="仿宋"/>
                <w:color w:val="000000"/>
                <w:kern w:val="0"/>
                <w:sz w:val="20"/>
                <w:szCs w:val="20"/>
              </w:rPr>
            </w:pPr>
          </w:p>
        </w:tc>
        <w:tc>
          <w:tcPr>
            <w:tcW w:w="1046" w:type="dxa"/>
            <w:vMerge w:val="continue"/>
            <w:vAlign w:val="center"/>
          </w:tcPr>
          <w:p w14:paraId="774811D2">
            <w:pPr>
              <w:widowControl/>
              <w:spacing w:line="240" w:lineRule="exact"/>
              <w:jc w:val="center"/>
              <w:rPr>
                <w:rFonts w:hint="eastAsia" w:ascii="仿宋" w:hAnsi="仿宋" w:eastAsia="仿宋" w:cs="仿宋"/>
                <w:color w:val="000000"/>
                <w:kern w:val="0"/>
                <w:sz w:val="20"/>
                <w:szCs w:val="20"/>
              </w:rPr>
            </w:pPr>
          </w:p>
        </w:tc>
        <w:tc>
          <w:tcPr>
            <w:tcW w:w="1065" w:type="dxa"/>
            <w:gridSpan w:val="2"/>
            <w:vAlign w:val="center"/>
          </w:tcPr>
          <w:p w14:paraId="2855E9F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工作任务质量达标率</w:t>
            </w:r>
          </w:p>
        </w:tc>
        <w:tc>
          <w:tcPr>
            <w:tcW w:w="1152" w:type="dxa"/>
            <w:vAlign w:val="center"/>
          </w:tcPr>
          <w:p w14:paraId="55B0B1D7">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98" w:type="dxa"/>
            <w:vAlign w:val="center"/>
          </w:tcPr>
          <w:p w14:paraId="781D920B">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7" w:type="dxa"/>
            <w:vAlign w:val="center"/>
          </w:tcPr>
          <w:p w14:paraId="56FB2387">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916" w:type="dxa"/>
            <w:shd w:val="clear" w:color="auto" w:fill="auto"/>
            <w:vAlign w:val="center"/>
          </w:tcPr>
          <w:p w14:paraId="4B4BB1B8">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3</w:t>
            </w:r>
          </w:p>
        </w:tc>
        <w:tc>
          <w:tcPr>
            <w:tcW w:w="1104" w:type="dxa"/>
            <w:vAlign w:val="center"/>
          </w:tcPr>
          <w:p w14:paraId="001D2C4B">
            <w:pPr>
              <w:widowControl/>
              <w:spacing w:line="240" w:lineRule="exact"/>
              <w:jc w:val="left"/>
              <w:rPr>
                <w:rFonts w:hint="eastAsia" w:ascii="仿宋" w:hAnsi="仿宋" w:eastAsia="仿宋" w:cs="仿宋"/>
                <w:color w:val="000000"/>
                <w:kern w:val="0"/>
                <w:sz w:val="20"/>
                <w:szCs w:val="20"/>
              </w:rPr>
            </w:pPr>
          </w:p>
        </w:tc>
      </w:tr>
      <w:tr w14:paraId="438D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 w:hRule="atLeast"/>
          <w:jc w:val="center"/>
        </w:trPr>
        <w:tc>
          <w:tcPr>
            <w:tcW w:w="1105" w:type="dxa"/>
            <w:vMerge w:val="continue"/>
            <w:vAlign w:val="center"/>
          </w:tcPr>
          <w:p w14:paraId="1D87683B">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6716419E">
            <w:pPr>
              <w:widowControl/>
              <w:spacing w:line="240" w:lineRule="exact"/>
              <w:jc w:val="left"/>
              <w:rPr>
                <w:rFonts w:ascii="仿宋" w:hAnsi="仿宋" w:eastAsia="仿宋" w:cs="仿宋"/>
                <w:color w:val="000000"/>
                <w:kern w:val="0"/>
                <w:sz w:val="20"/>
                <w:szCs w:val="20"/>
              </w:rPr>
            </w:pPr>
          </w:p>
        </w:tc>
        <w:tc>
          <w:tcPr>
            <w:tcW w:w="1046" w:type="dxa"/>
            <w:vMerge w:val="continue"/>
            <w:vAlign w:val="center"/>
          </w:tcPr>
          <w:p w14:paraId="7F067B08">
            <w:pPr>
              <w:widowControl/>
              <w:spacing w:line="240" w:lineRule="exact"/>
              <w:jc w:val="center"/>
              <w:rPr>
                <w:rFonts w:ascii="仿宋" w:hAnsi="仿宋" w:eastAsia="仿宋" w:cs="仿宋"/>
                <w:color w:val="000000"/>
                <w:kern w:val="0"/>
                <w:sz w:val="20"/>
                <w:szCs w:val="20"/>
              </w:rPr>
            </w:pPr>
          </w:p>
        </w:tc>
        <w:tc>
          <w:tcPr>
            <w:tcW w:w="1065" w:type="dxa"/>
            <w:gridSpan w:val="2"/>
            <w:vAlign w:val="center"/>
          </w:tcPr>
          <w:p w14:paraId="37F4466C">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152" w:type="dxa"/>
            <w:vAlign w:val="center"/>
          </w:tcPr>
          <w:p w14:paraId="33F23E25">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098" w:type="dxa"/>
            <w:vAlign w:val="center"/>
          </w:tcPr>
          <w:p w14:paraId="7915EE75">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87" w:type="dxa"/>
            <w:vAlign w:val="center"/>
          </w:tcPr>
          <w:p w14:paraId="64BE8F13">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916" w:type="dxa"/>
            <w:shd w:val="clear" w:color="auto" w:fill="auto"/>
            <w:vAlign w:val="center"/>
          </w:tcPr>
          <w:p w14:paraId="2E84067B">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w:t>
            </w:r>
          </w:p>
        </w:tc>
        <w:tc>
          <w:tcPr>
            <w:tcW w:w="1104" w:type="dxa"/>
            <w:vAlign w:val="center"/>
          </w:tcPr>
          <w:p w14:paraId="1C6CE8E2">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D0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5" w:type="dxa"/>
            <w:vMerge w:val="continue"/>
            <w:vAlign w:val="center"/>
          </w:tcPr>
          <w:p w14:paraId="6ED1D2B1">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407520DF">
            <w:pPr>
              <w:widowControl/>
              <w:spacing w:line="240" w:lineRule="exact"/>
              <w:jc w:val="left"/>
              <w:rPr>
                <w:rFonts w:ascii="仿宋" w:hAnsi="仿宋" w:eastAsia="仿宋" w:cs="仿宋"/>
                <w:color w:val="000000"/>
                <w:kern w:val="0"/>
                <w:sz w:val="20"/>
                <w:szCs w:val="20"/>
              </w:rPr>
            </w:pPr>
          </w:p>
        </w:tc>
        <w:tc>
          <w:tcPr>
            <w:tcW w:w="1046" w:type="dxa"/>
            <w:vAlign w:val="center"/>
          </w:tcPr>
          <w:p w14:paraId="2BF0337B">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485776F0">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5" w:type="dxa"/>
            <w:gridSpan w:val="2"/>
            <w:vAlign w:val="center"/>
          </w:tcPr>
          <w:p w14:paraId="1AA4406A">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52" w:type="dxa"/>
            <w:vAlign w:val="center"/>
          </w:tcPr>
          <w:p w14:paraId="21E2494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098" w:type="dxa"/>
            <w:vAlign w:val="center"/>
          </w:tcPr>
          <w:p w14:paraId="1F793B62">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687" w:type="dxa"/>
            <w:vAlign w:val="center"/>
          </w:tcPr>
          <w:p w14:paraId="664BEC15">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6E00DC40">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663055A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70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7" w:hRule="atLeast"/>
          <w:jc w:val="center"/>
        </w:trPr>
        <w:tc>
          <w:tcPr>
            <w:tcW w:w="1105" w:type="dxa"/>
            <w:vMerge w:val="continue"/>
            <w:vAlign w:val="center"/>
          </w:tcPr>
          <w:p w14:paraId="358FD8C7">
            <w:pPr>
              <w:widowControl/>
              <w:spacing w:line="240" w:lineRule="exact"/>
              <w:jc w:val="center"/>
              <w:rPr>
                <w:rFonts w:ascii="仿宋" w:hAnsi="仿宋" w:eastAsia="仿宋" w:cs="仿宋"/>
                <w:color w:val="000000"/>
                <w:kern w:val="0"/>
                <w:sz w:val="20"/>
                <w:szCs w:val="20"/>
              </w:rPr>
            </w:pPr>
          </w:p>
        </w:tc>
        <w:tc>
          <w:tcPr>
            <w:tcW w:w="1089" w:type="dxa"/>
            <w:vMerge w:val="restart"/>
            <w:vAlign w:val="center"/>
          </w:tcPr>
          <w:p w14:paraId="1175734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0E55B46">
            <w:pPr>
              <w:widowControl/>
              <w:spacing w:line="240" w:lineRule="exact"/>
              <w:jc w:val="center"/>
              <w:rPr>
                <w:rFonts w:ascii="仿宋" w:hAnsi="仿宋" w:eastAsia="仿宋" w:cs="仿宋"/>
                <w:color w:val="000000"/>
                <w:kern w:val="0"/>
                <w:sz w:val="20"/>
                <w:szCs w:val="20"/>
              </w:rPr>
            </w:pPr>
          </w:p>
        </w:tc>
        <w:tc>
          <w:tcPr>
            <w:tcW w:w="1046" w:type="dxa"/>
            <w:vAlign w:val="center"/>
          </w:tcPr>
          <w:p w14:paraId="6E8FA481">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3E3FCC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5" w:type="dxa"/>
            <w:gridSpan w:val="2"/>
            <w:vAlign w:val="center"/>
          </w:tcPr>
          <w:p w14:paraId="5CB1C273">
            <w:pPr>
              <w:widowControl/>
              <w:spacing w:line="240" w:lineRule="exact"/>
              <w:jc w:val="left"/>
              <w:rPr>
                <w:rFonts w:ascii="仿宋" w:hAnsi="仿宋" w:eastAsia="仿宋" w:cs="仿宋"/>
                <w:color w:val="000000"/>
                <w:kern w:val="0"/>
                <w:sz w:val="20"/>
                <w:szCs w:val="20"/>
              </w:rPr>
            </w:pPr>
            <w:r>
              <w:rPr>
                <w:rFonts w:hint="eastAsia"/>
              </w:rPr>
              <w:t>保障经济发展</w:t>
            </w:r>
          </w:p>
        </w:tc>
        <w:tc>
          <w:tcPr>
            <w:tcW w:w="1152" w:type="dxa"/>
            <w:vAlign w:val="center"/>
          </w:tcPr>
          <w:p w14:paraId="09400EAE">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098" w:type="dxa"/>
            <w:vAlign w:val="center"/>
          </w:tcPr>
          <w:p w14:paraId="22EB9BF0">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7" w:type="dxa"/>
            <w:vAlign w:val="center"/>
          </w:tcPr>
          <w:p w14:paraId="1684BC34">
            <w:pPr>
              <w:widowControl/>
              <w:spacing w:line="24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16" w:type="dxa"/>
            <w:shd w:val="clear" w:color="auto" w:fill="auto"/>
            <w:vAlign w:val="center"/>
          </w:tcPr>
          <w:p w14:paraId="3CBA7200">
            <w:pPr>
              <w:widowControl/>
              <w:spacing w:line="24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04" w:type="dxa"/>
            <w:vAlign w:val="center"/>
          </w:tcPr>
          <w:p w14:paraId="51DD3F9A">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2B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05" w:type="dxa"/>
            <w:vMerge w:val="continue"/>
            <w:vAlign w:val="center"/>
          </w:tcPr>
          <w:p w14:paraId="4AD44B0A">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4059D401">
            <w:pPr>
              <w:widowControl/>
              <w:spacing w:line="240" w:lineRule="exact"/>
              <w:jc w:val="left"/>
              <w:rPr>
                <w:rFonts w:ascii="仿宋" w:hAnsi="仿宋" w:eastAsia="仿宋" w:cs="仿宋"/>
                <w:color w:val="000000"/>
                <w:kern w:val="0"/>
                <w:sz w:val="20"/>
                <w:szCs w:val="20"/>
              </w:rPr>
            </w:pPr>
          </w:p>
        </w:tc>
        <w:tc>
          <w:tcPr>
            <w:tcW w:w="1046" w:type="dxa"/>
            <w:vAlign w:val="center"/>
          </w:tcPr>
          <w:p w14:paraId="495C158F">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46B255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5" w:type="dxa"/>
            <w:gridSpan w:val="2"/>
            <w:vAlign w:val="center"/>
          </w:tcPr>
          <w:p w14:paraId="697FBE95">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提升建言资政水平，加强思想政治引领，维护社会稳定</w:t>
            </w:r>
          </w:p>
        </w:tc>
        <w:tc>
          <w:tcPr>
            <w:tcW w:w="1152" w:type="dxa"/>
            <w:vAlign w:val="center"/>
          </w:tcPr>
          <w:p w14:paraId="795D9C97">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098" w:type="dxa"/>
            <w:vAlign w:val="center"/>
          </w:tcPr>
          <w:p w14:paraId="57C0D60E">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7" w:type="dxa"/>
            <w:vAlign w:val="center"/>
          </w:tcPr>
          <w:p w14:paraId="1DAF340F">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02FDEAC9">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2B1023A2">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D03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9" w:hRule="atLeast"/>
          <w:jc w:val="center"/>
        </w:trPr>
        <w:tc>
          <w:tcPr>
            <w:tcW w:w="1105" w:type="dxa"/>
            <w:vMerge w:val="continue"/>
            <w:vAlign w:val="center"/>
          </w:tcPr>
          <w:p w14:paraId="6450DA48">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6B2C2259">
            <w:pPr>
              <w:widowControl/>
              <w:spacing w:line="240" w:lineRule="exact"/>
              <w:jc w:val="left"/>
              <w:rPr>
                <w:rFonts w:ascii="仿宋" w:hAnsi="仿宋" w:eastAsia="仿宋" w:cs="仿宋"/>
                <w:color w:val="000000"/>
                <w:kern w:val="0"/>
                <w:sz w:val="20"/>
                <w:szCs w:val="20"/>
              </w:rPr>
            </w:pPr>
          </w:p>
        </w:tc>
        <w:tc>
          <w:tcPr>
            <w:tcW w:w="1046" w:type="dxa"/>
            <w:vAlign w:val="center"/>
          </w:tcPr>
          <w:p w14:paraId="5FF125C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93DF681">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5" w:type="dxa"/>
            <w:gridSpan w:val="2"/>
            <w:vAlign w:val="center"/>
          </w:tcPr>
          <w:p w14:paraId="46E1BD17">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52" w:type="dxa"/>
            <w:vAlign w:val="center"/>
          </w:tcPr>
          <w:p w14:paraId="22D8E98F">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098" w:type="dxa"/>
            <w:vAlign w:val="center"/>
          </w:tcPr>
          <w:p w14:paraId="0101F23E">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7" w:type="dxa"/>
            <w:vAlign w:val="center"/>
          </w:tcPr>
          <w:p w14:paraId="016EA20A">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16" w:type="dxa"/>
            <w:shd w:val="clear" w:color="auto" w:fill="auto"/>
            <w:vAlign w:val="center"/>
          </w:tcPr>
          <w:p w14:paraId="73B91F94">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04" w:type="dxa"/>
            <w:vAlign w:val="center"/>
          </w:tcPr>
          <w:p w14:paraId="1B1D7A74">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96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05" w:type="dxa"/>
            <w:vMerge w:val="continue"/>
            <w:vAlign w:val="center"/>
          </w:tcPr>
          <w:p w14:paraId="40AEDC35">
            <w:pPr>
              <w:widowControl/>
              <w:spacing w:line="240" w:lineRule="exact"/>
              <w:jc w:val="center"/>
              <w:rPr>
                <w:rFonts w:ascii="仿宋" w:hAnsi="仿宋" w:eastAsia="仿宋" w:cs="仿宋"/>
                <w:color w:val="000000"/>
                <w:kern w:val="0"/>
                <w:sz w:val="20"/>
                <w:szCs w:val="20"/>
              </w:rPr>
            </w:pPr>
          </w:p>
        </w:tc>
        <w:tc>
          <w:tcPr>
            <w:tcW w:w="1089" w:type="dxa"/>
            <w:vMerge w:val="continue"/>
            <w:vAlign w:val="center"/>
          </w:tcPr>
          <w:p w14:paraId="77F43D1B">
            <w:pPr>
              <w:widowControl/>
              <w:spacing w:line="240" w:lineRule="exact"/>
              <w:jc w:val="left"/>
              <w:rPr>
                <w:rFonts w:ascii="仿宋" w:hAnsi="仿宋" w:eastAsia="仿宋" w:cs="仿宋"/>
                <w:color w:val="000000"/>
                <w:kern w:val="0"/>
                <w:sz w:val="20"/>
                <w:szCs w:val="20"/>
              </w:rPr>
            </w:pPr>
          </w:p>
        </w:tc>
        <w:tc>
          <w:tcPr>
            <w:tcW w:w="1046" w:type="dxa"/>
            <w:vAlign w:val="center"/>
          </w:tcPr>
          <w:p w14:paraId="19B3BF9F">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65" w:type="dxa"/>
            <w:gridSpan w:val="2"/>
            <w:vAlign w:val="center"/>
          </w:tcPr>
          <w:p w14:paraId="4ACA547D">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加强基层组织思想建设，夯实共同的思想政治基础</w:t>
            </w:r>
          </w:p>
        </w:tc>
        <w:tc>
          <w:tcPr>
            <w:tcW w:w="1152" w:type="dxa"/>
            <w:vAlign w:val="center"/>
          </w:tcPr>
          <w:p w14:paraId="0F3B53A9">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098" w:type="dxa"/>
            <w:vAlign w:val="center"/>
          </w:tcPr>
          <w:p w14:paraId="3AAB76A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87" w:type="dxa"/>
            <w:vAlign w:val="center"/>
          </w:tcPr>
          <w:p w14:paraId="3F939DED">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0DCAEC66">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75EDE9D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B8D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2" w:hRule="atLeast"/>
          <w:jc w:val="center"/>
        </w:trPr>
        <w:tc>
          <w:tcPr>
            <w:tcW w:w="1105" w:type="dxa"/>
            <w:vMerge w:val="continue"/>
            <w:vAlign w:val="center"/>
          </w:tcPr>
          <w:p w14:paraId="434F4303">
            <w:pPr>
              <w:widowControl/>
              <w:spacing w:line="240" w:lineRule="exact"/>
              <w:jc w:val="left"/>
              <w:rPr>
                <w:rFonts w:ascii="仿宋" w:hAnsi="仿宋" w:eastAsia="仿宋" w:cs="仿宋"/>
                <w:color w:val="000000"/>
                <w:kern w:val="0"/>
                <w:sz w:val="20"/>
                <w:szCs w:val="20"/>
              </w:rPr>
            </w:pPr>
          </w:p>
        </w:tc>
        <w:tc>
          <w:tcPr>
            <w:tcW w:w="1089" w:type="dxa"/>
            <w:vAlign w:val="center"/>
          </w:tcPr>
          <w:p w14:paraId="7BFE4BD7">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897D90A">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742A0FD">
            <w:pPr>
              <w:widowControl/>
              <w:spacing w:line="240" w:lineRule="exact"/>
              <w:jc w:val="center"/>
              <w:rPr>
                <w:rFonts w:ascii="仿宋" w:hAnsi="仿宋" w:eastAsia="仿宋" w:cs="仿宋"/>
                <w:color w:val="000000"/>
                <w:kern w:val="0"/>
                <w:sz w:val="20"/>
                <w:szCs w:val="20"/>
              </w:rPr>
            </w:pPr>
          </w:p>
        </w:tc>
        <w:tc>
          <w:tcPr>
            <w:tcW w:w="1046" w:type="dxa"/>
            <w:vAlign w:val="center"/>
          </w:tcPr>
          <w:p w14:paraId="4C0F47D4">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65" w:type="dxa"/>
            <w:gridSpan w:val="2"/>
            <w:vAlign w:val="center"/>
          </w:tcPr>
          <w:p w14:paraId="1F80F6B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152" w:type="dxa"/>
            <w:vAlign w:val="center"/>
          </w:tcPr>
          <w:p w14:paraId="1503D9A7">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098" w:type="dxa"/>
            <w:vAlign w:val="center"/>
          </w:tcPr>
          <w:p w14:paraId="205BD9BB">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687" w:type="dxa"/>
            <w:vAlign w:val="center"/>
          </w:tcPr>
          <w:p w14:paraId="1CB51C2A">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916" w:type="dxa"/>
            <w:shd w:val="clear" w:color="auto" w:fill="auto"/>
            <w:vAlign w:val="center"/>
          </w:tcPr>
          <w:p w14:paraId="25309725">
            <w:pPr>
              <w:widowControl/>
              <w:spacing w:line="24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04" w:type="dxa"/>
            <w:vAlign w:val="center"/>
          </w:tcPr>
          <w:p w14:paraId="21E88477">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184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5" w:type="dxa"/>
            <w:gridSpan w:val="7"/>
            <w:vAlign w:val="center"/>
          </w:tcPr>
          <w:p w14:paraId="51B8E3E6">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87" w:type="dxa"/>
            <w:vAlign w:val="center"/>
          </w:tcPr>
          <w:p w14:paraId="56FB8B8C">
            <w:pPr>
              <w:widowControl/>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916" w:type="dxa"/>
            <w:vAlign w:val="center"/>
          </w:tcPr>
          <w:p w14:paraId="69B16F1F">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97.75</w:t>
            </w:r>
          </w:p>
        </w:tc>
        <w:tc>
          <w:tcPr>
            <w:tcW w:w="1104" w:type="dxa"/>
            <w:vAlign w:val="center"/>
          </w:tcPr>
          <w:p w14:paraId="6B1CC7B8">
            <w:pPr>
              <w:widowControl/>
              <w:spacing w:line="24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B1CA2A0">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王莹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16674521577</w:t>
      </w:r>
    </w:p>
    <w:p w14:paraId="56E06B91"/>
    <w:p w14:paraId="365CFD95"/>
    <w:p w14:paraId="34BC8275"/>
    <w:p w14:paraId="3365F612"/>
    <w:p w14:paraId="4FB8A228"/>
    <w:p w14:paraId="50701430">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AD52CA5">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B17D6A3">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9D168C5">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3DB963D">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F267C94">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61A51CD">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3050C6C8">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29E5C416">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C56EB7F">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E18BD85">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2D57402">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3A2F657C">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389F9A2B">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5B729C0">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9A26FF1">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50B70E4D">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307FC27C">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4C870B2">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36A3DDDD">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64E7B9CF">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58C814BB">
      <w:pPr>
        <w:pStyle w:val="6"/>
        <w:widowControl/>
        <w:shd w:val="clear" w:color="auto" w:fill="FFFFFF"/>
        <w:spacing w:beforeAutospacing="0" w:afterAutospacing="0" w:line="480" w:lineRule="exact"/>
        <w:jc w:val="both"/>
        <w:rPr>
          <w:rFonts w:hint="default" w:ascii="Cambria" w:hAnsi="Cambria"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-1</w:t>
      </w:r>
    </w:p>
    <w:p w14:paraId="53B01965">
      <w:pPr>
        <w:widowControl/>
        <w:tabs>
          <w:tab w:val="left" w:pos="3611"/>
          <w:tab w:val="left" w:pos="4791"/>
          <w:tab w:val="left" w:pos="5951"/>
          <w:tab w:val="left" w:pos="7071"/>
          <w:tab w:val="left" w:pos="8191"/>
          <w:tab w:val="left" w:pos="9311"/>
        </w:tabs>
        <w:snapToGrid w:val="0"/>
        <w:spacing w:line="440" w:lineRule="atLeast"/>
        <w:jc w:val="center"/>
        <w:rPr>
          <w:rFonts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59FC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0643533D">
            <w:pPr>
              <w:widowControl/>
              <w:spacing w:line="28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83AC33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049606C4">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民主党派管理经费</w:t>
            </w:r>
          </w:p>
        </w:tc>
      </w:tr>
      <w:tr w14:paraId="5824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198384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352D47E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1970074">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41AB88F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DBA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099E219B">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7CCBB74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vAlign w:val="center"/>
          </w:tcPr>
          <w:p w14:paraId="5F51EC1E">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31F75E9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vAlign w:val="center"/>
          </w:tcPr>
          <w:p w14:paraId="2ECEA329">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D0759F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1631C4CB">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全年</w:t>
            </w:r>
          </w:p>
          <w:p w14:paraId="284D00C1">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6544A30C">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4ADF2547">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33624F52">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得分</w:t>
            </w:r>
          </w:p>
        </w:tc>
      </w:tr>
      <w:tr w14:paraId="2F7F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DDB157F">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702F608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vAlign w:val="center"/>
          </w:tcPr>
          <w:p w14:paraId="47BA6A5E">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50</w:t>
            </w:r>
          </w:p>
        </w:tc>
        <w:tc>
          <w:tcPr>
            <w:tcW w:w="1209" w:type="dxa"/>
            <w:vAlign w:val="center"/>
          </w:tcPr>
          <w:p w14:paraId="365A926D">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32.21</w:t>
            </w:r>
          </w:p>
        </w:tc>
        <w:tc>
          <w:tcPr>
            <w:tcW w:w="1134" w:type="dxa"/>
            <w:vAlign w:val="center"/>
          </w:tcPr>
          <w:p w14:paraId="070235AF">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29.12</w:t>
            </w:r>
          </w:p>
        </w:tc>
        <w:tc>
          <w:tcPr>
            <w:tcW w:w="828" w:type="dxa"/>
            <w:vAlign w:val="center"/>
          </w:tcPr>
          <w:p w14:paraId="5EEE1C3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vAlign w:val="center"/>
          </w:tcPr>
          <w:p w14:paraId="194E5B32">
            <w:pPr>
              <w:widowControl/>
              <w:spacing w:line="28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90.41%</w:t>
            </w:r>
          </w:p>
        </w:tc>
        <w:tc>
          <w:tcPr>
            <w:tcW w:w="1418" w:type="dxa"/>
            <w:vAlign w:val="center"/>
          </w:tcPr>
          <w:p w14:paraId="66ED8655">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9.04</w:t>
            </w:r>
          </w:p>
        </w:tc>
      </w:tr>
      <w:tr w14:paraId="4179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DA0CEE2">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124A65B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vAlign w:val="center"/>
          </w:tcPr>
          <w:p w14:paraId="2081408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465D8C0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1080E8B1">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1545AD3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614CFF8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63DC865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22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B657588">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1A64FB3F">
            <w:pPr>
              <w:widowControl/>
              <w:spacing w:line="280" w:lineRule="exact"/>
              <w:ind w:firstLine="600" w:firstLineChars="3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vAlign w:val="center"/>
          </w:tcPr>
          <w:p w14:paraId="1055A09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7827C79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30E93D1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72B29A7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6EFB489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7669DDC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28E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4AC8F5BD">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7795E07B">
            <w:pPr>
              <w:widowControl/>
              <w:spacing w:line="280" w:lineRule="exact"/>
              <w:ind w:firstLine="600" w:firstLineChars="3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vAlign w:val="center"/>
          </w:tcPr>
          <w:p w14:paraId="0A6743A6">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1B21975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39D6CA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7A169B8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00F6CCF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12B430E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4A3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5D25B5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4E591A5F">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预期目标</w:t>
            </w:r>
          </w:p>
        </w:tc>
        <w:tc>
          <w:tcPr>
            <w:tcW w:w="4253" w:type="dxa"/>
            <w:gridSpan w:val="4"/>
            <w:vAlign w:val="center"/>
          </w:tcPr>
          <w:p w14:paraId="2A45DA93">
            <w:pPr>
              <w:widowControl/>
              <w:spacing w:line="28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20CE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C3834BD">
            <w:pPr>
              <w:widowControl/>
              <w:spacing w:line="280" w:lineRule="exact"/>
              <w:jc w:val="left"/>
              <w:rPr>
                <w:rFonts w:ascii="仿宋" w:hAnsi="仿宋" w:eastAsia="仿宋" w:cs="仿宋"/>
                <w:color w:val="000000"/>
                <w:kern w:val="0"/>
                <w:sz w:val="20"/>
                <w:szCs w:val="20"/>
              </w:rPr>
            </w:pPr>
          </w:p>
        </w:tc>
        <w:tc>
          <w:tcPr>
            <w:tcW w:w="4518" w:type="dxa"/>
            <w:gridSpan w:val="4"/>
            <w:vAlign w:val="center"/>
          </w:tcPr>
          <w:p w14:paraId="0CA6B216">
            <w:pPr>
              <w:widowControl/>
              <w:spacing w:line="28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目标1：履行参政党职能，加强基层组织思想建设，夯实共同的思想政治基础。</w:t>
            </w:r>
          </w:p>
          <w:p w14:paraId="6989779C">
            <w:pPr>
              <w:widowControl/>
              <w:spacing w:line="28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目标2：上报市政协提案不少于5件；</w:t>
            </w:r>
          </w:p>
          <w:p w14:paraId="4269A1AB">
            <w:pPr>
              <w:widowControl/>
              <w:spacing w:line="28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目标3：完成调研报告不少于1篇；</w:t>
            </w:r>
          </w:p>
          <w:p w14:paraId="7051E42B">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目标4：上报市政协提案立案率90%以上。</w:t>
            </w:r>
          </w:p>
        </w:tc>
        <w:tc>
          <w:tcPr>
            <w:tcW w:w="4253" w:type="dxa"/>
            <w:gridSpan w:val="4"/>
            <w:vAlign w:val="center"/>
          </w:tcPr>
          <w:p w14:paraId="318FED2B">
            <w:pPr>
              <w:widowControl/>
              <w:spacing w:line="280" w:lineRule="exact"/>
              <w:jc w:val="left"/>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r>
              <w:rPr>
                <w:rFonts w:hint="default" w:ascii="仿宋" w:hAnsi="仿宋" w:eastAsia="仿宋" w:cs="仿宋"/>
                <w:color w:val="000000"/>
                <w:kern w:val="0"/>
                <w:sz w:val="20"/>
                <w:szCs w:val="20"/>
                <w:highlight w:val="none"/>
                <w:lang w:val="en-US" w:eastAsia="zh-CN"/>
              </w:rPr>
              <w:t>累计提交人大建议7份、集体提案16份、个人提案25份，其中2篇集体提案、1篇个人提案被市政协列为重点提案。</w:t>
            </w:r>
            <w:r>
              <w:rPr>
                <w:rFonts w:hint="eastAsia" w:ascii="仿宋" w:hAnsi="仿宋" w:eastAsia="仿宋" w:cs="仿宋"/>
                <w:color w:val="000000"/>
                <w:kern w:val="0"/>
                <w:sz w:val="20"/>
                <w:szCs w:val="20"/>
                <w:highlight w:val="none"/>
                <w:lang w:val="en-US" w:eastAsia="zh-CN"/>
              </w:rPr>
              <w:t>推动农村公办养老机构入住率超65%，并依托养老服务“关爱地图”向社会公开76家养老机构、106家村居助餐点信息，全年</w:t>
            </w:r>
            <w:r>
              <w:rPr>
                <w:rFonts w:hint="default" w:ascii="仿宋" w:hAnsi="仿宋" w:eastAsia="仿宋" w:cs="仿宋"/>
                <w:color w:val="000000"/>
                <w:kern w:val="0"/>
                <w:sz w:val="20"/>
                <w:szCs w:val="20"/>
                <w:highlight w:val="none"/>
                <w:lang w:val="en-US" w:eastAsia="zh-CN"/>
              </w:rPr>
              <w:t>报送社情民意</w:t>
            </w:r>
            <w:r>
              <w:rPr>
                <w:rFonts w:hint="eastAsia" w:ascii="仿宋" w:hAnsi="仿宋" w:eastAsia="仿宋" w:cs="仿宋"/>
                <w:color w:val="000000"/>
                <w:kern w:val="0"/>
                <w:sz w:val="20"/>
                <w:szCs w:val="20"/>
                <w:highlight w:val="none"/>
                <w:lang w:val="en-US" w:eastAsia="zh-CN"/>
              </w:rPr>
              <w:t>3</w:t>
            </w:r>
            <w:r>
              <w:rPr>
                <w:rFonts w:hint="default" w:ascii="仿宋" w:hAnsi="仿宋" w:eastAsia="仿宋" w:cs="仿宋"/>
                <w:color w:val="000000"/>
                <w:kern w:val="0"/>
                <w:sz w:val="20"/>
                <w:szCs w:val="20"/>
                <w:highlight w:val="none"/>
                <w:lang w:val="en-US" w:eastAsia="zh-CN"/>
              </w:rPr>
              <w:t>0余篇，</w:t>
            </w:r>
            <w:r>
              <w:rPr>
                <w:rFonts w:hint="eastAsia" w:ascii="仿宋" w:hAnsi="仿宋" w:eastAsia="仿宋" w:cs="仿宋"/>
                <w:color w:val="000000"/>
                <w:kern w:val="0"/>
                <w:sz w:val="20"/>
                <w:szCs w:val="20"/>
                <w:highlight w:val="none"/>
                <w:lang w:val="en-US" w:eastAsia="zh-CN"/>
              </w:rPr>
              <w:t>微建议50条</w:t>
            </w:r>
            <w:r>
              <w:rPr>
                <w:rFonts w:hint="default" w:ascii="仿宋" w:hAnsi="仿宋" w:eastAsia="仿宋" w:cs="仿宋"/>
                <w:color w:val="000000"/>
                <w:kern w:val="0"/>
                <w:sz w:val="20"/>
                <w:szCs w:val="20"/>
                <w:highlight w:val="none"/>
                <w:lang w:val="en-US" w:eastAsia="zh-CN"/>
              </w:rPr>
              <w:t>。</w:t>
            </w:r>
            <w:r>
              <w:rPr>
                <w:rFonts w:hint="eastAsia" w:ascii="仿宋" w:hAnsi="仿宋" w:eastAsia="仿宋" w:cs="仿宋"/>
                <w:color w:val="000000"/>
                <w:kern w:val="0"/>
                <w:sz w:val="20"/>
                <w:szCs w:val="20"/>
                <w:highlight w:val="none"/>
              </w:rPr>
              <w:t>上报市政协提案立案率90%以上</w:t>
            </w:r>
          </w:p>
        </w:tc>
      </w:tr>
      <w:tr w14:paraId="420E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1EAD17F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DD357E4">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C294847">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BC365E4">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183FB43A">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45FFEE1C">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vAlign w:val="center"/>
          </w:tcPr>
          <w:p w14:paraId="2237BC49">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vAlign w:val="center"/>
          </w:tcPr>
          <w:p w14:paraId="363C581E">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BC951AD">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0BC98E1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19CA38C">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3EA09B2D">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724E5CD4">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2D57B024">
            <w:pPr>
              <w:widowControl/>
              <w:spacing w:line="28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779F13E">
            <w:pPr>
              <w:widowControl/>
              <w:spacing w:line="28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3928B4">
            <w:pPr>
              <w:widowControl/>
              <w:spacing w:line="28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B66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26DBA12">
            <w:pPr>
              <w:widowControl/>
              <w:spacing w:line="280" w:lineRule="exact"/>
              <w:jc w:val="left"/>
              <w:rPr>
                <w:rFonts w:ascii="仿宋" w:hAnsi="仿宋" w:eastAsia="仿宋" w:cs="仿宋"/>
                <w:color w:val="000000"/>
                <w:kern w:val="0"/>
                <w:sz w:val="20"/>
                <w:szCs w:val="20"/>
              </w:rPr>
            </w:pPr>
          </w:p>
        </w:tc>
        <w:tc>
          <w:tcPr>
            <w:tcW w:w="1080" w:type="dxa"/>
            <w:vMerge w:val="restart"/>
            <w:vAlign w:val="center"/>
          </w:tcPr>
          <w:p w14:paraId="4AAA020B">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2270ADF8">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149" w:type="dxa"/>
            <w:vAlign w:val="center"/>
          </w:tcPr>
          <w:p w14:paraId="55B4FC2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民主党派管理经费</w:t>
            </w:r>
          </w:p>
        </w:tc>
        <w:tc>
          <w:tcPr>
            <w:tcW w:w="1209" w:type="dxa"/>
            <w:vAlign w:val="center"/>
          </w:tcPr>
          <w:p w14:paraId="6450B718">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50</w:t>
            </w:r>
          </w:p>
        </w:tc>
        <w:tc>
          <w:tcPr>
            <w:tcW w:w="1134" w:type="dxa"/>
            <w:vAlign w:val="center"/>
          </w:tcPr>
          <w:p w14:paraId="413B4B33">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29.12</w:t>
            </w:r>
          </w:p>
        </w:tc>
        <w:tc>
          <w:tcPr>
            <w:tcW w:w="828" w:type="dxa"/>
            <w:vAlign w:val="center"/>
          </w:tcPr>
          <w:p w14:paraId="6EA659D0">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w:t>
            </w:r>
          </w:p>
        </w:tc>
        <w:tc>
          <w:tcPr>
            <w:tcW w:w="873" w:type="dxa"/>
            <w:vAlign w:val="center"/>
          </w:tcPr>
          <w:p w14:paraId="44E2595F">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5.82</w:t>
            </w:r>
          </w:p>
        </w:tc>
        <w:tc>
          <w:tcPr>
            <w:tcW w:w="1418" w:type="dxa"/>
            <w:vAlign w:val="center"/>
          </w:tcPr>
          <w:p w14:paraId="7817AE6C">
            <w:pPr>
              <w:widowControl/>
              <w:spacing w:line="28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财政资金紧张，下达资金不足。</w:t>
            </w:r>
          </w:p>
        </w:tc>
      </w:tr>
      <w:tr w14:paraId="233D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84D08BE">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6731FCB7">
            <w:pPr>
              <w:widowControl/>
              <w:spacing w:line="280" w:lineRule="exact"/>
              <w:jc w:val="center"/>
              <w:rPr>
                <w:rFonts w:ascii="仿宋" w:hAnsi="仿宋" w:eastAsia="仿宋" w:cs="仿宋"/>
                <w:color w:val="000000"/>
                <w:kern w:val="0"/>
                <w:sz w:val="20"/>
                <w:szCs w:val="20"/>
              </w:rPr>
            </w:pPr>
          </w:p>
        </w:tc>
        <w:tc>
          <w:tcPr>
            <w:tcW w:w="1080" w:type="dxa"/>
            <w:vAlign w:val="center"/>
          </w:tcPr>
          <w:p w14:paraId="0CA6003A">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149" w:type="dxa"/>
            <w:vAlign w:val="center"/>
          </w:tcPr>
          <w:p w14:paraId="158F348D">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209" w:type="dxa"/>
            <w:vAlign w:val="center"/>
          </w:tcPr>
          <w:p w14:paraId="4B5F25A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31C4DA3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00C39367">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1693E75B">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vAlign w:val="center"/>
          </w:tcPr>
          <w:p w14:paraId="57ED2FD5">
            <w:pPr>
              <w:widowControl/>
              <w:spacing w:line="280" w:lineRule="exact"/>
              <w:jc w:val="left"/>
              <w:rPr>
                <w:rFonts w:ascii="仿宋" w:hAnsi="仿宋" w:eastAsia="仿宋" w:cs="仿宋"/>
                <w:color w:val="000000"/>
                <w:kern w:val="0"/>
                <w:sz w:val="20"/>
                <w:szCs w:val="20"/>
              </w:rPr>
            </w:pPr>
          </w:p>
        </w:tc>
      </w:tr>
      <w:tr w14:paraId="1D13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CCAE049">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109CD6FD">
            <w:pPr>
              <w:widowControl/>
              <w:spacing w:line="280" w:lineRule="exact"/>
              <w:jc w:val="center"/>
              <w:rPr>
                <w:rFonts w:ascii="仿宋" w:hAnsi="仿宋" w:eastAsia="仿宋" w:cs="仿宋"/>
                <w:color w:val="000000"/>
                <w:kern w:val="0"/>
                <w:sz w:val="20"/>
                <w:szCs w:val="20"/>
              </w:rPr>
            </w:pPr>
          </w:p>
        </w:tc>
        <w:tc>
          <w:tcPr>
            <w:tcW w:w="1080" w:type="dxa"/>
            <w:vAlign w:val="center"/>
          </w:tcPr>
          <w:p w14:paraId="37B6FC29">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149" w:type="dxa"/>
            <w:vAlign w:val="center"/>
          </w:tcPr>
          <w:p w14:paraId="640FED7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209" w:type="dxa"/>
            <w:vAlign w:val="center"/>
          </w:tcPr>
          <w:p w14:paraId="237FC751">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5F3BB79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28EB4B93">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4C68C5B8">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vAlign w:val="center"/>
          </w:tcPr>
          <w:p w14:paraId="60D85DC6">
            <w:pPr>
              <w:widowControl/>
              <w:spacing w:line="280" w:lineRule="exact"/>
              <w:jc w:val="left"/>
              <w:rPr>
                <w:rFonts w:ascii="仿宋" w:hAnsi="仿宋" w:eastAsia="仿宋" w:cs="仿宋"/>
                <w:color w:val="000000"/>
                <w:kern w:val="0"/>
                <w:sz w:val="20"/>
                <w:szCs w:val="20"/>
              </w:rPr>
            </w:pPr>
          </w:p>
        </w:tc>
      </w:tr>
      <w:tr w14:paraId="6CAD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A82E4D4">
            <w:pPr>
              <w:widowControl/>
              <w:spacing w:line="280" w:lineRule="exact"/>
              <w:jc w:val="left"/>
              <w:rPr>
                <w:rFonts w:ascii="仿宋" w:hAnsi="仿宋" w:eastAsia="仿宋" w:cs="仿宋"/>
                <w:color w:val="000000"/>
                <w:kern w:val="0"/>
                <w:sz w:val="20"/>
                <w:szCs w:val="20"/>
              </w:rPr>
            </w:pPr>
          </w:p>
        </w:tc>
        <w:tc>
          <w:tcPr>
            <w:tcW w:w="1080" w:type="dxa"/>
            <w:vMerge w:val="restart"/>
            <w:vAlign w:val="center"/>
          </w:tcPr>
          <w:p w14:paraId="4C298B5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565E281">
            <w:pPr>
              <w:widowControl/>
              <w:spacing w:line="280" w:lineRule="exact"/>
              <w:jc w:val="center"/>
              <w:rPr>
                <w:rFonts w:ascii="仿宋" w:hAnsi="仿宋" w:eastAsia="仿宋" w:cs="仿宋"/>
                <w:color w:val="000000"/>
                <w:kern w:val="0"/>
                <w:sz w:val="20"/>
                <w:szCs w:val="20"/>
              </w:rPr>
            </w:pPr>
          </w:p>
        </w:tc>
        <w:tc>
          <w:tcPr>
            <w:tcW w:w="1080" w:type="dxa"/>
            <w:vMerge w:val="restart"/>
            <w:vAlign w:val="center"/>
          </w:tcPr>
          <w:p w14:paraId="6AB9ED55">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vAlign w:val="center"/>
          </w:tcPr>
          <w:p w14:paraId="54A9514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上报市政协提案</w:t>
            </w:r>
          </w:p>
        </w:tc>
        <w:tc>
          <w:tcPr>
            <w:tcW w:w="1209" w:type="dxa"/>
            <w:vAlign w:val="center"/>
          </w:tcPr>
          <w:p w14:paraId="1AA28DBA">
            <w:pPr>
              <w:widowControl/>
              <w:spacing w:line="280" w:lineRule="exact"/>
              <w:jc w:val="left"/>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34" w:type="dxa"/>
            <w:vAlign w:val="center"/>
          </w:tcPr>
          <w:p w14:paraId="6D5F013A">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16</w:t>
            </w:r>
          </w:p>
        </w:tc>
        <w:tc>
          <w:tcPr>
            <w:tcW w:w="828" w:type="dxa"/>
            <w:vAlign w:val="center"/>
          </w:tcPr>
          <w:p w14:paraId="3E4FA3E3">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573867F5">
            <w:pPr>
              <w:widowControl/>
              <w:spacing w:line="28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418" w:type="dxa"/>
            <w:vAlign w:val="center"/>
          </w:tcPr>
          <w:p w14:paraId="55D389D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AA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082F4605">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2730CB62">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465EAB23">
            <w:pPr>
              <w:widowControl/>
              <w:spacing w:line="280" w:lineRule="exact"/>
              <w:jc w:val="center"/>
              <w:rPr>
                <w:rFonts w:ascii="仿宋" w:hAnsi="仿宋" w:eastAsia="仿宋" w:cs="仿宋"/>
                <w:color w:val="000000"/>
                <w:kern w:val="0"/>
                <w:sz w:val="20"/>
                <w:szCs w:val="20"/>
              </w:rPr>
            </w:pPr>
          </w:p>
        </w:tc>
        <w:tc>
          <w:tcPr>
            <w:tcW w:w="1149" w:type="dxa"/>
            <w:vAlign w:val="center"/>
          </w:tcPr>
          <w:p w14:paraId="4A04FB9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调研报告</w:t>
            </w:r>
          </w:p>
        </w:tc>
        <w:tc>
          <w:tcPr>
            <w:tcW w:w="1209" w:type="dxa"/>
            <w:vAlign w:val="center"/>
          </w:tcPr>
          <w:p w14:paraId="3350624E">
            <w:pPr>
              <w:widowControl/>
              <w:spacing w:line="280" w:lineRule="exact"/>
              <w:jc w:val="left"/>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w:t>
            </w:r>
          </w:p>
        </w:tc>
        <w:tc>
          <w:tcPr>
            <w:tcW w:w="1134" w:type="dxa"/>
            <w:vAlign w:val="center"/>
          </w:tcPr>
          <w:p w14:paraId="30DB3A67">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w:t>
            </w:r>
          </w:p>
        </w:tc>
        <w:tc>
          <w:tcPr>
            <w:tcW w:w="828" w:type="dxa"/>
            <w:vAlign w:val="center"/>
          </w:tcPr>
          <w:p w14:paraId="3ECB874B">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20896744">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vAlign w:val="center"/>
          </w:tcPr>
          <w:p w14:paraId="2A46873D">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DAD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8F8748F">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66960A40">
            <w:pPr>
              <w:widowControl/>
              <w:spacing w:line="280" w:lineRule="exact"/>
              <w:jc w:val="left"/>
              <w:rPr>
                <w:rFonts w:ascii="仿宋" w:hAnsi="仿宋" w:eastAsia="仿宋" w:cs="仿宋"/>
                <w:color w:val="000000"/>
                <w:kern w:val="0"/>
                <w:sz w:val="20"/>
                <w:szCs w:val="20"/>
              </w:rPr>
            </w:pPr>
          </w:p>
        </w:tc>
        <w:tc>
          <w:tcPr>
            <w:tcW w:w="1080" w:type="dxa"/>
            <w:vAlign w:val="center"/>
          </w:tcPr>
          <w:p w14:paraId="49B3BD1D">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vAlign w:val="center"/>
          </w:tcPr>
          <w:p w14:paraId="2AF0347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上报市政协提案立案率</w:t>
            </w:r>
          </w:p>
        </w:tc>
        <w:tc>
          <w:tcPr>
            <w:tcW w:w="1209" w:type="dxa"/>
            <w:vAlign w:val="center"/>
          </w:tcPr>
          <w:p w14:paraId="7FF40FE5">
            <w:pPr>
              <w:widowControl/>
              <w:spacing w:line="280" w:lineRule="exact"/>
              <w:jc w:val="left"/>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vAlign w:val="center"/>
          </w:tcPr>
          <w:p w14:paraId="77224EBB">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vAlign w:val="center"/>
          </w:tcPr>
          <w:p w14:paraId="0E423EDA">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459B5BD9">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4E1B9F8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F43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495EEE7C">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25BAC164">
            <w:pPr>
              <w:widowControl/>
              <w:spacing w:line="280" w:lineRule="exact"/>
              <w:jc w:val="left"/>
              <w:rPr>
                <w:rFonts w:ascii="仿宋" w:hAnsi="仿宋" w:eastAsia="仿宋" w:cs="仿宋"/>
                <w:color w:val="000000"/>
                <w:kern w:val="0"/>
                <w:sz w:val="20"/>
                <w:szCs w:val="20"/>
              </w:rPr>
            </w:pPr>
          </w:p>
        </w:tc>
        <w:tc>
          <w:tcPr>
            <w:tcW w:w="1080" w:type="dxa"/>
            <w:vAlign w:val="center"/>
          </w:tcPr>
          <w:p w14:paraId="7E38FF7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vAlign w:val="center"/>
          </w:tcPr>
          <w:p w14:paraId="63456F1F">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vAlign w:val="center"/>
          </w:tcPr>
          <w:p w14:paraId="6D027451">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34" w:type="dxa"/>
            <w:vAlign w:val="center"/>
          </w:tcPr>
          <w:p w14:paraId="7E52222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828" w:type="dxa"/>
            <w:vAlign w:val="center"/>
          </w:tcPr>
          <w:p w14:paraId="1F874FE3">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682F0917">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7E9BE96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315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6FDCC33">
            <w:pPr>
              <w:widowControl/>
              <w:spacing w:line="280" w:lineRule="exact"/>
              <w:jc w:val="left"/>
              <w:rPr>
                <w:rFonts w:ascii="仿宋" w:hAnsi="仿宋" w:eastAsia="仿宋" w:cs="仿宋"/>
                <w:color w:val="000000"/>
                <w:kern w:val="0"/>
                <w:sz w:val="20"/>
                <w:szCs w:val="20"/>
              </w:rPr>
            </w:pPr>
          </w:p>
        </w:tc>
        <w:tc>
          <w:tcPr>
            <w:tcW w:w="1080" w:type="dxa"/>
            <w:vMerge w:val="restart"/>
            <w:vAlign w:val="center"/>
          </w:tcPr>
          <w:p w14:paraId="307F251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68AA67E">
            <w:pPr>
              <w:widowControl/>
              <w:spacing w:line="280" w:lineRule="exact"/>
              <w:jc w:val="left"/>
              <w:rPr>
                <w:rFonts w:ascii="仿宋" w:hAnsi="仿宋" w:eastAsia="仿宋" w:cs="仿宋"/>
                <w:color w:val="000000"/>
                <w:kern w:val="0"/>
                <w:sz w:val="20"/>
                <w:szCs w:val="20"/>
              </w:rPr>
            </w:pPr>
          </w:p>
        </w:tc>
        <w:tc>
          <w:tcPr>
            <w:tcW w:w="1080" w:type="dxa"/>
            <w:vAlign w:val="center"/>
          </w:tcPr>
          <w:p w14:paraId="253CB838">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A5AA5AC">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0C79D28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保障经济发展</w:t>
            </w:r>
          </w:p>
        </w:tc>
        <w:tc>
          <w:tcPr>
            <w:tcW w:w="1209" w:type="dxa"/>
            <w:vAlign w:val="center"/>
          </w:tcPr>
          <w:p w14:paraId="05AACCA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vAlign w:val="center"/>
          </w:tcPr>
          <w:p w14:paraId="3EDF58E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033E9C54">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6807488B">
            <w:pPr>
              <w:widowControl/>
              <w:spacing w:line="28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vAlign w:val="center"/>
          </w:tcPr>
          <w:p w14:paraId="18CD01B6">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AE4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2486B6E">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7D955D87">
            <w:pPr>
              <w:widowControl/>
              <w:spacing w:line="280" w:lineRule="exact"/>
              <w:jc w:val="left"/>
              <w:rPr>
                <w:rFonts w:ascii="仿宋" w:hAnsi="仿宋" w:eastAsia="仿宋" w:cs="仿宋"/>
                <w:color w:val="000000"/>
                <w:kern w:val="0"/>
                <w:sz w:val="20"/>
                <w:szCs w:val="20"/>
              </w:rPr>
            </w:pPr>
          </w:p>
        </w:tc>
        <w:tc>
          <w:tcPr>
            <w:tcW w:w="1080" w:type="dxa"/>
            <w:vAlign w:val="center"/>
          </w:tcPr>
          <w:p w14:paraId="663C38C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BA306A9">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2997F31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保障职能履行，维护社会稳定</w:t>
            </w:r>
          </w:p>
        </w:tc>
        <w:tc>
          <w:tcPr>
            <w:tcW w:w="1209" w:type="dxa"/>
            <w:vAlign w:val="center"/>
          </w:tcPr>
          <w:p w14:paraId="0680AA7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vAlign w:val="center"/>
          </w:tcPr>
          <w:p w14:paraId="07922926">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08E33390">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1BDBD86D">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5A49FFA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453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3CB17473">
            <w:pPr>
              <w:widowControl/>
              <w:spacing w:line="280" w:lineRule="exact"/>
              <w:jc w:val="left"/>
              <w:rPr>
                <w:rFonts w:ascii="仿宋" w:hAnsi="仿宋" w:eastAsia="仿宋" w:cs="仿宋"/>
                <w:color w:val="000000"/>
                <w:kern w:val="0"/>
                <w:sz w:val="20"/>
                <w:szCs w:val="20"/>
              </w:rPr>
            </w:pPr>
          </w:p>
        </w:tc>
        <w:tc>
          <w:tcPr>
            <w:tcW w:w="1080" w:type="dxa"/>
            <w:vMerge w:val="continue"/>
            <w:vAlign w:val="center"/>
          </w:tcPr>
          <w:p w14:paraId="42FB9DDE">
            <w:pPr>
              <w:widowControl/>
              <w:spacing w:line="280" w:lineRule="exact"/>
              <w:jc w:val="left"/>
              <w:rPr>
                <w:rFonts w:ascii="仿宋" w:hAnsi="仿宋" w:eastAsia="仿宋" w:cs="仿宋"/>
                <w:color w:val="000000"/>
                <w:kern w:val="0"/>
                <w:sz w:val="20"/>
                <w:szCs w:val="20"/>
              </w:rPr>
            </w:pPr>
          </w:p>
        </w:tc>
        <w:tc>
          <w:tcPr>
            <w:tcW w:w="1080" w:type="dxa"/>
            <w:vAlign w:val="center"/>
          </w:tcPr>
          <w:p w14:paraId="0248B48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08ABD4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vAlign w:val="center"/>
          </w:tcPr>
          <w:p w14:paraId="0A2A48B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09" w:type="dxa"/>
            <w:vAlign w:val="center"/>
          </w:tcPr>
          <w:p w14:paraId="59D84524">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vAlign w:val="center"/>
          </w:tcPr>
          <w:p w14:paraId="72B8826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75E06F5E">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shd w:val="clear" w:color="auto" w:fill="auto"/>
            <w:vAlign w:val="center"/>
          </w:tcPr>
          <w:p w14:paraId="1B134116">
            <w:pPr>
              <w:widowControl/>
              <w:spacing w:line="280" w:lineRule="exact"/>
              <w:jc w:val="left"/>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vAlign w:val="center"/>
          </w:tcPr>
          <w:p w14:paraId="59F045B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88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6DC1A91">
            <w:pPr>
              <w:widowControl/>
              <w:spacing w:line="280" w:lineRule="exact"/>
              <w:jc w:val="center"/>
              <w:rPr>
                <w:rFonts w:ascii="仿宋" w:hAnsi="仿宋" w:eastAsia="仿宋" w:cs="仿宋"/>
                <w:color w:val="000000"/>
                <w:kern w:val="0"/>
                <w:sz w:val="20"/>
                <w:szCs w:val="20"/>
              </w:rPr>
            </w:pPr>
          </w:p>
        </w:tc>
        <w:tc>
          <w:tcPr>
            <w:tcW w:w="1080" w:type="dxa"/>
            <w:vMerge w:val="continue"/>
            <w:vAlign w:val="center"/>
          </w:tcPr>
          <w:p w14:paraId="34617402">
            <w:pPr>
              <w:widowControl/>
              <w:spacing w:line="280" w:lineRule="exact"/>
              <w:jc w:val="left"/>
              <w:rPr>
                <w:rFonts w:ascii="仿宋" w:hAnsi="仿宋" w:eastAsia="仿宋" w:cs="仿宋"/>
                <w:color w:val="000000"/>
                <w:kern w:val="0"/>
                <w:sz w:val="20"/>
                <w:szCs w:val="20"/>
              </w:rPr>
            </w:pPr>
          </w:p>
        </w:tc>
        <w:tc>
          <w:tcPr>
            <w:tcW w:w="1080" w:type="dxa"/>
            <w:vAlign w:val="center"/>
          </w:tcPr>
          <w:p w14:paraId="0846011E">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vAlign w:val="center"/>
          </w:tcPr>
          <w:p w14:paraId="094D88A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加强基层组织思想建设，夯实共同的思想政治基础</w:t>
            </w:r>
          </w:p>
        </w:tc>
        <w:tc>
          <w:tcPr>
            <w:tcW w:w="1209" w:type="dxa"/>
            <w:vAlign w:val="center"/>
          </w:tcPr>
          <w:p w14:paraId="11D3BA9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vAlign w:val="center"/>
          </w:tcPr>
          <w:p w14:paraId="7A2B430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　</w:t>
            </w:r>
          </w:p>
        </w:tc>
        <w:tc>
          <w:tcPr>
            <w:tcW w:w="828" w:type="dxa"/>
            <w:vAlign w:val="center"/>
          </w:tcPr>
          <w:p w14:paraId="518651D2">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55699BE4">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7866E2D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950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0E33EDA1">
            <w:pPr>
              <w:widowControl/>
              <w:spacing w:line="280" w:lineRule="exact"/>
              <w:jc w:val="left"/>
              <w:rPr>
                <w:rFonts w:ascii="仿宋" w:hAnsi="仿宋" w:eastAsia="仿宋" w:cs="仿宋"/>
                <w:color w:val="000000"/>
                <w:kern w:val="0"/>
                <w:sz w:val="20"/>
                <w:szCs w:val="20"/>
              </w:rPr>
            </w:pPr>
          </w:p>
        </w:tc>
        <w:tc>
          <w:tcPr>
            <w:tcW w:w="1080" w:type="dxa"/>
            <w:vAlign w:val="center"/>
          </w:tcPr>
          <w:p w14:paraId="5054CE46">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FC1E87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71BA1B7">
            <w:pPr>
              <w:widowControl/>
              <w:spacing w:line="280" w:lineRule="exact"/>
              <w:jc w:val="center"/>
              <w:rPr>
                <w:rFonts w:ascii="仿宋" w:hAnsi="仿宋" w:eastAsia="仿宋" w:cs="仿宋"/>
                <w:color w:val="000000"/>
                <w:kern w:val="0"/>
                <w:sz w:val="20"/>
                <w:szCs w:val="20"/>
              </w:rPr>
            </w:pPr>
          </w:p>
        </w:tc>
        <w:tc>
          <w:tcPr>
            <w:tcW w:w="1080" w:type="dxa"/>
            <w:vAlign w:val="center"/>
          </w:tcPr>
          <w:p w14:paraId="4E29396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vAlign w:val="center"/>
          </w:tcPr>
          <w:p w14:paraId="549F84D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09" w:type="dxa"/>
            <w:vAlign w:val="center"/>
          </w:tcPr>
          <w:p w14:paraId="6B3CD3C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vAlign w:val="center"/>
          </w:tcPr>
          <w:p w14:paraId="68A7952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vAlign w:val="center"/>
          </w:tcPr>
          <w:p w14:paraId="1BF4356C">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17C80DB4">
            <w:pPr>
              <w:widowControl/>
              <w:spacing w:line="280" w:lineRule="exact"/>
              <w:jc w:val="left"/>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vAlign w:val="center"/>
          </w:tcPr>
          <w:p w14:paraId="5CB8D23F">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D6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D440287">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0BEF2C83">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61F445A8">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94.86</w:t>
            </w:r>
          </w:p>
        </w:tc>
        <w:tc>
          <w:tcPr>
            <w:tcW w:w="1418" w:type="dxa"/>
            <w:vAlign w:val="center"/>
          </w:tcPr>
          <w:p w14:paraId="7AA6747F">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9B92596">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王莹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16674521577</w:t>
      </w:r>
    </w:p>
    <w:p w14:paraId="16869AE7">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p>
    <w:p w14:paraId="0072928D">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p>
    <w:p w14:paraId="4ABE5EAE">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79D89CBA">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757892D1">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5C6B193B">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798ED1A6">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16ADBBA4">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214AA0DB">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4D2A28CC">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3ACB7F9C">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3FDAAEE1">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6434DA2C">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19ADD6AF">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39AB2439">
      <w:pPr>
        <w:pStyle w:val="6"/>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highlight w:val="none"/>
          <w:shd w:val="clear" w:color="auto" w:fill="FFFFFF"/>
        </w:rPr>
      </w:pPr>
    </w:p>
    <w:p w14:paraId="29EC955C">
      <w:pPr>
        <w:pStyle w:val="6"/>
        <w:widowControl/>
        <w:shd w:val="clear" w:color="auto" w:fill="FFFFFF"/>
        <w:spacing w:beforeAutospacing="0" w:afterAutospacing="0" w:line="480" w:lineRule="exact"/>
        <w:jc w:val="both"/>
        <w:rPr>
          <w:rFonts w:ascii="Cambria" w:hAnsi="Cambria" w:eastAsia="方正小标宋_GBK" w:cs="方正小标宋_GBK"/>
          <w:color w:val="000000"/>
          <w:highlight w:val="none"/>
          <w:shd w:val="clear" w:color="auto" w:fill="FFFFFF"/>
        </w:rPr>
      </w:pPr>
      <w:r>
        <w:rPr>
          <w:rFonts w:hint="eastAsia" w:ascii="方正小标宋_GBK" w:hAnsi="方正小标宋_GBK" w:eastAsia="方正小标宋_GBK" w:cs="方正小标宋_GBK"/>
          <w:color w:val="000000"/>
          <w:highlight w:val="none"/>
          <w:shd w:val="clear" w:color="auto" w:fill="FFFFFF"/>
        </w:rPr>
        <w:t>附件3</w:t>
      </w:r>
      <w:r>
        <w:rPr>
          <w:rFonts w:ascii="Cambria" w:hAnsi="Cambria" w:eastAsia="方正小标宋_GBK" w:cs="方正小标宋_GBK"/>
          <w:color w:val="000000"/>
          <w:highlight w:val="none"/>
          <w:shd w:val="clear" w:color="auto" w:fill="FFFFFF"/>
        </w:rPr>
        <w:t>-2</w:t>
      </w:r>
    </w:p>
    <w:p w14:paraId="2C6AA412">
      <w:pPr>
        <w:widowControl/>
        <w:tabs>
          <w:tab w:val="left" w:pos="3611"/>
          <w:tab w:val="left" w:pos="4791"/>
          <w:tab w:val="left" w:pos="5951"/>
          <w:tab w:val="left" w:pos="7071"/>
          <w:tab w:val="left" w:pos="8191"/>
          <w:tab w:val="left" w:pos="9311"/>
        </w:tabs>
        <w:snapToGrid w:val="0"/>
        <w:spacing w:line="440" w:lineRule="atLeast"/>
        <w:jc w:val="center"/>
        <w:rPr>
          <w:rFonts w:ascii="方正小标宋_GBK" w:hAnsi="方正小标宋_GBK" w:eastAsia="方正小标宋_GBK" w:cs="方正小标宋_GBK"/>
          <w:color w:val="000000"/>
          <w:kern w:val="0"/>
          <w:sz w:val="28"/>
          <w:szCs w:val="28"/>
          <w:highlight w:val="none"/>
          <w:shd w:val="clear" w:color="auto" w:fill="FFFFFF"/>
          <w:lang w:bidi="ar"/>
        </w:rPr>
      </w:pPr>
      <w:r>
        <w:rPr>
          <w:rFonts w:hint="eastAsia" w:ascii="方正小标宋_GBK" w:hAnsi="方正小标宋_GBK" w:eastAsia="方正小标宋_GBK" w:cs="方正小标宋_GBK"/>
          <w:color w:val="000000"/>
          <w:kern w:val="0"/>
          <w:sz w:val="28"/>
          <w:szCs w:val="28"/>
          <w:highlight w:val="none"/>
          <w:shd w:val="clear" w:color="auto" w:fill="FFFFFF"/>
          <w:lang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149"/>
        <w:gridCol w:w="1287"/>
        <w:gridCol w:w="1317"/>
        <w:gridCol w:w="683"/>
        <w:gridCol w:w="900"/>
        <w:gridCol w:w="1275"/>
      </w:tblGrid>
      <w:tr w14:paraId="2A2B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BD5FFDA">
            <w:pPr>
              <w:widowControl/>
              <w:spacing w:line="280" w:lineRule="exact"/>
              <w:jc w:val="center"/>
              <w:rPr>
                <w:rFonts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项目支</w:t>
            </w:r>
          </w:p>
          <w:p w14:paraId="75838688">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18"/>
                <w:szCs w:val="18"/>
                <w:highlight w:val="none"/>
              </w:rPr>
              <w:t>出名称</w:t>
            </w:r>
          </w:p>
        </w:tc>
        <w:tc>
          <w:tcPr>
            <w:tcW w:w="8771" w:type="dxa"/>
            <w:gridSpan w:val="8"/>
            <w:vAlign w:val="center"/>
          </w:tcPr>
          <w:p w14:paraId="489087EB">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市政协委员工作室建设和运行经费</w:t>
            </w:r>
          </w:p>
        </w:tc>
      </w:tr>
      <w:tr w14:paraId="7100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315911B5">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主管部门</w:t>
            </w:r>
          </w:p>
        </w:tc>
        <w:tc>
          <w:tcPr>
            <w:tcW w:w="4596" w:type="dxa"/>
            <w:gridSpan w:val="4"/>
            <w:vAlign w:val="center"/>
          </w:tcPr>
          <w:p w14:paraId="4199E934">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317" w:type="dxa"/>
            <w:vAlign w:val="center"/>
          </w:tcPr>
          <w:p w14:paraId="1AB8B831">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实施单位</w:t>
            </w:r>
          </w:p>
        </w:tc>
        <w:tc>
          <w:tcPr>
            <w:tcW w:w="2858" w:type="dxa"/>
            <w:gridSpan w:val="3"/>
            <w:vAlign w:val="center"/>
          </w:tcPr>
          <w:p w14:paraId="1CC6BD04">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r>
      <w:tr w14:paraId="0FF0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1ECAFF9">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项目资金</w:t>
            </w:r>
            <w:r>
              <w:rPr>
                <w:rFonts w:hint="eastAsia" w:ascii="仿宋" w:hAnsi="仿宋" w:eastAsia="仿宋" w:cs="仿宋"/>
                <w:color w:val="000000"/>
                <w:kern w:val="0"/>
                <w:sz w:val="20"/>
                <w:szCs w:val="20"/>
                <w:highlight w:val="none"/>
              </w:rPr>
              <w:br w:type="textWrapping"/>
            </w:r>
            <w:r>
              <w:rPr>
                <w:rFonts w:hint="eastAsia" w:ascii="仿宋" w:hAnsi="仿宋" w:eastAsia="仿宋" w:cs="仿宋"/>
                <w:color w:val="000000"/>
                <w:kern w:val="0"/>
                <w:sz w:val="20"/>
                <w:szCs w:val="20"/>
                <w:highlight w:val="none"/>
              </w:rPr>
              <w:t>（万元）</w:t>
            </w:r>
          </w:p>
        </w:tc>
        <w:tc>
          <w:tcPr>
            <w:tcW w:w="2160" w:type="dxa"/>
            <w:gridSpan w:val="2"/>
            <w:vAlign w:val="center"/>
          </w:tcPr>
          <w:p w14:paraId="62A529D1">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149" w:type="dxa"/>
            <w:vAlign w:val="center"/>
          </w:tcPr>
          <w:p w14:paraId="79A37231">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年初</w:t>
            </w:r>
          </w:p>
          <w:p w14:paraId="6352A99F">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预算数</w:t>
            </w:r>
          </w:p>
        </w:tc>
        <w:tc>
          <w:tcPr>
            <w:tcW w:w="1287" w:type="dxa"/>
            <w:vAlign w:val="center"/>
          </w:tcPr>
          <w:p w14:paraId="0176D49B">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全年</w:t>
            </w:r>
          </w:p>
          <w:p w14:paraId="6AF90EAC">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预算数</w:t>
            </w:r>
          </w:p>
        </w:tc>
        <w:tc>
          <w:tcPr>
            <w:tcW w:w="1317" w:type="dxa"/>
            <w:vAlign w:val="center"/>
          </w:tcPr>
          <w:p w14:paraId="2A1B57D3">
            <w:pPr>
              <w:widowControl/>
              <w:spacing w:line="280" w:lineRule="exact"/>
              <w:jc w:val="center"/>
              <w:rPr>
                <w:rFonts w:ascii="仿宋" w:hAnsi="仿宋" w:eastAsia="仿宋" w:cs="仿宋"/>
                <w:sz w:val="20"/>
                <w:szCs w:val="20"/>
                <w:highlight w:val="none"/>
              </w:rPr>
            </w:pPr>
            <w:r>
              <w:rPr>
                <w:rFonts w:hint="eastAsia" w:ascii="仿宋" w:hAnsi="仿宋" w:eastAsia="仿宋" w:cs="仿宋"/>
                <w:sz w:val="20"/>
                <w:szCs w:val="20"/>
                <w:highlight w:val="none"/>
              </w:rPr>
              <w:t>全年</w:t>
            </w:r>
          </w:p>
          <w:p w14:paraId="0A74D004">
            <w:pPr>
              <w:widowControl/>
              <w:spacing w:line="280" w:lineRule="exact"/>
              <w:jc w:val="center"/>
              <w:rPr>
                <w:rFonts w:ascii="仿宋" w:hAnsi="仿宋" w:eastAsia="仿宋" w:cs="仿宋"/>
                <w:sz w:val="20"/>
                <w:szCs w:val="20"/>
                <w:highlight w:val="none"/>
              </w:rPr>
            </w:pPr>
            <w:r>
              <w:rPr>
                <w:rFonts w:hint="eastAsia" w:ascii="仿宋" w:hAnsi="仿宋" w:eastAsia="仿宋" w:cs="仿宋"/>
                <w:sz w:val="20"/>
                <w:szCs w:val="20"/>
                <w:highlight w:val="none"/>
              </w:rPr>
              <w:t>执行数</w:t>
            </w:r>
          </w:p>
        </w:tc>
        <w:tc>
          <w:tcPr>
            <w:tcW w:w="683" w:type="dxa"/>
            <w:vAlign w:val="center"/>
          </w:tcPr>
          <w:p w14:paraId="62AD8313">
            <w:pPr>
              <w:widowControl/>
              <w:spacing w:line="280" w:lineRule="exact"/>
              <w:jc w:val="center"/>
              <w:rPr>
                <w:rFonts w:ascii="仿宋" w:hAnsi="仿宋" w:eastAsia="仿宋" w:cs="仿宋"/>
                <w:sz w:val="20"/>
                <w:szCs w:val="20"/>
                <w:highlight w:val="none"/>
              </w:rPr>
            </w:pPr>
            <w:r>
              <w:rPr>
                <w:rFonts w:hint="eastAsia" w:ascii="仿宋" w:hAnsi="仿宋" w:eastAsia="仿宋" w:cs="仿宋"/>
                <w:sz w:val="20"/>
                <w:szCs w:val="20"/>
                <w:highlight w:val="none"/>
              </w:rPr>
              <w:t>分值</w:t>
            </w:r>
          </w:p>
        </w:tc>
        <w:tc>
          <w:tcPr>
            <w:tcW w:w="900" w:type="dxa"/>
            <w:vAlign w:val="center"/>
          </w:tcPr>
          <w:p w14:paraId="02871850">
            <w:pPr>
              <w:widowControl/>
              <w:spacing w:line="280" w:lineRule="exact"/>
              <w:jc w:val="center"/>
              <w:rPr>
                <w:rFonts w:ascii="仿宋" w:hAnsi="仿宋" w:eastAsia="仿宋" w:cs="仿宋"/>
                <w:sz w:val="20"/>
                <w:szCs w:val="20"/>
                <w:highlight w:val="none"/>
              </w:rPr>
            </w:pPr>
            <w:r>
              <w:rPr>
                <w:rFonts w:hint="eastAsia" w:ascii="仿宋" w:hAnsi="仿宋" w:eastAsia="仿宋" w:cs="仿宋"/>
                <w:sz w:val="20"/>
                <w:szCs w:val="20"/>
                <w:highlight w:val="none"/>
              </w:rPr>
              <w:t>执行率</w:t>
            </w:r>
          </w:p>
        </w:tc>
        <w:tc>
          <w:tcPr>
            <w:tcW w:w="1275" w:type="dxa"/>
            <w:vAlign w:val="center"/>
          </w:tcPr>
          <w:p w14:paraId="05EA9AD1">
            <w:pPr>
              <w:widowControl/>
              <w:spacing w:line="280" w:lineRule="exact"/>
              <w:jc w:val="center"/>
              <w:rPr>
                <w:rFonts w:ascii="仿宋" w:hAnsi="仿宋" w:eastAsia="仿宋" w:cs="仿宋"/>
                <w:sz w:val="20"/>
                <w:szCs w:val="20"/>
                <w:highlight w:val="none"/>
              </w:rPr>
            </w:pPr>
            <w:r>
              <w:rPr>
                <w:rFonts w:hint="eastAsia" w:ascii="仿宋" w:hAnsi="仿宋" w:eastAsia="仿宋" w:cs="仿宋"/>
                <w:sz w:val="20"/>
                <w:szCs w:val="20"/>
                <w:highlight w:val="none"/>
              </w:rPr>
              <w:t>得分</w:t>
            </w:r>
          </w:p>
        </w:tc>
      </w:tr>
      <w:tr w14:paraId="5DE3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D3B6E47">
            <w:pPr>
              <w:widowControl/>
              <w:spacing w:line="280" w:lineRule="exact"/>
              <w:jc w:val="left"/>
              <w:rPr>
                <w:rFonts w:ascii="仿宋" w:hAnsi="仿宋" w:eastAsia="仿宋" w:cs="仿宋"/>
                <w:color w:val="000000"/>
                <w:kern w:val="0"/>
                <w:sz w:val="20"/>
                <w:szCs w:val="20"/>
                <w:highlight w:val="none"/>
              </w:rPr>
            </w:pPr>
          </w:p>
        </w:tc>
        <w:tc>
          <w:tcPr>
            <w:tcW w:w="2160" w:type="dxa"/>
            <w:gridSpan w:val="2"/>
            <w:vAlign w:val="center"/>
          </w:tcPr>
          <w:p w14:paraId="4841DAA2">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年度资金总额　</w:t>
            </w:r>
          </w:p>
        </w:tc>
        <w:tc>
          <w:tcPr>
            <w:tcW w:w="1149" w:type="dxa"/>
            <w:vAlign w:val="center"/>
          </w:tcPr>
          <w:p w14:paraId="5701E849">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287" w:type="dxa"/>
            <w:vAlign w:val="center"/>
          </w:tcPr>
          <w:p w14:paraId="501463A5">
            <w:pPr>
              <w:widowControl/>
              <w:spacing w:line="280" w:lineRule="exact"/>
              <w:jc w:val="left"/>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2</w:t>
            </w:r>
          </w:p>
        </w:tc>
        <w:tc>
          <w:tcPr>
            <w:tcW w:w="1317" w:type="dxa"/>
            <w:vAlign w:val="center"/>
          </w:tcPr>
          <w:p w14:paraId="7FD791B9">
            <w:pPr>
              <w:widowControl/>
              <w:spacing w:line="280" w:lineRule="exact"/>
              <w:jc w:val="left"/>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2</w:t>
            </w:r>
          </w:p>
        </w:tc>
        <w:tc>
          <w:tcPr>
            <w:tcW w:w="683" w:type="dxa"/>
            <w:vAlign w:val="center"/>
          </w:tcPr>
          <w:p w14:paraId="2C79F566">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10</w:t>
            </w:r>
          </w:p>
        </w:tc>
        <w:tc>
          <w:tcPr>
            <w:tcW w:w="900" w:type="dxa"/>
            <w:vAlign w:val="center"/>
          </w:tcPr>
          <w:p w14:paraId="2E683FB7">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100%</w:t>
            </w:r>
            <w:r>
              <w:rPr>
                <w:rFonts w:hint="eastAsia" w:ascii="仿宋" w:hAnsi="仿宋" w:eastAsia="仿宋" w:cs="仿宋"/>
                <w:color w:val="000000"/>
                <w:kern w:val="0"/>
                <w:sz w:val="20"/>
                <w:szCs w:val="20"/>
                <w:highlight w:val="none"/>
              </w:rPr>
              <w:t>　</w:t>
            </w:r>
          </w:p>
        </w:tc>
        <w:tc>
          <w:tcPr>
            <w:tcW w:w="1275" w:type="dxa"/>
            <w:vAlign w:val="center"/>
          </w:tcPr>
          <w:p w14:paraId="29B926EE">
            <w:pPr>
              <w:widowControl/>
              <w:spacing w:line="280" w:lineRule="exact"/>
              <w:jc w:val="left"/>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w:t>
            </w:r>
          </w:p>
        </w:tc>
      </w:tr>
      <w:tr w14:paraId="2EA0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B9CCAC3">
            <w:pPr>
              <w:widowControl/>
              <w:spacing w:line="280" w:lineRule="exact"/>
              <w:jc w:val="left"/>
              <w:rPr>
                <w:rFonts w:ascii="仿宋" w:hAnsi="仿宋" w:eastAsia="仿宋" w:cs="仿宋"/>
                <w:color w:val="000000"/>
                <w:kern w:val="0"/>
                <w:sz w:val="20"/>
                <w:szCs w:val="20"/>
                <w:highlight w:val="none"/>
              </w:rPr>
            </w:pPr>
          </w:p>
        </w:tc>
        <w:tc>
          <w:tcPr>
            <w:tcW w:w="2160" w:type="dxa"/>
            <w:gridSpan w:val="2"/>
            <w:vAlign w:val="center"/>
          </w:tcPr>
          <w:p w14:paraId="0E9BC61F">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其中：当年财政拨款　</w:t>
            </w:r>
          </w:p>
        </w:tc>
        <w:tc>
          <w:tcPr>
            <w:tcW w:w="1149" w:type="dxa"/>
            <w:vAlign w:val="center"/>
          </w:tcPr>
          <w:p w14:paraId="2BBD27BD">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287" w:type="dxa"/>
            <w:vAlign w:val="center"/>
          </w:tcPr>
          <w:p w14:paraId="6E599080">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317" w:type="dxa"/>
            <w:vAlign w:val="center"/>
          </w:tcPr>
          <w:p w14:paraId="3249ECFA">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683" w:type="dxa"/>
            <w:vAlign w:val="center"/>
          </w:tcPr>
          <w:p w14:paraId="4EA3ED7F">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900" w:type="dxa"/>
            <w:vAlign w:val="center"/>
          </w:tcPr>
          <w:p w14:paraId="2B9A097B">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275" w:type="dxa"/>
            <w:vAlign w:val="center"/>
          </w:tcPr>
          <w:p w14:paraId="1596315C">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r>
      <w:tr w14:paraId="1E73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04CA2D2">
            <w:pPr>
              <w:widowControl/>
              <w:spacing w:line="280" w:lineRule="exact"/>
              <w:jc w:val="left"/>
              <w:rPr>
                <w:rFonts w:ascii="仿宋" w:hAnsi="仿宋" w:eastAsia="仿宋" w:cs="仿宋"/>
                <w:color w:val="000000"/>
                <w:kern w:val="0"/>
                <w:sz w:val="20"/>
                <w:szCs w:val="20"/>
                <w:highlight w:val="none"/>
              </w:rPr>
            </w:pPr>
          </w:p>
        </w:tc>
        <w:tc>
          <w:tcPr>
            <w:tcW w:w="2160" w:type="dxa"/>
            <w:gridSpan w:val="2"/>
            <w:vAlign w:val="center"/>
          </w:tcPr>
          <w:p w14:paraId="20B98FA4">
            <w:pPr>
              <w:widowControl/>
              <w:spacing w:line="280" w:lineRule="exact"/>
              <w:ind w:firstLine="600" w:firstLineChars="300"/>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上年结转资金　</w:t>
            </w:r>
          </w:p>
        </w:tc>
        <w:tc>
          <w:tcPr>
            <w:tcW w:w="1149" w:type="dxa"/>
            <w:vAlign w:val="center"/>
          </w:tcPr>
          <w:p w14:paraId="259706F3">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287" w:type="dxa"/>
            <w:vAlign w:val="center"/>
          </w:tcPr>
          <w:p w14:paraId="060C8A1F">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317" w:type="dxa"/>
            <w:vAlign w:val="center"/>
          </w:tcPr>
          <w:p w14:paraId="0317F223">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683" w:type="dxa"/>
            <w:vAlign w:val="center"/>
          </w:tcPr>
          <w:p w14:paraId="6A1DB722">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900" w:type="dxa"/>
            <w:vAlign w:val="center"/>
          </w:tcPr>
          <w:p w14:paraId="1E516FB1">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275" w:type="dxa"/>
            <w:vAlign w:val="center"/>
          </w:tcPr>
          <w:p w14:paraId="222DFA0F">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r>
      <w:tr w14:paraId="11E5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4981601">
            <w:pPr>
              <w:widowControl/>
              <w:spacing w:line="280" w:lineRule="exact"/>
              <w:jc w:val="left"/>
              <w:rPr>
                <w:rFonts w:ascii="仿宋" w:hAnsi="仿宋" w:eastAsia="仿宋" w:cs="仿宋"/>
                <w:color w:val="000000"/>
                <w:kern w:val="0"/>
                <w:sz w:val="20"/>
                <w:szCs w:val="20"/>
                <w:highlight w:val="none"/>
              </w:rPr>
            </w:pPr>
          </w:p>
        </w:tc>
        <w:tc>
          <w:tcPr>
            <w:tcW w:w="2160" w:type="dxa"/>
            <w:gridSpan w:val="2"/>
            <w:vAlign w:val="center"/>
          </w:tcPr>
          <w:p w14:paraId="4FF9C067">
            <w:pPr>
              <w:widowControl/>
              <w:spacing w:line="280" w:lineRule="exact"/>
              <w:ind w:firstLine="600" w:firstLineChars="300"/>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其他资金</w:t>
            </w:r>
          </w:p>
        </w:tc>
        <w:tc>
          <w:tcPr>
            <w:tcW w:w="1149" w:type="dxa"/>
            <w:vAlign w:val="center"/>
          </w:tcPr>
          <w:p w14:paraId="45022A01">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287" w:type="dxa"/>
            <w:vAlign w:val="center"/>
          </w:tcPr>
          <w:p w14:paraId="5D89D268">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317" w:type="dxa"/>
            <w:vAlign w:val="center"/>
          </w:tcPr>
          <w:p w14:paraId="5E0E7341">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683" w:type="dxa"/>
            <w:vAlign w:val="center"/>
          </w:tcPr>
          <w:p w14:paraId="2D8275E1">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900" w:type="dxa"/>
            <w:vAlign w:val="center"/>
          </w:tcPr>
          <w:p w14:paraId="1DCBE65B">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c>
          <w:tcPr>
            <w:tcW w:w="1275" w:type="dxa"/>
            <w:vAlign w:val="center"/>
          </w:tcPr>
          <w:p w14:paraId="0549539B">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r>
      <w:tr w14:paraId="2144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1391AE9">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年度总体目标</w:t>
            </w:r>
          </w:p>
        </w:tc>
        <w:tc>
          <w:tcPr>
            <w:tcW w:w="4596" w:type="dxa"/>
            <w:gridSpan w:val="4"/>
            <w:vAlign w:val="center"/>
          </w:tcPr>
          <w:p w14:paraId="061F9422">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预期目标</w:t>
            </w:r>
          </w:p>
        </w:tc>
        <w:tc>
          <w:tcPr>
            <w:tcW w:w="4175" w:type="dxa"/>
            <w:gridSpan w:val="4"/>
            <w:vAlign w:val="center"/>
          </w:tcPr>
          <w:p w14:paraId="28FFC253">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2E8F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E69FAB6">
            <w:pPr>
              <w:widowControl/>
              <w:spacing w:line="280" w:lineRule="exact"/>
              <w:jc w:val="left"/>
              <w:rPr>
                <w:rFonts w:ascii="仿宋" w:hAnsi="仿宋" w:eastAsia="仿宋" w:cs="仿宋"/>
                <w:color w:val="000000"/>
                <w:kern w:val="0"/>
                <w:sz w:val="20"/>
                <w:szCs w:val="20"/>
                <w:highlight w:val="none"/>
              </w:rPr>
            </w:pPr>
          </w:p>
        </w:tc>
        <w:tc>
          <w:tcPr>
            <w:tcW w:w="4596" w:type="dxa"/>
            <w:gridSpan w:val="4"/>
            <w:vAlign w:val="center"/>
          </w:tcPr>
          <w:p w14:paraId="78E34922">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用于</w:t>
            </w:r>
            <w:r>
              <w:rPr>
                <w:rFonts w:hint="eastAsia" w:ascii="仿宋" w:hAnsi="仿宋" w:eastAsia="仿宋" w:cs="仿宋"/>
                <w:color w:val="000000"/>
                <w:kern w:val="0"/>
                <w:sz w:val="20"/>
                <w:szCs w:val="20"/>
                <w:highlight w:val="none"/>
              </w:rPr>
              <w:t>市政协委员工作室建设和运行经费</w:t>
            </w:r>
            <w:r>
              <w:rPr>
                <w:rFonts w:hint="eastAsia" w:ascii="仿宋" w:hAnsi="仿宋" w:eastAsia="仿宋" w:cs="仿宋"/>
                <w:color w:val="000000"/>
                <w:kern w:val="0"/>
                <w:sz w:val="20"/>
                <w:szCs w:val="20"/>
                <w:highlight w:val="none"/>
                <w:lang w:val="en-US" w:eastAsia="zh-CN"/>
              </w:rPr>
              <w:t>支出</w:t>
            </w:r>
            <w:r>
              <w:rPr>
                <w:rFonts w:hint="eastAsia" w:ascii="仿宋" w:hAnsi="仿宋" w:eastAsia="仿宋" w:cs="仿宋"/>
                <w:color w:val="000000"/>
                <w:kern w:val="0"/>
                <w:sz w:val="20"/>
                <w:szCs w:val="20"/>
                <w:highlight w:val="none"/>
              </w:rPr>
              <w:t>　　</w:t>
            </w:r>
          </w:p>
        </w:tc>
        <w:tc>
          <w:tcPr>
            <w:tcW w:w="4175" w:type="dxa"/>
            <w:gridSpan w:val="4"/>
            <w:vAlign w:val="center"/>
          </w:tcPr>
          <w:p w14:paraId="709203D6">
            <w:pPr>
              <w:widowControl/>
              <w:spacing w:line="280" w:lineRule="exact"/>
              <w:jc w:val="left"/>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用于</w:t>
            </w:r>
            <w:r>
              <w:rPr>
                <w:rFonts w:hint="eastAsia" w:ascii="仿宋" w:hAnsi="仿宋" w:eastAsia="仿宋" w:cs="仿宋"/>
                <w:color w:val="000000"/>
                <w:kern w:val="0"/>
                <w:sz w:val="20"/>
                <w:szCs w:val="20"/>
                <w:highlight w:val="none"/>
              </w:rPr>
              <w:t>市政协委员工作室建设和运行经费</w:t>
            </w:r>
            <w:r>
              <w:rPr>
                <w:rFonts w:hint="eastAsia" w:ascii="仿宋" w:hAnsi="仿宋" w:eastAsia="仿宋" w:cs="仿宋"/>
                <w:color w:val="000000"/>
                <w:kern w:val="0"/>
                <w:sz w:val="20"/>
                <w:szCs w:val="20"/>
                <w:highlight w:val="none"/>
                <w:lang w:val="en-US" w:eastAsia="zh-CN"/>
              </w:rPr>
              <w:t>支出</w:t>
            </w:r>
          </w:p>
        </w:tc>
      </w:tr>
      <w:tr w14:paraId="2C9D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80" w:type="dxa"/>
            <w:vMerge w:val="restart"/>
            <w:vAlign w:val="center"/>
          </w:tcPr>
          <w:p w14:paraId="3EAE1051">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绩</w:t>
            </w:r>
          </w:p>
          <w:p w14:paraId="69D8DB39">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效</w:t>
            </w:r>
          </w:p>
          <w:p w14:paraId="2ECEF0E5">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指</w:t>
            </w:r>
          </w:p>
          <w:p w14:paraId="3A4B9EE4">
            <w:pPr>
              <w:widowControl/>
              <w:spacing w:line="280" w:lineRule="exact"/>
              <w:jc w:val="center"/>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标</w:t>
            </w:r>
          </w:p>
        </w:tc>
        <w:tc>
          <w:tcPr>
            <w:tcW w:w="1080" w:type="dxa"/>
            <w:shd w:val="clear" w:color="auto" w:fill="auto"/>
            <w:vAlign w:val="center"/>
          </w:tcPr>
          <w:p w14:paraId="776B78D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一级指标</w:t>
            </w:r>
          </w:p>
        </w:tc>
        <w:tc>
          <w:tcPr>
            <w:tcW w:w="1080" w:type="dxa"/>
            <w:shd w:val="clear" w:color="auto" w:fill="auto"/>
            <w:vAlign w:val="center"/>
          </w:tcPr>
          <w:p w14:paraId="251E1D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二级指标</w:t>
            </w:r>
          </w:p>
        </w:tc>
        <w:tc>
          <w:tcPr>
            <w:tcW w:w="1149" w:type="dxa"/>
            <w:shd w:val="clear" w:color="auto" w:fill="auto"/>
            <w:vAlign w:val="center"/>
          </w:tcPr>
          <w:p w14:paraId="2DB740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三级指标</w:t>
            </w:r>
          </w:p>
        </w:tc>
        <w:tc>
          <w:tcPr>
            <w:tcW w:w="1287" w:type="dxa"/>
            <w:shd w:val="clear" w:color="auto" w:fill="auto"/>
            <w:vAlign w:val="center"/>
          </w:tcPr>
          <w:p w14:paraId="406D89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年度</w:t>
            </w:r>
          </w:p>
          <w:p w14:paraId="137DFF6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指标值</w:t>
            </w:r>
          </w:p>
        </w:tc>
        <w:tc>
          <w:tcPr>
            <w:tcW w:w="1317" w:type="dxa"/>
            <w:shd w:val="clear" w:color="auto" w:fill="auto"/>
            <w:vAlign w:val="center"/>
          </w:tcPr>
          <w:p w14:paraId="43644F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w:t>
            </w:r>
          </w:p>
          <w:p w14:paraId="0A121C0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完成值</w:t>
            </w:r>
          </w:p>
        </w:tc>
        <w:tc>
          <w:tcPr>
            <w:tcW w:w="683" w:type="dxa"/>
            <w:shd w:val="clear" w:color="auto" w:fill="auto"/>
            <w:vAlign w:val="center"/>
          </w:tcPr>
          <w:p w14:paraId="165621E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分值</w:t>
            </w:r>
          </w:p>
        </w:tc>
        <w:tc>
          <w:tcPr>
            <w:tcW w:w="900" w:type="dxa"/>
            <w:shd w:val="clear" w:color="auto" w:fill="auto"/>
            <w:vAlign w:val="center"/>
          </w:tcPr>
          <w:p w14:paraId="5792FEB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得分</w:t>
            </w:r>
          </w:p>
        </w:tc>
        <w:tc>
          <w:tcPr>
            <w:tcW w:w="1275" w:type="dxa"/>
            <w:shd w:val="clear" w:color="auto" w:fill="auto"/>
            <w:vAlign w:val="center"/>
          </w:tcPr>
          <w:p w14:paraId="7D426F1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偏差原因</w:t>
            </w:r>
          </w:p>
          <w:p w14:paraId="545D684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分析及</w:t>
            </w:r>
          </w:p>
          <w:p w14:paraId="6E1E4F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改进措施</w:t>
            </w:r>
          </w:p>
        </w:tc>
      </w:tr>
      <w:tr w14:paraId="22F2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92F4A4D">
            <w:pPr>
              <w:widowControl/>
              <w:spacing w:line="280" w:lineRule="exact"/>
              <w:jc w:val="left"/>
              <w:rPr>
                <w:rFonts w:ascii="仿宋" w:hAnsi="仿宋" w:eastAsia="仿宋" w:cs="仿宋"/>
                <w:color w:val="000000"/>
                <w:kern w:val="0"/>
                <w:sz w:val="20"/>
                <w:szCs w:val="20"/>
                <w:highlight w:val="none"/>
              </w:rPr>
            </w:pPr>
          </w:p>
        </w:tc>
        <w:tc>
          <w:tcPr>
            <w:tcW w:w="1080" w:type="dxa"/>
            <w:vMerge w:val="restart"/>
            <w:shd w:val="clear" w:color="auto" w:fill="auto"/>
            <w:vAlign w:val="center"/>
          </w:tcPr>
          <w:p w14:paraId="38A96A3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eastAsia="zh-CN"/>
              </w:rPr>
              <w:t>成本指标</w:t>
            </w:r>
          </w:p>
          <w:p w14:paraId="0E8EFD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产出指标</w:t>
            </w:r>
          </w:p>
          <w:p w14:paraId="173068CA">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ascii="仿宋" w:hAnsi="仿宋" w:eastAsia="仿宋" w:cs="仿宋"/>
                <w:color w:val="000000"/>
                <w:kern w:val="0"/>
                <w:sz w:val="20"/>
                <w:szCs w:val="20"/>
                <w:highlight w:val="none"/>
              </w:rPr>
            </w:pPr>
          </w:p>
        </w:tc>
        <w:tc>
          <w:tcPr>
            <w:tcW w:w="1080" w:type="dxa"/>
            <w:shd w:val="clear" w:color="auto" w:fill="auto"/>
            <w:vAlign w:val="center"/>
          </w:tcPr>
          <w:p w14:paraId="45B80CD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eastAsia="zh-CN"/>
              </w:rPr>
              <w:t>经济成本指标</w:t>
            </w:r>
          </w:p>
          <w:p w14:paraId="15768BD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p>
        </w:tc>
        <w:tc>
          <w:tcPr>
            <w:tcW w:w="1149" w:type="dxa"/>
            <w:shd w:val="clear" w:color="auto" w:fill="auto"/>
            <w:vAlign w:val="center"/>
          </w:tcPr>
          <w:p w14:paraId="2D64F1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项目成本控制</w:t>
            </w:r>
          </w:p>
        </w:tc>
        <w:tc>
          <w:tcPr>
            <w:tcW w:w="1287" w:type="dxa"/>
            <w:shd w:val="clear" w:color="auto" w:fill="auto"/>
            <w:vAlign w:val="center"/>
          </w:tcPr>
          <w:p w14:paraId="14CB5EB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≤2万元</w:t>
            </w:r>
          </w:p>
        </w:tc>
        <w:tc>
          <w:tcPr>
            <w:tcW w:w="1317" w:type="dxa"/>
            <w:shd w:val="clear" w:color="auto" w:fill="auto"/>
            <w:vAlign w:val="center"/>
          </w:tcPr>
          <w:p w14:paraId="6CE30D9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2万元</w:t>
            </w:r>
          </w:p>
        </w:tc>
        <w:tc>
          <w:tcPr>
            <w:tcW w:w="683" w:type="dxa"/>
            <w:shd w:val="clear" w:color="auto" w:fill="auto"/>
            <w:vAlign w:val="center"/>
          </w:tcPr>
          <w:p w14:paraId="73025A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20</w:t>
            </w:r>
          </w:p>
        </w:tc>
        <w:tc>
          <w:tcPr>
            <w:tcW w:w="900" w:type="dxa"/>
            <w:shd w:val="clear" w:color="auto" w:fill="auto"/>
            <w:vAlign w:val="center"/>
          </w:tcPr>
          <w:p w14:paraId="44C6A0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20</w:t>
            </w:r>
          </w:p>
        </w:tc>
        <w:tc>
          <w:tcPr>
            <w:tcW w:w="1275" w:type="dxa"/>
            <w:shd w:val="clear" w:color="auto" w:fill="auto"/>
            <w:vAlign w:val="center"/>
          </w:tcPr>
          <w:p w14:paraId="295F95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tc>
      </w:tr>
      <w:tr w14:paraId="5072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B754332">
            <w:pPr>
              <w:widowControl/>
              <w:spacing w:line="280" w:lineRule="exact"/>
              <w:jc w:val="left"/>
              <w:rPr>
                <w:rFonts w:ascii="仿宋" w:hAnsi="仿宋" w:eastAsia="仿宋" w:cs="仿宋"/>
                <w:color w:val="000000"/>
                <w:kern w:val="0"/>
                <w:sz w:val="20"/>
                <w:szCs w:val="20"/>
                <w:highlight w:val="none"/>
              </w:rPr>
            </w:pPr>
          </w:p>
        </w:tc>
        <w:tc>
          <w:tcPr>
            <w:tcW w:w="1080" w:type="dxa"/>
            <w:vMerge w:val="continue"/>
            <w:vAlign w:val="center"/>
          </w:tcPr>
          <w:p w14:paraId="1C9432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p>
        </w:tc>
        <w:tc>
          <w:tcPr>
            <w:tcW w:w="1080" w:type="dxa"/>
            <w:shd w:val="clear" w:color="auto" w:fill="auto"/>
            <w:vAlign w:val="center"/>
          </w:tcPr>
          <w:p w14:paraId="044A84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eastAsia="zh-CN"/>
              </w:rPr>
              <w:t>社会成本指标</w:t>
            </w:r>
          </w:p>
        </w:tc>
        <w:tc>
          <w:tcPr>
            <w:tcW w:w="1149" w:type="dxa"/>
            <w:shd w:val="clear" w:color="auto" w:fill="auto"/>
            <w:vAlign w:val="center"/>
          </w:tcPr>
          <w:p w14:paraId="66A9A68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不适用</w:t>
            </w:r>
          </w:p>
        </w:tc>
        <w:tc>
          <w:tcPr>
            <w:tcW w:w="1287" w:type="dxa"/>
            <w:shd w:val="clear" w:color="auto" w:fill="auto"/>
            <w:vAlign w:val="center"/>
          </w:tcPr>
          <w:p w14:paraId="4CC869F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tc>
        <w:tc>
          <w:tcPr>
            <w:tcW w:w="1317" w:type="dxa"/>
            <w:shd w:val="clear" w:color="auto" w:fill="auto"/>
            <w:vAlign w:val="center"/>
          </w:tcPr>
          <w:p w14:paraId="3F19BA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tc>
        <w:tc>
          <w:tcPr>
            <w:tcW w:w="683" w:type="dxa"/>
            <w:shd w:val="clear" w:color="auto" w:fill="auto"/>
            <w:vAlign w:val="center"/>
          </w:tcPr>
          <w:p w14:paraId="5F62E0E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900" w:type="dxa"/>
            <w:shd w:val="clear" w:color="auto" w:fill="auto"/>
            <w:vAlign w:val="center"/>
          </w:tcPr>
          <w:p w14:paraId="01A3CB6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1275" w:type="dxa"/>
            <w:shd w:val="clear" w:color="auto" w:fill="auto"/>
            <w:vAlign w:val="center"/>
          </w:tcPr>
          <w:p w14:paraId="4DC9F8F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tc>
      </w:tr>
      <w:tr w14:paraId="7112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32F9C9F0">
            <w:pPr>
              <w:widowControl/>
              <w:spacing w:line="280" w:lineRule="exact"/>
              <w:jc w:val="left"/>
              <w:rPr>
                <w:rFonts w:ascii="仿宋" w:hAnsi="仿宋" w:eastAsia="仿宋" w:cs="仿宋"/>
                <w:color w:val="000000"/>
                <w:kern w:val="0"/>
                <w:sz w:val="20"/>
                <w:szCs w:val="20"/>
                <w:highlight w:val="none"/>
              </w:rPr>
            </w:pPr>
          </w:p>
        </w:tc>
        <w:tc>
          <w:tcPr>
            <w:tcW w:w="1080" w:type="dxa"/>
            <w:vMerge w:val="restart"/>
            <w:vAlign w:val="center"/>
          </w:tcPr>
          <w:p w14:paraId="756221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满意度</w:t>
            </w:r>
          </w:p>
          <w:p w14:paraId="2EFFD7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指标</w:t>
            </w:r>
          </w:p>
          <w:p w14:paraId="5DFE5B7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p>
        </w:tc>
        <w:tc>
          <w:tcPr>
            <w:tcW w:w="1080" w:type="dxa"/>
            <w:vMerge w:val="restart"/>
            <w:shd w:val="clear" w:color="auto" w:fill="auto"/>
            <w:vAlign w:val="center"/>
          </w:tcPr>
          <w:p w14:paraId="6FF1BF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eastAsia="zh-CN"/>
              </w:rPr>
              <w:t>生态环境成本指标</w:t>
            </w:r>
          </w:p>
          <w:p w14:paraId="6226E6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数量指标</w:t>
            </w:r>
          </w:p>
        </w:tc>
        <w:tc>
          <w:tcPr>
            <w:tcW w:w="1149" w:type="dxa"/>
            <w:shd w:val="clear" w:color="auto" w:fill="auto"/>
            <w:vAlign w:val="center"/>
          </w:tcPr>
          <w:p w14:paraId="29D138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不适用</w:t>
            </w:r>
          </w:p>
        </w:tc>
        <w:tc>
          <w:tcPr>
            <w:tcW w:w="1287" w:type="dxa"/>
            <w:shd w:val="clear" w:color="auto" w:fill="auto"/>
            <w:vAlign w:val="center"/>
          </w:tcPr>
          <w:p w14:paraId="730407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tc>
        <w:tc>
          <w:tcPr>
            <w:tcW w:w="1317" w:type="dxa"/>
            <w:shd w:val="clear" w:color="auto" w:fill="auto"/>
            <w:vAlign w:val="center"/>
          </w:tcPr>
          <w:p w14:paraId="69B786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tc>
        <w:tc>
          <w:tcPr>
            <w:tcW w:w="683" w:type="dxa"/>
            <w:shd w:val="clear" w:color="auto" w:fill="auto"/>
            <w:vAlign w:val="center"/>
          </w:tcPr>
          <w:p w14:paraId="412339D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900" w:type="dxa"/>
            <w:shd w:val="clear" w:color="auto" w:fill="auto"/>
            <w:vAlign w:val="center"/>
          </w:tcPr>
          <w:p w14:paraId="58A11F9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1275" w:type="dxa"/>
            <w:shd w:val="clear" w:color="auto" w:fill="auto"/>
            <w:vAlign w:val="center"/>
          </w:tcPr>
          <w:p w14:paraId="3C7F55A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tc>
      </w:tr>
      <w:tr w14:paraId="46DE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3E2A8AB2">
            <w:pPr>
              <w:widowControl/>
              <w:spacing w:line="280" w:lineRule="exact"/>
              <w:jc w:val="left"/>
              <w:rPr>
                <w:rFonts w:ascii="仿宋" w:hAnsi="仿宋" w:eastAsia="仿宋" w:cs="仿宋"/>
                <w:color w:val="000000"/>
                <w:kern w:val="0"/>
                <w:sz w:val="20"/>
                <w:szCs w:val="20"/>
                <w:highlight w:val="none"/>
              </w:rPr>
            </w:pPr>
          </w:p>
        </w:tc>
        <w:tc>
          <w:tcPr>
            <w:tcW w:w="1080" w:type="dxa"/>
            <w:vMerge w:val="continue"/>
            <w:shd w:val="clear" w:color="auto" w:fill="auto"/>
            <w:vAlign w:val="center"/>
          </w:tcPr>
          <w:p w14:paraId="4589FBB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p>
        </w:tc>
        <w:tc>
          <w:tcPr>
            <w:tcW w:w="1080" w:type="dxa"/>
            <w:vMerge w:val="continue"/>
            <w:shd w:val="clear" w:color="auto" w:fill="auto"/>
            <w:vAlign w:val="center"/>
          </w:tcPr>
          <w:p w14:paraId="412323C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p>
        </w:tc>
        <w:tc>
          <w:tcPr>
            <w:tcW w:w="1149" w:type="dxa"/>
            <w:shd w:val="clear" w:color="auto" w:fill="auto"/>
            <w:vAlign w:val="center"/>
          </w:tcPr>
          <w:p w14:paraId="4E70B93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上报市政协提案</w:t>
            </w:r>
          </w:p>
        </w:tc>
        <w:tc>
          <w:tcPr>
            <w:tcW w:w="1287" w:type="dxa"/>
            <w:shd w:val="clear" w:color="auto" w:fill="auto"/>
            <w:vAlign w:val="center"/>
          </w:tcPr>
          <w:p w14:paraId="54955B6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≥1</w:t>
            </w:r>
          </w:p>
        </w:tc>
        <w:tc>
          <w:tcPr>
            <w:tcW w:w="1317" w:type="dxa"/>
            <w:shd w:val="clear" w:color="auto" w:fill="auto"/>
            <w:vAlign w:val="center"/>
          </w:tcPr>
          <w:p w14:paraId="74766DB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2</w:t>
            </w:r>
          </w:p>
        </w:tc>
        <w:tc>
          <w:tcPr>
            <w:tcW w:w="683" w:type="dxa"/>
            <w:shd w:val="clear" w:color="auto" w:fill="auto"/>
            <w:vAlign w:val="center"/>
          </w:tcPr>
          <w:p w14:paraId="467F71D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15</w:t>
            </w:r>
          </w:p>
        </w:tc>
        <w:tc>
          <w:tcPr>
            <w:tcW w:w="900" w:type="dxa"/>
            <w:shd w:val="clear" w:color="auto" w:fill="auto"/>
            <w:vAlign w:val="center"/>
          </w:tcPr>
          <w:p w14:paraId="5433BFE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15</w:t>
            </w:r>
          </w:p>
        </w:tc>
        <w:tc>
          <w:tcPr>
            <w:tcW w:w="1275" w:type="dxa"/>
            <w:shd w:val="clear" w:color="auto" w:fill="auto"/>
            <w:vAlign w:val="center"/>
          </w:tcPr>
          <w:p w14:paraId="22F024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3A99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C09A4EF">
            <w:pPr>
              <w:widowControl/>
              <w:spacing w:line="280" w:lineRule="exact"/>
              <w:jc w:val="left"/>
              <w:rPr>
                <w:rFonts w:ascii="仿宋" w:hAnsi="仿宋" w:eastAsia="仿宋" w:cs="仿宋"/>
                <w:color w:val="000000"/>
                <w:kern w:val="0"/>
                <w:sz w:val="20"/>
                <w:szCs w:val="20"/>
                <w:highlight w:val="none"/>
              </w:rPr>
            </w:pPr>
          </w:p>
        </w:tc>
        <w:tc>
          <w:tcPr>
            <w:tcW w:w="1080" w:type="dxa"/>
            <w:vMerge w:val="continue"/>
            <w:vAlign w:val="center"/>
          </w:tcPr>
          <w:p w14:paraId="50A728C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p>
        </w:tc>
        <w:tc>
          <w:tcPr>
            <w:tcW w:w="1080" w:type="dxa"/>
            <w:vMerge w:val="restart"/>
            <w:shd w:val="clear" w:color="auto" w:fill="auto"/>
            <w:vAlign w:val="center"/>
          </w:tcPr>
          <w:p w14:paraId="24E1B6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质量指标</w:t>
            </w:r>
          </w:p>
          <w:p w14:paraId="285E5C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时效指标</w:t>
            </w:r>
          </w:p>
        </w:tc>
        <w:tc>
          <w:tcPr>
            <w:tcW w:w="1149" w:type="dxa"/>
            <w:shd w:val="clear" w:color="auto" w:fill="auto"/>
            <w:vAlign w:val="center"/>
          </w:tcPr>
          <w:p w14:paraId="5CFA89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上报市政协提案立案率</w:t>
            </w:r>
          </w:p>
        </w:tc>
        <w:tc>
          <w:tcPr>
            <w:tcW w:w="1287" w:type="dxa"/>
            <w:shd w:val="clear" w:color="auto" w:fill="auto"/>
            <w:vAlign w:val="center"/>
          </w:tcPr>
          <w:p w14:paraId="7018491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≥90%</w:t>
            </w:r>
          </w:p>
        </w:tc>
        <w:tc>
          <w:tcPr>
            <w:tcW w:w="1317" w:type="dxa"/>
            <w:shd w:val="clear" w:color="auto" w:fill="auto"/>
            <w:vAlign w:val="center"/>
          </w:tcPr>
          <w:p w14:paraId="0BDBA91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≥90%</w:t>
            </w:r>
          </w:p>
        </w:tc>
        <w:tc>
          <w:tcPr>
            <w:tcW w:w="683" w:type="dxa"/>
            <w:shd w:val="clear" w:color="auto" w:fill="auto"/>
            <w:vAlign w:val="center"/>
          </w:tcPr>
          <w:p w14:paraId="153C5B0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15</w:t>
            </w:r>
          </w:p>
        </w:tc>
        <w:tc>
          <w:tcPr>
            <w:tcW w:w="900" w:type="dxa"/>
            <w:shd w:val="clear" w:color="auto" w:fill="auto"/>
            <w:vAlign w:val="center"/>
          </w:tcPr>
          <w:p w14:paraId="5B24AD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15</w:t>
            </w:r>
          </w:p>
        </w:tc>
        <w:tc>
          <w:tcPr>
            <w:tcW w:w="1275" w:type="dxa"/>
            <w:shd w:val="clear" w:color="auto" w:fill="auto"/>
            <w:vAlign w:val="center"/>
          </w:tcPr>
          <w:p w14:paraId="793224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117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080" w:type="dxa"/>
            <w:vMerge w:val="continue"/>
            <w:vAlign w:val="center"/>
          </w:tcPr>
          <w:p w14:paraId="25BEF1AA">
            <w:pPr>
              <w:widowControl/>
              <w:spacing w:line="280" w:lineRule="exact"/>
              <w:jc w:val="left"/>
              <w:rPr>
                <w:rFonts w:ascii="仿宋" w:hAnsi="仿宋" w:eastAsia="仿宋" w:cs="仿宋"/>
                <w:color w:val="000000"/>
                <w:kern w:val="0"/>
                <w:sz w:val="20"/>
                <w:szCs w:val="20"/>
                <w:highlight w:val="none"/>
              </w:rPr>
            </w:pPr>
          </w:p>
        </w:tc>
        <w:tc>
          <w:tcPr>
            <w:tcW w:w="1080" w:type="dxa"/>
            <w:vMerge w:val="continue"/>
            <w:vAlign w:val="center"/>
          </w:tcPr>
          <w:p w14:paraId="1A9B2A6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p>
        </w:tc>
        <w:tc>
          <w:tcPr>
            <w:tcW w:w="1080" w:type="dxa"/>
            <w:vMerge w:val="continue"/>
            <w:shd w:val="clear" w:color="auto" w:fill="auto"/>
            <w:vAlign w:val="center"/>
          </w:tcPr>
          <w:p w14:paraId="7AD0EB2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p>
        </w:tc>
        <w:tc>
          <w:tcPr>
            <w:tcW w:w="1149" w:type="dxa"/>
            <w:shd w:val="clear" w:color="auto" w:fill="auto"/>
            <w:vAlign w:val="center"/>
          </w:tcPr>
          <w:p w14:paraId="0BCCD60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完成及时率</w:t>
            </w:r>
          </w:p>
        </w:tc>
        <w:tc>
          <w:tcPr>
            <w:tcW w:w="1287" w:type="dxa"/>
            <w:shd w:val="clear" w:color="auto" w:fill="auto"/>
            <w:vAlign w:val="center"/>
          </w:tcPr>
          <w:p w14:paraId="680A2A8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202</w:t>
            </w:r>
            <w:r>
              <w:rPr>
                <w:rFonts w:hint="eastAsia" w:ascii="仿宋" w:hAnsi="仿宋" w:eastAsia="仿宋" w:cs="仿宋"/>
                <w:color w:val="000000"/>
                <w:kern w:val="0"/>
                <w:sz w:val="20"/>
                <w:szCs w:val="20"/>
                <w:highlight w:val="none"/>
                <w:lang w:val="en-US" w:eastAsia="zh-CN"/>
              </w:rPr>
              <w:t>5</w:t>
            </w:r>
            <w:r>
              <w:rPr>
                <w:rFonts w:hint="eastAsia" w:ascii="仿宋" w:hAnsi="仿宋" w:eastAsia="仿宋" w:cs="仿宋"/>
                <w:color w:val="000000"/>
                <w:kern w:val="0"/>
                <w:sz w:val="20"/>
                <w:szCs w:val="20"/>
                <w:highlight w:val="none"/>
              </w:rPr>
              <w:t>年12月之前完成</w:t>
            </w:r>
          </w:p>
        </w:tc>
        <w:tc>
          <w:tcPr>
            <w:tcW w:w="1317" w:type="dxa"/>
            <w:shd w:val="clear" w:color="auto" w:fill="auto"/>
            <w:vAlign w:val="center"/>
          </w:tcPr>
          <w:p w14:paraId="5B767A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2025年12月之前完成</w:t>
            </w:r>
          </w:p>
        </w:tc>
        <w:tc>
          <w:tcPr>
            <w:tcW w:w="683" w:type="dxa"/>
            <w:shd w:val="clear" w:color="auto" w:fill="auto"/>
            <w:vAlign w:val="center"/>
          </w:tcPr>
          <w:p w14:paraId="1E044DB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900" w:type="dxa"/>
            <w:shd w:val="clear" w:color="auto" w:fill="auto"/>
            <w:vAlign w:val="center"/>
          </w:tcPr>
          <w:p w14:paraId="269E78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1275" w:type="dxa"/>
            <w:shd w:val="clear" w:color="auto" w:fill="auto"/>
            <w:vAlign w:val="center"/>
          </w:tcPr>
          <w:p w14:paraId="248F75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1D32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C411E4E">
            <w:pPr>
              <w:widowControl/>
              <w:spacing w:line="280" w:lineRule="exact"/>
              <w:jc w:val="left"/>
              <w:rPr>
                <w:rFonts w:ascii="仿宋" w:hAnsi="仿宋" w:eastAsia="仿宋" w:cs="仿宋"/>
                <w:color w:val="000000"/>
                <w:kern w:val="0"/>
                <w:sz w:val="20"/>
                <w:szCs w:val="20"/>
                <w:highlight w:val="none"/>
              </w:rPr>
            </w:pPr>
          </w:p>
        </w:tc>
        <w:tc>
          <w:tcPr>
            <w:tcW w:w="1080" w:type="dxa"/>
            <w:vMerge w:val="restart"/>
            <w:shd w:val="clear" w:color="auto" w:fill="auto"/>
            <w:vAlign w:val="center"/>
          </w:tcPr>
          <w:p w14:paraId="574E494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效益指标</w:t>
            </w:r>
          </w:p>
          <w:p w14:paraId="187AEBB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p>
          <w:p w14:paraId="56FE63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p>
        </w:tc>
        <w:tc>
          <w:tcPr>
            <w:tcW w:w="1080" w:type="dxa"/>
            <w:vMerge w:val="restart"/>
            <w:shd w:val="clear" w:color="auto" w:fill="auto"/>
            <w:vAlign w:val="center"/>
          </w:tcPr>
          <w:p w14:paraId="5FC3B5E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经济效</w:t>
            </w:r>
          </w:p>
          <w:p w14:paraId="5A01FC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益指标</w:t>
            </w:r>
          </w:p>
          <w:p w14:paraId="674E24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社会效</w:t>
            </w:r>
          </w:p>
          <w:p w14:paraId="35B23AC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益指标</w:t>
            </w:r>
          </w:p>
        </w:tc>
        <w:tc>
          <w:tcPr>
            <w:tcW w:w="1149" w:type="dxa"/>
            <w:shd w:val="clear" w:color="auto" w:fill="auto"/>
            <w:vAlign w:val="center"/>
          </w:tcPr>
          <w:p w14:paraId="1C96CA3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经济发展保障</w:t>
            </w:r>
          </w:p>
        </w:tc>
        <w:tc>
          <w:tcPr>
            <w:tcW w:w="1287" w:type="dxa"/>
            <w:shd w:val="clear" w:color="auto" w:fill="auto"/>
            <w:vAlign w:val="center"/>
          </w:tcPr>
          <w:p w14:paraId="26D36FC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效果明显</w:t>
            </w:r>
          </w:p>
        </w:tc>
        <w:tc>
          <w:tcPr>
            <w:tcW w:w="1317" w:type="dxa"/>
            <w:shd w:val="clear" w:color="auto" w:fill="auto"/>
            <w:vAlign w:val="center"/>
          </w:tcPr>
          <w:p w14:paraId="5F227D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效果明显</w:t>
            </w:r>
          </w:p>
        </w:tc>
        <w:tc>
          <w:tcPr>
            <w:tcW w:w="683" w:type="dxa"/>
            <w:shd w:val="clear" w:color="auto" w:fill="auto"/>
            <w:vAlign w:val="center"/>
          </w:tcPr>
          <w:p w14:paraId="1A4AF34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900" w:type="dxa"/>
            <w:shd w:val="clear" w:color="auto" w:fill="auto"/>
            <w:vAlign w:val="center"/>
          </w:tcPr>
          <w:p w14:paraId="0EC612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1275" w:type="dxa"/>
            <w:shd w:val="clear" w:color="auto" w:fill="auto"/>
            <w:vAlign w:val="center"/>
          </w:tcPr>
          <w:p w14:paraId="1F0CCC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73F7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7668B036">
            <w:pPr>
              <w:widowControl/>
              <w:spacing w:line="280" w:lineRule="exact"/>
              <w:jc w:val="left"/>
              <w:rPr>
                <w:rFonts w:ascii="仿宋" w:hAnsi="仿宋" w:eastAsia="仿宋" w:cs="仿宋"/>
                <w:color w:val="000000"/>
                <w:kern w:val="0"/>
                <w:sz w:val="20"/>
                <w:szCs w:val="20"/>
                <w:highlight w:val="none"/>
              </w:rPr>
            </w:pPr>
          </w:p>
        </w:tc>
        <w:tc>
          <w:tcPr>
            <w:tcW w:w="1080" w:type="dxa"/>
            <w:vMerge w:val="continue"/>
            <w:vAlign w:val="center"/>
          </w:tcPr>
          <w:p w14:paraId="6D8E970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highlight w:val="none"/>
              </w:rPr>
            </w:pPr>
          </w:p>
        </w:tc>
        <w:tc>
          <w:tcPr>
            <w:tcW w:w="1080" w:type="dxa"/>
            <w:vMerge w:val="continue"/>
            <w:shd w:val="clear" w:color="auto" w:fill="auto"/>
            <w:vAlign w:val="center"/>
          </w:tcPr>
          <w:p w14:paraId="13E2A47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p>
        </w:tc>
        <w:tc>
          <w:tcPr>
            <w:tcW w:w="1149" w:type="dxa"/>
            <w:shd w:val="clear" w:color="auto" w:fill="auto"/>
            <w:vAlign w:val="center"/>
          </w:tcPr>
          <w:p w14:paraId="4D12510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保障职能的履行</w:t>
            </w:r>
          </w:p>
        </w:tc>
        <w:tc>
          <w:tcPr>
            <w:tcW w:w="1287" w:type="dxa"/>
            <w:shd w:val="clear" w:color="auto" w:fill="auto"/>
            <w:vAlign w:val="center"/>
          </w:tcPr>
          <w:p w14:paraId="5E30B6A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效果明显</w:t>
            </w:r>
          </w:p>
        </w:tc>
        <w:tc>
          <w:tcPr>
            <w:tcW w:w="1317" w:type="dxa"/>
            <w:shd w:val="clear" w:color="auto" w:fill="auto"/>
            <w:vAlign w:val="center"/>
          </w:tcPr>
          <w:p w14:paraId="75AA0B4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效果明显　</w:t>
            </w:r>
          </w:p>
        </w:tc>
        <w:tc>
          <w:tcPr>
            <w:tcW w:w="683" w:type="dxa"/>
            <w:shd w:val="clear" w:color="auto" w:fill="auto"/>
            <w:vAlign w:val="center"/>
          </w:tcPr>
          <w:p w14:paraId="08E1EE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900" w:type="dxa"/>
            <w:shd w:val="clear" w:color="auto" w:fill="auto"/>
            <w:vAlign w:val="center"/>
          </w:tcPr>
          <w:p w14:paraId="4368B9D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1275" w:type="dxa"/>
            <w:shd w:val="clear" w:color="auto" w:fill="auto"/>
            <w:vAlign w:val="center"/>
          </w:tcPr>
          <w:p w14:paraId="14CD340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72D9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0E3A0A9">
            <w:pPr>
              <w:widowControl/>
              <w:spacing w:line="280" w:lineRule="exact"/>
              <w:jc w:val="left"/>
              <w:rPr>
                <w:rFonts w:ascii="仿宋" w:hAnsi="仿宋" w:eastAsia="仿宋" w:cs="仿宋"/>
                <w:color w:val="000000"/>
                <w:kern w:val="0"/>
                <w:sz w:val="20"/>
                <w:szCs w:val="20"/>
                <w:highlight w:val="none"/>
              </w:rPr>
            </w:pPr>
          </w:p>
        </w:tc>
        <w:tc>
          <w:tcPr>
            <w:tcW w:w="1080" w:type="dxa"/>
            <w:vMerge w:val="continue"/>
            <w:vAlign w:val="center"/>
          </w:tcPr>
          <w:p w14:paraId="547E5EA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highlight w:val="none"/>
              </w:rPr>
            </w:pPr>
          </w:p>
        </w:tc>
        <w:tc>
          <w:tcPr>
            <w:tcW w:w="1080" w:type="dxa"/>
            <w:vMerge w:val="restart"/>
            <w:shd w:val="clear" w:color="auto" w:fill="auto"/>
            <w:vAlign w:val="center"/>
          </w:tcPr>
          <w:p w14:paraId="4CDF7C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生态效</w:t>
            </w:r>
          </w:p>
          <w:p w14:paraId="4B130C6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益指标</w:t>
            </w:r>
          </w:p>
          <w:p w14:paraId="660B3C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可持续影响指标</w:t>
            </w:r>
          </w:p>
        </w:tc>
        <w:tc>
          <w:tcPr>
            <w:tcW w:w="1149" w:type="dxa"/>
            <w:shd w:val="clear" w:color="auto" w:fill="auto"/>
            <w:vAlign w:val="center"/>
          </w:tcPr>
          <w:p w14:paraId="4F849E8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不适用</w:t>
            </w:r>
          </w:p>
        </w:tc>
        <w:tc>
          <w:tcPr>
            <w:tcW w:w="1287" w:type="dxa"/>
            <w:shd w:val="clear" w:color="auto" w:fill="auto"/>
            <w:vAlign w:val="center"/>
          </w:tcPr>
          <w:p w14:paraId="33B8B1D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c>
          <w:tcPr>
            <w:tcW w:w="1317" w:type="dxa"/>
            <w:shd w:val="clear" w:color="auto" w:fill="auto"/>
            <w:vAlign w:val="center"/>
          </w:tcPr>
          <w:p w14:paraId="4A91BBF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c>
          <w:tcPr>
            <w:tcW w:w="683" w:type="dxa"/>
            <w:shd w:val="clear" w:color="auto" w:fill="auto"/>
            <w:vAlign w:val="center"/>
          </w:tcPr>
          <w:p w14:paraId="52DE3C6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900" w:type="dxa"/>
            <w:shd w:val="clear" w:color="auto" w:fill="auto"/>
            <w:vAlign w:val="center"/>
          </w:tcPr>
          <w:p w14:paraId="5CAFB0C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1275" w:type="dxa"/>
            <w:shd w:val="clear" w:color="auto" w:fill="auto"/>
            <w:vAlign w:val="center"/>
          </w:tcPr>
          <w:p w14:paraId="09B1EE1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7456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80" w:type="dxa"/>
            <w:vMerge w:val="continue"/>
            <w:vAlign w:val="center"/>
          </w:tcPr>
          <w:p w14:paraId="6EF697C4">
            <w:pPr>
              <w:widowControl/>
              <w:spacing w:line="280" w:lineRule="exact"/>
              <w:jc w:val="left"/>
              <w:rPr>
                <w:rFonts w:ascii="仿宋" w:hAnsi="仿宋" w:eastAsia="仿宋" w:cs="仿宋"/>
                <w:color w:val="000000"/>
                <w:kern w:val="0"/>
                <w:sz w:val="20"/>
                <w:szCs w:val="20"/>
                <w:highlight w:val="none"/>
              </w:rPr>
            </w:pPr>
          </w:p>
        </w:tc>
        <w:tc>
          <w:tcPr>
            <w:tcW w:w="1080" w:type="dxa"/>
            <w:vMerge w:val="continue"/>
            <w:vAlign w:val="center"/>
          </w:tcPr>
          <w:p w14:paraId="2089F47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highlight w:val="none"/>
              </w:rPr>
            </w:pPr>
          </w:p>
        </w:tc>
        <w:tc>
          <w:tcPr>
            <w:tcW w:w="1080" w:type="dxa"/>
            <w:vMerge w:val="continue"/>
            <w:shd w:val="clear" w:color="auto" w:fill="auto"/>
            <w:vAlign w:val="center"/>
          </w:tcPr>
          <w:p w14:paraId="5A9BC6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p>
        </w:tc>
        <w:tc>
          <w:tcPr>
            <w:tcW w:w="1149" w:type="dxa"/>
            <w:shd w:val="clear" w:color="auto" w:fill="auto"/>
            <w:vAlign w:val="center"/>
          </w:tcPr>
          <w:p w14:paraId="6968BD7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不适用</w:t>
            </w:r>
          </w:p>
        </w:tc>
        <w:tc>
          <w:tcPr>
            <w:tcW w:w="1287" w:type="dxa"/>
            <w:shd w:val="clear" w:color="auto" w:fill="auto"/>
            <w:vAlign w:val="center"/>
          </w:tcPr>
          <w:p w14:paraId="40701A1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c>
          <w:tcPr>
            <w:tcW w:w="1317" w:type="dxa"/>
            <w:shd w:val="clear" w:color="auto" w:fill="auto"/>
            <w:vAlign w:val="center"/>
          </w:tcPr>
          <w:p w14:paraId="5FAE468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c>
          <w:tcPr>
            <w:tcW w:w="683" w:type="dxa"/>
            <w:shd w:val="clear" w:color="auto" w:fill="auto"/>
            <w:vAlign w:val="center"/>
          </w:tcPr>
          <w:p w14:paraId="3AFD816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900" w:type="dxa"/>
            <w:shd w:val="clear" w:color="auto" w:fill="auto"/>
            <w:vAlign w:val="center"/>
          </w:tcPr>
          <w:p w14:paraId="3552C3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0</w:t>
            </w:r>
          </w:p>
        </w:tc>
        <w:tc>
          <w:tcPr>
            <w:tcW w:w="1275" w:type="dxa"/>
            <w:shd w:val="clear" w:color="auto" w:fill="auto"/>
            <w:vAlign w:val="center"/>
          </w:tcPr>
          <w:p w14:paraId="65D603C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2225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0AB53CA7">
            <w:pPr>
              <w:widowControl/>
              <w:spacing w:line="280" w:lineRule="exact"/>
              <w:jc w:val="left"/>
              <w:rPr>
                <w:rFonts w:ascii="仿宋" w:hAnsi="仿宋" w:eastAsia="仿宋" w:cs="仿宋"/>
                <w:color w:val="000000"/>
                <w:kern w:val="0"/>
                <w:sz w:val="20"/>
                <w:szCs w:val="20"/>
                <w:highlight w:val="none"/>
              </w:rPr>
            </w:pPr>
          </w:p>
        </w:tc>
        <w:tc>
          <w:tcPr>
            <w:tcW w:w="1080" w:type="dxa"/>
            <w:vMerge w:val="continue"/>
            <w:shd w:val="clear" w:color="auto" w:fill="auto"/>
            <w:vAlign w:val="center"/>
          </w:tcPr>
          <w:p w14:paraId="15DA2DE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highlight w:val="none"/>
              </w:rPr>
            </w:pPr>
          </w:p>
        </w:tc>
        <w:tc>
          <w:tcPr>
            <w:tcW w:w="1080" w:type="dxa"/>
            <w:shd w:val="clear" w:color="auto" w:fill="auto"/>
            <w:vAlign w:val="center"/>
          </w:tcPr>
          <w:p w14:paraId="0FC883A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服务对象满意度指标</w:t>
            </w:r>
          </w:p>
          <w:p w14:paraId="23420D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100</w:t>
            </w:r>
          </w:p>
        </w:tc>
        <w:tc>
          <w:tcPr>
            <w:tcW w:w="1149" w:type="dxa"/>
            <w:shd w:val="clear" w:color="auto" w:fill="auto"/>
            <w:vAlign w:val="center"/>
          </w:tcPr>
          <w:p w14:paraId="52497EF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服务对象满意度</w:t>
            </w:r>
          </w:p>
        </w:tc>
        <w:tc>
          <w:tcPr>
            <w:tcW w:w="1287" w:type="dxa"/>
            <w:shd w:val="clear" w:color="auto" w:fill="auto"/>
            <w:vAlign w:val="center"/>
          </w:tcPr>
          <w:p w14:paraId="40D7C37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≥90%</w:t>
            </w:r>
          </w:p>
        </w:tc>
        <w:tc>
          <w:tcPr>
            <w:tcW w:w="1317" w:type="dxa"/>
            <w:shd w:val="clear" w:color="auto" w:fill="auto"/>
            <w:vAlign w:val="center"/>
          </w:tcPr>
          <w:p w14:paraId="302C5F8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≥90%</w:t>
            </w:r>
          </w:p>
        </w:tc>
        <w:tc>
          <w:tcPr>
            <w:tcW w:w="683" w:type="dxa"/>
            <w:shd w:val="clear" w:color="auto" w:fill="auto"/>
            <w:vAlign w:val="center"/>
          </w:tcPr>
          <w:p w14:paraId="2B91CF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900" w:type="dxa"/>
            <w:shd w:val="clear" w:color="auto" w:fill="auto"/>
            <w:vAlign w:val="center"/>
          </w:tcPr>
          <w:p w14:paraId="36DF8B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lang w:val="en-US" w:eastAsia="zh-CN"/>
              </w:rPr>
              <w:t>10</w:t>
            </w:r>
          </w:p>
        </w:tc>
        <w:tc>
          <w:tcPr>
            <w:tcW w:w="1275" w:type="dxa"/>
            <w:shd w:val="clear" w:color="auto" w:fill="auto"/>
            <w:vAlign w:val="center"/>
          </w:tcPr>
          <w:p w14:paraId="518BD66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highlight w:val="none"/>
                <w:lang w:val="en-US" w:eastAsia="zh-CN" w:bidi="ar-SA"/>
              </w:rPr>
            </w:pPr>
            <w:r>
              <w:rPr>
                <w:rFonts w:hint="eastAsia" w:ascii="仿宋" w:hAnsi="仿宋" w:eastAsia="仿宋" w:cs="仿宋"/>
                <w:color w:val="000000"/>
                <w:kern w:val="0"/>
                <w:sz w:val="20"/>
                <w:szCs w:val="20"/>
                <w:highlight w:val="none"/>
              </w:rPr>
              <w:t>　</w:t>
            </w:r>
          </w:p>
        </w:tc>
      </w:tr>
      <w:tr w14:paraId="3D24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93" w:type="dxa"/>
            <w:gridSpan w:val="6"/>
            <w:vAlign w:val="center"/>
          </w:tcPr>
          <w:p w14:paraId="573D9D0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总分</w:t>
            </w:r>
          </w:p>
        </w:tc>
        <w:tc>
          <w:tcPr>
            <w:tcW w:w="683" w:type="dxa"/>
            <w:vAlign w:val="center"/>
          </w:tcPr>
          <w:p w14:paraId="7144366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100</w:t>
            </w:r>
          </w:p>
        </w:tc>
        <w:tc>
          <w:tcPr>
            <w:tcW w:w="900" w:type="dxa"/>
            <w:vAlign w:val="center"/>
          </w:tcPr>
          <w:p w14:paraId="2E40FA0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100</w:t>
            </w:r>
          </w:p>
        </w:tc>
        <w:tc>
          <w:tcPr>
            <w:tcW w:w="1275" w:type="dxa"/>
            <w:vAlign w:val="center"/>
          </w:tcPr>
          <w:p w14:paraId="08A814F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r>
    </w:tbl>
    <w:p w14:paraId="515D738C">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王莹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16674521577</w:t>
      </w:r>
    </w:p>
    <w:p w14:paraId="5E3C7D6E">
      <w:pPr>
        <w:pStyle w:val="6"/>
        <w:widowControl/>
        <w:shd w:val="clear" w:color="auto" w:fill="FFFFFF"/>
        <w:spacing w:beforeAutospacing="0" w:afterAutospacing="0" w:line="480" w:lineRule="exact"/>
        <w:jc w:val="both"/>
        <w:rPr>
          <w:rFonts w:hint="eastAsia" w:ascii="Times New Roman" w:hAnsi="Times New Roman" w:eastAsia="仿宋_GB2312" w:cs="Times New Roman"/>
          <w:snapToGrid/>
          <w:color w:val="000000"/>
          <w:kern w:val="0"/>
          <w:sz w:val="24"/>
          <w:szCs w:val="24"/>
          <w:lang w:val="en-US" w:eastAsia="zh-CN" w:bidi="ar-SA"/>
        </w:rPr>
      </w:pPr>
    </w:p>
    <w:p w14:paraId="28373F4D">
      <w:pPr>
        <w:pStyle w:val="6"/>
        <w:widowControl/>
        <w:shd w:val="clear" w:color="auto" w:fill="FFFFFF"/>
        <w:spacing w:beforeAutospacing="0" w:afterAutospacing="0" w:line="480" w:lineRule="exact"/>
        <w:jc w:val="both"/>
        <w:rPr>
          <w:rFonts w:hint="eastAsia" w:ascii="Cambria" w:hAnsi="Cambria" w:eastAsia="方正小标宋_GBK" w:cs="方正小标宋_GBK"/>
          <w:color w:val="000000"/>
          <w:highlight w:val="none"/>
          <w:shd w:val="clear" w:color="auto" w:fill="FFFFFF"/>
          <w:lang w:eastAsia="zh-CN"/>
        </w:rPr>
      </w:pPr>
      <w:r>
        <w:rPr>
          <w:rFonts w:hint="eastAsia" w:ascii="方正小标宋_GBK" w:hAnsi="方正小标宋_GBK" w:eastAsia="方正小标宋_GBK" w:cs="方正小标宋_GBK"/>
          <w:color w:val="000000"/>
          <w:highlight w:val="none"/>
          <w:shd w:val="clear" w:color="auto" w:fill="FFFFFF"/>
        </w:rPr>
        <w:t>附件3</w:t>
      </w:r>
      <w:r>
        <w:rPr>
          <w:rFonts w:ascii="Cambria" w:hAnsi="Cambria" w:eastAsia="方正小标宋_GBK" w:cs="方正小标宋_GBK"/>
          <w:color w:val="000000"/>
          <w:highlight w:val="none"/>
          <w:shd w:val="clear" w:color="auto" w:fill="FFFFFF"/>
        </w:rPr>
        <w:t>-</w:t>
      </w:r>
      <w:r>
        <w:rPr>
          <w:rFonts w:hint="eastAsia" w:ascii="Cambria" w:hAnsi="Cambria" w:eastAsia="方正小标宋_GBK" w:cs="方正小标宋_GBK"/>
          <w:color w:val="000000"/>
          <w:highlight w:val="none"/>
          <w:shd w:val="clear" w:color="auto" w:fill="FFFFFF"/>
          <w:lang w:val="en-US" w:eastAsia="zh-CN"/>
        </w:rPr>
        <w:t>3</w:t>
      </w:r>
    </w:p>
    <w:p w14:paraId="757CA163">
      <w:pPr>
        <w:widowControl/>
        <w:tabs>
          <w:tab w:val="left" w:pos="3611"/>
          <w:tab w:val="left" w:pos="4791"/>
          <w:tab w:val="left" w:pos="5951"/>
          <w:tab w:val="left" w:pos="7071"/>
          <w:tab w:val="left" w:pos="8191"/>
          <w:tab w:val="left" w:pos="9311"/>
        </w:tabs>
        <w:snapToGrid w:val="0"/>
        <w:spacing w:line="440" w:lineRule="atLeast"/>
        <w:jc w:val="center"/>
        <w:rPr>
          <w:rFonts w:ascii="方正小标宋_GBK" w:hAnsi="方正小标宋_GBK" w:eastAsia="方正小标宋_GBK" w:cs="方正小标宋_GBK"/>
          <w:color w:val="000000"/>
          <w:kern w:val="0"/>
          <w:sz w:val="28"/>
          <w:szCs w:val="28"/>
          <w:highlight w:val="none"/>
          <w:shd w:val="clear" w:color="auto" w:fill="FFFFFF"/>
          <w:lang w:bidi="ar"/>
        </w:rPr>
      </w:pPr>
      <w:r>
        <w:rPr>
          <w:rFonts w:hint="eastAsia" w:ascii="方正小标宋_GBK" w:hAnsi="方正小标宋_GBK" w:eastAsia="方正小标宋_GBK" w:cs="方正小标宋_GBK"/>
          <w:color w:val="000000"/>
          <w:kern w:val="0"/>
          <w:sz w:val="28"/>
          <w:szCs w:val="28"/>
          <w:highlight w:val="none"/>
          <w:shd w:val="clear" w:color="auto" w:fill="FFFFFF"/>
          <w:lang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6497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080" w:type="dxa"/>
            <w:vAlign w:val="center"/>
          </w:tcPr>
          <w:p w14:paraId="2673EE33">
            <w:pPr>
              <w:widowControl/>
              <w:spacing w:line="28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7DE4EF6">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24A4599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盟史整理宣传经费</w:t>
            </w:r>
          </w:p>
        </w:tc>
      </w:tr>
      <w:tr w14:paraId="17A3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389EB897">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614390DB">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732BE89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0765E891">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ED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003D68B4">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610E978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vAlign w:val="center"/>
          </w:tcPr>
          <w:p w14:paraId="15931697">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3714415B">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vAlign w:val="center"/>
          </w:tcPr>
          <w:p w14:paraId="300DA6C5">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0DACD39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6CA58F23">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全年</w:t>
            </w:r>
          </w:p>
          <w:p w14:paraId="3CF09ACE">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E8C7168">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50F61D87">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386DFF58">
            <w:pPr>
              <w:widowControl/>
              <w:spacing w:line="280" w:lineRule="exact"/>
              <w:jc w:val="center"/>
              <w:rPr>
                <w:rFonts w:ascii="仿宋" w:hAnsi="仿宋" w:eastAsia="仿宋" w:cs="仿宋"/>
                <w:sz w:val="20"/>
                <w:szCs w:val="20"/>
              </w:rPr>
            </w:pPr>
            <w:r>
              <w:rPr>
                <w:rFonts w:hint="eastAsia" w:ascii="仿宋" w:hAnsi="仿宋" w:eastAsia="仿宋" w:cs="仿宋"/>
                <w:sz w:val="20"/>
                <w:szCs w:val="20"/>
              </w:rPr>
              <w:t>得分</w:t>
            </w:r>
          </w:p>
        </w:tc>
      </w:tr>
      <w:tr w14:paraId="566F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F7AEA77">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1A70578F">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vAlign w:val="center"/>
          </w:tcPr>
          <w:p w14:paraId="7BA9FEA9">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218F6CBE">
            <w:pPr>
              <w:widowControl/>
              <w:spacing w:line="280" w:lineRule="exact"/>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1134" w:type="dxa"/>
            <w:vAlign w:val="center"/>
          </w:tcPr>
          <w:p w14:paraId="36A6D08F">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1.99</w:t>
            </w:r>
          </w:p>
        </w:tc>
        <w:tc>
          <w:tcPr>
            <w:tcW w:w="828" w:type="dxa"/>
            <w:vAlign w:val="center"/>
          </w:tcPr>
          <w:p w14:paraId="680B7311">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vAlign w:val="center"/>
          </w:tcPr>
          <w:p w14:paraId="3DE407E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r>
              <w:rPr>
                <w:rFonts w:hint="eastAsia" w:ascii="仿宋" w:hAnsi="仿宋" w:eastAsia="仿宋" w:cs="仿宋"/>
                <w:color w:val="000000"/>
                <w:kern w:val="0"/>
                <w:sz w:val="20"/>
                <w:szCs w:val="20"/>
              </w:rPr>
              <w:t>　</w:t>
            </w:r>
          </w:p>
        </w:tc>
        <w:tc>
          <w:tcPr>
            <w:tcW w:w="1418" w:type="dxa"/>
            <w:vAlign w:val="center"/>
          </w:tcPr>
          <w:p w14:paraId="4B89E93F">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9.95</w:t>
            </w:r>
          </w:p>
        </w:tc>
      </w:tr>
      <w:tr w14:paraId="7198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914FB94">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5DFB985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vAlign w:val="center"/>
          </w:tcPr>
          <w:p w14:paraId="0C921E6F">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34D47B3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4ED0FE8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17197093">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7102F81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5196E3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EA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483B411">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3E788985">
            <w:pPr>
              <w:widowControl/>
              <w:spacing w:line="280" w:lineRule="exact"/>
              <w:ind w:firstLine="600" w:firstLineChars="3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vAlign w:val="center"/>
          </w:tcPr>
          <w:p w14:paraId="11E4B117">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5A4D485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2E33DAF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6E2C2DE2">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39FB538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7BE69D21">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98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421CC8C">
            <w:pPr>
              <w:widowControl/>
              <w:spacing w:line="280" w:lineRule="exact"/>
              <w:jc w:val="left"/>
              <w:rPr>
                <w:rFonts w:ascii="仿宋" w:hAnsi="仿宋" w:eastAsia="仿宋" w:cs="仿宋"/>
                <w:color w:val="000000"/>
                <w:kern w:val="0"/>
                <w:sz w:val="20"/>
                <w:szCs w:val="20"/>
              </w:rPr>
            </w:pPr>
          </w:p>
        </w:tc>
        <w:tc>
          <w:tcPr>
            <w:tcW w:w="2160" w:type="dxa"/>
            <w:gridSpan w:val="2"/>
            <w:vAlign w:val="center"/>
          </w:tcPr>
          <w:p w14:paraId="374498EB">
            <w:pPr>
              <w:widowControl/>
              <w:spacing w:line="280" w:lineRule="exact"/>
              <w:ind w:firstLine="600" w:firstLineChars="300"/>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vAlign w:val="center"/>
          </w:tcPr>
          <w:p w14:paraId="25881246">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3CAA4DF8">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A88579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3133972A">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0DC5EA60">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71138FDC">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D36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44C5590">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2CDDE67F">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2428B056">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715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93D6237">
            <w:pPr>
              <w:widowControl/>
              <w:spacing w:line="280" w:lineRule="exact"/>
              <w:jc w:val="left"/>
              <w:rPr>
                <w:rFonts w:ascii="仿宋" w:hAnsi="仿宋" w:eastAsia="仿宋" w:cs="仿宋"/>
                <w:color w:val="000000"/>
                <w:kern w:val="0"/>
                <w:sz w:val="20"/>
                <w:szCs w:val="20"/>
              </w:rPr>
            </w:pPr>
          </w:p>
        </w:tc>
        <w:tc>
          <w:tcPr>
            <w:tcW w:w="4518" w:type="dxa"/>
            <w:gridSpan w:val="4"/>
            <w:vAlign w:val="center"/>
          </w:tcPr>
          <w:p w14:paraId="636CD116">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用于</w:t>
            </w:r>
            <w:r>
              <w:rPr>
                <w:rFonts w:hint="eastAsia" w:ascii="仿宋" w:hAnsi="仿宋" w:eastAsia="仿宋" w:cs="仿宋"/>
                <w:color w:val="000000"/>
                <w:kern w:val="0"/>
                <w:sz w:val="20"/>
                <w:szCs w:val="20"/>
              </w:rPr>
              <w:t>市政协委员工作室建设和运行经费</w:t>
            </w:r>
            <w:r>
              <w:rPr>
                <w:rFonts w:hint="eastAsia" w:ascii="仿宋" w:hAnsi="仿宋" w:eastAsia="仿宋" w:cs="仿宋"/>
                <w:color w:val="000000"/>
                <w:kern w:val="0"/>
                <w:sz w:val="20"/>
                <w:szCs w:val="20"/>
                <w:lang w:val="en-US" w:eastAsia="zh-CN"/>
              </w:rPr>
              <w:t>支出</w:t>
            </w:r>
            <w:r>
              <w:rPr>
                <w:rFonts w:hint="eastAsia" w:ascii="仿宋" w:hAnsi="仿宋" w:eastAsia="仿宋" w:cs="仿宋"/>
                <w:color w:val="000000"/>
                <w:kern w:val="0"/>
                <w:sz w:val="20"/>
                <w:szCs w:val="20"/>
              </w:rPr>
              <w:t>　　</w:t>
            </w:r>
          </w:p>
        </w:tc>
        <w:tc>
          <w:tcPr>
            <w:tcW w:w="4253" w:type="dxa"/>
            <w:gridSpan w:val="4"/>
            <w:vAlign w:val="center"/>
          </w:tcPr>
          <w:p w14:paraId="63AE81DE">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用于</w:t>
            </w:r>
            <w:r>
              <w:rPr>
                <w:rFonts w:hint="eastAsia" w:ascii="仿宋" w:hAnsi="仿宋" w:eastAsia="仿宋" w:cs="仿宋"/>
                <w:color w:val="000000"/>
                <w:kern w:val="0"/>
                <w:sz w:val="20"/>
                <w:szCs w:val="20"/>
              </w:rPr>
              <w:t>市政协委员工作室建设和运行经费</w:t>
            </w:r>
            <w:r>
              <w:rPr>
                <w:rFonts w:hint="eastAsia" w:ascii="仿宋" w:hAnsi="仿宋" w:eastAsia="仿宋" w:cs="仿宋"/>
                <w:color w:val="000000"/>
                <w:kern w:val="0"/>
                <w:sz w:val="20"/>
                <w:szCs w:val="20"/>
                <w:lang w:val="en-US" w:eastAsia="zh-CN"/>
              </w:rPr>
              <w:t>支出</w:t>
            </w:r>
          </w:p>
        </w:tc>
      </w:tr>
      <w:tr w14:paraId="101F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26EB89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8AC919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17803F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D68C22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shd w:val="clear" w:color="auto" w:fill="auto"/>
            <w:vAlign w:val="center"/>
          </w:tcPr>
          <w:p w14:paraId="02BAD8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一级指标</w:t>
            </w:r>
          </w:p>
        </w:tc>
        <w:tc>
          <w:tcPr>
            <w:tcW w:w="1080" w:type="dxa"/>
            <w:shd w:val="clear" w:color="auto" w:fill="auto"/>
            <w:vAlign w:val="center"/>
          </w:tcPr>
          <w:p w14:paraId="735A1F3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二级指标</w:t>
            </w:r>
          </w:p>
        </w:tc>
        <w:tc>
          <w:tcPr>
            <w:tcW w:w="1149" w:type="dxa"/>
            <w:shd w:val="clear" w:color="auto" w:fill="auto"/>
            <w:vAlign w:val="center"/>
          </w:tcPr>
          <w:p w14:paraId="307AB72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三级指标</w:t>
            </w:r>
          </w:p>
        </w:tc>
        <w:tc>
          <w:tcPr>
            <w:tcW w:w="1209" w:type="dxa"/>
            <w:shd w:val="clear" w:color="auto" w:fill="auto"/>
            <w:vAlign w:val="center"/>
          </w:tcPr>
          <w:p w14:paraId="04A71C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AD4EF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指标值</w:t>
            </w:r>
          </w:p>
        </w:tc>
        <w:tc>
          <w:tcPr>
            <w:tcW w:w="1134" w:type="dxa"/>
            <w:shd w:val="clear" w:color="auto" w:fill="auto"/>
            <w:vAlign w:val="center"/>
          </w:tcPr>
          <w:p w14:paraId="68A1500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80E19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完成值</w:t>
            </w:r>
          </w:p>
        </w:tc>
        <w:tc>
          <w:tcPr>
            <w:tcW w:w="828" w:type="dxa"/>
            <w:shd w:val="clear" w:color="auto" w:fill="auto"/>
            <w:vAlign w:val="center"/>
          </w:tcPr>
          <w:p w14:paraId="6FADB57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分值</w:t>
            </w:r>
          </w:p>
        </w:tc>
        <w:tc>
          <w:tcPr>
            <w:tcW w:w="873" w:type="dxa"/>
            <w:shd w:val="clear" w:color="auto" w:fill="auto"/>
            <w:vAlign w:val="center"/>
          </w:tcPr>
          <w:p w14:paraId="37D1DAF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得分</w:t>
            </w:r>
          </w:p>
        </w:tc>
        <w:tc>
          <w:tcPr>
            <w:tcW w:w="1418" w:type="dxa"/>
            <w:shd w:val="clear" w:color="auto" w:fill="auto"/>
            <w:vAlign w:val="center"/>
          </w:tcPr>
          <w:p w14:paraId="503369F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321B4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00C813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改进措施</w:t>
            </w:r>
          </w:p>
        </w:tc>
      </w:tr>
      <w:tr w14:paraId="463A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D6C251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restart"/>
            <w:shd w:val="clear" w:color="auto" w:fill="auto"/>
            <w:vAlign w:val="center"/>
          </w:tcPr>
          <w:p w14:paraId="1D92921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成本指标</w:t>
            </w:r>
          </w:p>
          <w:p w14:paraId="07C7FAD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D7646FC">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ascii="仿宋" w:hAnsi="仿宋" w:eastAsia="仿宋" w:cs="仿宋"/>
                <w:color w:val="000000"/>
                <w:kern w:val="0"/>
                <w:sz w:val="20"/>
                <w:szCs w:val="20"/>
              </w:rPr>
            </w:pPr>
          </w:p>
        </w:tc>
        <w:tc>
          <w:tcPr>
            <w:tcW w:w="1080" w:type="dxa"/>
            <w:shd w:val="clear" w:color="auto" w:fill="auto"/>
            <w:vAlign w:val="center"/>
          </w:tcPr>
          <w:p w14:paraId="110CB8A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经济成本指标</w:t>
            </w:r>
          </w:p>
          <w:p w14:paraId="7E8379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p>
        </w:tc>
        <w:tc>
          <w:tcPr>
            <w:tcW w:w="1149" w:type="dxa"/>
            <w:shd w:val="clear" w:color="auto" w:fill="auto"/>
            <w:vAlign w:val="center"/>
          </w:tcPr>
          <w:p w14:paraId="5BAA2C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项目成本控制</w:t>
            </w:r>
          </w:p>
        </w:tc>
        <w:tc>
          <w:tcPr>
            <w:tcW w:w="1209" w:type="dxa"/>
            <w:shd w:val="clear" w:color="auto" w:fill="auto"/>
            <w:vAlign w:val="center"/>
          </w:tcPr>
          <w:p w14:paraId="2CA5826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≤2万元</w:t>
            </w:r>
          </w:p>
        </w:tc>
        <w:tc>
          <w:tcPr>
            <w:tcW w:w="1134" w:type="dxa"/>
            <w:shd w:val="clear" w:color="auto" w:fill="auto"/>
            <w:vAlign w:val="center"/>
          </w:tcPr>
          <w:p w14:paraId="6F94FFD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1.99万元</w:t>
            </w:r>
          </w:p>
        </w:tc>
        <w:tc>
          <w:tcPr>
            <w:tcW w:w="828" w:type="dxa"/>
            <w:shd w:val="clear" w:color="auto" w:fill="auto"/>
            <w:vAlign w:val="center"/>
          </w:tcPr>
          <w:p w14:paraId="3F6F9F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20</w:t>
            </w:r>
          </w:p>
        </w:tc>
        <w:tc>
          <w:tcPr>
            <w:tcW w:w="873" w:type="dxa"/>
            <w:shd w:val="clear" w:color="auto" w:fill="auto"/>
            <w:vAlign w:val="center"/>
          </w:tcPr>
          <w:p w14:paraId="0ADFC92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19.9</w:t>
            </w:r>
          </w:p>
        </w:tc>
        <w:tc>
          <w:tcPr>
            <w:tcW w:w="1418" w:type="dxa"/>
            <w:shd w:val="clear" w:color="auto" w:fill="auto"/>
            <w:vAlign w:val="center"/>
          </w:tcPr>
          <w:p w14:paraId="2D04C01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tc>
      </w:tr>
      <w:tr w14:paraId="700B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10AB38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vAlign w:val="center"/>
          </w:tcPr>
          <w:p w14:paraId="3F145C2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p>
        </w:tc>
        <w:tc>
          <w:tcPr>
            <w:tcW w:w="1080" w:type="dxa"/>
            <w:shd w:val="clear" w:color="auto" w:fill="auto"/>
            <w:vAlign w:val="center"/>
          </w:tcPr>
          <w:p w14:paraId="13DA4B2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社会成本指标</w:t>
            </w:r>
          </w:p>
        </w:tc>
        <w:tc>
          <w:tcPr>
            <w:tcW w:w="1149" w:type="dxa"/>
            <w:shd w:val="clear" w:color="auto" w:fill="auto"/>
            <w:vAlign w:val="center"/>
          </w:tcPr>
          <w:p w14:paraId="2983A4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不适用</w:t>
            </w:r>
          </w:p>
        </w:tc>
        <w:tc>
          <w:tcPr>
            <w:tcW w:w="1209" w:type="dxa"/>
            <w:shd w:val="clear" w:color="auto" w:fill="auto"/>
            <w:vAlign w:val="center"/>
          </w:tcPr>
          <w:p w14:paraId="5BA2FD1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tc>
        <w:tc>
          <w:tcPr>
            <w:tcW w:w="1134" w:type="dxa"/>
            <w:shd w:val="clear" w:color="auto" w:fill="auto"/>
            <w:vAlign w:val="center"/>
          </w:tcPr>
          <w:p w14:paraId="45F877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tc>
        <w:tc>
          <w:tcPr>
            <w:tcW w:w="828" w:type="dxa"/>
            <w:shd w:val="clear" w:color="auto" w:fill="auto"/>
            <w:vAlign w:val="center"/>
          </w:tcPr>
          <w:p w14:paraId="2246C5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873" w:type="dxa"/>
            <w:shd w:val="clear" w:color="auto" w:fill="auto"/>
            <w:vAlign w:val="center"/>
          </w:tcPr>
          <w:p w14:paraId="70756B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1418" w:type="dxa"/>
            <w:shd w:val="clear" w:color="auto" w:fill="auto"/>
            <w:vAlign w:val="center"/>
          </w:tcPr>
          <w:p w14:paraId="788535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tc>
      </w:tr>
      <w:tr w14:paraId="3E4B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99ACF7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restart"/>
            <w:vAlign w:val="center"/>
          </w:tcPr>
          <w:p w14:paraId="7FF123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F65CF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A5558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p>
        </w:tc>
        <w:tc>
          <w:tcPr>
            <w:tcW w:w="1080" w:type="dxa"/>
            <w:vMerge w:val="restart"/>
            <w:shd w:val="clear" w:color="auto" w:fill="auto"/>
            <w:vAlign w:val="center"/>
          </w:tcPr>
          <w:p w14:paraId="6C6645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生态环境成本指标</w:t>
            </w:r>
          </w:p>
          <w:p w14:paraId="3AC2012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shd w:val="clear" w:color="auto" w:fill="auto"/>
            <w:vAlign w:val="center"/>
          </w:tcPr>
          <w:p w14:paraId="58A3C1F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不适用</w:t>
            </w:r>
          </w:p>
        </w:tc>
        <w:tc>
          <w:tcPr>
            <w:tcW w:w="1209" w:type="dxa"/>
            <w:shd w:val="clear" w:color="auto" w:fill="auto"/>
            <w:vAlign w:val="center"/>
          </w:tcPr>
          <w:p w14:paraId="60C764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tc>
        <w:tc>
          <w:tcPr>
            <w:tcW w:w="1134" w:type="dxa"/>
            <w:shd w:val="clear" w:color="auto" w:fill="auto"/>
            <w:vAlign w:val="center"/>
          </w:tcPr>
          <w:p w14:paraId="7D4234E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tc>
        <w:tc>
          <w:tcPr>
            <w:tcW w:w="828" w:type="dxa"/>
            <w:shd w:val="clear" w:color="auto" w:fill="auto"/>
            <w:vAlign w:val="center"/>
          </w:tcPr>
          <w:p w14:paraId="6AE0263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873" w:type="dxa"/>
            <w:shd w:val="clear" w:color="auto" w:fill="auto"/>
            <w:vAlign w:val="center"/>
          </w:tcPr>
          <w:p w14:paraId="5E896E6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1418" w:type="dxa"/>
            <w:shd w:val="clear" w:color="auto" w:fill="auto"/>
            <w:vAlign w:val="center"/>
          </w:tcPr>
          <w:p w14:paraId="055189B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tc>
      </w:tr>
      <w:tr w14:paraId="09A3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 w:hRule="atLeast"/>
          <w:jc w:val="center"/>
        </w:trPr>
        <w:tc>
          <w:tcPr>
            <w:tcW w:w="1080" w:type="dxa"/>
            <w:vMerge w:val="continue"/>
            <w:vAlign w:val="center"/>
          </w:tcPr>
          <w:p w14:paraId="7190F8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shd w:val="clear" w:color="auto" w:fill="auto"/>
            <w:vAlign w:val="center"/>
          </w:tcPr>
          <w:p w14:paraId="2BE525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p>
        </w:tc>
        <w:tc>
          <w:tcPr>
            <w:tcW w:w="1080" w:type="dxa"/>
            <w:vMerge w:val="continue"/>
            <w:shd w:val="clear" w:color="auto" w:fill="auto"/>
            <w:vAlign w:val="center"/>
          </w:tcPr>
          <w:p w14:paraId="572AC2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p>
        </w:tc>
        <w:tc>
          <w:tcPr>
            <w:tcW w:w="1149" w:type="dxa"/>
            <w:shd w:val="clear" w:color="auto" w:fill="auto"/>
            <w:vAlign w:val="center"/>
          </w:tcPr>
          <w:p w14:paraId="13179E3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上报市政协提案</w:t>
            </w:r>
          </w:p>
        </w:tc>
        <w:tc>
          <w:tcPr>
            <w:tcW w:w="1209" w:type="dxa"/>
            <w:shd w:val="clear" w:color="auto" w:fill="auto"/>
            <w:vAlign w:val="center"/>
          </w:tcPr>
          <w:p w14:paraId="4AA9448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w:t>
            </w:r>
          </w:p>
        </w:tc>
        <w:tc>
          <w:tcPr>
            <w:tcW w:w="1134" w:type="dxa"/>
            <w:shd w:val="clear" w:color="auto" w:fill="auto"/>
            <w:vAlign w:val="center"/>
          </w:tcPr>
          <w:p w14:paraId="0968BCD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w:t>
            </w:r>
          </w:p>
        </w:tc>
        <w:tc>
          <w:tcPr>
            <w:tcW w:w="828" w:type="dxa"/>
            <w:shd w:val="clear" w:color="auto" w:fill="auto"/>
            <w:vAlign w:val="center"/>
          </w:tcPr>
          <w:p w14:paraId="7388D8D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73" w:type="dxa"/>
            <w:shd w:val="clear" w:color="auto" w:fill="auto"/>
            <w:vAlign w:val="center"/>
          </w:tcPr>
          <w:p w14:paraId="576EBA6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418" w:type="dxa"/>
            <w:shd w:val="clear" w:color="auto" w:fill="auto"/>
            <w:vAlign w:val="center"/>
          </w:tcPr>
          <w:p w14:paraId="5FA2359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5390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80" w:type="dxa"/>
            <w:vMerge w:val="continue"/>
            <w:vAlign w:val="center"/>
          </w:tcPr>
          <w:p w14:paraId="43F333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vAlign w:val="center"/>
          </w:tcPr>
          <w:p w14:paraId="23EA0D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p>
        </w:tc>
        <w:tc>
          <w:tcPr>
            <w:tcW w:w="1080" w:type="dxa"/>
            <w:vMerge w:val="restart"/>
            <w:shd w:val="clear" w:color="auto" w:fill="auto"/>
            <w:vAlign w:val="center"/>
          </w:tcPr>
          <w:p w14:paraId="22C5BF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质量指标</w:t>
            </w:r>
          </w:p>
          <w:p w14:paraId="32E99A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shd w:val="clear" w:color="auto" w:fill="auto"/>
            <w:vAlign w:val="center"/>
          </w:tcPr>
          <w:p w14:paraId="6E83969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上报市政协提案立案率</w:t>
            </w:r>
          </w:p>
        </w:tc>
        <w:tc>
          <w:tcPr>
            <w:tcW w:w="1209" w:type="dxa"/>
            <w:shd w:val="clear" w:color="auto" w:fill="auto"/>
            <w:vAlign w:val="center"/>
          </w:tcPr>
          <w:p w14:paraId="1A514C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shd w:val="clear" w:color="auto" w:fill="auto"/>
            <w:vAlign w:val="center"/>
          </w:tcPr>
          <w:p w14:paraId="1143AA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shd w:val="clear" w:color="auto" w:fill="auto"/>
            <w:vAlign w:val="center"/>
          </w:tcPr>
          <w:p w14:paraId="049D0B3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873" w:type="dxa"/>
            <w:shd w:val="clear" w:color="auto" w:fill="auto"/>
            <w:vAlign w:val="center"/>
          </w:tcPr>
          <w:p w14:paraId="1F3875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w:t>
            </w:r>
          </w:p>
        </w:tc>
        <w:tc>
          <w:tcPr>
            <w:tcW w:w="1418" w:type="dxa"/>
            <w:shd w:val="clear" w:color="auto" w:fill="auto"/>
            <w:vAlign w:val="center"/>
          </w:tcPr>
          <w:p w14:paraId="707C2AB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0F00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080" w:type="dxa"/>
            <w:vMerge w:val="continue"/>
            <w:vAlign w:val="center"/>
          </w:tcPr>
          <w:p w14:paraId="0A26680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vAlign w:val="center"/>
          </w:tcPr>
          <w:p w14:paraId="56CCBE9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p>
        </w:tc>
        <w:tc>
          <w:tcPr>
            <w:tcW w:w="1080" w:type="dxa"/>
            <w:vMerge w:val="continue"/>
            <w:shd w:val="clear" w:color="auto" w:fill="auto"/>
            <w:vAlign w:val="center"/>
          </w:tcPr>
          <w:p w14:paraId="47F14A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p>
        </w:tc>
        <w:tc>
          <w:tcPr>
            <w:tcW w:w="1149" w:type="dxa"/>
            <w:shd w:val="clear" w:color="auto" w:fill="auto"/>
            <w:vAlign w:val="center"/>
          </w:tcPr>
          <w:p w14:paraId="0C669D1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完成及时率</w:t>
            </w:r>
          </w:p>
        </w:tc>
        <w:tc>
          <w:tcPr>
            <w:tcW w:w="1209" w:type="dxa"/>
            <w:shd w:val="clear" w:color="auto" w:fill="auto"/>
            <w:vAlign w:val="center"/>
          </w:tcPr>
          <w:p w14:paraId="31E941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1134" w:type="dxa"/>
            <w:shd w:val="clear" w:color="auto" w:fill="auto"/>
            <w:vAlign w:val="center"/>
          </w:tcPr>
          <w:p w14:paraId="39DD674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828" w:type="dxa"/>
            <w:shd w:val="clear" w:color="auto" w:fill="auto"/>
            <w:vAlign w:val="center"/>
          </w:tcPr>
          <w:p w14:paraId="74A3DC9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724040B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shd w:val="clear" w:color="auto" w:fill="auto"/>
            <w:vAlign w:val="center"/>
          </w:tcPr>
          <w:p w14:paraId="1609A03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0AAE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693626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restart"/>
            <w:shd w:val="clear" w:color="auto" w:fill="auto"/>
            <w:vAlign w:val="center"/>
          </w:tcPr>
          <w:p w14:paraId="2391F28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8AAC46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p>
          <w:p w14:paraId="7672C07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p>
        </w:tc>
        <w:tc>
          <w:tcPr>
            <w:tcW w:w="1080" w:type="dxa"/>
            <w:vMerge w:val="restart"/>
            <w:shd w:val="clear" w:color="auto" w:fill="auto"/>
            <w:vAlign w:val="center"/>
          </w:tcPr>
          <w:p w14:paraId="4C5B65D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E81F8F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益指标</w:t>
            </w:r>
          </w:p>
          <w:p w14:paraId="39F0CF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940FE5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shd w:val="clear" w:color="auto" w:fill="auto"/>
            <w:vAlign w:val="center"/>
          </w:tcPr>
          <w:p w14:paraId="402ED03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经济发展保障</w:t>
            </w:r>
          </w:p>
        </w:tc>
        <w:tc>
          <w:tcPr>
            <w:tcW w:w="1209" w:type="dxa"/>
            <w:shd w:val="clear" w:color="auto" w:fill="auto"/>
            <w:vAlign w:val="center"/>
          </w:tcPr>
          <w:p w14:paraId="2EC3F85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1134" w:type="dxa"/>
            <w:shd w:val="clear" w:color="auto" w:fill="auto"/>
            <w:vAlign w:val="center"/>
          </w:tcPr>
          <w:p w14:paraId="0374FE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828" w:type="dxa"/>
            <w:shd w:val="clear" w:color="auto" w:fill="auto"/>
            <w:vAlign w:val="center"/>
          </w:tcPr>
          <w:p w14:paraId="7013414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179B25F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shd w:val="clear" w:color="auto" w:fill="auto"/>
            <w:vAlign w:val="center"/>
          </w:tcPr>
          <w:p w14:paraId="777F416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6698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1BF956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vAlign w:val="center"/>
          </w:tcPr>
          <w:p w14:paraId="35F89A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shd w:val="clear" w:color="auto" w:fill="auto"/>
            <w:vAlign w:val="center"/>
          </w:tcPr>
          <w:p w14:paraId="3A09E7A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p>
        </w:tc>
        <w:tc>
          <w:tcPr>
            <w:tcW w:w="1149" w:type="dxa"/>
            <w:shd w:val="clear" w:color="auto" w:fill="auto"/>
            <w:vAlign w:val="center"/>
          </w:tcPr>
          <w:p w14:paraId="72E09B8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保障职能的履行</w:t>
            </w:r>
          </w:p>
        </w:tc>
        <w:tc>
          <w:tcPr>
            <w:tcW w:w="1209" w:type="dxa"/>
            <w:shd w:val="clear" w:color="auto" w:fill="auto"/>
            <w:vAlign w:val="center"/>
          </w:tcPr>
          <w:p w14:paraId="51E9CC6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w:t>
            </w:r>
          </w:p>
        </w:tc>
        <w:tc>
          <w:tcPr>
            <w:tcW w:w="1134" w:type="dxa"/>
            <w:shd w:val="clear" w:color="auto" w:fill="auto"/>
            <w:vAlign w:val="center"/>
          </w:tcPr>
          <w:p w14:paraId="3CD35B7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效果明显　</w:t>
            </w:r>
          </w:p>
        </w:tc>
        <w:tc>
          <w:tcPr>
            <w:tcW w:w="828" w:type="dxa"/>
            <w:shd w:val="clear" w:color="auto" w:fill="auto"/>
            <w:vAlign w:val="center"/>
          </w:tcPr>
          <w:p w14:paraId="4742751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5D4B798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shd w:val="clear" w:color="auto" w:fill="auto"/>
            <w:vAlign w:val="center"/>
          </w:tcPr>
          <w:p w14:paraId="2D1C316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44B4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4ADF63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vAlign w:val="center"/>
          </w:tcPr>
          <w:p w14:paraId="4D00341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restart"/>
            <w:shd w:val="clear" w:color="auto" w:fill="auto"/>
            <w:vAlign w:val="center"/>
          </w:tcPr>
          <w:p w14:paraId="459A236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8ACBEE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益指标</w:t>
            </w:r>
          </w:p>
          <w:p w14:paraId="463E92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shd w:val="clear" w:color="auto" w:fill="auto"/>
            <w:vAlign w:val="center"/>
          </w:tcPr>
          <w:p w14:paraId="348F60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不适用</w:t>
            </w:r>
          </w:p>
        </w:tc>
        <w:tc>
          <w:tcPr>
            <w:tcW w:w="1209" w:type="dxa"/>
            <w:shd w:val="clear" w:color="auto" w:fill="auto"/>
            <w:vAlign w:val="center"/>
          </w:tcPr>
          <w:p w14:paraId="014462E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c>
          <w:tcPr>
            <w:tcW w:w="1134" w:type="dxa"/>
            <w:shd w:val="clear" w:color="auto" w:fill="auto"/>
            <w:vAlign w:val="center"/>
          </w:tcPr>
          <w:p w14:paraId="7922B02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c>
          <w:tcPr>
            <w:tcW w:w="828" w:type="dxa"/>
            <w:shd w:val="clear" w:color="auto" w:fill="auto"/>
            <w:vAlign w:val="center"/>
          </w:tcPr>
          <w:p w14:paraId="292F6C2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873" w:type="dxa"/>
            <w:shd w:val="clear" w:color="auto" w:fill="auto"/>
            <w:vAlign w:val="center"/>
          </w:tcPr>
          <w:p w14:paraId="2A9A1AD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418" w:type="dxa"/>
            <w:shd w:val="clear" w:color="auto" w:fill="auto"/>
            <w:vAlign w:val="center"/>
          </w:tcPr>
          <w:p w14:paraId="654192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5765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vAlign w:val="center"/>
          </w:tcPr>
          <w:p w14:paraId="405B10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vAlign w:val="center"/>
          </w:tcPr>
          <w:p w14:paraId="3CEF61E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shd w:val="clear" w:color="auto" w:fill="auto"/>
            <w:vAlign w:val="center"/>
          </w:tcPr>
          <w:p w14:paraId="58B916F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p>
        </w:tc>
        <w:tc>
          <w:tcPr>
            <w:tcW w:w="1149" w:type="dxa"/>
            <w:shd w:val="clear" w:color="auto" w:fill="auto"/>
            <w:vAlign w:val="center"/>
          </w:tcPr>
          <w:p w14:paraId="5399381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不适用</w:t>
            </w:r>
          </w:p>
        </w:tc>
        <w:tc>
          <w:tcPr>
            <w:tcW w:w="1209" w:type="dxa"/>
            <w:shd w:val="clear" w:color="auto" w:fill="auto"/>
            <w:vAlign w:val="center"/>
          </w:tcPr>
          <w:p w14:paraId="06E9178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c>
          <w:tcPr>
            <w:tcW w:w="1134" w:type="dxa"/>
            <w:shd w:val="clear" w:color="auto" w:fill="auto"/>
            <w:vAlign w:val="center"/>
          </w:tcPr>
          <w:p w14:paraId="5EEA971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c>
          <w:tcPr>
            <w:tcW w:w="828" w:type="dxa"/>
            <w:shd w:val="clear" w:color="auto" w:fill="auto"/>
            <w:vAlign w:val="center"/>
          </w:tcPr>
          <w:p w14:paraId="1BF67F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873" w:type="dxa"/>
            <w:shd w:val="clear" w:color="auto" w:fill="auto"/>
            <w:vAlign w:val="center"/>
          </w:tcPr>
          <w:p w14:paraId="002235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418" w:type="dxa"/>
            <w:shd w:val="clear" w:color="auto" w:fill="auto"/>
            <w:vAlign w:val="center"/>
          </w:tcPr>
          <w:p w14:paraId="4A650CD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417F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7B82936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vMerge w:val="continue"/>
            <w:shd w:val="clear" w:color="auto" w:fill="auto"/>
            <w:vAlign w:val="center"/>
          </w:tcPr>
          <w:p w14:paraId="539924D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仿宋" w:hAnsi="仿宋" w:eastAsia="仿宋" w:cs="仿宋"/>
                <w:color w:val="000000"/>
                <w:kern w:val="0"/>
                <w:sz w:val="20"/>
                <w:szCs w:val="20"/>
              </w:rPr>
            </w:pPr>
          </w:p>
        </w:tc>
        <w:tc>
          <w:tcPr>
            <w:tcW w:w="1080" w:type="dxa"/>
            <w:shd w:val="clear" w:color="auto" w:fill="auto"/>
            <w:vAlign w:val="center"/>
          </w:tcPr>
          <w:p w14:paraId="403978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服务对象满意度指标</w:t>
            </w:r>
          </w:p>
          <w:p w14:paraId="3701908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149" w:type="dxa"/>
            <w:shd w:val="clear" w:color="auto" w:fill="auto"/>
            <w:vAlign w:val="center"/>
          </w:tcPr>
          <w:p w14:paraId="5E01810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服务对象满意度</w:t>
            </w:r>
          </w:p>
        </w:tc>
        <w:tc>
          <w:tcPr>
            <w:tcW w:w="1209" w:type="dxa"/>
            <w:shd w:val="clear" w:color="auto" w:fill="auto"/>
            <w:vAlign w:val="center"/>
          </w:tcPr>
          <w:p w14:paraId="2FD0681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shd w:val="clear" w:color="auto" w:fill="auto"/>
            <w:vAlign w:val="center"/>
          </w:tcPr>
          <w:p w14:paraId="49694D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≥90%</w:t>
            </w:r>
          </w:p>
        </w:tc>
        <w:tc>
          <w:tcPr>
            <w:tcW w:w="828" w:type="dxa"/>
            <w:shd w:val="clear" w:color="auto" w:fill="auto"/>
            <w:vAlign w:val="center"/>
          </w:tcPr>
          <w:p w14:paraId="62C41CE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31AEFEF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shd w:val="clear" w:color="auto" w:fill="auto"/>
            <w:vAlign w:val="center"/>
          </w:tcPr>
          <w:p w14:paraId="1E3C40C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p>
        </w:tc>
      </w:tr>
      <w:tr w14:paraId="667C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F28E401">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6A9C2BBB">
            <w:pPr>
              <w:widowControl/>
              <w:spacing w:line="28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0D680141">
            <w:pPr>
              <w:widowControl/>
              <w:spacing w:line="28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99.85</w:t>
            </w:r>
          </w:p>
        </w:tc>
        <w:tc>
          <w:tcPr>
            <w:tcW w:w="1418" w:type="dxa"/>
            <w:vAlign w:val="center"/>
          </w:tcPr>
          <w:p w14:paraId="305302F5">
            <w:pPr>
              <w:widowControl/>
              <w:spacing w:line="280" w:lineRule="exac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6696F83">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王莹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16674521577</w:t>
      </w:r>
    </w:p>
    <w:p w14:paraId="7F8BDAD4">
      <w:pPr>
        <w:spacing w:line="600" w:lineRule="exact"/>
        <w:rPr>
          <w:rFonts w:ascii="Times New Roman" w:hAnsi="Times New Roman" w:eastAsia="仿宋_GB2312" w:cs="Times New Roman"/>
          <w:color w:val="000000"/>
          <w:kern w:val="0"/>
          <w:sz w:val="24"/>
        </w:rPr>
      </w:pPr>
      <w:r>
        <w:rPr>
          <w:rFonts w:hint="eastAsia" w:ascii="方正小标宋_GBK" w:hAnsi="方正小标宋_GBK" w:eastAsia="方正小标宋_GBK" w:cs="方正小标宋_GBK"/>
          <w:color w:val="000000"/>
          <w:kern w:val="0"/>
          <w:sz w:val="24"/>
          <w:shd w:val="clear" w:color="auto" w:fill="FFFFFF"/>
          <w:lang w:bidi="ar"/>
        </w:rPr>
        <w:t>附件</w:t>
      </w:r>
      <w:r>
        <w:rPr>
          <w:rFonts w:hint="eastAsia" w:ascii="Times New Roman" w:hAnsi="Times New Roman" w:eastAsia="仿宋_GB2312" w:cs="Times New Roman"/>
          <w:color w:val="000000"/>
          <w:kern w:val="0"/>
          <w:sz w:val="24"/>
        </w:rPr>
        <w:t>4</w:t>
      </w:r>
    </w:p>
    <w:p w14:paraId="111D8A00">
      <w:pPr>
        <w:spacing w:line="600" w:lineRule="exact"/>
        <w:rPr>
          <w:rFonts w:ascii="Times New Roman" w:hAnsi="Times New Roman" w:eastAsia="仿宋_GB2312" w:cs="Times New Roman"/>
          <w:color w:val="000000"/>
          <w:kern w:val="0"/>
          <w:sz w:val="24"/>
        </w:rPr>
      </w:pPr>
      <w:r>
        <w:rPr>
          <w:rFonts w:hint="eastAsia" w:ascii="Times New Roman" w:hAnsi="Times New Roman" w:eastAsia="仿宋_GB2312" w:cs="Times New Roman"/>
          <w:color w:val="000000"/>
          <w:kern w:val="0"/>
          <w:sz w:val="24"/>
        </w:rPr>
        <w:t xml:space="preserve">                 </w:t>
      </w:r>
    </w:p>
    <w:p w14:paraId="65530015">
      <w:pPr>
        <w:jc w:val="center"/>
        <w:rPr>
          <w:rFonts w:ascii="方正小标宋简体" w:hAnsi="Arial" w:eastAsia="方正小标宋简体" w:cs="Arial"/>
          <w:sz w:val="40"/>
          <w:szCs w:val="40"/>
        </w:rPr>
      </w:pPr>
      <w:r>
        <w:rPr>
          <w:rFonts w:hint="eastAsia" w:ascii="方正小标宋简体" w:hAnsi="Arial" w:eastAsia="方正小标宋简体" w:cs="Arial"/>
          <w:sz w:val="40"/>
          <w:szCs w:val="40"/>
        </w:rPr>
        <w:t>项目支出自评结果汇总分析报告</w:t>
      </w:r>
    </w:p>
    <w:p w14:paraId="3F1BD4D5">
      <w:pPr>
        <w:jc w:val="center"/>
        <w:rPr>
          <w:rFonts w:ascii="仿宋_GB2312"/>
          <w:sz w:val="32"/>
          <w:szCs w:val="32"/>
        </w:rPr>
      </w:pPr>
    </w:p>
    <w:p w14:paraId="4BD309B1">
      <w:pPr>
        <w:snapToGrid w:val="0"/>
        <w:spacing w:line="52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一、项目支出基本情况</w:t>
      </w:r>
    </w:p>
    <w:p w14:paraId="435002A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包括本部门项目支出构成情况，总体预算和执行情况等。</w:t>
      </w:r>
    </w:p>
    <w:p w14:paraId="6E5D07C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怀化市财政局关于开展2025年度市级预算部门绩效自评和部门评价的通知》（怀财绩〔2026〕36号），2025年项目支出预算安排50万元，包括有关事业发展专项、专项业务费、基本建设支出等。其中：民主党派管理经费支出50万元，主要用于</w:t>
      </w:r>
      <w:r>
        <w:rPr>
          <w:rFonts w:hint="default" w:ascii="Times New Roman Regular" w:hAnsi="Times New Roman Regular" w:eastAsia="仿宋_GB2312" w:cs="Times New Roman Regular"/>
          <w:color w:val="auto"/>
          <w:sz w:val="32"/>
          <w:szCs w:val="32"/>
          <w:highlight w:val="none"/>
          <w:lang w:val="en-US" w:eastAsia="zh-CN"/>
        </w:rPr>
        <w:t>民主监督、</w:t>
      </w:r>
      <w:r>
        <w:rPr>
          <w:rFonts w:hint="eastAsia" w:ascii="Times New Roman Regular" w:hAnsi="Times New Roman Regular" w:eastAsia="仿宋_GB2312" w:cs="Times New Roman Regular"/>
          <w:color w:val="auto"/>
          <w:sz w:val="32"/>
          <w:szCs w:val="32"/>
          <w:highlight w:val="none"/>
          <w:lang w:val="en-US" w:eastAsia="zh-CN"/>
        </w:rPr>
        <w:t>参政议政、</w:t>
      </w:r>
      <w:r>
        <w:rPr>
          <w:rFonts w:hint="default" w:ascii="Times New Roman Regular" w:hAnsi="Times New Roman Regular" w:eastAsia="仿宋_GB2312" w:cs="Times New Roman Regular"/>
          <w:color w:val="auto"/>
          <w:sz w:val="32"/>
          <w:szCs w:val="32"/>
          <w:highlight w:val="none"/>
          <w:lang w:val="en-US" w:eastAsia="zh-CN"/>
        </w:rPr>
        <w:t>调研等方面。</w:t>
      </w:r>
      <w:r>
        <w:rPr>
          <w:rFonts w:hint="eastAsia" w:ascii="Times New Roman Regular" w:hAnsi="Times New Roman Regular" w:eastAsia="仿宋_GB2312" w:cs="Times New Roman Regular"/>
          <w:color w:val="auto"/>
          <w:sz w:val="32"/>
          <w:szCs w:val="32"/>
          <w:highlight w:val="none"/>
          <w:lang w:val="en-US" w:eastAsia="zh-CN"/>
        </w:rPr>
        <w:t>年中追加市政协委员工作室建设和运行经费2万元，盟史整理宣传经费2万元，</w:t>
      </w:r>
      <w:r>
        <w:rPr>
          <w:rFonts w:hint="default" w:ascii="Times New Roman Regular" w:hAnsi="Times New Roman Regular" w:eastAsia="仿宋_GB2312" w:cs="Times New Roman Regular"/>
          <w:color w:val="auto"/>
          <w:sz w:val="32"/>
          <w:szCs w:val="32"/>
          <w:highlight w:val="none"/>
          <w:lang w:val="en-US" w:eastAsia="zh-CN"/>
        </w:rPr>
        <w:t>本年度项目支出</w:t>
      </w:r>
      <w:r>
        <w:rPr>
          <w:rFonts w:hint="eastAsia" w:ascii="Times New Roman Regular" w:hAnsi="Times New Roman Regular" w:eastAsia="仿宋_GB2312" w:cs="Times New Roman Regular"/>
          <w:color w:val="auto"/>
          <w:sz w:val="32"/>
          <w:szCs w:val="32"/>
          <w:highlight w:val="none"/>
          <w:lang w:val="en-US" w:eastAsia="zh-CN"/>
        </w:rPr>
        <w:t>总</w:t>
      </w:r>
      <w:r>
        <w:rPr>
          <w:rFonts w:hint="default" w:ascii="Times New Roman Regular" w:hAnsi="Times New Roman Regular" w:eastAsia="仿宋_GB2312" w:cs="Times New Roman Regular"/>
          <w:color w:val="auto"/>
          <w:sz w:val="32"/>
          <w:szCs w:val="32"/>
          <w:highlight w:val="none"/>
          <w:lang w:val="en-US" w:eastAsia="zh-CN"/>
        </w:rPr>
        <w:t>预算数</w:t>
      </w:r>
      <w:r>
        <w:rPr>
          <w:rFonts w:hint="eastAsia" w:ascii="Times New Roman Regular" w:hAnsi="Times New Roman Regular" w:eastAsia="仿宋_GB2312" w:cs="Times New Roman Regular"/>
          <w:color w:val="auto"/>
          <w:sz w:val="32"/>
          <w:szCs w:val="32"/>
          <w:highlight w:val="none"/>
          <w:lang w:val="en-US" w:eastAsia="zh-CN"/>
        </w:rPr>
        <w:t>54万元，实际到位36.21万元，到位率67.06%，实际支出33.11万元，执行率61.31%。</w:t>
      </w:r>
    </w:p>
    <w:p w14:paraId="24D825F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市政协委员工作室建设和运行经费2万元，预算执行2万元，执行率100%；盟史整理宣传经费2万元，预算执行1.99万元，执行率99.50%。</w:t>
      </w:r>
    </w:p>
    <w:p w14:paraId="39FE94E3">
      <w:pPr>
        <w:snapToGrid w:val="0"/>
        <w:spacing w:line="520" w:lineRule="exact"/>
        <w:ind w:firstLine="640" w:firstLineChars="200"/>
        <w:rPr>
          <w:rFonts w:ascii="方正黑体_GBK" w:hAnsi="方正黑体_GBK" w:eastAsia="方正黑体_GBK" w:cs="方正黑体_GBK"/>
          <w:b/>
          <w:bCs/>
          <w:sz w:val="32"/>
          <w:szCs w:val="32"/>
        </w:rPr>
      </w:pPr>
      <w:r>
        <w:rPr>
          <w:rFonts w:hint="eastAsia" w:ascii="黑体" w:hAnsi="黑体" w:eastAsia="黑体" w:cs="黑体"/>
          <w:b w:val="0"/>
          <w:bCs w:val="0"/>
          <w:sz w:val="32"/>
          <w:szCs w:val="32"/>
        </w:rPr>
        <w:t>二、项目自评工作开展情况</w:t>
      </w:r>
    </w:p>
    <w:p w14:paraId="7A02BCA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根据《怀化市财政局关于开展2025年度市级预算部门绩效自评和部门评价的通知》（怀财绩〔2026〕36号）要求，本单位对2025年度全部项目资金开展自评，其中包括民主党派管理经费支出50万元，市政</w:t>
      </w:r>
      <w:r>
        <w:rPr>
          <w:rFonts w:hint="eastAsia" w:ascii="仿宋" w:hAnsi="仿宋" w:eastAsia="仿宋" w:cs="Times New Roman Regular"/>
          <w:sz w:val="32"/>
          <w:szCs w:val="32"/>
        </w:rPr>
        <w:t>协</w:t>
      </w:r>
      <w:r>
        <w:rPr>
          <w:rFonts w:hint="eastAsia" w:ascii="Times New Roman Regular" w:hAnsi="Times New Roman Regular" w:eastAsia="仿宋_GB2312" w:cs="Times New Roman Regular"/>
          <w:color w:val="auto"/>
          <w:sz w:val="32"/>
          <w:szCs w:val="32"/>
          <w:highlight w:val="none"/>
          <w:lang w:val="en-US" w:eastAsia="zh-CN"/>
        </w:rPr>
        <w:t>委员工作室建设和运行经费2万元，</w:t>
      </w:r>
      <w:r>
        <w:rPr>
          <w:rFonts w:hint="eastAsia" w:ascii="仿宋" w:hAnsi="仿宋" w:eastAsia="仿宋" w:cs="Times New Roman Regular"/>
          <w:sz w:val="32"/>
          <w:szCs w:val="32"/>
          <w:lang w:eastAsia="zh-CN"/>
        </w:rPr>
        <w:t>盟史整理宣传经费</w:t>
      </w:r>
      <w:r>
        <w:rPr>
          <w:rFonts w:hint="eastAsia" w:ascii="仿宋" w:hAnsi="仿宋" w:eastAsia="仿宋" w:cs="Times New Roman Regular"/>
          <w:sz w:val="32"/>
          <w:szCs w:val="32"/>
          <w:lang w:val="en-US" w:eastAsia="zh-CN"/>
        </w:rPr>
        <w:t>2万元</w:t>
      </w:r>
      <w:r>
        <w:rPr>
          <w:rFonts w:hint="eastAsia" w:ascii="Times New Roman Regular" w:hAnsi="Times New Roman Regular" w:eastAsia="仿宋_GB2312" w:cs="Times New Roman Regular"/>
          <w:color w:val="auto"/>
          <w:sz w:val="32"/>
          <w:szCs w:val="32"/>
          <w:highlight w:val="none"/>
          <w:lang w:val="en-US" w:eastAsia="zh-CN"/>
        </w:rPr>
        <w:t>。我单位成立由办公室以及其他业务科室组成的绩效自评工作小组，明确责任分工，细化评价指标和流程。项目负责人在评价执行过程中对各项目进行数据收集与分析，采用合理的评价方法，对项目整体执行情况进行合理的评价与分析，得出合理的结论。</w:t>
      </w:r>
    </w:p>
    <w:p w14:paraId="2F5E9767">
      <w:pPr>
        <w:snapToGrid w:val="0"/>
        <w:spacing w:line="52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三、项目自评结果及分析</w:t>
      </w:r>
    </w:p>
    <w:p w14:paraId="02D759B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（一）项目支出单位自评分数情况及分析</w:t>
      </w:r>
    </w:p>
    <w:p w14:paraId="11304F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自评总分及构成：总分100分，其中，项目年度资金预算执行数10分，成本指标20分，产出指标40分，效益指标20分，满意度指标10分。民主党派管理经费评分得分94.86分，市政协委员工作室建设和运行经费100分，盟史整理宣传经费99.85分，3个项目综合评分98.24分。</w:t>
      </w:r>
    </w:p>
    <w:p w14:paraId="384BE84C">
      <w:pPr>
        <w:pStyle w:val="4"/>
        <w:numPr>
          <w:ilvl w:val="0"/>
          <w:numId w:val="0"/>
        </w:numPr>
        <w:ind w:leftChars="0" w:firstLine="640" w:firstLineChars="200"/>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（二）预算执行情况分析</w:t>
      </w:r>
    </w:p>
    <w:p w14:paraId="15424A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民主党派管理经费50万元，实际到位32.21万元，到位率64.42%，执行率预算执行29.12万元，执行率90.41%；</w:t>
      </w:r>
    </w:p>
    <w:p w14:paraId="5A1F11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市政协委员工作室建设和运行经费2万元，预算执行2万元，执行率100%；</w:t>
      </w:r>
    </w:p>
    <w:p w14:paraId="2EC711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盟史整理宣传经费2万元，预算执行1.99万元，执行率99.50%。</w:t>
      </w:r>
    </w:p>
    <w:p w14:paraId="0566754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单位内部会继续加强预算动态监控，定期调整预算执行率。</w:t>
      </w:r>
    </w:p>
    <w:p w14:paraId="3548424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（三）资金管理情况分析</w:t>
      </w:r>
    </w:p>
    <w:p w14:paraId="1A573A8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1、资金来源及拨付流程</w:t>
      </w:r>
    </w:p>
    <w:p w14:paraId="13425C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2025年本单位专项项目资金年初预算项目资金54万元，资金来源是市财政局拨款，2025年从一般公共预算财政拨款资金安排经费，资金拨付按季度下拨。</w:t>
      </w:r>
    </w:p>
    <w:p w14:paraId="6A9D77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2、资金执行情况</w:t>
      </w:r>
    </w:p>
    <w:p w14:paraId="0815F54B">
      <w:pPr>
        <w:snapToGrid w:val="0"/>
        <w:spacing w:line="520" w:lineRule="exact"/>
        <w:ind w:firstLine="640" w:firstLineChars="200"/>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2025年本单位专项项目资金指标金额54万元，</w:t>
      </w:r>
      <w:r>
        <w:rPr>
          <w:rFonts w:hint="eastAsia" w:ascii="仿宋" w:hAnsi="仿宋" w:eastAsia="仿宋" w:cs="Times New Roman Regular"/>
          <w:sz w:val="32"/>
          <w:szCs w:val="32"/>
          <w:lang w:val="en-US" w:eastAsia="zh-CN"/>
        </w:rPr>
        <w:t>包括有关事业发展专项、专项业务费、基本建设支出等。其中：</w:t>
      </w:r>
      <w:r>
        <w:rPr>
          <w:rFonts w:hint="eastAsia" w:ascii="仿宋" w:hAnsi="仿宋" w:eastAsia="仿宋" w:cs="Times New Roman Regular"/>
          <w:sz w:val="32"/>
          <w:szCs w:val="32"/>
          <w:lang w:eastAsia="zh-CN"/>
        </w:rPr>
        <w:t>民主党派管理经费支出</w:t>
      </w:r>
      <w:r>
        <w:rPr>
          <w:rFonts w:hint="eastAsia" w:ascii="仿宋" w:hAnsi="仿宋" w:eastAsia="仿宋" w:cs="Times New Roman Regular"/>
          <w:sz w:val="32"/>
          <w:szCs w:val="32"/>
          <w:lang w:val="en-US" w:eastAsia="zh-CN"/>
        </w:rPr>
        <w:t>50</w:t>
      </w:r>
      <w:r>
        <w:rPr>
          <w:rFonts w:hint="eastAsia" w:ascii="仿宋" w:hAnsi="仿宋" w:eastAsia="仿宋" w:cs="Times New Roman Regular"/>
          <w:sz w:val="32"/>
          <w:szCs w:val="32"/>
          <w:lang w:eastAsia="zh-CN"/>
        </w:rPr>
        <w:t>万元，</w:t>
      </w:r>
      <w:r>
        <w:rPr>
          <w:rFonts w:hint="eastAsia" w:ascii="Times New Roman Regular" w:hAnsi="Times New Roman Regular" w:eastAsia="仿宋_GB2312" w:cs="Times New Roman Regular"/>
          <w:color w:val="auto"/>
          <w:sz w:val="32"/>
          <w:szCs w:val="32"/>
          <w:highlight w:val="none"/>
          <w:lang w:val="en-US" w:eastAsia="zh-CN"/>
        </w:rPr>
        <w:t>市政</w:t>
      </w:r>
      <w:r>
        <w:rPr>
          <w:rFonts w:hint="eastAsia" w:ascii="仿宋" w:hAnsi="仿宋" w:eastAsia="仿宋" w:cs="Times New Roman Regular"/>
          <w:sz w:val="32"/>
          <w:szCs w:val="32"/>
        </w:rPr>
        <w:t>协</w:t>
      </w:r>
      <w:r>
        <w:rPr>
          <w:rFonts w:hint="eastAsia" w:ascii="Times New Roman Regular" w:hAnsi="Times New Roman Regular" w:eastAsia="仿宋_GB2312" w:cs="Times New Roman Regular"/>
          <w:color w:val="auto"/>
          <w:sz w:val="32"/>
          <w:szCs w:val="32"/>
          <w:highlight w:val="none"/>
          <w:lang w:val="en-US" w:eastAsia="zh-CN"/>
        </w:rPr>
        <w:t>委员工作室建设和运行经费2万元，</w:t>
      </w:r>
      <w:r>
        <w:rPr>
          <w:rFonts w:hint="eastAsia" w:ascii="仿宋" w:hAnsi="仿宋" w:eastAsia="仿宋" w:cs="Times New Roman Regular"/>
          <w:sz w:val="32"/>
          <w:szCs w:val="32"/>
          <w:lang w:eastAsia="zh-CN"/>
        </w:rPr>
        <w:t>盟史整理宣传经费</w:t>
      </w:r>
      <w:r>
        <w:rPr>
          <w:rFonts w:hint="eastAsia" w:ascii="仿宋" w:hAnsi="仿宋" w:eastAsia="仿宋" w:cs="Times New Roman Regular"/>
          <w:sz w:val="32"/>
          <w:szCs w:val="32"/>
          <w:lang w:val="en-US" w:eastAsia="zh-CN"/>
        </w:rPr>
        <w:t>2万元，</w:t>
      </w:r>
      <w:r>
        <w:rPr>
          <w:rFonts w:hint="eastAsia" w:ascii="仿宋" w:hAnsi="仿宋" w:eastAsia="仿宋" w:cs="Times New Roman Regular"/>
          <w:sz w:val="32"/>
          <w:szCs w:val="32"/>
          <w:lang w:eastAsia="zh-CN"/>
        </w:rPr>
        <w:t>主要用于</w:t>
      </w:r>
      <w:r>
        <w:rPr>
          <w:rFonts w:hint="default" w:ascii="仿宋" w:hAnsi="仿宋" w:eastAsia="仿宋" w:cs="Times New Roman Regular"/>
          <w:sz w:val="32"/>
          <w:szCs w:val="32"/>
          <w:lang w:val="en-US" w:eastAsia="zh-CN"/>
        </w:rPr>
        <w:t>民主监督、</w:t>
      </w:r>
      <w:r>
        <w:rPr>
          <w:rFonts w:hint="eastAsia" w:ascii="仿宋" w:hAnsi="仿宋" w:eastAsia="仿宋" w:cs="Times New Roman Regular"/>
          <w:sz w:val="32"/>
          <w:szCs w:val="32"/>
          <w:lang w:val="en-US" w:eastAsia="zh-CN"/>
        </w:rPr>
        <w:t>参政议政、</w:t>
      </w:r>
      <w:r>
        <w:rPr>
          <w:rFonts w:hint="default" w:ascii="仿宋" w:hAnsi="仿宋" w:eastAsia="仿宋" w:cs="Times New Roman Regular"/>
          <w:sz w:val="32"/>
          <w:szCs w:val="32"/>
          <w:lang w:val="en-US" w:eastAsia="zh-CN"/>
        </w:rPr>
        <w:t>调研等方面。</w:t>
      </w:r>
      <w:r>
        <w:rPr>
          <w:rFonts w:hint="eastAsia" w:ascii="仿宋" w:hAnsi="仿宋" w:eastAsia="仿宋" w:cs="Times New Roman Regular"/>
          <w:sz w:val="32"/>
          <w:szCs w:val="32"/>
        </w:rPr>
        <w:t>实际到位</w:t>
      </w:r>
      <w:r>
        <w:rPr>
          <w:rFonts w:hint="eastAsia" w:ascii="仿宋" w:hAnsi="仿宋" w:eastAsia="仿宋" w:cs="Times New Roman Regular"/>
          <w:sz w:val="32"/>
          <w:szCs w:val="32"/>
          <w:lang w:val="en-US" w:eastAsia="zh-CN"/>
        </w:rPr>
        <w:t>36.21</w:t>
      </w:r>
      <w:r>
        <w:rPr>
          <w:rFonts w:hint="eastAsia" w:ascii="仿宋" w:hAnsi="仿宋" w:eastAsia="仿宋" w:cs="Times New Roman Regular"/>
          <w:sz w:val="32"/>
          <w:szCs w:val="32"/>
        </w:rPr>
        <w:t>万元，到位率</w:t>
      </w:r>
      <w:r>
        <w:rPr>
          <w:rFonts w:hint="eastAsia" w:ascii="仿宋" w:hAnsi="仿宋" w:eastAsia="仿宋" w:cs="Times New Roman Regular"/>
          <w:sz w:val="32"/>
          <w:szCs w:val="32"/>
          <w:lang w:val="en-US" w:eastAsia="zh-CN"/>
        </w:rPr>
        <w:t>67.06</w:t>
      </w:r>
      <w:r>
        <w:rPr>
          <w:rFonts w:hint="eastAsia" w:ascii="仿宋" w:hAnsi="仿宋" w:eastAsia="仿宋" w:cs="Times New Roman Regular"/>
          <w:sz w:val="32"/>
          <w:szCs w:val="32"/>
        </w:rPr>
        <w:t>%</w:t>
      </w:r>
      <w:r>
        <w:rPr>
          <w:rFonts w:hint="eastAsia" w:ascii="仿宋" w:hAnsi="仿宋" w:eastAsia="仿宋" w:cs="Times New Roman Regular"/>
          <w:sz w:val="32"/>
          <w:szCs w:val="32"/>
          <w:lang w:eastAsia="zh-CN"/>
        </w:rPr>
        <w:t>，</w:t>
      </w:r>
      <w:r>
        <w:rPr>
          <w:rFonts w:hint="eastAsia" w:ascii="Times New Roman Regular" w:hAnsi="Times New Roman Regular" w:eastAsia="仿宋_GB2312" w:cs="Times New Roman Regular"/>
          <w:color w:val="auto"/>
          <w:kern w:val="2"/>
          <w:sz w:val="32"/>
          <w:szCs w:val="32"/>
          <w:highlight w:val="none"/>
          <w:lang w:val="en-US" w:eastAsia="zh-CN" w:bidi="ar-SA"/>
        </w:rPr>
        <w:t>实际支出金额33.11万元，资金执行率66.22%，原因为财政资金紧张，</w:t>
      </w:r>
      <w:r>
        <w:rPr>
          <w:rFonts w:hint="eastAsia" w:ascii="仿宋" w:hAnsi="仿宋" w:eastAsia="仿宋" w:cs="Times New Roman Regular"/>
          <w:sz w:val="32"/>
          <w:szCs w:val="32"/>
          <w:lang w:val="en-US" w:eastAsia="zh-CN"/>
        </w:rPr>
        <w:t>实际支出33.11万元，执行率91.44%。</w:t>
      </w:r>
    </w:p>
    <w:p w14:paraId="7BEB19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w:t>
      </w:r>
      <w:r>
        <w:rPr>
          <w:rFonts w:hint="default" w:ascii="Times New Roman Regular" w:hAnsi="Times New Roman Regular" w:eastAsia="仿宋_GB2312" w:cs="Times New Roman Regular"/>
          <w:color w:val="auto"/>
          <w:kern w:val="2"/>
          <w:sz w:val="32"/>
          <w:szCs w:val="32"/>
          <w:highlight w:val="none"/>
          <w:lang w:val="en-US" w:eastAsia="zh-CN" w:bidi="ar-SA"/>
        </w:rPr>
        <w:t>资金使用情况</w:t>
      </w:r>
    </w:p>
    <w:p w14:paraId="79759C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所有资金均按计划使用，于2025年12月前全部完成拨付，专款专用，无截留、挤占、挪用等现象，会计核算真实、完整，用款程序规范，结算及时，符合相关规定。</w:t>
      </w:r>
    </w:p>
    <w:p w14:paraId="5A8A0C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4、</w:t>
      </w:r>
      <w:r>
        <w:rPr>
          <w:rFonts w:hint="default" w:ascii="Times New Roman Regular" w:hAnsi="Times New Roman Regular" w:eastAsia="仿宋_GB2312" w:cs="Times New Roman Regular"/>
          <w:color w:val="auto"/>
          <w:kern w:val="2"/>
          <w:sz w:val="32"/>
          <w:szCs w:val="32"/>
          <w:highlight w:val="none"/>
          <w:lang w:val="en-US" w:eastAsia="zh-CN" w:bidi="ar-SA"/>
        </w:rPr>
        <w:t>资金管理制度</w:t>
      </w:r>
    </w:p>
    <w:p w14:paraId="2F193A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492D3F21">
      <w:pPr>
        <w:pStyle w:val="4"/>
        <w:numPr>
          <w:ilvl w:val="0"/>
          <w:numId w:val="0"/>
        </w:numPr>
        <w:ind w:leftChars="0" w:firstLine="640" w:firstLineChars="200"/>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（四）总体绩效目标完成情况分析</w:t>
      </w:r>
    </w:p>
    <w:p w14:paraId="1989624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2025年总体绩效目标设定为：</w:t>
      </w:r>
    </w:p>
    <w:p w14:paraId="41A712F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成本目标：项目成本控制在年初预算范围内。</w:t>
      </w:r>
    </w:p>
    <w:p w14:paraId="5A7773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产出目标：达标完成率100%、实际上报市政协提案16件，调研报告4篇，上报市政协提案立案率100%，工作完成及时率均在2025年12月之前完成。</w:t>
      </w:r>
    </w:p>
    <w:p w14:paraId="5C1B1EF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p>
    <w:p w14:paraId="0022A847">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效益指标：目标1.深化理论武装，思想根基更加牢固。盟</w:t>
      </w:r>
      <w:r>
        <w:rPr>
          <w:rFonts w:hint="eastAsia" w:ascii="Times New Roman" w:hAnsi="Times New Roman" w:eastAsia="仿宋_GB2312" w:cs="Times New Roman"/>
          <w:sz w:val="32"/>
          <w:szCs w:val="32"/>
          <w:highlight w:val="none"/>
          <w:lang w:eastAsia="zh-CN"/>
        </w:rPr>
        <w:t>市委会印发工作方案，提出</w:t>
      </w:r>
      <w:r>
        <w:rPr>
          <w:rFonts w:hint="eastAsia" w:ascii="Times New Roman" w:hAnsi="Times New Roman" w:eastAsia="仿宋_GB2312" w:cs="Times New Roman"/>
          <w:sz w:val="32"/>
          <w:szCs w:val="32"/>
          <w:highlight w:val="none"/>
          <w:lang w:val="en-US" w:eastAsia="zh-CN"/>
        </w:rPr>
        <w:t>18条工作清单，5次举行领导班子集中学习活动，2次召开市委扩大会议进行专题辅导。</w:t>
      </w:r>
      <w:r>
        <w:rPr>
          <w:rFonts w:hint="default" w:ascii="Times New Roman" w:hAnsi="Times New Roman" w:eastAsia="仿宋_GB2312" w:cs="Times New Roman"/>
          <w:sz w:val="32"/>
          <w:szCs w:val="32"/>
          <w:highlight w:val="none"/>
          <w:lang w:val="en-US" w:eastAsia="zh-CN"/>
        </w:rPr>
        <w:t>在公众号发布政治学习、思想宣传</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参政议政范文、</w:t>
      </w:r>
      <w:r>
        <w:rPr>
          <w:rFonts w:hint="default" w:ascii="Times New Roman" w:hAnsi="Times New Roman" w:eastAsia="仿宋_GB2312" w:cs="Times New Roman"/>
          <w:sz w:val="32"/>
          <w:szCs w:val="32"/>
          <w:lang w:val="en-US" w:eastAsia="zh-CN"/>
        </w:rPr>
        <w:t>模范典型</w:t>
      </w:r>
      <w:r>
        <w:rPr>
          <w:rFonts w:hint="eastAsia" w:ascii="Times New Roman" w:hAnsi="Times New Roman" w:eastAsia="仿宋_GB2312" w:cs="Times New Roman"/>
          <w:sz w:val="32"/>
          <w:szCs w:val="32"/>
          <w:lang w:val="en-US" w:eastAsia="zh-CN"/>
        </w:rPr>
        <w:t>事迹共</w:t>
      </w: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篇</w:t>
      </w:r>
      <w:r>
        <w:rPr>
          <w:rFonts w:hint="eastAsia" w:ascii="Times New Roman" w:hAnsi="Times New Roman" w:eastAsia="仿宋_GB2312" w:cs="Times New Roman"/>
          <w:sz w:val="32"/>
          <w:szCs w:val="32"/>
          <w:lang w:val="en-US" w:eastAsia="zh-CN"/>
        </w:rPr>
        <w:t>。《民盟怀化市委会集体提案推动国家粮食种植收入保险政策落地 助力涉农企业创新发展》</w:t>
      </w:r>
      <w:r>
        <w:rPr>
          <w:rFonts w:hint="default" w:ascii="Times New Roman" w:hAnsi="Times New Roman" w:eastAsia="仿宋_GB2312" w:cs="Times New Roman"/>
          <w:sz w:val="32"/>
          <w:szCs w:val="32"/>
          <w:lang w:val="en-US" w:eastAsia="zh-CN"/>
        </w:rPr>
        <w:t>《仰望与传承·民盟文化大家列传丨著名翻译家、作家、编辑出版家冯亦代》</w:t>
      </w:r>
      <w:r>
        <w:rPr>
          <w:rFonts w:hint="eastAsia" w:ascii="Times New Roman" w:hAnsi="Times New Roman" w:eastAsia="仿宋_GB2312" w:cs="Times New Roman"/>
          <w:sz w:val="32"/>
          <w:szCs w:val="32"/>
          <w:lang w:val="en-US" w:eastAsia="zh-CN"/>
        </w:rPr>
        <w:t>《立志报国守初心 一生无求著华章》等20余篇宣传稿件在湘声报、湖南民盟公众号、网站和内刊刊登。《</w:t>
      </w:r>
      <w:r>
        <w:rPr>
          <w:rFonts w:hint="default" w:ascii="Times New Roman" w:hAnsi="Times New Roman" w:eastAsia="仿宋_GB2312" w:cs="Times New Roman"/>
          <w:sz w:val="32"/>
          <w:szCs w:val="32"/>
          <w:lang w:val="en-US" w:eastAsia="zh-CN"/>
        </w:rPr>
        <w:t>涂西畴：言传身教传家风</w:t>
      </w:r>
      <w:r>
        <w:rPr>
          <w:rFonts w:hint="eastAsia" w:ascii="Times New Roman" w:hAnsi="Times New Roman" w:eastAsia="仿宋_GB2312" w:cs="Times New Roman"/>
          <w:sz w:val="32"/>
          <w:szCs w:val="32"/>
          <w:lang w:val="en-US" w:eastAsia="zh-CN"/>
        </w:rPr>
        <w:t>》被吉林民盟</w:t>
      </w:r>
      <w:r>
        <w:rPr>
          <w:rFonts w:hint="default" w:ascii="Times New Roman" w:hAnsi="Times New Roman" w:eastAsia="仿宋_GB2312" w:cs="Times New Roman"/>
          <w:sz w:val="32"/>
          <w:szCs w:val="32"/>
          <w:lang w:val="en-US" w:eastAsia="zh-CN"/>
        </w:rPr>
        <w:t>【民盟名人堂</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“双百”行动】第二十四期</w:t>
      </w:r>
      <w:r>
        <w:rPr>
          <w:rFonts w:hint="eastAsia" w:ascii="Times New Roman" w:hAnsi="Times New Roman" w:eastAsia="仿宋_GB2312" w:cs="Times New Roman"/>
          <w:sz w:val="32"/>
          <w:szCs w:val="32"/>
          <w:lang w:val="en-US" w:eastAsia="zh-CN"/>
        </w:rPr>
        <w:t>转载。</w:t>
      </w:r>
      <w:r>
        <w:rPr>
          <w:rFonts w:hint="default" w:ascii="Times New Roman" w:hAnsi="Times New Roman" w:eastAsia="仿宋_GB2312" w:cs="Times New Roman"/>
          <w:sz w:val="32"/>
          <w:szCs w:val="32"/>
          <w:lang w:val="en-US" w:eastAsia="zh-CN"/>
        </w:rPr>
        <w:t>盟员讲盟史</w:t>
      </w:r>
      <w:r>
        <w:rPr>
          <w:rFonts w:hint="eastAsia" w:ascii="Times New Roman" w:hAnsi="Times New Roman" w:eastAsia="仿宋_GB2312" w:cs="Times New Roman"/>
          <w:sz w:val="32"/>
          <w:szCs w:val="32"/>
          <w:lang w:val="en-US" w:eastAsia="zh-CN"/>
        </w:rPr>
        <w:t>短</w:t>
      </w:r>
      <w:r>
        <w:rPr>
          <w:rFonts w:hint="default" w:ascii="Times New Roman" w:hAnsi="Times New Roman" w:eastAsia="仿宋_GB2312" w:cs="Times New Roman"/>
          <w:sz w:val="32"/>
          <w:szCs w:val="32"/>
          <w:lang w:val="en-US" w:eastAsia="zh-CN"/>
        </w:rPr>
        <w:t>视频《扬先辈风骨 守立盟初心》</w:t>
      </w:r>
      <w:r>
        <w:rPr>
          <w:rFonts w:hint="eastAsia" w:ascii="Times New Roman" w:hAnsi="Times New Roman" w:eastAsia="仿宋_GB2312" w:cs="Times New Roman"/>
          <w:sz w:val="32"/>
          <w:szCs w:val="32"/>
          <w:lang w:val="en-US" w:eastAsia="zh-CN"/>
        </w:rPr>
        <w:t>在全市盟员中竞相传播，使民盟先辈</w:t>
      </w:r>
      <w:r>
        <w:rPr>
          <w:rFonts w:hint="default" w:ascii="Times New Roman" w:hAnsi="Times New Roman" w:eastAsia="仿宋_GB2312" w:cs="Times New Roman"/>
          <w:sz w:val="32"/>
          <w:szCs w:val="32"/>
          <w:lang w:val="en-US" w:eastAsia="zh-CN"/>
        </w:rPr>
        <w:t>涂西畴</w:t>
      </w:r>
      <w:r>
        <w:rPr>
          <w:rFonts w:hint="eastAsia" w:ascii="Times New Roman" w:hAnsi="Times New Roman" w:eastAsia="仿宋_GB2312" w:cs="Times New Roman"/>
          <w:sz w:val="32"/>
          <w:szCs w:val="32"/>
          <w:lang w:val="en-US" w:eastAsia="zh-CN"/>
        </w:rPr>
        <w:t>精神得以广泛传扬，从而</w:t>
      </w:r>
      <w:r>
        <w:rPr>
          <w:rFonts w:hint="default" w:ascii="Times New Roman" w:hAnsi="Times New Roman" w:eastAsia="仿宋_GB2312" w:cs="Times New Roman"/>
          <w:sz w:val="32"/>
          <w:szCs w:val="32"/>
          <w:lang w:val="en-US" w:eastAsia="zh-CN"/>
        </w:rPr>
        <w:t>引领主流共识，筑牢</w:t>
      </w:r>
      <w:r>
        <w:rPr>
          <w:rFonts w:hint="eastAsia" w:ascii="Times New Roman" w:hAnsi="Times New Roman" w:eastAsia="仿宋_GB2312" w:cs="Times New Roman"/>
          <w:sz w:val="32"/>
          <w:szCs w:val="32"/>
          <w:lang w:val="en-US" w:eastAsia="zh-CN"/>
        </w:rPr>
        <w:t>思想</w:t>
      </w:r>
      <w:r>
        <w:rPr>
          <w:rFonts w:hint="default" w:ascii="Times New Roman" w:hAnsi="Times New Roman" w:eastAsia="仿宋_GB2312" w:cs="Times New Roman"/>
          <w:sz w:val="32"/>
          <w:szCs w:val="32"/>
          <w:lang w:val="en-US" w:eastAsia="zh-CN"/>
        </w:rPr>
        <w:t>根基。</w:t>
      </w:r>
    </w:p>
    <w:p w14:paraId="52B3DBEC">
      <w:pPr>
        <w:snapToGrid w:val="0"/>
        <w:spacing w:line="520" w:lineRule="exact"/>
        <w:ind w:firstLine="640" w:firstLineChars="200"/>
        <w:rPr>
          <w:rFonts w:hint="eastAsia" w:ascii="仿宋" w:hAnsi="仿宋" w:eastAsia="仿宋" w:cs="Times New Roman Regular"/>
          <w:sz w:val="32"/>
          <w:szCs w:val="32"/>
          <w:highlight w:val="none"/>
          <w:lang w:val="en-US" w:eastAsia="zh-CN"/>
        </w:rPr>
      </w:pPr>
    </w:p>
    <w:p w14:paraId="1588130E">
      <w:pPr>
        <w:snapToGrid w:val="0"/>
        <w:spacing w:line="52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目标2.聚焦中心任务，参政议政更有质效。</w:t>
      </w:r>
      <w:r>
        <w:rPr>
          <w:rFonts w:hint="default" w:ascii="Times New Roman" w:hAnsi="Times New Roman" w:eastAsia="仿宋_GB2312" w:cs="Times New Roman"/>
          <w:sz w:val="32"/>
          <w:szCs w:val="32"/>
          <w:lang w:val="en-US" w:eastAsia="zh-CN"/>
        </w:rPr>
        <w:t>以主题教育、“为十五五建言”等活动为载体，紧扣“七大攻坚行动”部署与民生关切热点，联动副主委所在单位和对口联系单位组建专业调研团队开展专题攻关调研，形成《大力发展林下经济 助力生态产品价值实现调研与研究》《进一步加强高水平医院结对帮扶 助力怀化全力打造五省周边区域医疗中心》《</w:t>
      </w:r>
      <w:r>
        <w:rPr>
          <w:rFonts w:hint="eastAsia" w:ascii="Times New Roman" w:hAnsi="Times New Roman" w:eastAsia="仿宋_GB2312" w:cs="Times New Roman"/>
          <w:sz w:val="32"/>
          <w:szCs w:val="32"/>
          <w:lang w:val="en-US" w:eastAsia="zh-CN"/>
        </w:rPr>
        <w:t>做强“福地怀化”品牌 加快建成生态文旅之城</w:t>
      </w:r>
      <w:r>
        <w:rPr>
          <w:rFonts w:hint="default" w:ascii="Times New Roman" w:hAnsi="Times New Roman" w:eastAsia="仿宋_GB2312" w:cs="Times New Roman"/>
          <w:sz w:val="32"/>
          <w:szCs w:val="32"/>
          <w:lang w:val="en-US" w:eastAsia="zh-CN"/>
        </w:rPr>
        <w:t>》《率先建立粮食种植收入保险试点机制</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加快建设怀乡怀品优质大米产业链》</w:t>
      </w:r>
      <w:r>
        <w:rPr>
          <w:rFonts w:hint="eastAsia" w:ascii="Times New Roman" w:hAnsi="Times New Roman" w:eastAsia="仿宋_GB2312" w:cs="Times New Roman"/>
          <w:sz w:val="32"/>
          <w:szCs w:val="32"/>
          <w:lang w:val="en-US" w:eastAsia="zh-CN"/>
        </w:rPr>
        <w:t>《职教出海背景下</w:t>
      </w:r>
      <w:bookmarkStart w:id="0" w:name="_Hlk202484381"/>
      <w:r>
        <w:rPr>
          <w:rFonts w:hint="eastAsia" w:ascii="Times New Roman" w:hAnsi="Times New Roman" w:eastAsia="仿宋_GB2312" w:cs="Times New Roman"/>
          <w:sz w:val="32"/>
          <w:szCs w:val="32"/>
          <w:lang w:val="en-US" w:eastAsia="zh-CN"/>
        </w:rPr>
        <w:t>青年拓展国际科技开放合作</w:t>
      </w:r>
      <w:bookmarkEnd w:id="0"/>
      <w:r>
        <w:rPr>
          <w:rFonts w:hint="eastAsia" w:ascii="Times New Roman" w:hAnsi="Times New Roman" w:eastAsia="仿宋_GB2312" w:cs="Times New Roman"/>
          <w:sz w:val="32"/>
          <w:szCs w:val="32"/>
          <w:lang w:val="en-US" w:eastAsia="zh-CN"/>
        </w:rPr>
        <w:t>的路径分析---以“鲁班工坊”为例》《推进教育数字化 赋能基础教育解内卷之困》</w:t>
      </w:r>
      <w:r>
        <w:rPr>
          <w:rFonts w:hint="default" w:ascii="Times New Roman" w:hAnsi="Times New Roman" w:eastAsia="仿宋_GB2312" w:cs="Times New Roman"/>
          <w:sz w:val="32"/>
          <w:szCs w:val="32"/>
          <w:lang w:val="en-US" w:eastAsia="zh-CN"/>
        </w:rPr>
        <w:t>等</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篇高质量调研报告</w:t>
      </w:r>
      <w:r>
        <w:rPr>
          <w:rFonts w:hint="eastAsia" w:ascii="Times New Roman" w:hAnsi="Times New Roman" w:eastAsia="仿宋_GB2312" w:cs="Times New Roman"/>
          <w:sz w:val="32"/>
          <w:szCs w:val="32"/>
          <w:lang w:val="en-US" w:eastAsia="zh-CN"/>
        </w:rPr>
        <w:t>，完成了</w:t>
      </w:r>
      <w:r>
        <w:rPr>
          <w:rFonts w:hint="default" w:ascii="Times New Roman" w:hAnsi="Times New Roman" w:eastAsia="仿宋_GB2312" w:cs="Times New Roman"/>
          <w:sz w:val="32"/>
          <w:szCs w:val="32"/>
          <w:lang w:val="en-US" w:eastAsia="zh-CN"/>
        </w:rPr>
        <w:t>盟省委会参政议政自筹课题《促进稻作文化和旅游深度融合，建设世界级旅游目的地》</w:t>
      </w:r>
      <w:r>
        <w:rPr>
          <w:rFonts w:hint="eastAsia" w:ascii="Times New Roman" w:hAnsi="Times New Roman" w:eastAsia="仿宋_GB2312" w:cs="Times New Roman"/>
          <w:sz w:val="32"/>
          <w:szCs w:val="32"/>
          <w:lang w:val="en-US" w:eastAsia="zh-CN"/>
        </w:rPr>
        <w:t>。其中《职教出海背景下青年拓展国际科技开放合作的路径分析---以“鲁班工坊”为例》《推进教育数字化 赋能基础教育解内卷之困》被《怀化市政协调研报告汇编（2025年度）》收录；</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做强“福地怀化”品牌 加快建成生态文旅之城</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被转化成市政协六届五次大会发言《</w:t>
      </w:r>
      <w:r>
        <w:rPr>
          <w:rFonts w:hint="default" w:ascii="Times New Roman" w:hAnsi="Times New Roman" w:eastAsia="仿宋_GB2312" w:cs="Times New Roman"/>
          <w:sz w:val="32"/>
          <w:szCs w:val="32"/>
          <w:lang w:val="en-US" w:eastAsia="zh-CN"/>
        </w:rPr>
        <w:t>放大“福地怀化”品牌效应</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化有福之地为享福之所</w:t>
      </w:r>
      <w:r>
        <w:rPr>
          <w:rFonts w:hint="eastAsia" w:ascii="Times New Roman" w:hAnsi="Times New Roman" w:eastAsia="仿宋_GB2312" w:cs="Times New Roman"/>
          <w:sz w:val="32"/>
          <w:szCs w:val="32"/>
          <w:lang w:val="en-US" w:eastAsia="zh-CN"/>
        </w:rPr>
        <w:t>》，其中“制定‘懂你如家’文旅服务标准”的建议被写入市政府工作报告；其余的均被作为民盟集体提案或协商议政建言，实现了</w:t>
      </w:r>
      <w:r>
        <w:rPr>
          <w:rFonts w:hint="default" w:ascii="Times New Roman" w:hAnsi="Times New Roman" w:eastAsia="仿宋_GB2312" w:cs="Times New Roman"/>
          <w:sz w:val="32"/>
          <w:szCs w:val="32"/>
          <w:lang w:val="en-US" w:eastAsia="zh-CN"/>
        </w:rPr>
        <w:t>学习</w:t>
      </w:r>
      <w:r>
        <w:rPr>
          <w:rFonts w:hint="eastAsia" w:ascii="Times New Roman" w:hAnsi="Times New Roman" w:eastAsia="仿宋_GB2312" w:cs="Times New Roman"/>
          <w:sz w:val="32"/>
          <w:szCs w:val="32"/>
          <w:lang w:val="en-US" w:eastAsia="zh-CN"/>
        </w:rPr>
        <w:t>实效推动深入调查研究积极</w:t>
      </w:r>
      <w:r>
        <w:rPr>
          <w:rFonts w:hint="default" w:ascii="Times New Roman" w:hAnsi="Times New Roman" w:eastAsia="仿宋_GB2312" w:cs="Times New Roman"/>
          <w:sz w:val="32"/>
          <w:szCs w:val="32"/>
          <w:lang w:val="en-US" w:eastAsia="zh-CN"/>
        </w:rPr>
        <w:t>建言献策的成果转化。累计提交人大建议7份、集体提案16份、个人提案25份，其中2篇集体提案、1篇个人提案被市政协列为重点提案。</w:t>
      </w:r>
      <w:r>
        <w:rPr>
          <w:rFonts w:hint="eastAsia" w:ascii="Times New Roman" w:hAnsi="Times New Roman" w:eastAsia="仿宋_GB2312" w:cs="Times New Roman"/>
          <w:sz w:val="32"/>
          <w:szCs w:val="32"/>
          <w:lang w:val="en-US" w:eastAsia="zh-CN"/>
        </w:rPr>
        <w:t>委员提案《加快乡村养老服务体系建设，积极应对人口老龄化问题的建议》推动农村公办养老机构入住率超65%，并依托养老服务“关爱地图”向社会公开76家养老机构、106家村居助餐点信息，积极探索以数字化赋能县乡村三级养老服务体系建设；</w:t>
      </w:r>
      <w:r>
        <w:rPr>
          <w:rFonts w:hint="default" w:ascii="Times New Roman" w:hAnsi="Times New Roman" w:eastAsia="仿宋_GB2312" w:cs="Times New Roman"/>
          <w:sz w:val="32"/>
          <w:szCs w:val="32"/>
          <w:lang w:val="en-US" w:eastAsia="zh-CN"/>
        </w:rPr>
        <w:t>《美化亮化公交站台，提升怀化城市形象》</w:t>
      </w:r>
      <w:r>
        <w:rPr>
          <w:rFonts w:hint="eastAsia" w:ascii="Times New Roman" w:hAnsi="Times New Roman" w:eastAsia="仿宋_GB2312" w:cs="Times New Roman"/>
          <w:sz w:val="32"/>
          <w:szCs w:val="32"/>
          <w:lang w:val="en-US" w:eastAsia="zh-CN"/>
        </w:rPr>
        <w:t>促进5G智慧公交站台建设启用，让市民出行迈入“数字时代”，</w:t>
      </w:r>
      <w:r>
        <w:rPr>
          <w:rFonts w:hint="default" w:ascii="Times New Roman" w:hAnsi="Times New Roman" w:eastAsia="仿宋_GB2312" w:cs="Times New Roman"/>
          <w:sz w:val="32"/>
          <w:szCs w:val="32"/>
          <w:lang w:val="en-US" w:eastAsia="zh-CN"/>
        </w:rPr>
        <w:t>切实将主题教育成效体现在服务发展大局、彰显担当作为的具体实践中。</w:t>
      </w:r>
      <w:r>
        <w:rPr>
          <w:rFonts w:hint="eastAsia" w:ascii="Times New Roman" w:hAnsi="Times New Roman" w:eastAsia="仿宋_GB2312" w:cs="Times New Roman"/>
          <w:sz w:val="32"/>
          <w:szCs w:val="32"/>
          <w:lang w:val="en-US" w:eastAsia="zh-CN"/>
        </w:rPr>
        <w:t>全年</w:t>
      </w:r>
      <w:r>
        <w:rPr>
          <w:rFonts w:hint="default" w:ascii="Times New Roman" w:hAnsi="Times New Roman" w:eastAsia="仿宋_GB2312" w:cs="Times New Roman"/>
          <w:sz w:val="32"/>
          <w:szCs w:val="32"/>
          <w:lang w:val="en-US" w:eastAsia="zh-CN"/>
        </w:rPr>
        <w:t>报送社情民意</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0余篇，</w:t>
      </w:r>
      <w:r>
        <w:rPr>
          <w:rFonts w:hint="eastAsia" w:ascii="Times New Roman" w:hAnsi="Times New Roman" w:eastAsia="仿宋_GB2312" w:cs="Times New Roman"/>
          <w:sz w:val="32"/>
          <w:szCs w:val="32"/>
          <w:lang w:val="en-US" w:eastAsia="zh-CN"/>
        </w:rPr>
        <w:t>微建议50条</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其中《进一步加强高水平医院结对帮扶 支持怀化打造五省周边区域医疗中心的建议》被市政协采用，得到市委主要领导签批；《关注失智失能老人 完善老年人监护制度机制》《关于多措并举推动我省师范类专科学校转型发展的建议》两篇被民盟省委会采用。</w:t>
      </w:r>
    </w:p>
    <w:p w14:paraId="42EB99F1">
      <w:pPr>
        <w:snapToGrid w:val="0"/>
        <w:spacing w:line="52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目标3.</w:t>
      </w:r>
      <w:r>
        <w:rPr>
          <w:rFonts w:hint="default" w:ascii="Times New Roman" w:hAnsi="Times New Roman" w:eastAsia="仿宋_GB2312" w:cs="Times New Roman"/>
          <w:sz w:val="32"/>
          <w:szCs w:val="32"/>
          <w:lang w:val="en-US" w:eastAsia="zh-CN"/>
        </w:rPr>
        <w:t>强化责任担当，民主监督</w:t>
      </w:r>
      <w:r>
        <w:rPr>
          <w:rFonts w:hint="eastAsia" w:ascii="Times New Roman" w:hAnsi="Times New Roman" w:eastAsia="仿宋_GB2312" w:cs="Times New Roman"/>
          <w:sz w:val="32"/>
          <w:szCs w:val="32"/>
          <w:lang w:val="en-US" w:eastAsia="zh-CN"/>
        </w:rPr>
        <w:t>更富</w:t>
      </w:r>
      <w:r>
        <w:rPr>
          <w:rFonts w:hint="default" w:ascii="Times New Roman" w:hAnsi="Times New Roman" w:eastAsia="仿宋_GB2312" w:cs="Times New Roman"/>
          <w:sz w:val="32"/>
          <w:szCs w:val="32"/>
          <w:lang w:val="en-US" w:eastAsia="zh-CN"/>
        </w:rPr>
        <w:t>实效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创新</w:t>
      </w:r>
      <w:r>
        <w:rPr>
          <w:rFonts w:hint="default" w:ascii="Times New Roman" w:hAnsi="Times New Roman" w:eastAsia="仿宋_GB2312" w:cs="Times New Roman"/>
          <w:sz w:val="32"/>
          <w:szCs w:val="32"/>
          <w:lang w:val="en-US" w:eastAsia="zh-CN"/>
        </w:rPr>
        <w:t>沅水流域专项监督。</w:t>
      </w:r>
      <w:r>
        <w:rPr>
          <w:rFonts w:hint="eastAsia" w:ascii="Times New Roman" w:hAnsi="Times New Roman" w:eastAsia="仿宋_GB2312" w:cs="Times New Roman"/>
          <w:sz w:val="32"/>
          <w:szCs w:val="32"/>
          <w:lang w:val="en-US" w:eastAsia="zh-CN"/>
        </w:rPr>
        <w:t>持续监督沅水流域</w:t>
      </w:r>
      <w:r>
        <w:rPr>
          <w:rFonts w:hint="default" w:ascii="Times New Roman" w:hAnsi="Times New Roman" w:eastAsia="仿宋_GB2312" w:cs="Times New Roman"/>
          <w:sz w:val="32"/>
          <w:szCs w:val="32"/>
          <w:lang w:val="en-US" w:eastAsia="zh-CN"/>
        </w:rPr>
        <w:t>（中方段）</w:t>
      </w:r>
      <w:r>
        <w:rPr>
          <w:rFonts w:hint="eastAsia" w:ascii="Times New Roman" w:hAnsi="Times New Roman" w:eastAsia="仿宋_GB2312" w:cs="Times New Roman"/>
          <w:sz w:val="32"/>
          <w:szCs w:val="32"/>
          <w:lang w:val="en-US" w:eastAsia="zh-CN"/>
        </w:rPr>
        <w:t>生态环境改善，</w:t>
      </w:r>
      <w:r>
        <w:rPr>
          <w:rFonts w:hint="default" w:ascii="Times New Roman" w:hAnsi="Times New Roman" w:eastAsia="仿宋_GB2312" w:cs="Times New Roman"/>
          <w:sz w:val="32"/>
          <w:szCs w:val="32"/>
          <w:lang w:val="en-US" w:eastAsia="zh-CN"/>
        </w:rPr>
        <w:t>制定13项重点监督清单，采用“专项视察+随机抽查+无人机巡查+水质监测”模式，采取“四不两直”方式，走访30余个点位，重点监督污染源管控、生态修复等，形成监督意见书，建立“三本台账”，推动12项整改任务落地。2.</w:t>
      </w:r>
      <w:r>
        <w:rPr>
          <w:rFonts w:hint="eastAsia" w:ascii="Times New Roman" w:hAnsi="Times New Roman" w:eastAsia="仿宋_GB2312" w:cs="Times New Roman"/>
          <w:sz w:val="32"/>
          <w:szCs w:val="32"/>
          <w:lang w:val="en-US" w:eastAsia="zh-CN"/>
        </w:rPr>
        <w:t>拓宽</w:t>
      </w:r>
      <w:r>
        <w:rPr>
          <w:rFonts w:hint="default" w:ascii="Times New Roman" w:hAnsi="Times New Roman" w:eastAsia="仿宋_GB2312" w:cs="Times New Roman"/>
          <w:sz w:val="32"/>
          <w:szCs w:val="32"/>
          <w:lang w:val="en-US" w:eastAsia="zh-CN"/>
        </w:rPr>
        <w:t>民生领域监督。聚焦城区学校交通拥堵，推动安装过街红绿灯、天桥、开通3处地下通道；监督桶装饮用水安全，推动专项整治40家企业；跟踪教育、医疗等民生项目推进。 3.延伸生态环保监督。持续开展大气污染专项整治民主监督；深入会同、靖</w:t>
      </w:r>
      <w:r>
        <w:rPr>
          <w:rFonts w:hint="eastAsia" w:ascii="Times New Roman" w:hAnsi="Times New Roman" w:eastAsia="仿宋_GB2312" w:cs="Times New Roman"/>
          <w:sz w:val="32"/>
          <w:szCs w:val="32"/>
          <w:lang w:val="en-US" w:eastAsia="zh-CN"/>
        </w:rPr>
        <w:t>州</w:t>
      </w:r>
      <w:bookmarkStart w:id="1" w:name="_GoBack"/>
      <w:bookmarkEnd w:id="1"/>
      <w:r>
        <w:rPr>
          <w:rFonts w:hint="default" w:ascii="Times New Roman" w:hAnsi="Times New Roman" w:eastAsia="仿宋_GB2312" w:cs="Times New Roman"/>
          <w:sz w:val="32"/>
          <w:szCs w:val="32"/>
          <w:lang w:val="en-US" w:eastAsia="zh-CN"/>
        </w:rPr>
        <w:t>、通道、洪江等地开展秸秆综合利用与焚烧管控民主监督工作；联合市政协社民委，组织民盟界别委员工作室成员实地察看鹤城太平溪、芷江蟒塘溪水电站等点位，协同筑牢生态安全屏障。</w:t>
      </w:r>
    </w:p>
    <w:p w14:paraId="1CE5C825">
      <w:pPr>
        <w:snapToGrid w:val="0"/>
        <w:spacing w:line="520" w:lineRule="exact"/>
        <w:ind w:firstLine="640" w:firstLineChars="200"/>
        <w:rPr>
          <w:rFonts w:hint="eastAsia" w:ascii="仿宋" w:hAnsi="仿宋" w:eastAsia="仿宋" w:cs="Times New Roman Regular"/>
          <w:sz w:val="32"/>
          <w:szCs w:val="32"/>
          <w:highlight w:val="none"/>
          <w:lang w:eastAsia="zh-CN"/>
        </w:rPr>
      </w:pPr>
    </w:p>
    <w:p w14:paraId="6F65B77A">
      <w:pPr>
        <w:snapToGrid w:val="0"/>
        <w:spacing w:line="52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目标4.</w:t>
      </w:r>
      <w:r>
        <w:rPr>
          <w:rFonts w:hint="default" w:ascii="Times New Roman" w:hAnsi="Times New Roman" w:eastAsia="仿宋_GB2312" w:cs="Times New Roman"/>
          <w:sz w:val="32"/>
          <w:szCs w:val="32"/>
        </w:rPr>
        <w:t>强化自身建设，履职根基</w:t>
      </w:r>
      <w:r>
        <w:rPr>
          <w:rFonts w:hint="eastAsia" w:ascii="Times New Roman" w:hAnsi="Times New Roman" w:eastAsia="仿宋_GB2312" w:cs="Times New Roman"/>
          <w:sz w:val="32"/>
          <w:szCs w:val="32"/>
          <w:lang w:eastAsia="zh-CN"/>
        </w:rPr>
        <w:t>更加厚重。</w:t>
      </w:r>
      <w:r>
        <w:rPr>
          <w:rFonts w:hint="eastAsia" w:ascii="Times New Roman" w:hAnsi="Times New Roman" w:eastAsia="仿宋_GB2312" w:cs="Times New Roman"/>
          <w:sz w:val="32"/>
          <w:szCs w:val="32"/>
          <w:lang w:val="en-US" w:eastAsia="zh-CN"/>
        </w:rPr>
        <w:t>先后21次</w:t>
      </w:r>
      <w:r>
        <w:rPr>
          <w:rFonts w:hint="default" w:ascii="Times New Roman" w:hAnsi="Times New Roman" w:eastAsia="仿宋_GB2312" w:cs="Times New Roman"/>
          <w:sz w:val="32"/>
          <w:szCs w:val="32"/>
          <w:lang w:val="en-US" w:eastAsia="zh-CN"/>
        </w:rPr>
        <w:t>走访</w:t>
      </w:r>
      <w:r>
        <w:rPr>
          <w:rFonts w:hint="eastAsia" w:ascii="Times New Roman" w:hAnsi="Times New Roman" w:eastAsia="仿宋_GB2312" w:cs="Times New Roman"/>
          <w:sz w:val="32"/>
          <w:szCs w:val="32"/>
          <w:lang w:val="en-US" w:eastAsia="zh-CN"/>
        </w:rPr>
        <w:t>调研基层组织、盟员企业、盟员单位；协办了全省兼职副主委培训班；</w:t>
      </w:r>
      <w:r>
        <w:rPr>
          <w:rFonts w:hint="eastAsia" w:ascii="Times New Roman" w:hAnsi="Times New Roman" w:eastAsia="仿宋_GB2312" w:cs="Times New Roman"/>
          <w:sz w:val="32"/>
          <w:szCs w:val="32"/>
          <w:lang w:eastAsia="zh-CN"/>
        </w:rPr>
        <w:t>持续开展五型机关建设。全年新发展盟员</w:t>
      </w:r>
      <w:r>
        <w:rPr>
          <w:rFonts w:hint="eastAsia" w:ascii="Times New Roman" w:hAnsi="Times New Roman" w:eastAsia="仿宋_GB2312" w:cs="Times New Roman"/>
          <w:sz w:val="32"/>
          <w:szCs w:val="32"/>
          <w:lang w:val="en-US" w:eastAsia="zh-CN"/>
        </w:rPr>
        <w:t>22名，平均年龄40.36岁，主界别占比100%，其中博士3人，高级职称6人，民盟中央代表人士1人。全市</w:t>
      </w:r>
      <w:r>
        <w:rPr>
          <w:rFonts w:hint="default" w:ascii="Times New Roman" w:hAnsi="Times New Roman" w:eastAsia="仿宋_GB2312" w:cs="Times New Roman"/>
          <w:sz w:val="32"/>
          <w:szCs w:val="32"/>
        </w:rPr>
        <w:t>盟员</w:t>
      </w:r>
      <w:r>
        <w:rPr>
          <w:rFonts w:hint="eastAsia" w:ascii="Times New Roman" w:hAnsi="Times New Roman" w:eastAsia="仿宋_GB2312" w:cs="Times New Roman"/>
          <w:sz w:val="32"/>
          <w:szCs w:val="32"/>
          <w:lang w:eastAsia="zh-CN"/>
        </w:rPr>
        <w:t>总数</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平均年龄48.8岁，重点分工领域达82.99%，其中</w:t>
      </w:r>
      <w:r>
        <w:rPr>
          <w:rFonts w:hint="default" w:ascii="Times New Roman" w:hAnsi="Times New Roman" w:eastAsia="仿宋_GB2312" w:cs="Times New Roman"/>
          <w:sz w:val="32"/>
          <w:szCs w:val="32"/>
        </w:rPr>
        <w:t>正高</w:t>
      </w:r>
      <w:r>
        <w:rPr>
          <w:rFonts w:hint="default"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人、副高7</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val="en-US" w:eastAsia="zh-CN"/>
        </w:rPr>
        <w:t>高中级知识分子占比96.27%；</w:t>
      </w:r>
      <w:r>
        <w:rPr>
          <w:rFonts w:hint="default" w:ascii="Times New Roman" w:hAnsi="Times New Roman" w:eastAsia="仿宋_GB2312" w:cs="Times New Roman"/>
          <w:sz w:val="32"/>
          <w:szCs w:val="32"/>
        </w:rPr>
        <w:t>教授</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人、博士</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人；1</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名县处级以上领导，各级人大代表6人、政协委员</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人，人才支撑坚实。</w:t>
      </w:r>
      <w:r>
        <w:rPr>
          <w:rFonts w:hint="default" w:ascii="Times New Roman" w:hAnsi="Times New Roman" w:eastAsia="仿宋_GB2312" w:cs="Times New Roman"/>
          <w:sz w:val="32"/>
          <w:szCs w:val="32"/>
          <w:lang w:val="en-US" w:eastAsia="zh-CN"/>
        </w:rPr>
        <w:t>圆满完成11个基层组织换届，拆分1个支部、新成立2个支部</w:t>
      </w:r>
      <w:r>
        <w:rPr>
          <w:rFonts w:hint="eastAsia" w:ascii="Times New Roman" w:hAnsi="Times New Roman" w:eastAsia="仿宋_GB2312" w:cs="Times New Roman"/>
          <w:sz w:val="32"/>
          <w:szCs w:val="32"/>
          <w:lang w:val="en-US" w:eastAsia="zh-CN"/>
        </w:rPr>
        <w:t>，支部总数达到13个</w:t>
      </w:r>
      <w:r>
        <w:rPr>
          <w:rFonts w:hint="default" w:ascii="Times New Roman" w:hAnsi="Times New Roman" w:eastAsia="仿宋_GB2312" w:cs="Times New Roman"/>
          <w:sz w:val="32"/>
          <w:szCs w:val="32"/>
          <w:lang w:val="en-US" w:eastAsia="zh-CN"/>
        </w:rPr>
        <w:t>。选举产生支委会班子41名，其中女性20人、新进26人、新任主委9人；平均年龄37.7岁，含90后11人；博士3人、硕士10人、正副高15人。新班子的配备坚持德才兼备，强调政治标准放在首位，注重老中青相结合的梯次配备。</w:t>
      </w:r>
    </w:p>
    <w:p w14:paraId="52329496">
      <w:pPr>
        <w:snapToGrid w:val="0"/>
        <w:spacing w:line="520" w:lineRule="exact"/>
        <w:ind w:firstLine="640" w:firstLineChars="200"/>
        <w:rPr>
          <w:rFonts w:hint="eastAsia" w:ascii="仿宋" w:hAnsi="仿宋" w:eastAsia="仿宋" w:cs="Times New Roman Regular"/>
          <w:sz w:val="32"/>
          <w:szCs w:val="32"/>
          <w:highlight w:val="none"/>
          <w:lang w:eastAsia="zh-CN"/>
        </w:rPr>
      </w:pPr>
    </w:p>
    <w:p w14:paraId="3420F673">
      <w:pPr>
        <w:snapToGrid w:val="0"/>
        <w:spacing w:line="52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目标</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心系民生福祉，社会服务</w:t>
      </w:r>
      <w:r>
        <w:rPr>
          <w:rFonts w:hint="eastAsia" w:ascii="Times New Roman" w:hAnsi="Times New Roman" w:eastAsia="仿宋_GB2312" w:cs="Times New Roman"/>
          <w:sz w:val="32"/>
          <w:szCs w:val="32"/>
          <w:lang w:val="en-US" w:eastAsia="zh-CN"/>
        </w:rPr>
        <w:t>更有广度。</w:t>
      </w:r>
      <w:r>
        <w:rPr>
          <w:rFonts w:hint="eastAsia" w:ascii="Times New Roman" w:hAnsi="Times New Roman" w:eastAsia="仿宋_GB2312" w:cs="Times New Roman"/>
          <w:sz w:val="32"/>
          <w:szCs w:val="32"/>
          <w:lang w:eastAsia="zh-CN"/>
        </w:rPr>
        <w:t>参与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烛光行动·守护心灵”公益捐赠活动，为全市13个县市区建成钢琴音乐、美术教室</w:t>
      </w:r>
      <w:r>
        <w:rPr>
          <w:rFonts w:hint="eastAsia" w:ascii="Times New Roman" w:hAnsi="Times New Roman" w:eastAsia="仿宋_GB2312" w:cs="Times New Roman"/>
          <w:sz w:val="32"/>
          <w:szCs w:val="32"/>
          <w:lang w:val="en-US" w:eastAsia="zh-CN"/>
        </w:rPr>
        <w:t>200</w:t>
      </w:r>
      <w:r>
        <w:rPr>
          <w:rFonts w:hint="default" w:ascii="Times New Roman" w:hAnsi="Times New Roman" w:eastAsia="仿宋_GB2312" w:cs="Times New Roman"/>
          <w:sz w:val="32"/>
          <w:szCs w:val="32"/>
        </w:rPr>
        <w:t>个</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建强“同心健康驿站”，完善基层医疗设施，提供基础医疗与防疫服务；组织</w:t>
      </w:r>
      <w:r>
        <w:rPr>
          <w:rFonts w:hint="default" w:ascii="Times New Roman" w:hAnsi="Times New Roman" w:eastAsia="仿宋_GB2312" w:cs="Times New Roman"/>
          <w:sz w:val="32"/>
          <w:szCs w:val="32"/>
          <w:lang w:val="en-US" w:eastAsia="zh-CN"/>
        </w:rPr>
        <w:t>民盟爱尔眼科支部、湖南医药学院第一附属医院支部</w:t>
      </w:r>
      <w:r>
        <w:rPr>
          <w:rFonts w:hint="default" w:ascii="Times New Roman" w:hAnsi="Times New Roman" w:eastAsia="仿宋_GB2312" w:cs="Times New Roman"/>
          <w:sz w:val="32"/>
          <w:szCs w:val="32"/>
        </w:rPr>
        <w:t>盟员医务专家</w:t>
      </w:r>
      <w:r>
        <w:rPr>
          <w:rFonts w:hint="eastAsia" w:ascii="Times New Roman" w:hAnsi="Times New Roman" w:eastAsia="仿宋_GB2312" w:cs="Times New Roman"/>
          <w:sz w:val="32"/>
          <w:szCs w:val="32"/>
          <w:lang w:eastAsia="zh-CN"/>
        </w:rPr>
        <w:t>下乡</w:t>
      </w:r>
      <w:r>
        <w:rPr>
          <w:rFonts w:hint="default" w:ascii="Times New Roman" w:hAnsi="Times New Roman" w:eastAsia="仿宋_GB2312" w:cs="Times New Roman"/>
          <w:sz w:val="32"/>
          <w:szCs w:val="32"/>
        </w:rPr>
        <w:t>义诊</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开展健康科普</w:t>
      </w:r>
      <w:r>
        <w:rPr>
          <w:rFonts w:hint="eastAsia" w:ascii="Times New Roman" w:hAnsi="Times New Roman" w:eastAsia="仿宋_GB2312" w:cs="Times New Roman"/>
          <w:sz w:val="32"/>
          <w:szCs w:val="32"/>
          <w:lang w:eastAsia="zh-CN"/>
        </w:rPr>
        <w:t>进村庄、</w:t>
      </w:r>
      <w:r>
        <w:rPr>
          <w:rFonts w:hint="default" w:ascii="Times New Roman" w:hAnsi="Times New Roman" w:eastAsia="仿宋_GB2312" w:cs="Times New Roman"/>
          <w:sz w:val="32"/>
          <w:szCs w:val="32"/>
        </w:rPr>
        <w:t>进社区、进校园活动，</w:t>
      </w:r>
      <w:r>
        <w:rPr>
          <w:rFonts w:hint="eastAsia" w:ascii="Times New Roman" w:hAnsi="Times New Roman" w:eastAsia="仿宋_GB2312" w:cs="Times New Roman"/>
          <w:sz w:val="32"/>
          <w:szCs w:val="32"/>
          <w:lang w:eastAsia="zh-CN"/>
        </w:rPr>
        <w:t>宣传疾病预防知识，免费看病送药，助力基层医疗服务慢病管理。汇聚</w:t>
      </w:r>
      <w:r>
        <w:rPr>
          <w:rFonts w:hint="default" w:ascii="Times New Roman" w:hAnsi="Times New Roman" w:eastAsia="仿宋_GB2312" w:cs="Times New Roman"/>
          <w:sz w:val="32"/>
          <w:szCs w:val="32"/>
        </w:rPr>
        <w:t>盟员</w:t>
      </w:r>
      <w:r>
        <w:rPr>
          <w:rFonts w:hint="eastAsia" w:ascii="Times New Roman" w:hAnsi="Times New Roman" w:eastAsia="仿宋_GB2312" w:cs="Times New Roman"/>
          <w:sz w:val="32"/>
          <w:szCs w:val="32"/>
          <w:lang w:eastAsia="zh-CN"/>
        </w:rPr>
        <w:t>中农业技术和物流</w:t>
      </w:r>
      <w:r>
        <w:rPr>
          <w:rFonts w:hint="default" w:ascii="Times New Roman" w:hAnsi="Times New Roman" w:eastAsia="仿宋_GB2312" w:cs="Times New Roman"/>
          <w:sz w:val="32"/>
          <w:szCs w:val="32"/>
        </w:rPr>
        <w:t>专</w:t>
      </w:r>
      <w:r>
        <w:rPr>
          <w:rFonts w:hint="eastAsia" w:ascii="Times New Roman" w:hAnsi="Times New Roman" w:eastAsia="仿宋_GB2312" w:cs="Times New Roman"/>
          <w:sz w:val="32"/>
          <w:szCs w:val="32"/>
          <w:lang w:eastAsia="zh-CN"/>
        </w:rPr>
        <w:t>家智力资源</w:t>
      </w:r>
      <w:r>
        <w:rPr>
          <w:rFonts w:hint="default" w:ascii="Times New Roman" w:hAnsi="Times New Roman" w:eastAsia="仿宋_GB2312" w:cs="Times New Roman"/>
          <w:sz w:val="32"/>
          <w:szCs w:val="32"/>
        </w:rPr>
        <w:t>，帮助新型农业经营主体解决发展中遇到的各种难题，为乡村制定产业规划，提供技术、政策支持，搭建农产品供销渠道</w:t>
      </w:r>
      <w:r>
        <w:rPr>
          <w:rFonts w:hint="eastAsia" w:ascii="Times New Roman" w:hAnsi="Times New Roman" w:eastAsia="仿宋_GB2312" w:cs="Times New Roman"/>
          <w:sz w:val="32"/>
          <w:szCs w:val="32"/>
          <w:lang w:eastAsia="zh-CN"/>
        </w:rPr>
        <w:t>。支持职院盟员立足中方镇炉亭坳持续开展民盟助力乡村振兴帮扶活动。引导</w:t>
      </w:r>
      <w:r>
        <w:rPr>
          <w:rFonts w:hint="default" w:ascii="Times New Roman" w:hAnsi="Times New Roman" w:eastAsia="仿宋_GB2312" w:cs="Times New Roman"/>
          <w:sz w:val="32"/>
          <w:szCs w:val="32"/>
        </w:rPr>
        <w:t>盟员</w:t>
      </w:r>
      <w:r>
        <w:rPr>
          <w:rFonts w:hint="eastAsia" w:ascii="Times New Roman" w:hAnsi="Times New Roman" w:eastAsia="仿宋_GB2312" w:cs="Times New Roman"/>
          <w:sz w:val="32"/>
          <w:szCs w:val="32"/>
          <w:lang w:eastAsia="zh-CN"/>
        </w:rPr>
        <w:t>涉农文创企业、电商企业帮助农</w:t>
      </w:r>
      <w:r>
        <w:rPr>
          <w:rFonts w:hint="eastAsia" w:ascii="Times New Roman" w:hAnsi="Times New Roman" w:eastAsia="仿宋_GB2312" w:cs="Times New Roman"/>
          <w:sz w:val="32"/>
          <w:szCs w:val="32"/>
        </w:rPr>
        <w:t>户</w:t>
      </w:r>
      <w:r>
        <w:rPr>
          <w:rFonts w:hint="eastAsia" w:ascii="Times New Roman" w:hAnsi="Times New Roman" w:eastAsia="仿宋_GB2312" w:cs="Times New Roman"/>
          <w:sz w:val="32"/>
          <w:szCs w:val="32"/>
          <w:lang w:eastAsia="zh-CN"/>
        </w:rPr>
        <w:t>增产增收，助力乡村产业振兴。</w:t>
      </w:r>
      <w:r>
        <w:rPr>
          <w:rFonts w:hint="eastAsia" w:ascii="Times New Roman" w:hAnsi="Times New Roman" w:eastAsia="仿宋_GB2312" w:cs="Times New Roman"/>
          <w:sz w:val="32"/>
          <w:szCs w:val="32"/>
          <w:lang w:val="en-US" w:eastAsia="zh-CN"/>
        </w:rPr>
        <w:t>各支部组织盟员积极参加或组织公益活动41场，参加活动盟员260余人次，服务群众达6万人次。</w:t>
      </w:r>
      <w:r>
        <w:rPr>
          <w:rFonts w:hint="default" w:ascii="Times New Roman" w:hAnsi="Times New Roman" w:eastAsia="仿宋_GB2312" w:cs="Times New Roman"/>
          <w:sz w:val="32"/>
          <w:szCs w:val="32"/>
          <w:lang w:val="en-US" w:eastAsia="zh-CN"/>
        </w:rPr>
        <w:t>爱尔眼科支部</w:t>
      </w:r>
      <w:r>
        <w:rPr>
          <w:rFonts w:hint="eastAsia" w:ascii="Times New Roman" w:hAnsi="Times New Roman" w:eastAsia="仿宋_GB2312" w:cs="Times New Roman"/>
          <w:sz w:val="32"/>
          <w:szCs w:val="32"/>
          <w:lang w:val="en-US" w:eastAsia="zh-CN"/>
        </w:rPr>
        <w:t>深入基层开展眼健康诊疗、普查公益行动30余场，赠送药品器材2万余元，服务群众超5万人次。全年组织会同志愿者协会开展“七彩假期”“夏日送清凉，致敬城市守护者”“情暖中秋，爱润夕阳”“情系乡村‘小树苗’”“致敬城市‘追风者’”等公益活动100多场。</w:t>
      </w:r>
    </w:p>
    <w:p w14:paraId="1383E63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满意度指标：服务满意度≥90%。</w:t>
      </w:r>
    </w:p>
    <w:p w14:paraId="2725D69B">
      <w:pPr>
        <w:numPr>
          <w:ilvl w:val="0"/>
          <w:numId w:val="1"/>
        </w:numPr>
        <w:snapToGrid w:val="0"/>
        <w:spacing w:line="52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项目自评发现的问题及整改措施</w:t>
      </w:r>
    </w:p>
    <w:p w14:paraId="12A86A3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项目自评发现的问题：绩效自评过程中存在协同机制问题，责任分工模糊，不明确。</w:t>
      </w:r>
    </w:p>
    <w:p w14:paraId="2BC697D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color w:val="auto"/>
          <w:sz w:val="32"/>
          <w:szCs w:val="32"/>
          <w:highlight w:val="none"/>
          <w:lang w:val="en-US" w:eastAsia="zh-CN"/>
        </w:rPr>
        <w:t>整改措施：加强单位人员责任分工，明确责任职责，具体到项目、环节、数据等信息，避免管理不到位等问题。</w:t>
      </w:r>
    </w:p>
    <w:p w14:paraId="6737AB2B">
      <w:pPr>
        <w:numPr>
          <w:ilvl w:val="0"/>
          <w:numId w:val="1"/>
        </w:numPr>
        <w:snapToGrid w:val="0"/>
        <w:spacing w:line="52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项目自评工作建议及预算安排建议</w:t>
      </w:r>
    </w:p>
    <w:p w14:paraId="4562A9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1、加强业务培训，增强绩效意识。</w:t>
      </w:r>
    </w:p>
    <w:p w14:paraId="64A68F6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多渠道、多形式开展预算绩效业务实操培训，不断增强项目管理和资金管理人员绩效意识，不断提高预算编制的科学化、精细化和绩效管理水平。</w:t>
      </w:r>
    </w:p>
    <w:p w14:paraId="1C33982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2、制定合理的预算计划</w:t>
      </w:r>
    </w:p>
    <w:p w14:paraId="4EFC4BD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预算计划需要根据具体情况制定，不能过于保守或者激进。在制定预算计划时，应该考虑经济目标和实际情况，综合制定。对于预算方案的编制，还应特别注意预算的灵活性和可协调性，以适应环境的变化。</w:t>
      </w:r>
    </w:p>
    <w:p w14:paraId="52F6919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3、实施有效的预算管控</w:t>
      </w:r>
    </w:p>
    <w:p w14:paraId="2A2033E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color w:val="auto"/>
          <w:sz w:val="32"/>
          <w:szCs w:val="32"/>
          <w:highlight w:val="none"/>
          <w:lang w:val="en-US" w:eastAsia="zh-CN"/>
        </w:rPr>
        <w:t>预算计划需要得到有效的管控，确保预算的按照计划进行，以达到经济目标和绩效目标。在预算管控中，应该对经济活动的各个环节进行监控，及时发现可能存在的风险，采取有效措施加以控制。</w:t>
      </w:r>
    </w:p>
    <w:p w14:paraId="6176FA54">
      <w:pPr>
        <w:numPr>
          <w:ilvl w:val="0"/>
          <w:numId w:val="0"/>
        </w:num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六、其他需要说明的问题</w:t>
      </w:r>
      <w:r>
        <w:rPr>
          <w:rFonts w:hint="eastAsia" w:ascii="黑体" w:hAnsi="黑体" w:eastAsia="黑体" w:cs="黑体"/>
          <w:b w:val="0"/>
          <w:bCs w:val="0"/>
          <w:sz w:val="32"/>
          <w:szCs w:val="32"/>
        </w:rPr>
        <w:tab/>
      </w:r>
    </w:p>
    <w:p w14:paraId="65C67F7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ascii="方正黑体_GBK" w:hAnsi="方正黑体_GBK" w:eastAsia="方正黑体_GBK" w:cs="方正黑体_GBK"/>
          <w:b/>
          <w:bCs/>
          <w:sz w:val="32"/>
          <w:szCs w:val="32"/>
        </w:rPr>
      </w:pPr>
      <w:r>
        <w:rPr>
          <w:rFonts w:hint="eastAsia" w:ascii="Times New Roman Regular" w:hAnsi="Times New Roman Regular" w:eastAsia="仿宋_GB2312" w:cs="Times New Roman Regular"/>
          <w:color w:val="auto"/>
          <w:sz w:val="32"/>
          <w:szCs w:val="32"/>
          <w:highlight w:val="none"/>
          <w:lang w:val="en-US" w:eastAsia="zh-CN"/>
        </w:rPr>
        <w:t>无</w:t>
      </w:r>
    </w:p>
    <w:p w14:paraId="6E62AD40">
      <w:pPr>
        <w:snapToGrid w:val="0"/>
        <w:spacing w:line="520" w:lineRule="exact"/>
        <w:rPr>
          <w:rFonts w:ascii="Times New Roman Regular" w:hAnsi="Times New Roman Regular" w:eastAsia="仿宋_GB2312" w:cs="Times New Roman Regular"/>
          <w:sz w:val="32"/>
          <w:szCs w:val="32"/>
        </w:rPr>
      </w:pPr>
    </w:p>
    <w:p w14:paraId="1DCB5187">
      <w:pPr>
        <w:snapToGrid w:val="0"/>
        <w:spacing w:line="520" w:lineRule="exact"/>
        <w:rPr>
          <w:rFonts w:ascii="方正小标宋_GBK" w:hAnsi="方正小标宋_GBK" w:eastAsia="方正小标宋_GBK" w:cs="方正小标宋_GBK"/>
          <w:color w:val="000000"/>
          <w:kern w:val="0"/>
          <w:sz w:val="24"/>
          <w:shd w:val="clear" w:color="auto" w:fill="FFFFFF"/>
          <w:lang w:bidi="ar"/>
        </w:rPr>
      </w:pPr>
    </w:p>
    <w:p w14:paraId="2210A489">
      <w:pPr>
        <w:snapToGrid w:val="0"/>
        <w:spacing w:line="520" w:lineRule="exact"/>
        <w:rPr>
          <w:rFonts w:ascii="方正小标宋_GBK" w:hAnsi="方正小标宋_GBK" w:eastAsia="方正小标宋_GBK" w:cs="方正小标宋_GBK"/>
          <w:color w:val="000000"/>
          <w:kern w:val="0"/>
          <w:sz w:val="24"/>
          <w:shd w:val="clear" w:color="auto" w:fill="FFFFFF"/>
          <w:lang w:bidi="ar"/>
        </w:rPr>
      </w:pPr>
    </w:p>
    <w:p w14:paraId="26918733">
      <w:pPr>
        <w:snapToGrid w:val="0"/>
        <w:spacing w:line="520" w:lineRule="exact"/>
        <w:rPr>
          <w:rFonts w:ascii="方正小标宋_GBK" w:hAnsi="方正小标宋_GBK" w:eastAsia="方正小标宋_GBK" w:cs="方正小标宋_GBK"/>
          <w:color w:val="000000"/>
          <w:kern w:val="0"/>
          <w:sz w:val="24"/>
          <w:shd w:val="clear" w:color="auto" w:fill="FFFFFF"/>
          <w:lang w:bidi="ar"/>
        </w:rPr>
      </w:pPr>
    </w:p>
    <w:p w14:paraId="236B479F">
      <w:pPr>
        <w:snapToGrid w:val="0"/>
        <w:spacing w:line="520" w:lineRule="exact"/>
        <w:rPr>
          <w:rFonts w:ascii="方正小标宋_GBK" w:hAnsi="方正小标宋_GBK" w:eastAsia="方正小标宋_GBK" w:cs="方正小标宋_GBK"/>
          <w:color w:val="000000"/>
          <w:kern w:val="0"/>
          <w:sz w:val="24"/>
          <w:shd w:val="clear" w:color="auto" w:fill="FFFFFF"/>
          <w:lang w:bidi="ar"/>
        </w:rPr>
      </w:pPr>
    </w:p>
    <w:p w14:paraId="1E7FC4CB">
      <w:pPr>
        <w:snapToGrid w:val="0"/>
        <w:spacing w:line="520" w:lineRule="exact"/>
        <w:rPr>
          <w:rFonts w:ascii="方正小标宋_GBK" w:hAnsi="方正小标宋_GBK" w:eastAsia="方正小标宋_GBK" w:cs="方正小标宋_GBK"/>
          <w:color w:val="000000"/>
          <w:kern w:val="0"/>
          <w:sz w:val="24"/>
          <w:shd w:val="clear" w:color="auto" w:fill="FFFFFF"/>
          <w:lang w:bidi="ar"/>
        </w:rPr>
      </w:pPr>
    </w:p>
    <w:p w14:paraId="20EB008B">
      <w:pPr>
        <w:snapToGrid w:val="0"/>
        <w:spacing w:line="520" w:lineRule="exact"/>
        <w:rPr>
          <w:rFonts w:hint="eastAsia" w:ascii="方正小标宋_GBK" w:hAnsi="方正小标宋_GBK" w:eastAsia="方正小标宋_GBK" w:cs="方正小标宋_GBK"/>
          <w:color w:val="000000"/>
          <w:kern w:val="0"/>
          <w:sz w:val="24"/>
          <w:shd w:val="clear" w:color="auto" w:fill="FFFFFF"/>
          <w:lang w:eastAsia="zh-CN" w:bidi="ar"/>
        </w:rPr>
      </w:pPr>
      <w:r>
        <w:rPr>
          <w:rFonts w:ascii="方正小标宋_GBK" w:hAnsi="方正小标宋_GBK" w:eastAsia="方正小标宋_GBK" w:cs="方正小标宋_GBK"/>
          <w:color w:val="000000"/>
          <w:kern w:val="0"/>
          <w:sz w:val="24"/>
          <w:shd w:val="clear" w:color="auto" w:fill="FFFFFF"/>
          <w:lang w:bidi="ar"/>
        </w:rPr>
        <w:t>附件</w:t>
      </w:r>
      <w:r>
        <w:rPr>
          <w:rFonts w:hint="eastAsia" w:ascii="方正小标宋_GBK" w:hAnsi="方正小标宋_GBK" w:eastAsia="方正小标宋_GBK" w:cs="方正小标宋_GBK"/>
          <w:color w:val="000000"/>
          <w:kern w:val="0"/>
          <w:sz w:val="24"/>
          <w:shd w:val="clear" w:color="auto" w:fill="FFFFFF"/>
          <w:lang w:val="en-US" w:eastAsia="zh-CN" w:bidi="ar"/>
        </w:rPr>
        <w:t>5</w:t>
      </w:r>
    </w:p>
    <w:p w14:paraId="782A84C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r>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t>中国民主同盟怀化市委员会</w:t>
      </w:r>
      <w:r>
        <w:rPr>
          <w:rFonts w:hint="eastAsia" w:ascii="方正小标宋_GBK" w:hAnsi="方正小标宋_GBK" w:eastAsia="方正小标宋_GBK" w:cs="方正小标宋_GBK"/>
          <w:i w:val="0"/>
          <w:iCs w:val="0"/>
          <w:caps w:val="0"/>
          <w:color w:val="000000"/>
          <w:spacing w:val="0"/>
          <w:kern w:val="0"/>
          <w:sz w:val="40"/>
          <w:szCs w:val="40"/>
          <w:shd w:val="clear" w:fill="FFFFFF"/>
          <w:lang w:val="en-US" w:eastAsia="zh-CN" w:bidi="ar"/>
        </w:rPr>
        <w:t>2025</w:t>
      </w:r>
      <w:r>
        <w:rPr>
          <w:rFonts w:ascii="方正小标宋_GBK" w:hAnsi="方正小标宋_GBK" w:eastAsia="方正小标宋_GBK" w:cs="方正小标宋_GBK"/>
          <w:color w:val="000000"/>
          <w:kern w:val="0"/>
          <w:sz w:val="40"/>
          <w:szCs w:val="40"/>
          <w:shd w:val="clear" w:color="auto" w:fill="FFFFFF"/>
          <w:lang w:bidi="ar"/>
        </w:rPr>
        <w:t>年</w:t>
      </w:r>
      <w:r>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t>度</w:t>
      </w:r>
    </w:p>
    <w:p w14:paraId="47FCF98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40"/>
          <w:szCs w:val="40"/>
          <w:shd w:val="clear" w:fill="FFFFFF"/>
          <w:lang w:val="en-US" w:eastAsia="zh-CN" w:bidi="ar"/>
        </w:rPr>
        <w:t>民主党派管理经费</w:t>
      </w:r>
      <w:r>
        <w:rPr>
          <w:rFonts w:hint="default" w:ascii="方正小标宋_GBK" w:hAnsi="方正小标宋_GBK" w:eastAsia="方正小标宋_GBK" w:cs="方正小标宋_GBK"/>
          <w:i w:val="0"/>
          <w:iCs w:val="0"/>
          <w:caps w:val="0"/>
          <w:color w:val="000000"/>
          <w:spacing w:val="0"/>
          <w:kern w:val="0"/>
          <w:sz w:val="40"/>
          <w:szCs w:val="40"/>
          <w:shd w:val="clear" w:fill="FFFFFF"/>
          <w:lang w:val="en-US" w:eastAsia="zh-CN" w:bidi="ar"/>
        </w:rPr>
        <w:t>项目支出绩效自评报告</w:t>
      </w:r>
    </w:p>
    <w:p w14:paraId="79831394">
      <w:pPr>
        <w:snapToGrid w:val="0"/>
        <w:spacing w:line="520" w:lineRule="exact"/>
        <w:ind w:firstLine="2400" w:firstLineChars="600"/>
        <w:rPr>
          <w:rFonts w:ascii="方正小标宋_GBK" w:hAnsi="方正小标宋_GBK" w:eastAsia="方正小标宋_GBK" w:cs="方正小标宋_GBK"/>
          <w:color w:val="000000"/>
          <w:kern w:val="0"/>
          <w:sz w:val="40"/>
          <w:szCs w:val="40"/>
          <w:shd w:val="clear" w:color="auto" w:fill="FFFFFF"/>
          <w:lang w:bidi="ar"/>
        </w:rPr>
      </w:pPr>
    </w:p>
    <w:p w14:paraId="1E567E16">
      <w:pPr>
        <w:snapToGrid w:val="0"/>
        <w:spacing w:line="520" w:lineRule="exact"/>
        <w:rPr>
          <w:rFonts w:ascii="Times New Roman Regular" w:hAnsi="Times New Roman Regular" w:eastAsia="仿宋_GB2312" w:cs="Times New Roman Regular"/>
          <w:sz w:val="32"/>
          <w:szCs w:val="32"/>
        </w:rPr>
      </w:pPr>
    </w:p>
    <w:p w14:paraId="4B5E24CA">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一、项目概况</w:t>
      </w:r>
    </w:p>
    <w:p w14:paraId="3AE753D9">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lang w:val="en-US" w:eastAsia="zh-CN"/>
        </w:rPr>
        <w:t xml:space="preserve">   </w:t>
      </w:r>
      <w:r>
        <w:rPr>
          <w:rFonts w:hint="eastAsia" w:ascii="Times New Roman Regular" w:hAnsi="Times New Roman Regular" w:eastAsia="仿宋_GB2312" w:cs="Times New Roman Regular"/>
          <w:b/>
          <w:bCs/>
          <w:sz w:val="28"/>
          <w:szCs w:val="28"/>
        </w:rPr>
        <w:t>（一）</w:t>
      </w:r>
      <w:r>
        <w:rPr>
          <w:rFonts w:ascii="Times New Roman Regular" w:hAnsi="Times New Roman Regular" w:eastAsia="仿宋_GB2312" w:cs="Times New Roman Regular"/>
          <w:b/>
          <w:bCs/>
          <w:sz w:val="28"/>
          <w:szCs w:val="28"/>
        </w:rPr>
        <w:t>项目基本情况</w:t>
      </w:r>
    </w:p>
    <w:p w14:paraId="18327495">
      <w:pPr>
        <w:snapToGrid w:val="0"/>
        <w:spacing w:line="520" w:lineRule="exact"/>
        <w:ind w:firstLine="320" w:firstLineChars="1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 xml:space="preserve">  </w:t>
      </w:r>
      <w:r>
        <w:rPr>
          <w:rFonts w:hint="eastAsia" w:ascii="Times New Roman Regular" w:hAnsi="Times New Roman Regular" w:eastAsia="仿宋_GB2312" w:cs="Times New Roman Regular"/>
          <w:sz w:val="32"/>
          <w:szCs w:val="32"/>
        </w:rPr>
        <w:t>1.</w:t>
      </w:r>
      <w:r>
        <w:rPr>
          <w:rFonts w:ascii="Times New Roman Regular" w:hAnsi="Times New Roman Regular" w:eastAsia="仿宋_GB2312" w:cs="Times New Roman Regular"/>
          <w:sz w:val="32"/>
          <w:szCs w:val="32"/>
        </w:rPr>
        <w:t>说明项目主管部门在该项目管理中的职能。</w:t>
      </w:r>
    </w:p>
    <w:p w14:paraId="2AB44BBA">
      <w:pPr>
        <w:snapToGrid w:val="0"/>
        <w:spacing w:line="520" w:lineRule="exact"/>
        <w:ind w:firstLine="320" w:firstLineChars="1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 xml:space="preserve">  项目主管是项目的领导者和组织者，在项目管理中主要负责整个项目的领导工作，确定工作目标和实现目标的方案。在整个项目实施的过程中附有审批、发放、监管的职能职责。</w:t>
      </w:r>
    </w:p>
    <w:p w14:paraId="0EC5D8E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2.项目立项、资金申报的依据。</w:t>
      </w:r>
    </w:p>
    <w:p w14:paraId="4FE1AD0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项目立项资金申报的依据包括政策法规文件、专项资金管理办法、申报流程以及项目可行性。</w:t>
      </w:r>
    </w:p>
    <w:p w14:paraId="3A542A2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3.资金管理办法制定情况,资金支持具体项目的条件、范围与支持方式概况。</w:t>
      </w:r>
    </w:p>
    <w:p w14:paraId="62D92BC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0AF49E3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项目资金支出范围：用于专项业务工作经费支出。</w:t>
      </w:r>
    </w:p>
    <w:p w14:paraId="6752C28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4.资金分配的原则及考虑因素。</w:t>
      </w:r>
    </w:p>
    <w:p w14:paraId="7CDA132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highlight w:val="none"/>
          <w:lang w:val="en-US" w:eastAsia="zh-CN"/>
        </w:rPr>
        <w:t>量入为出，突出重点、注重绩效、专款专用原则，考虑各类费用因素所占比重与部门预算支出经济分类科目相结合的分配方式。</w:t>
      </w:r>
    </w:p>
    <w:p w14:paraId="71792522">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lang w:val="en-US" w:eastAsia="zh-CN"/>
        </w:rPr>
        <w:t xml:space="preserve">    </w:t>
      </w:r>
      <w:r>
        <w:rPr>
          <w:rFonts w:hint="eastAsia" w:ascii="Times New Roman Regular" w:hAnsi="Times New Roman Regular" w:eastAsia="仿宋_GB2312" w:cs="Times New Roman Regular"/>
          <w:b/>
          <w:bCs/>
          <w:sz w:val="28"/>
          <w:szCs w:val="28"/>
        </w:rPr>
        <w:t>（二）</w:t>
      </w:r>
      <w:r>
        <w:rPr>
          <w:rFonts w:ascii="Times New Roman Regular" w:hAnsi="Times New Roman Regular" w:eastAsia="仿宋_GB2312" w:cs="Times New Roman Regular"/>
          <w:b/>
          <w:bCs/>
          <w:sz w:val="28"/>
          <w:szCs w:val="28"/>
        </w:rPr>
        <w:t>项目绩效目标</w:t>
      </w:r>
    </w:p>
    <w:p w14:paraId="6A83090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1.项目主要内容。</w:t>
      </w:r>
    </w:p>
    <w:p w14:paraId="7E9608E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专项业务工作经费主要是保障单位工作正常运转所必要的支出。</w:t>
      </w:r>
    </w:p>
    <w:p w14:paraId="6134C5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2.项目应实现的具体绩效目标包括以下内容：</w:t>
      </w:r>
    </w:p>
    <w:p w14:paraId="37876E22">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（1）经济成本指标：项目成本控制≤50万元；</w:t>
      </w:r>
    </w:p>
    <w:p w14:paraId="00C205D3">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（2）数量指标：上报市政协提案5件，实际完成16件，调研报告1篇，实际完成4篇；</w:t>
      </w:r>
    </w:p>
    <w:p w14:paraId="5ADA0F5C">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（3）质量指标：项目达标完成率超过90%；</w:t>
      </w:r>
    </w:p>
    <w:p w14:paraId="4524467F">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（4）时效指标：工作完成及时性，2025年12月之前完成目标；</w:t>
      </w:r>
    </w:p>
    <w:p w14:paraId="4F71F20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（5）社会效益指标：</w:t>
      </w:r>
      <w:r>
        <w:rPr>
          <w:rFonts w:hint="default" w:ascii="Times New Roman Regular" w:hAnsi="Times New Roman Regular" w:eastAsia="仿宋_GB2312" w:cs="Times New Roman Regular"/>
          <w:b/>
          <w:bCs/>
          <w:color w:val="auto"/>
          <w:sz w:val="32"/>
          <w:szCs w:val="32"/>
          <w:highlight w:val="none"/>
          <w:lang w:val="en-US" w:eastAsia="zh-CN"/>
        </w:rPr>
        <w:t>教育帮扶，筑牢成长根基</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开展“你我‘童行’·筑梦未来”特色研学活动，组织两地乡村学生走进安江农校杂交水稻纪念园、芷江受降纪念坊等点位，传承红色基因、感悟科技力量，激励树立远大理想。</w:t>
      </w:r>
      <w:r>
        <w:rPr>
          <w:rFonts w:hint="eastAsia" w:ascii="Times New Roman Regular" w:hAnsi="Times New Roman Regular" w:eastAsia="仿宋_GB2312" w:cs="Times New Roman Regular"/>
          <w:color w:val="auto"/>
          <w:sz w:val="32"/>
          <w:szCs w:val="32"/>
          <w:highlight w:val="none"/>
          <w:lang w:val="en-US" w:eastAsia="zh-CN"/>
        </w:rPr>
        <w:t>参与</w:t>
      </w:r>
      <w:r>
        <w:rPr>
          <w:rFonts w:hint="default" w:ascii="Times New Roman Regular" w:hAnsi="Times New Roman Regular" w:eastAsia="仿宋_GB2312" w:cs="Times New Roman Regular"/>
          <w:color w:val="auto"/>
          <w:sz w:val="32"/>
          <w:szCs w:val="32"/>
          <w:highlight w:val="none"/>
          <w:lang w:val="en-US" w:eastAsia="zh-CN"/>
        </w:rPr>
        <w:t>“烛光行动·守护心灵”公益捐赠活动，为全市13个县市区建成钢琴音乐、美术教室</w:t>
      </w:r>
      <w:r>
        <w:rPr>
          <w:rFonts w:hint="eastAsia" w:ascii="Times New Roman Regular" w:hAnsi="Times New Roman Regular" w:eastAsia="仿宋_GB2312" w:cs="Times New Roman Regular"/>
          <w:color w:val="auto"/>
          <w:sz w:val="32"/>
          <w:szCs w:val="32"/>
          <w:highlight w:val="none"/>
          <w:lang w:val="en-US" w:eastAsia="zh-CN"/>
        </w:rPr>
        <w:t>200</w:t>
      </w:r>
      <w:r>
        <w:rPr>
          <w:rFonts w:hint="default" w:ascii="Times New Roman Regular" w:hAnsi="Times New Roman Regular" w:eastAsia="仿宋_GB2312" w:cs="Times New Roman Regular"/>
          <w:color w:val="auto"/>
          <w:sz w:val="32"/>
          <w:szCs w:val="32"/>
          <w:highlight w:val="none"/>
          <w:lang w:val="en-US" w:eastAsia="zh-CN"/>
        </w:rPr>
        <w:t>个</w:t>
      </w:r>
      <w:r>
        <w:rPr>
          <w:rFonts w:hint="eastAsia" w:ascii="Times New Roman Regular" w:hAnsi="Times New Roman Regular" w:eastAsia="仿宋_GB2312" w:cs="Times New Roman Regular"/>
          <w:color w:val="auto"/>
          <w:sz w:val="32"/>
          <w:szCs w:val="32"/>
          <w:highlight w:val="none"/>
          <w:lang w:val="en-US" w:eastAsia="zh-CN"/>
        </w:rPr>
        <w:t>。中教正高教师杨湘瑜创办“石榴籽”公益讲堂指导民族地区青年教师提升教学水平，开设“石榴籽”公益课堂带动社区中小学生习唱苗侗大歌传承民族文化。</w:t>
      </w:r>
      <w:r>
        <w:rPr>
          <w:rFonts w:hint="default" w:ascii="Times New Roman Regular" w:hAnsi="Times New Roman Regular" w:eastAsia="仿宋_GB2312" w:cs="Times New Roman Regular"/>
          <w:b/>
          <w:bCs/>
          <w:color w:val="auto"/>
          <w:sz w:val="32"/>
          <w:szCs w:val="32"/>
          <w:highlight w:val="none"/>
          <w:lang w:val="en-US" w:eastAsia="zh-CN"/>
        </w:rPr>
        <w:t>健康惠民，守护民生底线</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建强“同心健康驿站”，完善基层医疗设施，提供基础医疗与防疫服务；组织民盟爱尔眼科支部、湖南医药学院第一附属医院支部盟员医务专家</w:t>
      </w:r>
      <w:r>
        <w:rPr>
          <w:rFonts w:hint="eastAsia" w:ascii="Times New Roman Regular" w:hAnsi="Times New Roman Regular" w:eastAsia="仿宋_GB2312" w:cs="Times New Roman Regular"/>
          <w:color w:val="auto"/>
          <w:sz w:val="32"/>
          <w:szCs w:val="32"/>
          <w:highlight w:val="none"/>
          <w:lang w:val="en-US" w:eastAsia="zh-CN"/>
        </w:rPr>
        <w:t>下乡</w:t>
      </w:r>
      <w:r>
        <w:rPr>
          <w:rFonts w:hint="default" w:ascii="Times New Roman Regular" w:hAnsi="Times New Roman Regular" w:eastAsia="仿宋_GB2312" w:cs="Times New Roman Regular"/>
          <w:color w:val="auto"/>
          <w:sz w:val="32"/>
          <w:szCs w:val="32"/>
          <w:highlight w:val="none"/>
          <w:lang w:val="en-US" w:eastAsia="zh-CN"/>
        </w:rPr>
        <w:t>义诊</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开展健康科普</w:t>
      </w:r>
      <w:r>
        <w:rPr>
          <w:rFonts w:hint="eastAsia" w:ascii="Times New Roman Regular" w:hAnsi="Times New Roman Regular" w:eastAsia="仿宋_GB2312" w:cs="Times New Roman Regular"/>
          <w:color w:val="auto"/>
          <w:sz w:val="32"/>
          <w:szCs w:val="32"/>
          <w:highlight w:val="none"/>
          <w:lang w:val="en-US" w:eastAsia="zh-CN"/>
        </w:rPr>
        <w:t>进村庄、</w:t>
      </w:r>
      <w:r>
        <w:rPr>
          <w:rFonts w:hint="default" w:ascii="Times New Roman Regular" w:hAnsi="Times New Roman Regular" w:eastAsia="仿宋_GB2312" w:cs="Times New Roman Regular"/>
          <w:color w:val="auto"/>
          <w:sz w:val="32"/>
          <w:szCs w:val="32"/>
          <w:highlight w:val="none"/>
          <w:lang w:val="en-US" w:eastAsia="zh-CN"/>
        </w:rPr>
        <w:t>进社区、进校园活动，</w:t>
      </w:r>
      <w:r>
        <w:rPr>
          <w:rFonts w:hint="eastAsia" w:ascii="Times New Roman Regular" w:hAnsi="Times New Roman Regular" w:eastAsia="仿宋_GB2312" w:cs="Times New Roman Regular"/>
          <w:color w:val="auto"/>
          <w:sz w:val="32"/>
          <w:szCs w:val="32"/>
          <w:highlight w:val="none"/>
          <w:lang w:val="en-US" w:eastAsia="zh-CN"/>
        </w:rPr>
        <w:t>宣传疾病预防知识，免费看病送药，助力基层医疗服务慢病管理，用实际行动推动</w:t>
      </w:r>
      <w:r>
        <w:rPr>
          <w:rFonts w:hint="default" w:ascii="Times New Roman Regular" w:hAnsi="Times New Roman Regular" w:eastAsia="仿宋_GB2312" w:cs="Times New Roman Regular"/>
          <w:color w:val="auto"/>
          <w:sz w:val="32"/>
          <w:szCs w:val="32"/>
          <w:highlight w:val="none"/>
          <w:lang w:val="en-US" w:eastAsia="zh-CN"/>
        </w:rPr>
        <w:t>健康</w:t>
      </w:r>
      <w:r>
        <w:rPr>
          <w:rFonts w:hint="eastAsia" w:ascii="Times New Roman Regular" w:hAnsi="Times New Roman Regular" w:eastAsia="仿宋_GB2312" w:cs="Times New Roman Regular"/>
          <w:color w:val="auto"/>
          <w:sz w:val="32"/>
          <w:szCs w:val="32"/>
          <w:highlight w:val="none"/>
          <w:lang w:val="en-US" w:eastAsia="zh-CN"/>
        </w:rPr>
        <w:t>怀化建设</w:t>
      </w:r>
      <w:r>
        <w:rPr>
          <w:rFonts w:hint="default"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乡村振兴，激活基层动能</w:t>
      </w:r>
      <w:r>
        <w:rPr>
          <w:rFonts w:hint="eastAsia" w:ascii="Times New Roman Regular" w:hAnsi="Times New Roman Regular" w:eastAsia="仿宋_GB2312" w:cs="Times New Roman Regular"/>
          <w:b/>
          <w:bCs/>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汇聚</w:t>
      </w:r>
      <w:r>
        <w:rPr>
          <w:rFonts w:hint="default" w:ascii="Times New Roman Regular" w:hAnsi="Times New Roman Regular" w:eastAsia="仿宋_GB2312" w:cs="Times New Roman Regular"/>
          <w:color w:val="auto"/>
          <w:sz w:val="32"/>
          <w:szCs w:val="32"/>
          <w:highlight w:val="none"/>
          <w:lang w:val="en-US" w:eastAsia="zh-CN"/>
        </w:rPr>
        <w:t>盟员</w:t>
      </w:r>
      <w:r>
        <w:rPr>
          <w:rFonts w:hint="eastAsia" w:ascii="Times New Roman Regular" w:hAnsi="Times New Roman Regular" w:eastAsia="仿宋_GB2312" w:cs="Times New Roman Regular"/>
          <w:color w:val="auto"/>
          <w:sz w:val="32"/>
          <w:szCs w:val="32"/>
          <w:highlight w:val="none"/>
          <w:lang w:val="en-US" w:eastAsia="zh-CN"/>
        </w:rPr>
        <w:t>中农业技术和物流</w:t>
      </w:r>
      <w:r>
        <w:rPr>
          <w:rFonts w:hint="default" w:ascii="Times New Roman Regular" w:hAnsi="Times New Roman Regular" w:eastAsia="仿宋_GB2312" w:cs="Times New Roman Regular"/>
          <w:color w:val="auto"/>
          <w:sz w:val="32"/>
          <w:szCs w:val="32"/>
          <w:highlight w:val="none"/>
          <w:lang w:val="en-US" w:eastAsia="zh-CN"/>
        </w:rPr>
        <w:t>专</w:t>
      </w:r>
      <w:r>
        <w:rPr>
          <w:rFonts w:hint="eastAsia" w:ascii="Times New Roman Regular" w:hAnsi="Times New Roman Regular" w:eastAsia="仿宋_GB2312" w:cs="Times New Roman Regular"/>
          <w:color w:val="auto"/>
          <w:sz w:val="32"/>
          <w:szCs w:val="32"/>
          <w:highlight w:val="none"/>
          <w:lang w:val="en-US" w:eastAsia="zh-CN"/>
        </w:rPr>
        <w:t>家智力资源</w:t>
      </w:r>
      <w:r>
        <w:rPr>
          <w:rFonts w:hint="default" w:ascii="Times New Roman Regular" w:hAnsi="Times New Roman Regular" w:eastAsia="仿宋_GB2312" w:cs="Times New Roman Regular"/>
          <w:color w:val="auto"/>
          <w:sz w:val="32"/>
          <w:szCs w:val="32"/>
          <w:highlight w:val="none"/>
          <w:lang w:val="en-US" w:eastAsia="zh-CN"/>
        </w:rPr>
        <w:t>，帮助新型农业经营主体解决发展中遇到的各种难题，为乡村制定产业规划，提供技术、政策支持，搭建农产品供销渠道</w:t>
      </w:r>
      <w:r>
        <w:rPr>
          <w:rFonts w:hint="eastAsia" w:ascii="Times New Roman Regular" w:hAnsi="Times New Roman Regular" w:eastAsia="仿宋_GB2312" w:cs="Times New Roman Regular"/>
          <w:color w:val="auto"/>
          <w:sz w:val="32"/>
          <w:szCs w:val="32"/>
          <w:highlight w:val="none"/>
          <w:lang w:val="en-US" w:eastAsia="zh-CN"/>
        </w:rPr>
        <w:t>。支持职院盟员立足中方镇炉亭坳持续开展民盟助力乡村振兴帮扶活动。引导</w:t>
      </w:r>
      <w:r>
        <w:rPr>
          <w:rFonts w:hint="default" w:ascii="Times New Roman Regular" w:hAnsi="Times New Roman Regular" w:eastAsia="仿宋_GB2312" w:cs="Times New Roman Regular"/>
          <w:color w:val="auto"/>
          <w:sz w:val="32"/>
          <w:szCs w:val="32"/>
          <w:highlight w:val="none"/>
          <w:lang w:val="en-US" w:eastAsia="zh-CN"/>
        </w:rPr>
        <w:t>盟员</w:t>
      </w:r>
      <w:r>
        <w:rPr>
          <w:rFonts w:hint="eastAsia" w:ascii="Times New Roman Regular" w:hAnsi="Times New Roman Regular" w:eastAsia="仿宋_GB2312" w:cs="Times New Roman Regular"/>
          <w:color w:val="auto"/>
          <w:sz w:val="32"/>
          <w:szCs w:val="32"/>
          <w:highlight w:val="none"/>
          <w:lang w:val="en-US" w:eastAsia="zh-CN"/>
        </w:rPr>
        <w:t>涉农文创企业、电商企业帮助农户增产增收，助力乡村产业振兴。</w:t>
      </w:r>
      <w:r>
        <w:rPr>
          <w:rFonts w:hint="default" w:ascii="Times New Roman Regular" w:hAnsi="Times New Roman Regular" w:eastAsia="仿宋_GB2312" w:cs="Times New Roman Regular"/>
          <w:color w:val="auto"/>
          <w:sz w:val="32"/>
          <w:szCs w:val="32"/>
          <w:highlight w:val="none"/>
          <w:lang w:val="en-US" w:eastAsia="zh-CN"/>
        </w:rPr>
        <w:t>淘农村</w:t>
      </w:r>
      <w:r>
        <w:rPr>
          <w:rFonts w:hint="eastAsia" w:ascii="Times New Roman Regular" w:hAnsi="Times New Roman Regular" w:eastAsia="仿宋_GB2312" w:cs="Times New Roman Regular"/>
          <w:color w:val="auto"/>
          <w:sz w:val="32"/>
          <w:szCs w:val="32"/>
          <w:highlight w:val="none"/>
          <w:lang w:val="en-US" w:eastAsia="zh-CN"/>
        </w:rPr>
        <w:t>等</w:t>
      </w:r>
      <w:r>
        <w:rPr>
          <w:rFonts w:hint="default" w:ascii="Times New Roman Regular" w:hAnsi="Times New Roman Regular" w:eastAsia="仿宋_GB2312" w:cs="Times New Roman Regular"/>
          <w:color w:val="auto"/>
          <w:sz w:val="32"/>
          <w:szCs w:val="32"/>
          <w:highlight w:val="none"/>
          <w:lang w:val="en-US" w:eastAsia="zh-CN"/>
        </w:rPr>
        <w:t>盟员</w:t>
      </w:r>
      <w:r>
        <w:rPr>
          <w:rFonts w:hint="eastAsia" w:ascii="Times New Roman Regular" w:hAnsi="Times New Roman Regular" w:eastAsia="仿宋_GB2312" w:cs="Times New Roman Regular"/>
          <w:color w:val="auto"/>
          <w:sz w:val="32"/>
          <w:szCs w:val="32"/>
          <w:highlight w:val="none"/>
          <w:lang w:val="en-US" w:eastAsia="zh-CN"/>
        </w:rPr>
        <w:t>电商</w:t>
      </w:r>
      <w:r>
        <w:rPr>
          <w:rFonts w:hint="default" w:ascii="Times New Roman Regular" w:hAnsi="Times New Roman Regular" w:eastAsia="仿宋_GB2312" w:cs="Times New Roman Regular"/>
          <w:color w:val="auto"/>
          <w:sz w:val="32"/>
          <w:szCs w:val="32"/>
          <w:highlight w:val="none"/>
          <w:lang w:val="en-US" w:eastAsia="zh-CN"/>
        </w:rPr>
        <w:t>企业</w:t>
      </w:r>
      <w:r>
        <w:rPr>
          <w:rFonts w:hint="eastAsia" w:ascii="Times New Roman Regular" w:hAnsi="Times New Roman Regular" w:eastAsia="仿宋_GB2312" w:cs="Times New Roman Regular"/>
          <w:color w:val="auto"/>
          <w:sz w:val="32"/>
          <w:szCs w:val="32"/>
          <w:highlight w:val="none"/>
          <w:lang w:val="en-US" w:eastAsia="zh-CN"/>
        </w:rPr>
        <w:t>扎根农村帮助销售苹果、</w:t>
      </w:r>
      <w:r>
        <w:rPr>
          <w:rFonts w:hint="default" w:ascii="Times New Roman Regular" w:hAnsi="Times New Roman Regular" w:eastAsia="仿宋_GB2312" w:cs="Times New Roman Regular"/>
          <w:color w:val="auto"/>
          <w:sz w:val="32"/>
          <w:szCs w:val="32"/>
          <w:highlight w:val="none"/>
          <w:lang w:val="en-US" w:eastAsia="zh-CN"/>
        </w:rPr>
        <w:t>柑橘等农产品，解决农户销售难题</w:t>
      </w:r>
      <w:r>
        <w:rPr>
          <w:rFonts w:hint="eastAsia" w:ascii="Times New Roman Regular" w:hAnsi="Times New Roman Regular" w:eastAsia="仿宋_GB2312" w:cs="Times New Roman Regular"/>
          <w:color w:val="auto"/>
          <w:sz w:val="32"/>
          <w:szCs w:val="32"/>
          <w:highlight w:val="none"/>
          <w:lang w:val="en-US" w:eastAsia="zh-CN"/>
        </w:rPr>
        <w:t>；盟员</w:t>
      </w:r>
      <w:r>
        <w:rPr>
          <w:rFonts w:hint="default" w:ascii="Times New Roman Regular" w:hAnsi="Times New Roman Regular" w:eastAsia="仿宋_GB2312" w:cs="Times New Roman Regular"/>
          <w:color w:val="auto"/>
          <w:sz w:val="32"/>
          <w:szCs w:val="32"/>
          <w:highlight w:val="none"/>
          <w:lang w:val="en-US" w:eastAsia="zh-CN"/>
        </w:rPr>
        <w:t>企业</w:t>
      </w:r>
      <w:r>
        <w:rPr>
          <w:rFonts w:hint="eastAsia" w:ascii="Times New Roman Regular" w:hAnsi="Times New Roman Regular" w:eastAsia="仿宋_GB2312" w:cs="Times New Roman Regular"/>
          <w:color w:val="auto"/>
          <w:sz w:val="32"/>
          <w:szCs w:val="32"/>
          <w:highlight w:val="none"/>
          <w:lang w:val="en-US" w:eastAsia="zh-CN"/>
        </w:rPr>
        <w:t>湖南卓琳生态农业有限公司化腐朽为神奇，立足会同创办稻梦小镇，将秸秆转化为艺术产品，带动全县农户增收</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b/>
          <w:bCs/>
          <w:color w:val="auto"/>
          <w:sz w:val="32"/>
          <w:szCs w:val="32"/>
          <w:highlight w:val="none"/>
          <w:lang w:val="en-US" w:eastAsia="zh-CN"/>
        </w:rPr>
        <w:t>公益暖民，温润群众心灵。</w:t>
      </w:r>
      <w:r>
        <w:rPr>
          <w:rFonts w:hint="eastAsia" w:ascii="Times New Roman Regular" w:hAnsi="Times New Roman Regular" w:eastAsia="仿宋_GB2312" w:cs="Times New Roman Regular"/>
          <w:color w:val="auto"/>
          <w:sz w:val="32"/>
          <w:szCs w:val="32"/>
          <w:highlight w:val="none"/>
          <w:lang w:val="en-US" w:eastAsia="zh-CN"/>
        </w:rPr>
        <w:t>各支部组织盟员积极参加或组织公益活动41场，参加活动盟员260余人次，服务群众达6万人次。</w:t>
      </w:r>
      <w:r>
        <w:rPr>
          <w:rFonts w:hint="default" w:ascii="Times New Roman Regular" w:hAnsi="Times New Roman Regular" w:eastAsia="仿宋_GB2312" w:cs="Times New Roman Regular"/>
          <w:color w:val="auto"/>
          <w:sz w:val="32"/>
          <w:szCs w:val="32"/>
          <w:highlight w:val="none"/>
          <w:lang w:val="en-US" w:eastAsia="zh-CN"/>
        </w:rPr>
        <w:t>爱尔眼科支部</w:t>
      </w:r>
      <w:r>
        <w:rPr>
          <w:rFonts w:hint="eastAsia" w:ascii="Times New Roman Regular" w:hAnsi="Times New Roman Regular" w:eastAsia="仿宋_GB2312" w:cs="Times New Roman Regular"/>
          <w:color w:val="auto"/>
          <w:sz w:val="32"/>
          <w:szCs w:val="32"/>
          <w:highlight w:val="none"/>
          <w:lang w:val="en-US" w:eastAsia="zh-CN"/>
        </w:rPr>
        <w:t>深入基层开展眼健康诊疗、普查公益行动30余场，赠送药品器材2万余元，服务群众超5万人次。</w:t>
      </w:r>
    </w:p>
    <w:p w14:paraId="7DECEF0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（6）满意度指标：人民群众满意度≥90%。</w:t>
      </w:r>
    </w:p>
    <w:p w14:paraId="12FC7B7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3.分析评价申报内容是否与实际相符,申报目标是否合理可行。</w:t>
      </w:r>
    </w:p>
    <w:p w14:paraId="3C5398A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分析评价申报内容与实际相符，申报目标合理可行。</w:t>
      </w:r>
    </w:p>
    <w:p w14:paraId="67290447">
      <w:pPr>
        <w:snapToGrid w:val="0"/>
        <w:spacing w:line="520" w:lineRule="exact"/>
        <w:rPr>
          <w:rFonts w:hint="eastAsia" w:ascii="Times New Roman Regular" w:hAnsi="Times New Roman Regular" w:eastAsia="仿宋_GB2312" w:cs="Times New Roman Regular"/>
          <w:b/>
          <w:bCs/>
          <w:sz w:val="28"/>
          <w:szCs w:val="28"/>
          <w:lang w:val="en-US" w:eastAsia="zh-CN"/>
        </w:rPr>
      </w:pPr>
      <w:r>
        <w:rPr>
          <w:rFonts w:hint="eastAsia" w:ascii="Times New Roman Regular" w:hAnsi="Times New Roman Regular" w:eastAsia="仿宋_GB2312" w:cs="Times New Roman Regular"/>
          <w:b/>
          <w:bCs/>
          <w:sz w:val="28"/>
          <w:szCs w:val="28"/>
          <w:lang w:val="en-US" w:eastAsia="zh-CN"/>
        </w:rPr>
        <w:t xml:space="preserve">   （三）项目自评步骤及方法</w:t>
      </w:r>
    </w:p>
    <w:p w14:paraId="5C3C216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5F2B0F4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2.采用具体绩效目标是否严格按照本单位设置的指标完成情况打分。</w:t>
      </w:r>
    </w:p>
    <w:p w14:paraId="291DE3DA">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二、项目资金申报及使用情况</w:t>
      </w:r>
    </w:p>
    <w:p w14:paraId="3D9CCD2C">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lang w:val="en-US" w:eastAsia="zh-CN"/>
        </w:rPr>
        <w:t xml:space="preserve">    </w:t>
      </w:r>
      <w:r>
        <w:rPr>
          <w:rFonts w:hint="eastAsia" w:ascii="Times New Roman Regular" w:hAnsi="Times New Roman Regular" w:eastAsia="仿宋_GB2312" w:cs="Times New Roman Regular"/>
          <w:b/>
          <w:bCs/>
          <w:sz w:val="28"/>
          <w:szCs w:val="28"/>
        </w:rPr>
        <w:t>（一）</w:t>
      </w:r>
      <w:r>
        <w:rPr>
          <w:rFonts w:ascii="Times New Roman Regular" w:hAnsi="Times New Roman Regular" w:eastAsia="仿宋_GB2312" w:cs="Times New Roman Regular"/>
          <w:b/>
          <w:bCs/>
          <w:sz w:val="28"/>
          <w:szCs w:val="28"/>
        </w:rPr>
        <w:t>项目资金申报及批复情况</w:t>
      </w:r>
    </w:p>
    <w:p w14:paraId="26EA4FA4">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1.资金计划。</w:t>
      </w:r>
    </w:p>
    <w:p w14:paraId="40B09B7B">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w:t>
      </w:r>
      <w:r>
        <w:rPr>
          <w:rFonts w:hint="eastAsia" w:ascii="Times New Roman Regular" w:hAnsi="Times New Roman Regular" w:eastAsia="仿宋_GB2312" w:cs="Times New Roman Regular"/>
          <w:color w:val="auto"/>
          <w:sz w:val="32"/>
          <w:szCs w:val="32"/>
          <w:highlight w:val="none"/>
          <w:lang w:val="en-US" w:eastAsia="zh-CN"/>
        </w:rPr>
        <w:t>度项目支出预算数50</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为市财政局拨付。</w:t>
      </w:r>
    </w:p>
    <w:p w14:paraId="7089C95A">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资金到位。</w:t>
      </w:r>
    </w:p>
    <w:p w14:paraId="20F24D4B">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民主党派管理经费50万元，实际到位32.21万元，到位率64.42%，主要原因为财政资金紧张，下达资金不足；</w:t>
      </w:r>
    </w:p>
    <w:p w14:paraId="136B1B57">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资金使用。</w:t>
      </w:r>
    </w:p>
    <w:p w14:paraId="19232BF8">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年项目资金</w:t>
      </w:r>
      <w:r>
        <w:rPr>
          <w:rFonts w:hint="eastAsia" w:ascii="Times New Roman Regular" w:hAnsi="Times New Roman Regular" w:eastAsia="仿宋_GB2312" w:cs="Times New Roman Regular"/>
          <w:color w:val="auto"/>
          <w:sz w:val="32"/>
          <w:szCs w:val="32"/>
          <w:highlight w:val="none"/>
          <w:lang w:val="en-US" w:eastAsia="zh-CN"/>
        </w:rPr>
        <w:t>实际支出29.12万元，预算执行率90.41%。</w:t>
      </w:r>
    </w:p>
    <w:p w14:paraId="14EC09D1">
      <w:pPr>
        <w:snapToGrid w:val="0"/>
        <w:spacing w:line="520" w:lineRule="exact"/>
        <w:rPr>
          <w:rFonts w:hint="default" w:ascii="Times New Roman Regular" w:hAnsi="Times New Roman Regular" w:eastAsia="仿宋_GB2312" w:cs="Times New Roman Regular"/>
          <w:b/>
          <w:bCs/>
          <w:sz w:val="28"/>
          <w:szCs w:val="28"/>
          <w:lang w:val="en-US" w:eastAsia="zh-CN"/>
        </w:rPr>
      </w:pPr>
      <w:r>
        <w:rPr>
          <w:rFonts w:hint="eastAsia" w:ascii="Times New Roman Regular" w:hAnsi="Times New Roman Regular" w:eastAsia="仿宋_GB2312" w:cs="Times New Roman Regular"/>
          <w:b/>
          <w:bCs/>
          <w:sz w:val="28"/>
          <w:szCs w:val="28"/>
          <w:lang w:val="en-US" w:eastAsia="zh-CN"/>
        </w:rPr>
        <w:t xml:space="preserve">   （三）</w:t>
      </w:r>
      <w:r>
        <w:rPr>
          <w:rFonts w:hint="default" w:ascii="Times New Roman Regular" w:hAnsi="Times New Roman Regular" w:eastAsia="仿宋_GB2312" w:cs="Times New Roman Regular"/>
          <w:b/>
          <w:bCs/>
          <w:sz w:val="28"/>
          <w:szCs w:val="28"/>
          <w:lang w:val="en-US" w:eastAsia="zh-CN"/>
        </w:rPr>
        <w:t>项目财务管理情况</w:t>
      </w:r>
    </w:p>
    <w:p w14:paraId="249AE4E9">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本单位财务管理制度健全，严格执行财务管理制度，资金拨付审批程序规范、高效、便捷。严格执行国库集中支付制度和政府采购制度，按项目预算、进度拨付资金。严格实行</w:t>
      </w:r>
      <w:r>
        <w:rPr>
          <w:rFonts w:hint="eastAsia" w:ascii="Times New Roman Regular" w:hAnsi="Times New Roman Regular" w:eastAsia="仿宋_GB2312" w:cs="Times New Roman Regular"/>
          <w:color w:val="auto"/>
          <w:sz w:val="32"/>
          <w:szCs w:val="32"/>
          <w:highlight w:val="none"/>
          <w:lang w:val="en-US" w:eastAsia="zh-CN"/>
        </w:rPr>
        <w:t> “三专一直”的专项资金管理制度，即：专户管理、专项核算、专款专用和财政直接拨付。账务处理及时，会计核算规范</w:t>
      </w:r>
      <w:r>
        <w:rPr>
          <w:rFonts w:hint="default" w:ascii="Times New Roman Regular" w:hAnsi="Times New Roman Regular" w:eastAsia="仿宋_GB2312" w:cs="Times New Roman Regular"/>
          <w:color w:val="auto"/>
          <w:sz w:val="32"/>
          <w:szCs w:val="32"/>
          <w:highlight w:val="none"/>
          <w:lang w:val="en-US" w:eastAsia="zh-CN"/>
        </w:rPr>
        <w:t>。</w:t>
      </w:r>
    </w:p>
    <w:p w14:paraId="61D2B0AB">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三、项目实施及管理情况</w:t>
      </w:r>
    </w:p>
    <w:p w14:paraId="65C9EED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项目组织架构及实施流程</w:t>
      </w:r>
    </w:p>
    <w:p w14:paraId="278C8F0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w:t>
      </w:r>
      <w:r>
        <w:rPr>
          <w:rFonts w:hint="default" w:ascii="Times New Roman Regular" w:hAnsi="Times New Roman Regular" w:eastAsia="仿宋_GB2312" w:cs="Times New Roman Regular"/>
          <w:color w:val="auto"/>
          <w:sz w:val="32"/>
          <w:szCs w:val="32"/>
          <w:highlight w:val="none"/>
          <w:lang w:val="en-US" w:eastAsia="zh-CN"/>
        </w:rPr>
        <w:t>制定了财政专项资金管理办法、内部控制管理制度、政府采购内控制度等管理制度，使财务管理制度合法、规范、完整，可操作性强，使制定的内控制度及相关的财务管理制度得到了有效的执行。同时对项目资金阶段性完成情况进行动态跟踪监控、监督检查纠偏处理、改进完善等管理活动</w:t>
      </w:r>
      <w:r>
        <w:rPr>
          <w:rFonts w:hint="eastAsia" w:ascii="Times New Roman Regular" w:hAnsi="Times New Roman Regular" w:eastAsia="仿宋_GB2312" w:cs="Times New Roman Regular"/>
          <w:color w:val="auto"/>
          <w:sz w:val="32"/>
          <w:szCs w:val="32"/>
          <w:highlight w:val="none"/>
          <w:lang w:val="en-US" w:eastAsia="zh-CN"/>
        </w:rPr>
        <w:t>。</w:t>
      </w:r>
    </w:p>
    <w:p w14:paraId="6070B45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项目管理情况</w:t>
      </w:r>
    </w:p>
    <w:p w14:paraId="7DD68A1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本单位严格按照项目进度申报资金计划，拨付资金，并建立资金拨付台账。项目支出按照财政资金的管理政策</w:t>
      </w:r>
      <w:r>
        <w:rPr>
          <w:rFonts w:hint="eastAsia" w:ascii="Times New Roman Regular" w:hAnsi="Times New Roman Regular" w:eastAsia="仿宋_GB2312" w:cs="Times New Roman Regular"/>
          <w:color w:val="auto"/>
          <w:sz w:val="32"/>
          <w:szCs w:val="32"/>
          <w:highlight w:val="none"/>
          <w:lang w:val="en-US" w:eastAsia="zh-CN"/>
        </w:rPr>
        <w:t>, 严格执行市财政局要求的相关的专项项目资金管理制度和政府采购等相关法律、法规</w:t>
      </w:r>
      <w:r>
        <w:rPr>
          <w:rFonts w:hint="default" w:ascii="Times New Roman Regular" w:hAnsi="Times New Roman Regular" w:eastAsia="仿宋_GB2312" w:cs="Times New Roman Regular"/>
          <w:color w:val="auto"/>
          <w:sz w:val="32"/>
          <w:szCs w:val="32"/>
          <w:highlight w:val="none"/>
          <w:lang w:val="en-US" w:eastAsia="zh-CN"/>
        </w:rPr>
        <w:t>。</w:t>
      </w:r>
    </w:p>
    <w:p w14:paraId="7B088A3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项目监管情况</w:t>
      </w:r>
    </w:p>
    <w:p w14:paraId="1FCD323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按照本单位采取的项目管理办法对项目的执行进度严格监管，项目资金严格把控审批与支付流程，对</w:t>
      </w:r>
      <w:r>
        <w:rPr>
          <w:rFonts w:hint="default" w:ascii="Times New Roman Regular" w:hAnsi="Times New Roman Regular" w:eastAsia="仿宋_GB2312" w:cs="Times New Roman Regular"/>
          <w:color w:val="auto"/>
          <w:sz w:val="32"/>
          <w:szCs w:val="32"/>
          <w:highlight w:val="none"/>
          <w:lang w:val="en-US" w:eastAsia="zh-CN"/>
        </w:rPr>
        <w:t>项目资金阶段性完成情况进行动态跟踪监控、监督检查纠偏处理、改进完善等管理活动。</w:t>
      </w:r>
    </w:p>
    <w:p w14:paraId="7009E526">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四、项目绩效情况</w:t>
      </w:r>
    </w:p>
    <w:p w14:paraId="51B6E908">
      <w:pPr>
        <w:snapToGrid w:val="0"/>
        <w:spacing w:line="520" w:lineRule="exact"/>
        <w:rPr>
          <w:rFonts w:ascii="Times New Roman Regular" w:hAnsi="Times New Roman Regular" w:eastAsia="仿宋_GB2312" w:cs="Times New Roman Regular"/>
          <w:b/>
          <w:bCs/>
          <w:sz w:val="28"/>
          <w:szCs w:val="28"/>
          <w:highlight w:val="none"/>
        </w:rPr>
      </w:pPr>
      <w:r>
        <w:rPr>
          <w:rFonts w:hint="eastAsia" w:ascii="Times New Roman Regular" w:hAnsi="Times New Roman Regular" w:eastAsia="仿宋_GB2312" w:cs="Times New Roman Regular"/>
          <w:b/>
          <w:bCs/>
          <w:sz w:val="28"/>
          <w:szCs w:val="28"/>
          <w:highlight w:val="none"/>
          <w:lang w:val="en-US" w:eastAsia="zh-CN"/>
        </w:rPr>
        <w:t xml:space="preserve">   </w:t>
      </w:r>
      <w:r>
        <w:rPr>
          <w:rFonts w:hint="eastAsia" w:ascii="Times New Roman Regular" w:hAnsi="Times New Roman Regular" w:eastAsia="仿宋_GB2312" w:cs="Times New Roman Regular"/>
          <w:b/>
          <w:bCs/>
          <w:sz w:val="28"/>
          <w:szCs w:val="28"/>
          <w:highlight w:val="none"/>
        </w:rPr>
        <w:t>（一）</w:t>
      </w:r>
      <w:r>
        <w:rPr>
          <w:rFonts w:ascii="Times New Roman Regular" w:hAnsi="Times New Roman Regular" w:eastAsia="仿宋_GB2312" w:cs="Times New Roman Regular"/>
          <w:b/>
          <w:bCs/>
          <w:sz w:val="28"/>
          <w:szCs w:val="28"/>
          <w:highlight w:val="none"/>
        </w:rPr>
        <w:t>项目完成情况</w:t>
      </w:r>
    </w:p>
    <w:p w14:paraId="0268FE8B">
      <w:pPr>
        <w:snapToGrid w:val="0"/>
        <w:spacing w:line="520" w:lineRule="exact"/>
        <w:ind w:firstLine="640" w:firstLineChars="200"/>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1、数量：2025年盟市委会印发工作方案，提出18条工作清单，5次举行领导班子集中学习活动，2次召开市委扩大会议进行专题辅导。</w:t>
      </w:r>
      <w:r>
        <w:rPr>
          <w:rFonts w:hint="default" w:ascii="Times New Roman Regular" w:hAnsi="Times New Roman Regular" w:eastAsia="仿宋_GB2312" w:cs="Times New Roman Regular"/>
          <w:color w:val="auto"/>
          <w:sz w:val="32"/>
          <w:szCs w:val="32"/>
          <w:highlight w:val="none"/>
          <w:lang w:val="en-US" w:eastAsia="zh-CN"/>
        </w:rPr>
        <w:t>在公众号发布政治学习、思想宣传、</w:t>
      </w:r>
      <w:r>
        <w:rPr>
          <w:rFonts w:hint="eastAsia" w:ascii="Times New Roman Regular" w:hAnsi="Times New Roman Regular" w:eastAsia="仿宋_GB2312" w:cs="Times New Roman Regular"/>
          <w:color w:val="auto"/>
          <w:sz w:val="32"/>
          <w:szCs w:val="32"/>
          <w:highlight w:val="none"/>
          <w:lang w:val="en-US" w:eastAsia="zh-CN"/>
        </w:rPr>
        <w:t>参政议政范文、</w:t>
      </w:r>
      <w:r>
        <w:rPr>
          <w:rFonts w:hint="default" w:ascii="Times New Roman Regular" w:hAnsi="Times New Roman Regular" w:eastAsia="仿宋_GB2312" w:cs="Times New Roman Regular"/>
          <w:color w:val="auto"/>
          <w:sz w:val="32"/>
          <w:szCs w:val="32"/>
          <w:highlight w:val="none"/>
          <w:lang w:val="en-US" w:eastAsia="zh-CN"/>
        </w:rPr>
        <w:t>模范典型</w:t>
      </w:r>
      <w:r>
        <w:rPr>
          <w:rFonts w:hint="eastAsia" w:ascii="Times New Roman Regular" w:hAnsi="Times New Roman Regular" w:eastAsia="仿宋_GB2312" w:cs="Times New Roman Regular"/>
          <w:color w:val="auto"/>
          <w:sz w:val="32"/>
          <w:szCs w:val="32"/>
          <w:highlight w:val="none"/>
          <w:lang w:val="en-US" w:eastAsia="zh-CN"/>
        </w:rPr>
        <w:t>事迹共</w:t>
      </w:r>
      <w:r>
        <w:rPr>
          <w:rFonts w:hint="default" w:ascii="Times New Roman Regular" w:hAnsi="Times New Roman Regular" w:eastAsia="仿宋_GB2312" w:cs="Times New Roman Regular"/>
          <w:color w:val="auto"/>
          <w:sz w:val="32"/>
          <w:szCs w:val="32"/>
          <w:highlight w:val="none"/>
          <w:lang w:val="en-US" w:eastAsia="zh-CN"/>
        </w:rPr>
        <w:t>5</w:t>
      </w: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篇</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累计提交人大建议7份、集体提案16份、个人提案25份，其中2篇集体提案、1篇个人提案被市政协列为重点提案。</w:t>
      </w:r>
      <w:r>
        <w:rPr>
          <w:rFonts w:hint="eastAsia" w:ascii="Times New Roman Regular" w:hAnsi="Times New Roman Regular" w:eastAsia="仿宋_GB2312" w:cs="Times New Roman Regular"/>
          <w:color w:val="auto"/>
          <w:sz w:val="32"/>
          <w:szCs w:val="32"/>
          <w:highlight w:val="none"/>
          <w:lang w:val="en-US" w:eastAsia="zh-CN"/>
        </w:rPr>
        <w:t>全年</w:t>
      </w:r>
      <w:r>
        <w:rPr>
          <w:rFonts w:hint="default" w:ascii="Times New Roman Regular" w:hAnsi="Times New Roman Regular" w:eastAsia="仿宋_GB2312" w:cs="Times New Roman Regular"/>
          <w:color w:val="auto"/>
          <w:sz w:val="32"/>
          <w:szCs w:val="32"/>
          <w:highlight w:val="none"/>
          <w:lang w:val="en-US" w:eastAsia="zh-CN"/>
        </w:rPr>
        <w:t>报送社情民意</w:t>
      </w: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0余篇，</w:t>
      </w:r>
      <w:r>
        <w:rPr>
          <w:rFonts w:hint="eastAsia" w:ascii="Times New Roman Regular" w:hAnsi="Times New Roman Regular" w:eastAsia="仿宋_GB2312" w:cs="Times New Roman Regular"/>
          <w:color w:val="auto"/>
          <w:sz w:val="32"/>
          <w:szCs w:val="32"/>
          <w:highlight w:val="none"/>
          <w:lang w:val="en-US" w:eastAsia="zh-CN"/>
        </w:rPr>
        <w:t>微建议50条</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全年新发展盟员22名，平均年龄40.36岁，主界别占比100%，其中博士3人，高级职称6人，民盟中央代表人士1人。</w:t>
      </w:r>
      <w:r>
        <w:rPr>
          <w:rFonts w:hint="default" w:ascii="Times New Roman Regular" w:hAnsi="Times New Roman Regular" w:eastAsia="仿宋_GB2312" w:cs="Times New Roman Regular"/>
          <w:color w:val="auto"/>
          <w:sz w:val="32"/>
          <w:szCs w:val="32"/>
          <w:highlight w:val="none"/>
          <w:lang w:val="en-US" w:eastAsia="zh-CN"/>
        </w:rPr>
        <w:t>圆满完成11个基层组织换届，拆分1个支部、新成立2个支部</w:t>
      </w:r>
      <w:r>
        <w:rPr>
          <w:rFonts w:hint="eastAsia" w:ascii="Times New Roman Regular" w:hAnsi="Times New Roman Regular" w:eastAsia="仿宋_GB2312" w:cs="Times New Roman Regular"/>
          <w:color w:val="auto"/>
          <w:sz w:val="32"/>
          <w:szCs w:val="32"/>
          <w:highlight w:val="none"/>
          <w:lang w:val="en-US" w:eastAsia="zh-CN"/>
        </w:rPr>
        <w:t>，支部总数达到13个</w:t>
      </w:r>
      <w:r>
        <w:rPr>
          <w:rFonts w:hint="default" w:ascii="Times New Roman Regular" w:hAnsi="Times New Roman Regular" w:eastAsia="仿宋_GB2312" w:cs="Times New Roman Regular"/>
          <w:color w:val="auto"/>
          <w:sz w:val="32"/>
          <w:szCs w:val="32"/>
          <w:highlight w:val="none"/>
          <w:lang w:val="en-US" w:eastAsia="zh-CN"/>
        </w:rPr>
        <w:t>。选举产生支委会班子41名，其中女性20人、新进26人、新任主委9人；平均年龄37.7岁，含90后11人；博士3人、硕士10人、正副高15人。</w:t>
      </w:r>
      <w:r>
        <w:rPr>
          <w:rFonts w:hint="eastAsia" w:ascii="Times New Roman Regular" w:hAnsi="Times New Roman Regular" w:eastAsia="仿宋_GB2312" w:cs="Times New Roman Regular"/>
          <w:color w:val="auto"/>
          <w:sz w:val="32"/>
          <w:szCs w:val="32"/>
          <w:highlight w:val="none"/>
          <w:lang w:val="en-US" w:eastAsia="zh-CN"/>
        </w:rPr>
        <w:t>开展了主委接待日、走访盟员所在单位的活动，先后21次</w:t>
      </w:r>
      <w:r>
        <w:rPr>
          <w:rFonts w:hint="default" w:ascii="Times New Roman Regular" w:hAnsi="Times New Roman Regular" w:eastAsia="仿宋_GB2312" w:cs="Times New Roman Regular"/>
          <w:color w:val="auto"/>
          <w:sz w:val="32"/>
          <w:szCs w:val="32"/>
          <w:highlight w:val="none"/>
          <w:lang w:val="en-US" w:eastAsia="zh-CN"/>
        </w:rPr>
        <w:t>走访</w:t>
      </w:r>
      <w:r>
        <w:rPr>
          <w:rFonts w:hint="eastAsia" w:ascii="Times New Roman Regular" w:hAnsi="Times New Roman Regular" w:eastAsia="仿宋_GB2312" w:cs="Times New Roman Regular"/>
          <w:color w:val="auto"/>
          <w:sz w:val="32"/>
          <w:szCs w:val="32"/>
          <w:highlight w:val="none"/>
          <w:lang w:val="en-US" w:eastAsia="zh-CN"/>
        </w:rPr>
        <w:t>调研基层组织、盟员企业、盟员单位。参与</w:t>
      </w:r>
      <w:r>
        <w:rPr>
          <w:rFonts w:hint="default" w:ascii="Times New Roman Regular" w:hAnsi="Times New Roman Regular" w:eastAsia="仿宋_GB2312" w:cs="Times New Roman Regular"/>
          <w:color w:val="auto"/>
          <w:sz w:val="32"/>
          <w:szCs w:val="32"/>
          <w:highlight w:val="none"/>
          <w:lang w:val="en-US" w:eastAsia="zh-CN"/>
        </w:rPr>
        <w:t>“烛光行动·守护心灵”公益捐赠活动，为全市13个县市区建成钢琴音乐、美术教室</w:t>
      </w:r>
      <w:r>
        <w:rPr>
          <w:rFonts w:hint="eastAsia" w:ascii="Times New Roman Regular" w:hAnsi="Times New Roman Regular" w:eastAsia="仿宋_GB2312" w:cs="Times New Roman Regular"/>
          <w:color w:val="auto"/>
          <w:sz w:val="32"/>
          <w:szCs w:val="32"/>
          <w:highlight w:val="none"/>
          <w:lang w:val="en-US" w:eastAsia="zh-CN"/>
        </w:rPr>
        <w:t>200</w:t>
      </w:r>
      <w:r>
        <w:rPr>
          <w:rFonts w:hint="default" w:ascii="Times New Roman Regular" w:hAnsi="Times New Roman Regular" w:eastAsia="仿宋_GB2312" w:cs="Times New Roman Regular"/>
          <w:color w:val="auto"/>
          <w:sz w:val="32"/>
          <w:szCs w:val="32"/>
          <w:highlight w:val="none"/>
          <w:lang w:val="en-US" w:eastAsia="zh-CN"/>
        </w:rPr>
        <w:t>个</w:t>
      </w:r>
      <w:r>
        <w:rPr>
          <w:rFonts w:hint="eastAsia" w:ascii="Times New Roman Regular" w:hAnsi="Times New Roman Regular" w:eastAsia="仿宋_GB2312" w:cs="Times New Roman Regular"/>
          <w:color w:val="auto"/>
          <w:sz w:val="32"/>
          <w:szCs w:val="32"/>
          <w:highlight w:val="none"/>
          <w:lang w:val="en-US" w:eastAsia="zh-CN"/>
        </w:rPr>
        <w:t>。积极参加或组织公益活动41场，参加活动盟员260余人次，服务群众达6万人次。持续监督沅水流域</w:t>
      </w:r>
      <w:r>
        <w:rPr>
          <w:rFonts w:hint="default" w:ascii="Times New Roman Regular" w:hAnsi="Times New Roman Regular" w:eastAsia="仿宋_GB2312" w:cs="Times New Roman Regular"/>
          <w:color w:val="auto"/>
          <w:sz w:val="32"/>
          <w:szCs w:val="32"/>
          <w:highlight w:val="none"/>
          <w:lang w:val="en-US" w:eastAsia="zh-CN"/>
        </w:rPr>
        <w:t>（中方段）</w:t>
      </w:r>
      <w:r>
        <w:rPr>
          <w:rFonts w:hint="eastAsia" w:ascii="Times New Roman Regular" w:hAnsi="Times New Roman Regular" w:eastAsia="仿宋_GB2312" w:cs="Times New Roman Regular"/>
          <w:color w:val="auto"/>
          <w:sz w:val="32"/>
          <w:szCs w:val="32"/>
          <w:highlight w:val="none"/>
          <w:lang w:val="en-US" w:eastAsia="zh-CN"/>
        </w:rPr>
        <w:t>生态环境改善，</w:t>
      </w:r>
      <w:r>
        <w:rPr>
          <w:rFonts w:hint="default" w:ascii="Times New Roman Regular" w:hAnsi="Times New Roman Regular" w:eastAsia="仿宋_GB2312" w:cs="Times New Roman Regular"/>
          <w:color w:val="auto"/>
          <w:sz w:val="32"/>
          <w:szCs w:val="32"/>
          <w:highlight w:val="none"/>
          <w:lang w:val="en-US" w:eastAsia="zh-CN"/>
        </w:rPr>
        <w:t>制定13项重点监督清单，采用“专项视察+随机抽查+无人机巡查+水质监测”模式，采取“四不两直”方式，走访30余个点位，重点监督污染源管控、生态修复等，形成监督意见书，建立“三本台账”，推动12项整改任务落地。</w:t>
      </w:r>
    </w:p>
    <w:p w14:paraId="0CF35FF7">
      <w:pPr>
        <w:snapToGrid w:val="0"/>
        <w:spacing w:line="520" w:lineRule="exact"/>
        <w:ind w:firstLine="640" w:firstLineChars="200"/>
        <w:rPr>
          <w:rFonts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lang w:val="en-US" w:eastAsia="zh-CN"/>
        </w:rPr>
        <w:t>2、质量：目标完成率超过90%</w:t>
      </w:r>
      <w:r>
        <w:rPr>
          <w:rFonts w:ascii="Times New Roman Regular" w:hAnsi="Times New Roman Regular" w:eastAsia="仿宋_GB2312" w:cs="Times New Roman Regular"/>
          <w:sz w:val="32"/>
          <w:szCs w:val="32"/>
          <w:highlight w:val="none"/>
        </w:rPr>
        <w:t>。</w:t>
      </w:r>
    </w:p>
    <w:p w14:paraId="08953A4D">
      <w:pPr>
        <w:snapToGrid w:val="0"/>
        <w:spacing w:line="520" w:lineRule="exact"/>
        <w:ind w:firstLine="640" w:firstLineChars="200"/>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3、时效：2025年12月31日前完成。</w:t>
      </w:r>
    </w:p>
    <w:p w14:paraId="707C78BD">
      <w:pPr>
        <w:snapToGrid w:val="0"/>
        <w:spacing w:line="520" w:lineRule="exact"/>
        <w:ind w:firstLine="640" w:firstLineChars="200"/>
        <w:rPr>
          <w:rFonts w:hint="default"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4、成本：经济成本控制在50万元以内。</w:t>
      </w:r>
    </w:p>
    <w:p w14:paraId="74E6038C">
      <w:pPr>
        <w:snapToGrid w:val="0"/>
        <w:spacing w:line="520" w:lineRule="exact"/>
        <w:ind w:firstLine="640" w:firstLineChars="200"/>
        <w:rPr>
          <w:rFonts w:ascii="Times New Roman Regular" w:hAnsi="Times New Roman Regular" w:eastAsia="仿宋_GB2312" w:cs="Times New Roman Regular"/>
          <w:b/>
          <w:bCs/>
          <w:sz w:val="28"/>
          <w:szCs w:val="28"/>
          <w:highlight w:val="none"/>
        </w:rPr>
      </w:pPr>
      <w:r>
        <w:rPr>
          <w:rFonts w:hint="eastAsia" w:ascii="Times New Roman Regular" w:hAnsi="Times New Roman Regular" w:eastAsia="仿宋_GB2312" w:cs="Times New Roman Regular"/>
          <w:sz w:val="32"/>
          <w:szCs w:val="32"/>
          <w:highlight w:val="none"/>
        </w:rPr>
        <w:t>（二）</w:t>
      </w:r>
      <w:r>
        <w:rPr>
          <w:rFonts w:ascii="Times New Roman Regular" w:hAnsi="Times New Roman Regular" w:eastAsia="仿宋_GB2312" w:cs="Times New Roman Regular"/>
          <w:b/>
          <w:bCs/>
          <w:sz w:val="28"/>
          <w:szCs w:val="28"/>
          <w:highlight w:val="none"/>
        </w:rPr>
        <w:t>项目效益情况</w:t>
      </w:r>
    </w:p>
    <w:p w14:paraId="0D296672">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项目经济效益</w:t>
      </w:r>
      <w:r>
        <w:rPr>
          <w:rFonts w:hint="eastAsia" w:ascii="Times New Roman Regular" w:hAnsi="Times New Roman Regular" w:eastAsia="仿宋_GB2312" w:cs="Times New Roman Regular"/>
          <w:color w:val="auto"/>
          <w:sz w:val="32"/>
          <w:szCs w:val="32"/>
          <w:highlight w:val="none"/>
          <w:lang w:val="en-US" w:eastAsia="zh-CN"/>
        </w:rPr>
        <w:t>：民盟市委会被评为全省民盟组织建设、机关建设先进单位。兰燕、刘颖、仇云龙受到民盟中央表彰。持续擦亮委员工作室履职品牌，市政协民盟界别委员工作室获湖南省示范性政协委员工作室。3份民盟提案</w:t>
      </w:r>
      <w:r>
        <w:rPr>
          <w:rFonts w:hint="default" w:ascii="Times New Roman Regular" w:hAnsi="Times New Roman Regular" w:eastAsia="仿宋_GB2312" w:cs="Times New Roman Regular"/>
          <w:color w:val="auto"/>
          <w:sz w:val="32"/>
          <w:szCs w:val="32"/>
          <w:highlight w:val="none"/>
          <w:lang w:val="en-US" w:eastAsia="zh-CN"/>
        </w:rPr>
        <w:t>被市政协列为重点提案</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在公众号发布政治学习、思想宣传、</w:t>
      </w:r>
      <w:r>
        <w:rPr>
          <w:rFonts w:hint="eastAsia" w:ascii="Times New Roman Regular" w:hAnsi="Times New Roman Regular" w:eastAsia="仿宋_GB2312" w:cs="Times New Roman Regular"/>
          <w:color w:val="auto"/>
          <w:sz w:val="32"/>
          <w:szCs w:val="32"/>
          <w:highlight w:val="none"/>
          <w:lang w:val="en-US" w:eastAsia="zh-CN"/>
        </w:rPr>
        <w:t>参政议政范文、</w:t>
      </w:r>
      <w:r>
        <w:rPr>
          <w:rFonts w:hint="default" w:ascii="Times New Roman Regular" w:hAnsi="Times New Roman Regular" w:eastAsia="仿宋_GB2312" w:cs="Times New Roman Regular"/>
          <w:color w:val="auto"/>
          <w:sz w:val="32"/>
          <w:szCs w:val="32"/>
          <w:highlight w:val="none"/>
          <w:lang w:val="en-US" w:eastAsia="zh-CN"/>
        </w:rPr>
        <w:t>模范典型</w:t>
      </w:r>
      <w:r>
        <w:rPr>
          <w:rFonts w:hint="eastAsia" w:ascii="Times New Roman Regular" w:hAnsi="Times New Roman Regular" w:eastAsia="仿宋_GB2312" w:cs="Times New Roman Regular"/>
          <w:color w:val="auto"/>
          <w:sz w:val="32"/>
          <w:szCs w:val="32"/>
          <w:highlight w:val="none"/>
          <w:lang w:val="en-US" w:eastAsia="zh-CN"/>
        </w:rPr>
        <w:t>事迹共</w:t>
      </w:r>
      <w:r>
        <w:rPr>
          <w:rFonts w:hint="default" w:ascii="Times New Roman Regular" w:hAnsi="Times New Roman Regular" w:eastAsia="仿宋_GB2312" w:cs="Times New Roman Regular"/>
          <w:color w:val="auto"/>
          <w:sz w:val="32"/>
          <w:szCs w:val="32"/>
          <w:highlight w:val="none"/>
          <w:lang w:val="en-US" w:eastAsia="zh-CN"/>
        </w:rPr>
        <w:t>5</w:t>
      </w: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篇</w:t>
      </w:r>
      <w:r>
        <w:rPr>
          <w:rFonts w:hint="eastAsia" w:ascii="Times New Roman Regular" w:hAnsi="Times New Roman Regular" w:eastAsia="仿宋_GB2312" w:cs="Times New Roman Regular"/>
          <w:color w:val="auto"/>
          <w:sz w:val="32"/>
          <w:szCs w:val="32"/>
          <w:highlight w:val="none"/>
          <w:lang w:val="en-US" w:eastAsia="zh-CN"/>
        </w:rPr>
        <w:t>，《民盟怀化市委会集体提案推动国家粮食种植收入保险政策落地 助力涉农企业创新发展》</w:t>
      </w:r>
      <w:r>
        <w:rPr>
          <w:rFonts w:hint="default" w:ascii="Times New Roman Regular" w:hAnsi="Times New Roman Regular" w:eastAsia="仿宋_GB2312" w:cs="Times New Roman Regular"/>
          <w:color w:val="auto"/>
          <w:sz w:val="32"/>
          <w:szCs w:val="32"/>
          <w:highlight w:val="none"/>
          <w:lang w:val="en-US" w:eastAsia="zh-CN"/>
        </w:rPr>
        <w:t>《仰望与传承·民盟文化大家列传丨著名翻译家、作家、编辑出版家冯亦代》</w:t>
      </w:r>
      <w:r>
        <w:rPr>
          <w:rFonts w:hint="eastAsia" w:ascii="Times New Roman Regular" w:hAnsi="Times New Roman Regular" w:eastAsia="仿宋_GB2312" w:cs="Times New Roman Regular"/>
          <w:color w:val="auto"/>
          <w:sz w:val="32"/>
          <w:szCs w:val="32"/>
          <w:highlight w:val="none"/>
          <w:lang w:val="en-US" w:eastAsia="zh-CN"/>
        </w:rPr>
        <w:t>《立志报国守初心 一生无求著华章》等20余篇宣传稿件在湘声报、湖南民盟公众号、网站和内刊刊登。《</w:t>
      </w:r>
      <w:r>
        <w:rPr>
          <w:rFonts w:hint="default" w:ascii="Times New Roman Regular" w:hAnsi="Times New Roman Regular" w:eastAsia="仿宋_GB2312" w:cs="Times New Roman Regular"/>
          <w:color w:val="auto"/>
          <w:sz w:val="32"/>
          <w:szCs w:val="32"/>
          <w:highlight w:val="none"/>
          <w:lang w:val="en-US" w:eastAsia="zh-CN"/>
        </w:rPr>
        <w:t>涂西畴：言传身教传家风</w:t>
      </w:r>
      <w:r>
        <w:rPr>
          <w:rFonts w:hint="eastAsia" w:ascii="Times New Roman Regular" w:hAnsi="Times New Roman Regular" w:eastAsia="仿宋_GB2312" w:cs="Times New Roman Regular"/>
          <w:color w:val="auto"/>
          <w:sz w:val="32"/>
          <w:szCs w:val="32"/>
          <w:highlight w:val="none"/>
          <w:lang w:val="en-US" w:eastAsia="zh-CN"/>
        </w:rPr>
        <w:t>》被吉林民盟</w:t>
      </w:r>
      <w:r>
        <w:rPr>
          <w:rFonts w:hint="default" w:ascii="Times New Roman Regular" w:hAnsi="Times New Roman Regular" w:eastAsia="仿宋_GB2312" w:cs="Times New Roman Regular"/>
          <w:color w:val="auto"/>
          <w:sz w:val="32"/>
          <w:szCs w:val="32"/>
          <w:highlight w:val="none"/>
          <w:lang w:val="en-US" w:eastAsia="zh-CN"/>
        </w:rPr>
        <w:t>【民盟名人堂·“双百”行动】第二十四期</w:t>
      </w:r>
      <w:r>
        <w:rPr>
          <w:rFonts w:hint="eastAsia" w:ascii="Times New Roman Regular" w:hAnsi="Times New Roman Regular" w:eastAsia="仿宋_GB2312" w:cs="Times New Roman Regular"/>
          <w:color w:val="auto"/>
          <w:sz w:val="32"/>
          <w:szCs w:val="32"/>
          <w:highlight w:val="none"/>
          <w:lang w:val="en-US" w:eastAsia="zh-CN"/>
        </w:rPr>
        <w:t>转载。</w:t>
      </w:r>
      <w:r>
        <w:rPr>
          <w:rFonts w:hint="default" w:ascii="Times New Roman Regular" w:hAnsi="Times New Roman Regular" w:eastAsia="仿宋_GB2312" w:cs="Times New Roman Regular"/>
          <w:color w:val="auto"/>
          <w:sz w:val="32"/>
          <w:szCs w:val="32"/>
          <w:highlight w:val="none"/>
          <w:lang w:val="en-US" w:eastAsia="zh-CN"/>
        </w:rPr>
        <w:t>盟员讲盟史</w:t>
      </w:r>
      <w:r>
        <w:rPr>
          <w:rFonts w:hint="eastAsia" w:ascii="Times New Roman Regular" w:hAnsi="Times New Roman Regular" w:eastAsia="仿宋_GB2312" w:cs="Times New Roman Regular"/>
          <w:color w:val="auto"/>
          <w:sz w:val="32"/>
          <w:szCs w:val="32"/>
          <w:highlight w:val="none"/>
          <w:lang w:val="en-US" w:eastAsia="zh-CN"/>
        </w:rPr>
        <w:t>短</w:t>
      </w:r>
      <w:r>
        <w:rPr>
          <w:rFonts w:hint="default" w:ascii="Times New Roman Regular" w:hAnsi="Times New Roman Regular" w:eastAsia="仿宋_GB2312" w:cs="Times New Roman Regular"/>
          <w:color w:val="auto"/>
          <w:sz w:val="32"/>
          <w:szCs w:val="32"/>
          <w:highlight w:val="none"/>
          <w:lang w:val="en-US" w:eastAsia="zh-CN"/>
        </w:rPr>
        <w:t>视频《扬先辈风骨 守立盟初心》</w:t>
      </w:r>
      <w:r>
        <w:rPr>
          <w:rFonts w:hint="eastAsia" w:ascii="Times New Roman Regular" w:hAnsi="Times New Roman Regular" w:eastAsia="仿宋_GB2312" w:cs="Times New Roman Regular"/>
          <w:color w:val="auto"/>
          <w:sz w:val="32"/>
          <w:szCs w:val="32"/>
          <w:highlight w:val="none"/>
          <w:lang w:val="en-US" w:eastAsia="zh-CN"/>
        </w:rPr>
        <w:t>在全市盟员中竞相传播，使民盟先辈</w:t>
      </w:r>
      <w:r>
        <w:rPr>
          <w:rFonts w:hint="default" w:ascii="Times New Roman Regular" w:hAnsi="Times New Roman Regular" w:eastAsia="仿宋_GB2312" w:cs="Times New Roman Regular"/>
          <w:color w:val="auto"/>
          <w:sz w:val="32"/>
          <w:szCs w:val="32"/>
          <w:highlight w:val="none"/>
          <w:lang w:val="en-US" w:eastAsia="zh-CN"/>
        </w:rPr>
        <w:t>涂西畴</w:t>
      </w:r>
      <w:r>
        <w:rPr>
          <w:rFonts w:hint="eastAsia" w:ascii="Times New Roman Regular" w:hAnsi="Times New Roman Regular" w:eastAsia="仿宋_GB2312" w:cs="Times New Roman Regular"/>
          <w:color w:val="auto"/>
          <w:sz w:val="32"/>
          <w:szCs w:val="32"/>
          <w:highlight w:val="none"/>
          <w:lang w:val="en-US" w:eastAsia="zh-CN"/>
        </w:rPr>
        <w:t>精神得以广泛传扬，从而</w:t>
      </w:r>
      <w:r>
        <w:rPr>
          <w:rFonts w:hint="default" w:ascii="Times New Roman Regular" w:hAnsi="Times New Roman Regular" w:eastAsia="仿宋_GB2312" w:cs="Times New Roman Regular"/>
          <w:color w:val="auto"/>
          <w:sz w:val="32"/>
          <w:szCs w:val="32"/>
          <w:highlight w:val="none"/>
          <w:lang w:val="en-US" w:eastAsia="zh-CN"/>
        </w:rPr>
        <w:t>引领主流共识，筑牢</w:t>
      </w:r>
      <w:r>
        <w:rPr>
          <w:rFonts w:hint="eastAsia" w:ascii="Times New Roman Regular" w:hAnsi="Times New Roman Regular" w:eastAsia="仿宋_GB2312" w:cs="Times New Roman Regular"/>
          <w:color w:val="auto"/>
          <w:sz w:val="32"/>
          <w:szCs w:val="32"/>
          <w:highlight w:val="none"/>
          <w:lang w:val="en-US" w:eastAsia="zh-CN"/>
        </w:rPr>
        <w:t>思想</w:t>
      </w:r>
      <w:r>
        <w:rPr>
          <w:rFonts w:hint="default" w:ascii="Times New Roman Regular" w:hAnsi="Times New Roman Regular" w:eastAsia="仿宋_GB2312" w:cs="Times New Roman Regular"/>
          <w:color w:val="auto"/>
          <w:sz w:val="32"/>
          <w:szCs w:val="32"/>
          <w:highlight w:val="none"/>
          <w:lang w:val="en-US" w:eastAsia="zh-CN"/>
        </w:rPr>
        <w:t>根基。</w:t>
      </w:r>
    </w:p>
    <w:p w14:paraId="38E43772">
      <w:pPr>
        <w:snapToGrid w:val="0"/>
        <w:spacing w:line="520" w:lineRule="exact"/>
        <w:ind w:firstLine="640" w:firstLineChars="200"/>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社会效益</w:t>
      </w:r>
      <w:r>
        <w:rPr>
          <w:rFonts w:hint="eastAsia" w:ascii="Times New Roman Regular" w:hAnsi="Times New Roman Regular" w:eastAsia="仿宋_GB2312" w:cs="Times New Roman Regular"/>
          <w:color w:val="auto"/>
          <w:sz w:val="32"/>
          <w:szCs w:val="32"/>
          <w:highlight w:val="none"/>
          <w:lang w:val="en-US" w:eastAsia="zh-CN"/>
        </w:rPr>
        <w:t>：委员提案《加快乡村养老服务体系建设，积极应对人口老龄化问题的建议》推动农村公办养老机构入住率超65%，并依托养老服务“关爱地图”向社会公开76家养老机构、106家村居助餐点信息，积极探索以数字化赋能县乡村三级养老服务体系建设；</w:t>
      </w:r>
      <w:r>
        <w:rPr>
          <w:rFonts w:hint="default" w:ascii="Times New Roman Regular" w:hAnsi="Times New Roman Regular" w:eastAsia="仿宋_GB2312" w:cs="Times New Roman Regular"/>
          <w:color w:val="auto"/>
          <w:sz w:val="32"/>
          <w:szCs w:val="32"/>
          <w:highlight w:val="none"/>
          <w:lang w:val="en-US" w:eastAsia="zh-CN"/>
        </w:rPr>
        <w:t>《美化亮化公交站台，提升怀化城市形象》</w:t>
      </w:r>
      <w:r>
        <w:rPr>
          <w:rFonts w:hint="eastAsia" w:ascii="Times New Roman Regular" w:hAnsi="Times New Roman Regular" w:eastAsia="仿宋_GB2312" w:cs="Times New Roman Regular"/>
          <w:color w:val="auto"/>
          <w:sz w:val="32"/>
          <w:szCs w:val="32"/>
          <w:highlight w:val="none"/>
          <w:lang w:val="en-US" w:eastAsia="zh-CN"/>
        </w:rPr>
        <w:t>促进5G智慧公交站台建设启用，让市民出行迈入“数字时代”，</w:t>
      </w:r>
      <w:r>
        <w:rPr>
          <w:rFonts w:hint="default" w:ascii="Times New Roman Regular" w:hAnsi="Times New Roman Regular" w:eastAsia="仿宋_GB2312" w:cs="Times New Roman Regular"/>
          <w:color w:val="auto"/>
          <w:sz w:val="32"/>
          <w:szCs w:val="32"/>
          <w:highlight w:val="none"/>
          <w:lang w:val="en-US" w:eastAsia="zh-CN"/>
        </w:rPr>
        <w:t>切实将主题教育成效体现在服务发展大局、彰显担当作为的具体实践中。</w:t>
      </w:r>
      <w:r>
        <w:rPr>
          <w:rFonts w:hint="eastAsia" w:ascii="Times New Roman Regular" w:hAnsi="Times New Roman Regular" w:eastAsia="仿宋_GB2312" w:cs="Times New Roman Regular"/>
          <w:color w:val="auto"/>
          <w:sz w:val="32"/>
          <w:szCs w:val="32"/>
          <w:highlight w:val="none"/>
          <w:lang w:val="en-US" w:eastAsia="zh-CN"/>
        </w:rPr>
        <w:t>进一步加强高水平医院结对帮扶，《支持怀化打造五省周边区域医疗中心的建议》被市政协采用，得到市委主要领导签批；《关注失智失能老人 完善老年人监护制度机制》《关于多措并举推动我省师范类专科学校转型发展的建议》两篇被民盟省委会采用。</w:t>
      </w:r>
      <w:r>
        <w:rPr>
          <w:rFonts w:hint="default" w:ascii="Times New Roman Regular" w:hAnsi="Times New Roman Regular" w:eastAsia="仿宋_GB2312" w:cs="Times New Roman Regular"/>
          <w:color w:val="auto"/>
          <w:sz w:val="32"/>
          <w:szCs w:val="32"/>
          <w:highlight w:val="none"/>
          <w:lang w:val="en-US" w:eastAsia="zh-CN"/>
        </w:rPr>
        <w:t>建强“同心健康驿站”，完善基层医疗设施，提供基础医疗与防疫服务；组织民盟爱尔眼科支部、湖南医药学院第一附属医院支部盟员医务专家</w:t>
      </w:r>
      <w:r>
        <w:rPr>
          <w:rFonts w:hint="eastAsia" w:ascii="Times New Roman Regular" w:hAnsi="Times New Roman Regular" w:eastAsia="仿宋_GB2312" w:cs="Times New Roman Regular"/>
          <w:color w:val="auto"/>
          <w:sz w:val="32"/>
          <w:szCs w:val="32"/>
          <w:highlight w:val="none"/>
          <w:lang w:val="en-US" w:eastAsia="zh-CN"/>
        </w:rPr>
        <w:t>下乡</w:t>
      </w:r>
      <w:r>
        <w:rPr>
          <w:rFonts w:hint="default" w:ascii="Times New Roman Regular" w:hAnsi="Times New Roman Regular" w:eastAsia="仿宋_GB2312" w:cs="Times New Roman Regular"/>
          <w:color w:val="auto"/>
          <w:sz w:val="32"/>
          <w:szCs w:val="32"/>
          <w:highlight w:val="none"/>
          <w:lang w:val="en-US" w:eastAsia="zh-CN"/>
        </w:rPr>
        <w:t>义诊</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开展健康科普</w:t>
      </w:r>
      <w:r>
        <w:rPr>
          <w:rFonts w:hint="eastAsia" w:ascii="Times New Roman Regular" w:hAnsi="Times New Roman Regular" w:eastAsia="仿宋_GB2312" w:cs="Times New Roman Regular"/>
          <w:color w:val="auto"/>
          <w:sz w:val="32"/>
          <w:szCs w:val="32"/>
          <w:highlight w:val="none"/>
          <w:lang w:val="en-US" w:eastAsia="zh-CN"/>
        </w:rPr>
        <w:t>进村庄、</w:t>
      </w:r>
      <w:r>
        <w:rPr>
          <w:rFonts w:hint="default" w:ascii="Times New Roman Regular" w:hAnsi="Times New Roman Regular" w:eastAsia="仿宋_GB2312" w:cs="Times New Roman Regular"/>
          <w:color w:val="auto"/>
          <w:sz w:val="32"/>
          <w:szCs w:val="32"/>
          <w:highlight w:val="none"/>
          <w:lang w:val="en-US" w:eastAsia="zh-CN"/>
        </w:rPr>
        <w:t>进社区、进校园活动，</w:t>
      </w:r>
      <w:r>
        <w:rPr>
          <w:rFonts w:hint="eastAsia" w:ascii="Times New Roman Regular" w:hAnsi="Times New Roman Regular" w:eastAsia="仿宋_GB2312" w:cs="Times New Roman Regular"/>
          <w:color w:val="auto"/>
          <w:sz w:val="32"/>
          <w:szCs w:val="32"/>
          <w:highlight w:val="none"/>
          <w:lang w:val="en-US" w:eastAsia="zh-CN"/>
        </w:rPr>
        <w:t>宣传疾病预防知识，免费看病送药，助力基层医疗服务慢病管理，</w:t>
      </w:r>
      <w:r>
        <w:rPr>
          <w:rFonts w:hint="default" w:ascii="Times New Roman Regular" w:hAnsi="Times New Roman Regular" w:eastAsia="仿宋_GB2312" w:cs="Times New Roman Regular"/>
          <w:color w:val="auto"/>
          <w:sz w:val="32"/>
          <w:szCs w:val="32"/>
          <w:highlight w:val="none"/>
          <w:lang w:val="en-US" w:eastAsia="zh-CN"/>
        </w:rPr>
        <w:t>建强“同心健康驿站”，完善基层医疗设施，提供基础医疗与防疫服务；组织民盟爱尔眼科支部、湖南医药学院第一附属医院支部盟员医务专家</w:t>
      </w:r>
      <w:r>
        <w:rPr>
          <w:rFonts w:hint="eastAsia" w:ascii="Times New Roman Regular" w:hAnsi="Times New Roman Regular" w:eastAsia="仿宋_GB2312" w:cs="Times New Roman Regular"/>
          <w:color w:val="auto"/>
          <w:sz w:val="32"/>
          <w:szCs w:val="32"/>
          <w:highlight w:val="none"/>
          <w:lang w:val="en-US" w:eastAsia="zh-CN"/>
        </w:rPr>
        <w:t>下乡</w:t>
      </w:r>
      <w:r>
        <w:rPr>
          <w:rFonts w:hint="default" w:ascii="Times New Roman Regular" w:hAnsi="Times New Roman Regular" w:eastAsia="仿宋_GB2312" w:cs="Times New Roman Regular"/>
          <w:color w:val="auto"/>
          <w:sz w:val="32"/>
          <w:szCs w:val="32"/>
          <w:highlight w:val="none"/>
          <w:lang w:val="en-US" w:eastAsia="zh-CN"/>
        </w:rPr>
        <w:t>义诊</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开展健康科普</w:t>
      </w:r>
      <w:r>
        <w:rPr>
          <w:rFonts w:hint="eastAsia" w:ascii="Times New Roman Regular" w:hAnsi="Times New Roman Regular" w:eastAsia="仿宋_GB2312" w:cs="Times New Roman Regular"/>
          <w:color w:val="auto"/>
          <w:sz w:val="32"/>
          <w:szCs w:val="32"/>
          <w:highlight w:val="none"/>
          <w:lang w:val="en-US" w:eastAsia="zh-CN"/>
        </w:rPr>
        <w:t>进村庄、</w:t>
      </w:r>
      <w:r>
        <w:rPr>
          <w:rFonts w:hint="default" w:ascii="Times New Roman Regular" w:hAnsi="Times New Roman Regular" w:eastAsia="仿宋_GB2312" w:cs="Times New Roman Regular"/>
          <w:color w:val="auto"/>
          <w:sz w:val="32"/>
          <w:szCs w:val="32"/>
          <w:highlight w:val="none"/>
          <w:lang w:val="en-US" w:eastAsia="zh-CN"/>
        </w:rPr>
        <w:t>进社区、进校园活动，</w:t>
      </w:r>
      <w:r>
        <w:rPr>
          <w:rFonts w:hint="eastAsia" w:ascii="Times New Roman Regular" w:hAnsi="Times New Roman Regular" w:eastAsia="仿宋_GB2312" w:cs="Times New Roman Regular"/>
          <w:color w:val="auto"/>
          <w:sz w:val="32"/>
          <w:szCs w:val="32"/>
          <w:highlight w:val="none"/>
          <w:lang w:val="en-US" w:eastAsia="zh-CN"/>
        </w:rPr>
        <w:t>宣传疾病预防知识，免费看病送药，助力基层医疗服务慢病管理。</w:t>
      </w:r>
    </w:p>
    <w:p w14:paraId="70693569">
      <w:pPr>
        <w:snapToGrid w:val="0"/>
        <w:spacing w:line="520" w:lineRule="exact"/>
        <w:ind w:firstLine="640" w:firstLineChars="200"/>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3、生态效益：持续监督沅水流域</w:t>
      </w:r>
      <w:r>
        <w:rPr>
          <w:rFonts w:hint="default" w:ascii="Times New Roman Regular" w:hAnsi="Times New Roman Regular" w:eastAsia="仿宋_GB2312" w:cs="Times New Roman Regular"/>
          <w:color w:val="auto"/>
          <w:sz w:val="32"/>
          <w:szCs w:val="32"/>
          <w:highlight w:val="none"/>
          <w:lang w:val="en-US" w:eastAsia="zh-CN"/>
        </w:rPr>
        <w:t>（中方段）</w:t>
      </w:r>
      <w:r>
        <w:rPr>
          <w:rFonts w:hint="eastAsia" w:ascii="Times New Roman Regular" w:hAnsi="Times New Roman Regular" w:eastAsia="仿宋_GB2312" w:cs="Times New Roman Regular"/>
          <w:color w:val="auto"/>
          <w:sz w:val="32"/>
          <w:szCs w:val="32"/>
          <w:highlight w:val="none"/>
          <w:lang w:val="en-US" w:eastAsia="zh-CN"/>
        </w:rPr>
        <w:t>生态环境改善，</w:t>
      </w:r>
      <w:r>
        <w:rPr>
          <w:rFonts w:hint="default" w:ascii="Times New Roman Regular" w:hAnsi="Times New Roman Regular" w:eastAsia="仿宋_GB2312" w:cs="Times New Roman Regular"/>
          <w:color w:val="auto"/>
          <w:sz w:val="32"/>
          <w:szCs w:val="32"/>
          <w:highlight w:val="none"/>
          <w:lang w:val="en-US" w:eastAsia="zh-CN"/>
        </w:rPr>
        <w:t>制定13项重点监督清单，采用“专项视察+随机抽查+无人机巡查+水质监测”模式，采取“四不两直”方式，走访30余个点位，重点监督污染源管控、生态修复等，形成监督意见书，建立“三本台账”，推动12项整改任务落地</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聚焦城区学校交通拥堵，推动安装过街红绿灯、天桥</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开通3处地下通道；监督桶装饮用水安全，推动专项整治40家企业；跟踪教育、医疗等民生项目推进。持续开展大气污染专项整治民主监督；深入会同、靖县、通道、洪江等地开展秸秆综合利用与焚烧管控民主监督工作；联合市政协社民委，组织民盟界别委员工作室成员实地察看鹤城太平溪、芷江蟒塘溪水电站等点位，协同筑牢生态安全屏障。</w:t>
      </w:r>
    </w:p>
    <w:p w14:paraId="2D3C9388">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4、满意度指标分析</w:t>
      </w:r>
    </w:p>
    <w:p w14:paraId="679DCDF3">
      <w:pPr>
        <w:snapToGrid w:val="0"/>
        <w:spacing w:line="520" w:lineRule="exact"/>
        <w:ind w:firstLine="640"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社会公众满意度在90%以上，完成年初目标</w:t>
      </w:r>
      <w:r>
        <w:rPr>
          <w:rFonts w:hint="default" w:ascii="Times New Roman Regular" w:hAnsi="Times New Roman Regular" w:eastAsia="仿宋_GB2312" w:cs="Times New Roman Regular"/>
          <w:color w:val="auto"/>
          <w:sz w:val="32"/>
          <w:szCs w:val="32"/>
          <w:highlight w:val="none"/>
          <w:lang w:val="en-US" w:eastAsia="zh-CN"/>
        </w:rPr>
        <w:t>。</w:t>
      </w:r>
    </w:p>
    <w:p w14:paraId="77F0E79B">
      <w:pPr>
        <w:snapToGrid w:val="0"/>
        <w:spacing w:line="520" w:lineRule="exact"/>
        <w:rPr>
          <w:rFonts w:hint="eastAsia" w:ascii="黑体" w:hAnsi="黑体" w:eastAsia="黑体" w:cs="黑体"/>
          <w:b w:val="0"/>
          <w:bCs w:val="0"/>
          <w:sz w:val="32"/>
          <w:szCs w:val="32"/>
        </w:rPr>
      </w:pPr>
      <w:r>
        <w:rPr>
          <w:rFonts w:hint="eastAsia" w:ascii="黑体" w:hAnsi="黑体" w:eastAsia="黑体" w:cs="黑体"/>
          <w:b w:val="0"/>
          <w:bCs w:val="0"/>
          <w:sz w:val="32"/>
          <w:szCs w:val="32"/>
        </w:rPr>
        <w:t>五、评价结论及建议</w:t>
      </w:r>
    </w:p>
    <w:p w14:paraId="4BA3502F">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lang w:val="en-US" w:eastAsia="zh-CN"/>
        </w:rPr>
        <w:t xml:space="preserve">    </w:t>
      </w:r>
      <w:r>
        <w:rPr>
          <w:rFonts w:hint="eastAsia" w:ascii="Times New Roman Regular" w:hAnsi="Times New Roman Regular" w:eastAsia="仿宋_GB2312" w:cs="Times New Roman Regular"/>
          <w:b/>
          <w:bCs/>
          <w:sz w:val="28"/>
          <w:szCs w:val="28"/>
        </w:rPr>
        <w:t>（一）</w:t>
      </w:r>
      <w:r>
        <w:rPr>
          <w:rFonts w:ascii="Times New Roman Regular" w:hAnsi="Times New Roman Regular" w:eastAsia="仿宋_GB2312" w:cs="Times New Roman Regular"/>
          <w:b/>
          <w:bCs/>
          <w:sz w:val="28"/>
          <w:szCs w:val="28"/>
        </w:rPr>
        <w:t>评价结论</w:t>
      </w:r>
    </w:p>
    <w:p w14:paraId="526D925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根据2025年度绩效评价指标，结合本单位在2025年度实际按照绩效指标设立的完成情况综合分析，该项目得分为94.86分，绩效评价等级为优</w:t>
      </w:r>
      <w:r>
        <w:rPr>
          <w:rFonts w:hint="default" w:ascii="Times New Roman Regular" w:hAnsi="Times New Roman Regular" w:eastAsia="仿宋_GB2312" w:cs="Times New Roman Regular"/>
          <w:color w:val="auto"/>
          <w:sz w:val="32"/>
          <w:szCs w:val="32"/>
          <w:highlight w:val="none"/>
          <w:lang w:val="en-US" w:eastAsia="zh-CN"/>
        </w:rPr>
        <w:t>。</w:t>
      </w:r>
    </w:p>
    <w:p w14:paraId="465A1A9F">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lang w:val="en-US" w:eastAsia="zh-CN"/>
        </w:rPr>
        <w:t xml:space="preserve">    </w:t>
      </w:r>
      <w:r>
        <w:rPr>
          <w:rFonts w:hint="eastAsia" w:ascii="Times New Roman Regular" w:hAnsi="Times New Roman Regular" w:eastAsia="仿宋_GB2312" w:cs="Times New Roman Regular"/>
          <w:b/>
          <w:bCs/>
          <w:sz w:val="28"/>
          <w:szCs w:val="28"/>
        </w:rPr>
        <w:t>（二）</w:t>
      </w:r>
      <w:r>
        <w:rPr>
          <w:rFonts w:ascii="Times New Roman Regular" w:hAnsi="Times New Roman Regular" w:eastAsia="仿宋_GB2312" w:cs="Times New Roman Regular"/>
          <w:b/>
          <w:bCs/>
          <w:sz w:val="28"/>
          <w:szCs w:val="28"/>
        </w:rPr>
        <w:t>存在的问题</w:t>
      </w:r>
    </w:p>
    <w:p w14:paraId="63BCC7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default" w:ascii="Times New Roman Regular" w:hAnsi="Times New Roman Regular" w:eastAsia="仿宋_GB2312" w:cs="Times New Roman Regular"/>
          <w:color w:val="auto"/>
          <w:sz w:val="32"/>
          <w:szCs w:val="32"/>
          <w:highlight w:val="none"/>
          <w:lang w:val="en-US" w:eastAsia="zh-CN"/>
        </w:rPr>
        <w:t>我单位财政支出绩效管理工作还存在绩效目标申报不够全面，绩效指标量化不够，绩效评价手段和方法有待优化，绩效自评组织实施还不够规范等问题，在今后的工作中需要进一步加以改进和完善。</w:t>
      </w:r>
    </w:p>
    <w:p w14:paraId="6FBC988E">
      <w:pPr>
        <w:snapToGrid w:val="0"/>
        <w:spacing w:line="520" w:lineRule="exact"/>
        <w:rPr>
          <w:rFonts w:ascii="Times New Roman Regular" w:hAnsi="Times New Roman Regular" w:eastAsia="仿宋_GB2312" w:cs="Times New Roman Regular"/>
          <w:b/>
          <w:bCs/>
          <w:sz w:val="28"/>
          <w:szCs w:val="28"/>
        </w:rPr>
      </w:pPr>
      <w:r>
        <w:rPr>
          <w:rFonts w:hint="eastAsia" w:ascii="Times New Roman Regular" w:hAnsi="Times New Roman Regular" w:eastAsia="仿宋_GB2312" w:cs="Times New Roman Regular"/>
          <w:b/>
          <w:bCs/>
          <w:sz w:val="28"/>
          <w:szCs w:val="28"/>
          <w:lang w:val="en-US" w:eastAsia="zh-CN"/>
        </w:rPr>
        <w:t xml:space="preserve">    </w:t>
      </w:r>
      <w:r>
        <w:rPr>
          <w:rFonts w:hint="eastAsia" w:ascii="Times New Roman Regular" w:hAnsi="Times New Roman Regular" w:eastAsia="仿宋_GB2312" w:cs="Times New Roman Regular"/>
          <w:b/>
          <w:bCs/>
          <w:sz w:val="28"/>
          <w:szCs w:val="28"/>
        </w:rPr>
        <w:t>（三）</w:t>
      </w:r>
      <w:r>
        <w:rPr>
          <w:rFonts w:ascii="Times New Roman Regular" w:hAnsi="Times New Roman Regular" w:eastAsia="仿宋_GB2312" w:cs="Times New Roman Regular"/>
          <w:b/>
          <w:bCs/>
          <w:sz w:val="28"/>
          <w:szCs w:val="28"/>
        </w:rPr>
        <w:t>相关建议</w:t>
      </w:r>
    </w:p>
    <w:p w14:paraId="2A5FE93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w:t>
      </w:r>
      <w:r>
        <w:rPr>
          <w:rFonts w:hint="default" w:ascii="Times New Roman Regular" w:hAnsi="Times New Roman Regular" w:eastAsia="仿宋_GB2312" w:cs="Times New Roman Regular"/>
          <w:color w:val="auto"/>
          <w:sz w:val="32"/>
          <w:szCs w:val="32"/>
          <w:highlight w:val="none"/>
          <w:lang w:val="en-US" w:eastAsia="zh-CN"/>
        </w:rPr>
        <w:t>继续加强对各部门申报项目的指导，使项目编制更加符合绩效评价相关要求，同时进一步提高绩效评价工作方式、方法，将已完成的所有工作绩效成果充分体现出来。</w:t>
      </w:r>
    </w:p>
    <w:p w14:paraId="1A76046B">
      <w:pPr>
        <w:snapToGrid w:val="0"/>
        <w:spacing w:line="520" w:lineRule="exact"/>
        <w:rPr>
          <w:rFonts w:hint="eastAsia" w:ascii="方正小标宋_GBK" w:hAnsi="方正小标宋_GBK" w:eastAsia="方正小标宋_GBK" w:cs="方正小标宋_GBK"/>
          <w:color w:val="000000"/>
          <w:kern w:val="0"/>
          <w:sz w:val="24"/>
          <w:shd w:val="clear" w:color="auto" w:fill="FFFFFF"/>
          <w:lang w:bidi="ar"/>
        </w:rPr>
      </w:pPr>
    </w:p>
    <w:p w14:paraId="5E293BD8">
      <w:pPr>
        <w:snapToGrid w:val="0"/>
        <w:spacing w:line="520" w:lineRule="exact"/>
        <w:rPr>
          <w:rFonts w:hint="eastAsia" w:ascii="方正小标宋_GBK" w:hAnsi="方正小标宋_GBK" w:eastAsia="方正小标宋_GBK" w:cs="方正小标宋_GBK"/>
          <w:color w:val="000000"/>
          <w:kern w:val="0"/>
          <w:sz w:val="24"/>
          <w:shd w:val="clear" w:color="auto" w:fill="FFFFFF"/>
          <w:lang w:bidi="ar"/>
        </w:rPr>
      </w:pPr>
    </w:p>
    <w:p w14:paraId="2E82C6E9">
      <w:pPr>
        <w:snapToGrid w:val="0"/>
        <w:spacing w:line="520" w:lineRule="exact"/>
        <w:rPr>
          <w:rFonts w:hint="eastAsia" w:ascii="方正小标宋_GBK" w:hAnsi="方正小标宋_GBK" w:eastAsia="方正小标宋_GBK" w:cs="方正小标宋_GBK"/>
          <w:color w:val="000000"/>
          <w:kern w:val="0"/>
          <w:sz w:val="24"/>
          <w:shd w:val="clear" w:color="auto" w:fill="FFFFFF"/>
          <w:lang w:bidi="ar"/>
        </w:rPr>
      </w:pPr>
    </w:p>
    <w:p w14:paraId="7F4872DE">
      <w:pPr>
        <w:snapToGrid w:val="0"/>
        <w:spacing w:line="520" w:lineRule="exact"/>
        <w:rPr>
          <w:rFonts w:ascii="Times New Roman Regular" w:hAnsi="Times New Roman Regular" w:eastAsia="仿宋_GB2312" w:cs="Times New Roman Regular"/>
          <w:sz w:val="32"/>
          <w:szCs w:val="32"/>
        </w:rPr>
      </w:pPr>
      <w:r>
        <w:rPr>
          <w:rFonts w:hint="eastAsia" w:ascii="方正小标宋_GBK" w:hAnsi="方正小标宋_GBK" w:eastAsia="方正小标宋_GBK" w:cs="方正小标宋_GBK"/>
          <w:color w:val="000000"/>
          <w:kern w:val="0"/>
          <w:sz w:val="24"/>
          <w:shd w:val="clear" w:color="auto" w:fill="FFFFFF"/>
          <w:lang w:bidi="ar"/>
        </w:rPr>
        <w:t>附件7</w:t>
      </w:r>
    </w:p>
    <w:p w14:paraId="5D86F175">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 xml:space="preserve">      市直部门绩效联络员名单统计表</w:t>
      </w:r>
    </w:p>
    <w:p w14:paraId="54A61FAF">
      <w:pPr>
        <w:snapToGrid w:val="0"/>
        <w:spacing w:line="520" w:lineRule="exact"/>
        <w:ind w:firstLine="640" w:firstLineChars="200"/>
        <w:rPr>
          <w:rFonts w:ascii="Times New Roman Regular" w:hAnsi="Times New Roman Regular" w:eastAsia="仿宋_GB2312" w:cs="Times New Roman Regular"/>
          <w:sz w:val="32"/>
          <w:szCs w:val="32"/>
        </w:rPr>
      </w:pPr>
    </w:p>
    <w:tbl>
      <w:tblPr>
        <w:tblStyle w:val="9"/>
        <w:tblW w:w="8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2184"/>
        <w:gridCol w:w="2184"/>
        <w:gridCol w:w="2184"/>
      </w:tblGrid>
      <w:tr w14:paraId="42E3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4EE4F7F1">
            <w:pPr>
              <w:snapToGrid w:val="0"/>
              <w:spacing w:line="520" w:lineRule="exact"/>
              <w:ind w:firstLine="241" w:firstLineChars="100"/>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b/>
                <w:bCs/>
                <w:sz w:val="24"/>
              </w:rPr>
              <w:t>部门单位名称</w:t>
            </w:r>
          </w:p>
        </w:tc>
        <w:tc>
          <w:tcPr>
            <w:tcW w:w="2184" w:type="dxa"/>
          </w:tcPr>
          <w:p w14:paraId="0EB829F8">
            <w:pPr>
              <w:snapToGrid w:val="0"/>
              <w:spacing w:line="520" w:lineRule="exact"/>
              <w:ind w:firstLine="241" w:firstLineChars="100"/>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b/>
                <w:bCs/>
                <w:sz w:val="24"/>
              </w:rPr>
              <w:t>绩效联络员姓名</w:t>
            </w:r>
          </w:p>
        </w:tc>
        <w:tc>
          <w:tcPr>
            <w:tcW w:w="2184" w:type="dxa"/>
          </w:tcPr>
          <w:p w14:paraId="2F3A2C0A">
            <w:pPr>
              <w:snapToGrid w:val="0"/>
              <w:spacing w:line="520" w:lineRule="exact"/>
              <w:ind w:firstLine="482" w:firstLineChars="200"/>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b/>
                <w:bCs/>
                <w:sz w:val="24"/>
              </w:rPr>
              <w:t>职务职级</w:t>
            </w:r>
          </w:p>
        </w:tc>
        <w:tc>
          <w:tcPr>
            <w:tcW w:w="2184" w:type="dxa"/>
          </w:tcPr>
          <w:p w14:paraId="7FE2F126">
            <w:pPr>
              <w:snapToGrid w:val="0"/>
              <w:spacing w:line="520" w:lineRule="exact"/>
              <w:rPr>
                <w:rFonts w:ascii="Times New Roman Regular" w:hAnsi="Times New Roman Regular" w:eastAsia="仿宋_GB2312" w:cs="Times New Roman Regular"/>
                <w:sz w:val="24"/>
              </w:rPr>
            </w:pPr>
            <w:r>
              <w:rPr>
                <w:rFonts w:hint="eastAsia" w:ascii="Times New Roman Regular" w:hAnsi="Times New Roman Regular" w:eastAsia="仿宋_GB2312" w:cs="Times New Roman Regular"/>
                <w:sz w:val="24"/>
              </w:rPr>
              <w:t xml:space="preserve">  </w:t>
            </w:r>
            <w:r>
              <w:rPr>
                <w:rFonts w:hint="eastAsia" w:ascii="Times New Roman Regular" w:hAnsi="Times New Roman Regular" w:eastAsia="仿宋_GB2312" w:cs="Times New Roman Regular"/>
                <w:b/>
                <w:bCs/>
                <w:sz w:val="24"/>
              </w:rPr>
              <w:t xml:space="preserve"> 联系方式</w:t>
            </w:r>
          </w:p>
        </w:tc>
      </w:tr>
      <w:tr w14:paraId="67E2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shd w:val="clear" w:color="auto" w:fill="auto"/>
            <w:vAlign w:val="center"/>
          </w:tcPr>
          <w:p w14:paraId="5BA5D5D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24"/>
                <w:szCs w:val="24"/>
                <w:highlight w:val="none"/>
                <w:lang w:val="en-US" w:eastAsia="zh-CN"/>
              </w:rPr>
            </w:pPr>
            <w:r>
              <w:rPr>
                <w:rFonts w:hint="eastAsia" w:ascii="Times New Roman Regular" w:hAnsi="Times New Roman Regular" w:eastAsia="仿宋_GB2312" w:cs="Times New Roman Regular"/>
                <w:color w:val="auto"/>
                <w:sz w:val="24"/>
                <w:szCs w:val="24"/>
                <w:highlight w:val="none"/>
                <w:lang w:val="en-US" w:eastAsia="zh-CN"/>
              </w:rPr>
              <w:t>民盟怀化市委会</w:t>
            </w:r>
          </w:p>
        </w:tc>
        <w:tc>
          <w:tcPr>
            <w:tcW w:w="2184" w:type="dxa"/>
            <w:shd w:val="clear" w:color="auto" w:fill="auto"/>
            <w:vAlign w:val="center"/>
          </w:tcPr>
          <w:p w14:paraId="611E08E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0" w:firstLineChars="200"/>
              <w:textAlignment w:val="auto"/>
              <w:rPr>
                <w:rFonts w:hint="eastAsia" w:ascii="Times New Roman Regular" w:hAnsi="Times New Roman Regular" w:eastAsia="仿宋_GB2312" w:cs="Times New Roman Regular"/>
                <w:color w:val="auto"/>
                <w:sz w:val="24"/>
                <w:szCs w:val="24"/>
                <w:highlight w:val="none"/>
                <w:lang w:val="en-US" w:eastAsia="zh-CN"/>
              </w:rPr>
            </w:pPr>
            <w:r>
              <w:rPr>
                <w:rFonts w:hint="eastAsia" w:ascii="Times New Roman Regular" w:hAnsi="Times New Roman Regular" w:eastAsia="仿宋_GB2312" w:cs="Times New Roman Regular"/>
                <w:color w:val="auto"/>
                <w:sz w:val="24"/>
                <w:szCs w:val="24"/>
                <w:highlight w:val="none"/>
                <w:lang w:val="en-US" w:eastAsia="zh-CN"/>
              </w:rPr>
              <w:t>王莹</w:t>
            </w:r>
          </w:p>
        </w:tc>
        <w:tc>
          <w:tcPr>
            <w:tcW w:w="2184" w:type="dxa"/>
            <w:shd w:val="clear" w:color="auto" w:fill="auto"/>
            <w:vAlign w:val="center"/>
          </w:tcPr>
          <w:p w14:paraId="11E7F4B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24"/>
                <w:szCs w:val="24"/>
                <w:highlight w:val="none"/>
                <w:lang w:val="en-US" w:eastAsia="zh-CN"/>
              </w:rPr>
            </w:pPr>
            <w:r>
              <w:rPr>
                <w:rFonts w:hint="eastAsia" w:ascii="Times New Roman Regular" w:hAnsi="Times New Roman Regular" w:eastAsia="仿宋_GB2312" w:cs="Times New Roman Regular"/>
                <w:color w:val="auto"/>
                <w:sz w:val="24"/>
                <w:szCs w:val="24"/>
                <w:highlight w:val="none"/>
                <w:lang w:val="en-US" w:eastAsia="zh-CN"/>
              </w:rPr>
              <w:t>参政议政宣传科四级主任科员</w:t>
            </w:r>
          </w:p>
        </w:tc>
        <w:tc>
          <w:tcPr>
            <w:tcW w:w="2184" w:type="dxa"/>
            <w:shd w:val="clear" w:color="auto" w:fill="auto"/>
            <w:vAlign w:val="center"/>
          </w:tcPr>
          <w:p w14:paraId="55BD65D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0" w:firstLineChars="200"/>
              <w:textAlignment w:val="auto"/>
              <w:rPr>
                <w:rFonts w:hint="eastAsia" w:ascii="Times New Roman Regular" w:hAnsi="Times New Roman Regular" w:eastAsia="仿宋_GB2312" w:cs="Times New Roman Regular"/>
                <w:color w:val="auto"/>
                <w:sz w:val="24"/>
                <w:szCs w:val="24"/>
                <w:highlight w:val="none"/>
                <w:lang w:val="en-US" w:eastAsia="zh-CN"/>
              </w:rPr>
            </w:pPr>
            <w:r>
              <w:rPr>
                <w:rFonts w:hint="eastAsia" w:ascii="Times New Roman Regular" w:hAnsi="Times New Roman Regular" w:eastAsia="仿宋_GB2312" w:cs="Times New Roman Regular"/>
                <w:color w:val="auto"/>
                <w:sz w:val="24"/>
                <w:szCs w:val="24"/>
                <w:highlight w:val="none"/>
                <w:lang w:val="en-US" w:eastAsia="zh-CN"/>
              </w:rPr>
              <w:t>16674521577</w:t>
            </w:r>
          </w:p>
        </w:tc>
      </w:tr>
    </w:tbl>
    <w:p w14:paraId="5DF8B336">
      <w:pPr>
        <w:snapToGrid w:val="0"/>
        <w:spacing w:line="520" w:lineRule="exact"/>
        <w:rPr>
          <w:rFonts w:ascii="Times New Roman Regular" w:hAnsi="Times New Roman Regular" w:eastAsia="仿宋_GB2312" w:cs="Times New Roman Regular"/>
          <w:sz w:val="32"/>
          <w:szCs w:val="32"/>
        </w:rPr>
      </w:pPr>
    </w:p>
    <w:sectPr>
      <w:pgSz w:w="11906" w:h="16838"/>
      <w:pgMar w:top="1984" w:right="1417" w:bottom="170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swiss"/>
    <w:pitch w:val="default"/>
    <w:sig w:usb0="00000000" w:usb1="00000000"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Times New Roman Regular">
    <w:altName w:val="Times New Roman"/>
    <w:panose1 w:val="00000000000000000000"/>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B39B0A"/>
    <w:multiLevelType w:val="singleLevel"/>
    <w:tmpl w:val="16B39B0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003B9F"/>
    <w:rsid w:val="00052D05"/>
    <w:rsid w:val="000B5AAE"/>
    <w:rsid w:val="002050B7"/>
    <w:rsid w:val="00213CF6"/>
    <w:rsid w:val="002838D6"/>
    <w:rsid w:val="00446844"/>
    <w:rsid w:val="005842C4"/>
    <w:rsid w:val="00641FAE"/>
    <w:rsid w:val="00726310"/>
    <w:rsid w:val="008956FD"/>
    <w:rsid w:val="00941798"/>
    <w:rsid w:val="00952AC5"/>
    <w:rsid w:val="009A61D0"/>
    <w:rsid w:val="00B56EE0"/>
    <w:rsid w:val="00B96308"/>
    <w:rsid w:val="00BE1C8D"/>
    <w:rsid w:val="00D278BB"/>
    <w:rsid w:val="00D3760D"/>
    <w:rsid w:val="00DE70F7"/>
    <w:rsid w:val="00E37336"/>
    <w:rsid w:val="00ED18EF"/>
    <w:rsid w:val="00EE34F0"/>
    <w:rsid w:val="00EF3CCD"/>
    <w:rsid w:val="00F77892"/>
    <w:rsid w:val="00FB23E5"/>
    <w:rsid w:val="00FE7C71"/>
    <w:rsid w:val="024773E9"/>
    <w:rsid w:val="024A736B"/>
    <w:rsid w:val="027F4D04"/>
    <w:rsid w:val="02EC5696"/>
    <w:rsid w:val="02FD0420"/>
    <w:rsid w:val="03EA4B4B"/>
    <w:rsid w:val="03F86B1C"/>
    <w:rsid w:val="04CB5FDF"/>
    <w:rsid w:val="05753841"/>
    <w:rsid w:val="05E95AA6"/>
    <w:rsid w:val="06DE28C6"/>
    <w:rsid w:val="06E65352"/>
    <w:rsid w:val="086C7AD9"/>
    <w:rsid w:val="09072D85"/>
    <w:rsid w:val="095C7B4D"/>
    <w:rsid w:val="09632337"/>
    <w:rsid w:val="0A6E5D8A"/>
    <w:rsid w:val="0B494815"/>
    <w:rsid w:val="0C180A78"/>
    <w:rsid w:val="0C9910B8"/>
    <w:rsid w:val="0CD21ED4"/>
    <w:rsid w:val="0D197997"/>
    <w:rsid w:val="0D276746"/>
    <w:rsid w:val="0D464D9C"/>
    <w:rsid w:val="0D7C7CEA"/>
    <w:rsid w:val="0DD52794"/>
    <w:rsid w:val="0DF201C4"/>
    <w:rsid w:val="0E104FE2"/>
    <w:rsid w:val="0E116E7B"/>
    <w:rsid w:val="0E1F739B"/>
    <w:rsid w:val="0E2D5254"/>
    <w:rsid w:val="0E8968F1"/>
    <w:rsid w:val="0E956870"/>
    <w:rsid w:val="0EAF0EB1"/>
    <w:rsid w:val="0F985657"/>
    <w:rsid w:val="102A7770"/>
    <w:rsid w:val="106B3C9B"/>
    <w:rsid w:val="107338A6"/>
    <w:rsid w:val="10C666A5"/>
    <w:rsid w:val="119F0F1F"/>
    <w:rsid w:val="11F25E75"/>
    <w:rsid w:val="121A2353"/>
    <w:rsid w:val="1223366A"/>
    <w:rsid w:val="12577104"/>
    <w:rsid w:val="12761959"/>
    <w:rsid w:val="12D305F5"/>
    <w:rsid w:val="13D06031"/>
    <w:rsid w:val="143877FD"/>
    <w:rsid w:val="14593607"/>
    <w:rsid w:val="14740441"/>
    <w:rsid w:val="14894722"/>
    <w:rsid w:val="14B80712"/>
    <w:rsid w:val="14C71749"/>
    <w:rsid w:val="14EF5D19"/>
    <w:rsid w:val="156518B5"/>
    <w:rsid w:val="156E4E1F"/>
    <w:rsid w:val="15946CD8"/>
    <w:rsid w:val="161E7FDB"/>
    <w:rsid w:val="16310EF7"/>
    <w:rsid w:val="168850C3"/>
    <w:rsid w:val="17FCFFF6"/>
    <w:rsid w:val="18501499"/>
    <w:rsid w:val="18691FFF"/>
    <w:rsid w:val="18BA33B6"/>
    <w:rsid w:val="19094ED0"/>
    <w:rsid w:val="195900EA"/>
    <w:rsid w:val="196512FF"/>
    <w:rsid w:val="19E805B2"/>
    <w:rsid w:val="1A187AC0"/>
    <w:rsid w:val="1AE23C2A"/>
    <w:rsid w:val="1B23671D"/>
    <w:rsid w:val="1C1D772D"/>
    <w:rsid w:val="1C6963B1"/>
    <w:rsid w:val="1C735482"/>
    <w:rsid w:val="1CBF872E"/>
    <w:rsid w:val="1CD31A7D"/>
    <w:rsid w:val="1CDA656E"/>
    <w:rsid w:val="1DC064A5"/>
    <w:rsid w:val="1EAC7E7A"/>
    <w:rsid w:val="1F4560C7"/>
    <w:rsid w:val="202C7E22"/>
    <w:rsid w:val="20C01A80"/>
    <w:rsid w:val="20FD7B0E"/>
    <w:rsid w:val="22BC22FF"/>
    <w:rsid w:val="22FE234B"/>
    <w:rsid w:val="23283D88"/>
    <w:rsid w:val="234C0233"/>
    <w:rsid w:val="235F406A"/>
    <w:rsid w:val="23983A20"/>
    <w:rsid w:val="24455956"/>
    <w:rsid w:val="248364FB"/>
    <w:rsid w:val="249446C0"/>
    <w:rsid w:val="24FB4266"/>
    <w:rsid w:val="253357AE"/>
    <w:rsid w:val="26144C77"/>
    <w:rsid w:val="261C752C"/>
    <w:rsid w:val="269D3BA8"/>
    <w:rsid w:val="26F408AE"/>
    <w:rsid w:val="2728708D"/>
    <w:rsid w:val="277C65A1"/>
    <w:rsid w:val="277E6F02"/>
    <w:rsid w:val="27DD5EA5"/>
    <w:rsid w:val="28C44F70"/>
    <w:rsid w:val="295D54F0"/>
    <w:rsid w:val="29990575"/>
    <w:rsid w:val="29A749BD"/>
    <w:rsid w:val="29DC57F8"/>
    <w:rsid w:val="2A13795C"/>
    <w:rsid w:val="2A2B4E3C"/>
    <w:rsid w:val="2A6603D4"/>
    <w:rsid w:val="2AF6742D"/>
    <w:rsid w:val="2BD43CA9"/>
    <w:rsid w:val="2BD50A46"/>
    <w:rsid w:val="2C102996"/>
    <w:rsid w:val="2C206CAE"/>
    <w:rsid w:val="2C2A6DBE"/>
    <w:rsid w:val="2C7E75F6"/>
    <w:rsid w:val="2CA45285"/>
    <w:rsid w:val="2D2141A7"/>
    <w:rsid w:val="2DC7118A"/>
    <w:rsid w:val="2DF94E84"/>
    <w:rsid w:val="2E0C4DEE"/>
    <w:rsid w:val="2F114E03"/>
    <w:rsid w:val="30403475"/>
    <w:rsid w:val="306D0456"/>
    <w:rsid w:val="3101216E"/>
    <w:rsid w:val="312A2265"/>
    <w:rsid w:val="315233BA"/>
    <w:rsid w:val="316370C9"/>
    <w:rsid w:val="325A081E"/>
    <w:rsid w:val="326E7E26"/>
    <w:rsid w:val="32C95A79"/>
    <w:rsid w:val="333F3E43"/>
    <w:rsid w:val="34256C0A"/>
    <w:rsid w:val="34645984"/>
    <w:rsid w:val="346516FC"/>
    <w:rsid w:val="347F27BE"/>
    <w:rsid w:val="34CD4625"/>
    <w:rsid w:val="35812566"/>
    <w:rsid w:val="36983883"/>
    <w:rsid w:val="36A92180"/>
    <w:rsid w:val="36FC0F5D"/>
    <w:rsid w:val="36FF1994"/>
    <w:rsid w:val="375773F8"/>
    <w:rsid w:val="378838BF"/>
    <w:rsid w:val="379F6CD3"/>
    <w:rsid w:val="37B06E98"/>
    <w:rsid w:val="37D60881"/>
    <w:rsid w:val="380B39BA"/>
    <w:rsid w:val="383B0C89"/>
    <w:rsid w:val="38637D01"/>
    <w:rsid w:val="38A0392F"/>
    <w:rsid w:val="393E32BB"/>
    <w:rsid w:val="39A22AAB"/>
    <w:rsid w:val="39C40C73"/>
    <w:rsid w:val="3A1E0383"/>
    <w:rsid w:val="3A32670F"/>
    <w:rsid w:val="3B674434"/>
    <w:rsid w:val="3B8406BA"/>
    <w:rsid w:val="3C127B13"/>
    <w:rsid w:val="3C447E49"/>
    <w:rsid w:val="3CB44FCF"/>
    <w:rsid w:val="3CD13DD3"/>
    <w:rsid w:val="3CD64B23"/>
    <w:rsid w:val="3D2A5291"/>
    <w:rsid w:val="3DB7031A"/>
    <w:rsid w:val="3E8975D6"/>
    <w:rsid w:val="3EB2553E"/>
    <w:rsid w:val="3EFDDE87"/>
    <w:rsid w:val="3F4D2DEE"/>
    <w:rsid w:val="3F696545"/>
    <w:rsid w:val="3F9115F7"/>
    <w:rsid w:val="3FE51231"/>
    <w:rsid w:val="40093884"/>
    <w:rsid w:val="405132A9"/>
    <w:rsid w:val="407F58F4"/>
    <w:rsid w:val="40866C82"/>
    <w:rsid w:val="40D14905"/>
    <w:rsid w:val="40F53E26"/>
    <w:rsid w:val="410D4CAE"/>
    <w:rsid w:val="41417FB7"/>
    <w:rsid w:val="414C7ECC"/>
    <w:rsid w:val="416F786A"/>
    <w:rsid w:val="419B2857"/>
    <w:rsid w:val="41D659E7"/>
    <w:rsid w:val="41D71DA8"/>
    <w:rsid w:val="4258464E"/>
    <w:rsid w:val="42750D5C"/>
    <w:rsid w:val="43452E25"/>
    <w:rsid w:val="43476B9D"/>
    <w:rsid w:val="44676DCB"/>
    <w:rsid w:val="44E861F1"/>
    <w:rsid w:val="450F2A9D"/>
    <w:rsid w:val="451F3201"/>
    <w:rsid w:val="45372C41"/>
    <w:rsid w:val="45542432"/>
    <w:rsid w:val="45D95C77"/>
    <w:rsid w:val="46723016"/>
    <w:rsid w:val="471072A6"/>
    <w:rsid w:val="473F7B8B"/>
    <w:rsid w:val="47BE31A6"/>
    <w:rsid w:val="488F36A2"/>
    <w:rsid w:val="48AE24E9"/>
    <w:rsid w:val="48E82768"/>
    <w:rsid w:val="492D46DE"/>
    <w:rsid w:val="49641B2B"/>
    <w:rsid w:val="4AA5374B"/>
    <w:rsid w:val="4AF666C2"/>
    <w:rsid w:val="4B517238"/>
    <w:rsid w:val="4B584CCB"/>
    <w:rsid w:val="4BD05255"/>
    <w:rsid w:val="4C6611ED"/>
    <w:rsid w:val="4C98142E"/>
    <w:rsid w:val="4CDC3ABD"/>
    <w:rsid w:val="4D5D3BD3"/>
    <w:rsid w:val="4D841A04"/>
    <w:rsid w:val="4DED6593"/>
    <w:rsid w:val="4EB7F892"/>
    <w:rsid w:val="4F8B6063"/>
    <w:rsid w:val="4F9F8A75"/>
    <w:rsid w:val="4FBA57FA"/>
    <w:rsid w:val="4FCC21B7"/>
    <w:rsid w:val="5051105B"/>
    <w:rsid w:val="508A189F"/>
    <w:rsid w:val="51583D25"/>
    <w:rsid w:val="51ED3749"/>
    <w:rsid w:val="52140592"/>
    <w:rsid w:val="527E3C5D"/>
    <w:rsid w:val="528F38E4"/>
    <w:rsid w:val="537868FE"/>
    <w:rsid w:val="53DB2920"/>
    <w:rsid w:val="543962BD"/>
    <w:rsid w:val="545D7829"/>
    <w:rsid w:val="548A3F3C"/>
    <w:rsid w:val="552A0475"/>
    <w:rsid w:val="5536095F"/>
    <w:rsid w:val="56F606AF"/>
    <w:rsid w:val="57122BC6"/>
    <w:rsid w:val="5773088C"/>
    <w:rsid w:val="578D10CB"/>
    <w:rsid w:val="57B43C7D"/>
    <w:rsid w:val="57CF48CE"/>
    <w:rsid w:val="57FF75EE"/>
    <w:rsid w:val="5835482E"/>
    <w:rsid w:val="589075B2"/>
    <w:rsid w:val="58B008E9"/>
    <w:rsid w:val="59287642"/>
    <w:rsid w:val="596B5966"/>
    <w:rsid w:val="59B21FAE"/>
    <w:rsid w:val="59F637CB"/>
    <w:rsid w:val="5A184997"/>
    <w:rsid w:val="5A2570B4"/>
    <w:rsid w:val="5A5915AC"/>
    <w:rsid w:val="5ABBC979"/>
    <w:rsid w:val="5B721E85"/>
    <w:rsid w:val="5B9434DF"/>
    <w:rsid w:val="5BFC7B3B"/>
    <w:rsid w:val="5D21795F"/>
    <w:rsid w:val="5D415FB3"/>
    <w:rsid w:val="5D787C6A"/>
    <w:rsid w:val="5DB449D7"/>
    <w:rsid w:val="5E4E4E2C"/>
    <w:rsid w:val="5E77C7C6"/>
    <w:rsid w:val="5EF35F3A"/>
    <w:rsid w:val="5F69359F"/>
    <w:rsid w:val="5F6E1CDF"/>
    <w:rsid w:val="5F830B05"/>
    <w:rsid w:val="5F8D2C16"/>
    <w:rsid w:val="5FD0361E"/>
    <w:rsid w:val="5FFFAAE0"/>
    <w:rsid w:val="6051650D"/>
    <w:rsid w:val="609D79A4"/>
    <w:rsid w:val="609E54CA"/>
    <w:rsid w:val="60AF592A"/>
    <w:rsid w:val="60B96500"/>
    <w:rsid w:val="6167446C"/>
    <w:rsid w:val="61691F7C"/>
    <w:rsid w:val="61DA0632"/>
    <w:rsid w:val="622720EB"/>
    <w:rsid w:val="6230056B"/>
    <w:rsid w:val="6245462F"/>
    <w:rsid w:val="624E2E3B"/>
    <w:rsid w:val="629848C7"/>
    <w:rsid w:val="62B31701"/>
    <w:rsid w:val="636C4E7E"/>
    <w:rsid w:val="64286655"/>
    <w:rsid w:val="64E83DE8"/>
    <w:rsid w:val="651C721B"/>
    <w:rsid w:val="652D1B5C"/>
    <w:rsid w:val="65CD6D99"/>
    <w:rsid w:val="66347B2F"/>
    <w:rsid w:val="667FD72C"/>
    <w:rsid w:val="668E650C"/>
    <w:rsid w:val="66F10A4A"/>
    <w:rsid w:val="67900263"/>
    <w:rsid w:val="67F54A01"/>
    <w:rsid w:val="681744E0"/>
    <w:rsid w:val="68A9248F"/>
    <w:rsid w:val="68F37AE0"/>
    <w:rsid w:val="692E7D33"/>
    <w:rsid w:val="69342E70"/>
    <w:rsid w:val="694110E9"/>
    <w:rsid w:val="69472BA3"/>
    <w:rsid w:val="6A12486A"/>
    <w:rsid w:val="6A4612EA"/>
    <w:rsid w:val="6ABE64BE"/>
    <w:rsid w:val="6ADA17F5"/>
    <w:rsid w:val="6AE461D0"/>
    <w:rsid w:val="6B0B19AE"/>
    <w:rsid w:val="6B543355"/>
    <w:rsid w:val="6B5F16C5"/>
    <w:rsid w:val="6B904EDC"/>
    <w:rsid w:val="6BC41409"/>
    <w:rsid w:val="6BFD310F"/>
    <w:rsid w:val="6CBC69F9"/>
    <w:rsid w:val="6CCF1E61"/>
    <w:rsid w:val="6CF3EA5A"/>
    <w:rsid w:val="6D4F584E"/>
    <w:rsid w:val="6DBA0EA4"/>
    <w:rsid w:val="6E6B6DD7"/>
    <w:rsid w:val="6F433E0D"/>
    <w:rsid w:val="6FC50CC6"/>
    <w:rsid w:val="6FD607DD"/>
    <w:rsid w:val="70A1703D"/>
    <w:rsid w:val="71C33899"/>
    <w:rsid w:val="71F80EDE"/>
    <w:rsid w:val="726B5B54"/>
    <w:rsid w:val="72842772"/>
    <w:rsid w:val="729055BB"/>
    <w:rsid w:val="72C81168"/>
    <w:rsid w:val="7338355D"/>
    <w:rsid w:val="73B726D3"/>
    <w:rsid w:val="73C03C7E"/>
    <w:rsid w:val="73E34EBF"/>
    <w:rsid w:val="73FE46FD"/>
    <w:rsid w:val="7480305F"/>
    <w:rsid w:val="75151DA7"/>
    <w:rsid w:val="75327E41"/>
    <w:rsid w:val="753C4E9B"/>
    <w:rsid w:val="755729EA"/>
    <w:rsid w:val="759727BC"/>
    <w:rsid w:val="75B50E95"/>
    <w:rsid w:val="75FA72BB"/>
    <w:rsid w:val="75FC4D15"/>
    <w:rsid w:val="765468FF"/>
    <w:rsid w:val="769B7804"/>
    <w:rsid w:val="77043E82"/>
    <w:rsid w:val="779FCBF0"/>
    <w:rsid w:val="77F7E21B"/>
    <w:rsid w:val="780A371A"/>
    <w:rsid w:val="781113A7"/>
    <w:rsid w:val="7831514A"/>
    <w:rsid w:val="783B2B41"/>
    <w:rsid w:val="78A059E2"/>
    <w:rsid w:val="791E6510"/>
    <w:rsid w:val="795E5452"/>
    <w:rsid w:val="79762419"/>
    <w:rsid w:val="79E2F975"/>
    <w:rsid w:val="79F301DD"/>
    <w:rsid w:val="7A543372"/>
    <w:rsid w:val="7A664E53"/>
    <w:rsid w:val="7A666C01"/>
    <w:rsid w:val="7ADE2C3C"/>
    <w:rsid w:val="7B3BDBF2"/>
    <w:rsid w:val="7B65263B"/>
    <w:rsid w:val="7BF5648F"/>
    <w:rsid w:val="7C8D4A41"/>
    <w:rsid w:val="7D961C0E"/>
    <w:rsid w:val="7DA9679E"/>
    <w:rsid w:val="7EBDCBBF"/>
    <w:rsid w:val="7EC74CC1"/>
    <w:rsid w:val="7ECD54A1"/>
    <w:rsid w:val="7EE6408F"/>
    <w:rsid w:val="7F3EB32E"/>
    <w:rsid w:val="7F5F3F3B"/>
    <w:rsid w:val="7F5FE5E8"/>
    <w:rsid w:val="7F7FC8C5"/>
    <w:rsid w:val="7FF532E1"/>
    <w:rsid w:val="7FFDE9AB"/>
    <w:rsid w:val="7FFEB77D"/>
    <w:rsid w:val="7FFFADA2"/>
    <w:rsid w:val="9ED5792A"/>
    <w:rsid w:val="AEFFB886"/>
    <w:rsid w:val="AFFA7C60"/>
    <w:rsid w:val="BEFF7926"/>
    <w:rsid w:val="CF12F568"/>
    <w:rsid w:val="DBFF9E0C"/>
    <w:rsid w:val="DEBF7731"/>
    <w:rsid w:val="E39F96A6"/>
    <w:rsid w:val="E6DFCF67"/>
    <w:rsid w:val="EBB76B61"/>
    <w:rsid w:val="F6D78CAF"/>
    <w:rsid w:val="F7DA3342"/>
    <w:rsid w:val="FBD266D3"/>
    <w:rsid w:val="FBFF7914"/>
    <w:rsid w:val="FBFFACA2"/>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unhideWhenUsed/>
    <w:qFormat/>
    <w:uiPriority w:val="0"/>
    <w:pPr>
      <w:ind w:firstLine="640" w:firstLineChars="200"/>
    </w:pPr>
    <w:rPr>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3"/>
    <w:unhideWhenUsed/>
    <w:qFormat/>
    <w:uiPriority w:val="99"/>
    <w:pPr>
      <w:ind w:firstLine="42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qFormat/>
    <w:uiPriority w:val="0"/>
    <w:rPr>
      <w:rFonts w:eastAsia="黑体"/>
    </w:rPr>
  </w:style>
  <w:style w:type="paragraph" w:customStyle="1" w:styleId="12">
    <w:name w:val="首行缩进"/>
    <w:basedOn w:val="1"/>
    <w:qFormat/>
    <w:uiPriority w:val="0"/>
    <w:pPr>
      <w:ind w:firstLine="480" w:firstLineChars="200"/>
    </w:pPr>
    <w:rPr>
      <w:lang w:val="zh-CN"/>
    </w:rPr>
  </w:style>
  <w:style w:type="paragraph" w:customStyle="1" w:styleId="13">
    <w:name w:val="BodyText"/>
    <w:basedOn w:val="1"/>
    <w:next w:val="1"/>
    <w:qFormat/>
    <w:uiPriority w:val="0"/>
    <w:pPr>
      <w:spacing w:after="12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35</Pages>
  <Words>5859</Words>
  <Characters>6346</Characters>
  <Lines>58</Lines>
  <Paragraphs>16</Paragraphs>
  <TotalTime>9</TotalTime>
  <ScaleCrop>false</ScaleCrop>
  <LinksUpToDate>false</LinksUpToDate>
  <CharactersWithSpaces>6599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2024-02-24T02:03:00Z</dcterms:created>
  <dc:creator>1402836399</dc:creator>
  <cp:lastModifiedBy>A梦</cp:lastModifiedBy>
  <cp:lastPrinted>2026-03-25T18:10:00Z</cp:lastPrinted>
  <dcterms:modified xsi:type="dcterms:W3CDTF">2026-10-14T16:11:51Z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2E59967559EAD85B47E0F5671AAD0169_43</vt:lpwstr>
  </property>
  <property fmtid="{D5CDD505-2E9C-101B-9397-08002B2CF9AE}" pid="4" name="KSOTemplateDocerSaveRecord">
    <vt:lpwstr>eyJoZGlkIjoiMzIxNjkwZDM1ODEzMjI0YTVkZGRlMmNkNTNhYTcxODQiLCJ1c2VySWQiOiI2NzUwODUzOTcifQ==</vt:lpwstr>
  </property>
</Properties>
</file>