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34904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2024年度中共怀化市委党史研究室</w:t>
      </w:r>
    </w:p>
    <w:p w14:paraId="231D77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1" w:firstLineChars="30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p>
    <w:p w14:paraId="0790C8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整体支出绩效自评报告</w:t>
      </w:r>
    </w:p>
    <w:p w14:paraId="3EB9AE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单位名称（盖章）：中共怀化市委党史研究室</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50B7D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07DF6FD">
      <w:pPr>
        <w:widowControl/>
        <w:shd w:val="clear" w:color="auto" w:fill="FFFFFF"/>
        <w:spacing w:line="600" w:lineRule="atLeast"/>
        <w:jc w:val="center"/>
        <w:rPr>
          <w:rFonts w:hint="eastAsia" w:ascii="楷体" w:hAnsi="楷体" w:eastAsia="楷体" w:cs="楷体"/>
          <w:b/>
          <w:bCs/>
          <w:i w:val="0"/>
          <w:iCs w:val="0"/>
          <w:caps w:val="0"/>
          <w:color w:val="000000"/>
          <w:spacing w:val="0"/>
          <w:sz w:val="6"/>
          <w:szCs w:val="6"/>
          <w:shd w:val="clear" w:fill="FFFFFF"/>
          <w:lang w:val="en-US" w:eastAsia="zh-CN"/>
        </w:rPr>
      </w:pPr>
    </w:p>
    <w:p w14:paraId="71AD8841">
      <w:pPr>
        <w:widowControl/>
        <w:shd w:val="clear" w:color="auto" w:fill="FFFFFF"/>
        <w:spacing w:line="600" w:lineRule="atLeast"/>
        <w:jc w:val="center"/>
        <w:rPr>
          <w:rFonts w:hint="eastAsia" w:ascii="楷体" w:hAnsi="楷体" w:eastAsia="楷体" w:cs="楷体"/>
          <w:b/>
          <w:bCs/>
          <w:i w:val="0"/>
          <w:iCs w:val="0"/>
          <w:caps w:val="0"/>
          <w:color w:val="000000"/>
          <w:spacing w:val="0"/>
          <w:sz w:val="44"/>
          <w:szCs w:val="44"/>
          <w:shd w:val="clear" w:fill="FFFFFF"/>
          <w:lang w:val="en-US" w:eastAsia="zh-CN"/>
        </w:rPr>
      </w:pPr>
      <w:r>
        <w:rPr>
          <w:rFonts w:hint="eastAsia" w:ascii="楷体" w:hAnsi="楷体" w:eastAsia="楷体" w:cs="楷体"/>
          <w:b/>
          <w:bCs/>
          <w:i w:val="0"/>
          <w:iCs w:val="0"/>
          <w:caps w:val="0"/>
          <w:color w:val="000000"/>
          <w:spacing w:val="0"/>
          <w:sz w:val="44"/>
          <w:szCs w:val="44"/>
          <w:shd w:val="clear" w:fill="FFFFFF"/>
          <w:lang w:val="en-US" w:eastAsia="zh-CN"/>
        </w:rPr>
        <w:t>中共怀化市委党史研究室2024年</w:t>
      </w:r>
    </w:p>
    <w:p w14:paraId="5E04E687">
      <w:pPr>
        <w:widowControl/>
        <w:shd w:val="clear" w:color="auto" w:fill="FFFFFF"/>
        <w:spacing w:line="600" w:lineRule="atLeast"/>
        <w:jc w:val="center"/>
        <w:rPr>
          <w:rFonts w:hint="default" w:ascii="仿宋" w:hAnsi="仿宋" w:eastAsia="仿宋" w:cs="仿宋"/>
          <w:color w:val="auto"/>
          <w:sz w:val="32"/>
          <w:szCs w:val="32"/>
          <w:highlight w:val="none"/>
          <w:lang w:val="en-US" w:eastAsia="zh-CN"/>
        </w:rPr>
      </w:pPr>
      <w:r>
        <w:rPr>
          <w:rFonts w:hint="eastAsia" w:ascii="楷体" w:hAnsi="楷体" w:eastAsia="楷体" w:cs="楷体"/>
          <w:b/>
          <w:bCs/>
          <w:i w:val="0"/>
          <w:iCs w:val="0"/>
          <w:caps w:val="0"/>
          <w:color w:val="000000"/>
          <w:spacing w:val="0"/>
          <w:sz w:val="44"/>
          <w:szCs w:val="44"/>
          <w:shd w:val="clear" w:fill="FFFFFF"/>
        </w:rPr>
        <w:t>整体支出绩效自评报告</w:t>
      </w:r>
    </w:p>
    <w:p w14:paraId="38153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p>
    <w:p w14:paraId="15A4C4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b/>
          <w:bCs/>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val="en-US" w:eastAsia="zh-CN"/>
        </w:rPr>
        <w:t>进一步</w:t>
      </w:r>
      <w:r>
        <w:rPr>
          <w:rFonts w:hint="default" w:ascii="仿宋" w:hAnsi="仿宋" w:eastAsia="仿宋" w:cs="仿宋"/>
          <w:color w:val="auto"/>
          <w:sz w:val="32"/>
          <w:szCs w:val="32"/>
          <w:highlight w:val="none"/>
          <w:lang w:val="en-US" w:eastAsia="zh-CN"/>
        </w:rPr>
        <w:t>规范财政资金管理、强化绩效意识和支出责任，提高预算绩效管理整体水平，根据《中共中央 国务院关于全面实施预算绩效管理的意见》（中发〔2018〕34号）</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《中共怀化市委办公室 怀化市人民政府办公室关于全面实施预算绩效管理的通知》（怀办发电〔2019〕48号）</w:t>
      </w:r>
      <w:r>
        <w:rPr>
          <w:rFonts w:hint="eastAsia" w:ascii="仿宋" w:hAnsi="仿宋" w:eastAsia="仿宋" w:cs="仿宋"/>
          <w:color w:val="auto"/>
          <w:sz w:val="32"/>
          <w:szCs w:val="32"/>
          <w:highlight w:val="none"/>
          <w:lang w:val="en-US" w:eastAsia="zh-CN"/>
        </w:rPr>
        <w:t>及《怀化市财政局关于开展2024年度市级预算部门绩效自评和部门评价的通知》（怀财绩〔2025〕32号）</w:t>
      </w:r>
      <w:r>
        <w:rPr>
          <w:rFonts w:hint="default" w:ascii="仿宋" w:hAnsi="仿宋" w:eastAsia="仿宋" w:cs="仿宋"/>
          <w:color w:val="auto"/>
          <w:sz w:val="32"/>
          <w:szCs w:val="32"/>
          <w:highlight w:val="none"/>
          <w:lang w:val="en-US" w:eastAsia="zh-CN"/>
        </w:rPr>
        <w:t>等文件</w:t>
      </w:r>
      <w:r>
        <w:rPr>
          <w:rFonts w:hint="eastAsia" w:ascii="仿宋" w:hAnsi="仿宋" w:eastAsia="仿宋" w:cs="仿宋"/>
          <w:color w:val="auto"/>
          <w:sz w:val="32"/>
          <w:szCs w:val="32"/>
          <w:highlight w:val="none"/>
          <w:lang w:val="en-US" w:eastAsia="zh-CN"/>
        </w:rPr>
        <w:t>精神</w:t>
      </w:r>
      <w:r>
        <w:rPr>
          <w:rFonts w:hint="default" w:ascii="仿宋" w:hAnsi="仿宋" w:eastAsia="仿宋" w:cs="仿宋"/>
          <w:color w:val="auto"/>
          <w:sz w:val="32"/>
          <w:szCs w:val="32"/>
          <w:highlight w:val="none"/>
          <w:lang w:val="en-US" w:eastAsia="zh-CN"/>
        </w:rPr>
        <w:t>和深化零基预算改革有关要求，</w:t>
      </w:r>
      <w:r>
        <w:rPr>
          <w:rFonts w:hint="eastAsia" w:ascii="仿宋" w:hAnsi="仿宋" w:eastAsia="仿宋" w:cs="仿宋"/>
          <w:color w:val="auto"/>
          <w:sz w:val="32"/>
          <w:szCs w:val="32"/>
          <w:highlight w:val="none"/>
          <w:lang w:val="en-US" w:eastAsia="zh-CN"/>
        </w:rPr>
        <w:t>我室认真组织开展</w:t>
      </w:r>
      <w:r>
        <w:rPr>
          <w:rFonts w:hint="default"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年整体支出绩效评价</w:t>
      </w:r>
      <w:r>
        <w:rPr>
          <w:rFonts w:hint="eastAsia" w:ascii="仿宋" w:hAnsi="仿宋" w:eastAsia="仿宋" w:cs="仿宋"/>
          <w:color w:val="auto"/>
          <w:sz w:val="32"/>
          <w:szCs w:val="32"/>
          <w:highlight w:val="none"/>
          <w:lang w:val="en-US" w:eastAsia="zh-CN"/>
        </w:rPr>
        <w:t>工作</w:t>
      </w:r>
      <w:r>
        <w:rPr>
          <w:rFonts w:hint="default" w:ascii="仿宋" w:hAnsi="仿宋" w:eastAsia="仿宋" w:cs="仿宋"/>
          <w:color w:val="auto"/>
          <w:sz w:val="32"/>
          <w:szCs w:val="32"/>
          <w:highlight w:val="none"/>
          <w:lang w:val="en-US" w:eastAsia="zh-CN"/>
        </w:rPr>
        <w:t>，现</w:t>
      </w:r>
      <w:r>
        <w:rPr>
          <w:rFonts w:hint="eastAsia" w:ascii="仿宋" w:hAnsi="仿宋" w:eastAsia="仿宋" w:cs="仿宋"/>
          <w:color w:val="auto"/>
          <w:sz w:val="32"/>
          <w:szCs w:val="32"/>
          <w:highlight w:val="none"/>
          <w:lang w:val="en-US" w:eastAsia="zh-CN"/>
        </w:rPr>
        <w:t>将我室绩效自评情况报告</w:t>
      </w:r>
      <w:r>
        <w:rPr>
          <w:rFonts w:hint="default" w:ascii="仿宋" w:hAnsi="仿宋" w:eastAsia="仿宋" w:cs="仿宋"/>
          <w:color w:val="auto"/>
          <w:sz w:val="32"/>
          <w:szCs w:val="32"/>
          <w:highlight w:val="none"/>
          <w:lang w:val="en-US" w:eastAsia="zh-CN"/>
        </w:rPr>
        <w:t>如下</w:t>
      </w:r>
      <w:r>
        <w:rPr>
          <w:rFonts w:hint="eastAsia" w:ascii="仿宋" w:hAnsi="仿宋" w:eastAsia="仿宋" w:cs="仿宋"/>
          <w:color w:val="auto"/>
          <w:sz w:val="32"/>
          <w:szCs w:val="32"/>
          <w:highlight w:val="none"/>
          <w:lang w:val="en-US" w:eastAsia="zh-CN"/>
        </w:rPr>
        <w:t>：</w:t>
      </w:r>
    </w:p>
    <w:p w14:paraId="1F16B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（一）部门（单位）基本情况</w:t>
      </w:r>
    </w:p>
    <w:p w14:paraId="4EE4AA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0ECF4D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中共怀化市委党史研究室作为一级部门预算单位，内设部室为：综合部、党史工作部、方志和年鉴部。</w:t>
      </w:r>
    </w:p>
    <w:p w14:paraId="28BB6C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72D014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2024年市委党史研究室核定全额事业编制21名（含周转全额事业编制5名），年末实有在职人员15人。</w:t>
      </w:r>
    </w:p>
    <w:p w14:paraId="442C5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3.主要职能职责</w:t>
      </w:r>
    </w:p>
    <w:p w14:paraId="1C53BF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（1）承担规划、组织全市的党史和地方志工作。</w:t>
      </w:r>
    </w:p>
    <w:p w14:paraId="33B80F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承担马克思列宁主义、毛泽东思想、邓小平理论、“三个代表”重要思想、科学发展观、习近平新时代中国特色社会主义思想的研究和宣传普及教育工作研究总结怀化深入贯彻习近平新时代中国特色社会主义思想的实践和经验。</w:t>
      </w:r>
    </w:p>
    <w:p w14:paraId="5D697B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承担怀化地方党史、地方文献资料和市情资料的收集、整理、研究，编纂、出版《中国共产党怀化历史》《中共怀化党委工作纪事》《怀化市志》《怀化年鉴》等规划和组织对怀化籍重要党史人物生平和思想的研究。</w:t>
      </w:r>
    </w:p>
    <w:p w14:paraId="0D0662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（4）承担全市党史和地方志出版物、展陈的史实审查等事务性工作。</w:t>
      </w:r>
    </w:p>
    <w:p w14:paraId="0C865F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承担党史和地方志宣传平台建设，运用党史、方志资料和党史、方志研究成果，开展各种形式的宣传教育，发挥“存史、资政、育人”的社会功能参与组织重大党史事件、重要党史人物的纪念活动承担全市党史教育基地管理指导工作。</w:t>
      </w:r>
    </w:p>
    <w:p w14:paraId="20A287B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（6）承担对县市区和各部门党史、史料、方志、年鉴工作的指导、督促、检查和业务培训承担本市史志稿的评审、验收、出版和评奖等事务性工作。</w:t>
      </w:r>
    </w:p>
    <w:p w14:paraId="75A88E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（7）承担市党史联络组的协调、服务等工作。</w:t>
      </w:r>
    </w:p>
    <w:p w14:paraId="7ECCC30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（8）完成市委、市政府交办的其他事项。</w:t>
      </w:r>
    </w:p>
    <w:p w14:paraId="26D029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4.绩效目标设定情况</w:t>
      </w:r>
    </w:p>
    <w:p w14:paraId="0AC89A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结合部门职能职责、中长期规划、年度重点工作和年度资金支出结构，2024年我室设定的总体绩效目标为：</w:t>
      </w:r>
    </w:p>
    <w:p w14:paraId="761DD9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目标1：加强政治机关建设；</w:t>
      </w:r>
    </w:p>
    <w:p w14:paraId="2CCA1AD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目标2：落实好管党治党责任；</w:t>
      </w:r>
    </w:p>
    <w:p w14:paraId="73C39D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目标3：攻艰克难，推动业务工作齐头并进；</w:t>
      </w:r>
    </w:p>
    <w:p w14:paraId="20BDB4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目标4：加强业务指导，搞高全市党史方志水平；</w:t>
      </w:r>
    </w:p>
    <w:p w14:paraId="3A6C5FC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目标5：抓好自身和队伍建设。</w:t>
      </w:r>
    </w:p>
    <w:p w14:paraId="199BD9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（二）部门（单位）整体支出规模、使用方向和主要内容、涉及范围等</w:t>
      </w:r>
    </w:p>
    <w:p w14:paraId="4E1F16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市委党史研究室2024年度总收入426.53万元。其中：一般公共预算财政拨款收入395.65万元；纳入专户管理的非税收入拨款30.88万元。</w:t>
      </w:r>
    </w:p>
    <w:p w14:paraId="20C33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市委党史研究室2024年度总支出426.53万元。其中：基本支出319.16万元；项目支出107.37万元。</w:t>
      </w:r>
    </w:p>
    <w:p w14:paraId="32AADD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从支出经济分类看，工资福利支出241.85万元，主要用于支付在职人员工资、奖金、社会保障缴费及住房公积金；商品和服务支出151.30万元，主要用于支付办公费、印刷费、邮电费等日常办公费用以及开展项目工作所产生的差旅费、劳务费等相关开支；对个人和家庭的补助开支33.27万元，主要用于退休人员春节一次性生活补助、独生子女费等；资本性支出0.11万元，主要用于办公设备购置。</w:t>
      </w:r>
    </w:p>
    <w:p w14:paraId="1F950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default" w:ascii="仿宋" w:hAnsi="仿宋" w:eastAsia="仿宋" w:cs="仿宋"/>
          <w:color w:val="auto"/>
          <w:spacing w:val="-2"/>
          <w:kern w:val="2"/>
          <w:sz w:val="32"/>
          <w:szCs w:val="32"/>
          <w:lang w:val="en-US" w:eastAsia="zh-CN" w:bidi="ar-SA"/>
        </w:rPr>
      </w:pPr>
      <w:r>
        <w:rPr>
          <w:rFonts w:hint="default" w:ascii="仿宋" w:hAnsi="仿宋" w:eastAsia="仿宋" w:cs="仿宋"/>
          <w:color w:val="auto"/>
          <w:spacing w:val="-2"/>
          <w:kern w:val="2"/>
          <w:sz w:val="32"/>
          <w:szCs w:val="32"/>
          <w:lang w:val="en-US" w:eastAsia="zh-CN" w:bidi="ar-SA"/>
        </w:rPr>
        <w:t>（一）基本支出</w:t>
      </w:r>
    </w:p>
    <w:p w14:paraId="726AB353">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ascii="仿宋" w:hAnsi="仿宋" w:eastAsia="仿宋" w:cs="仿宋"/>
          <w:spacing w:val="-2"/>
          <w:sz w:val="32"/>
          <w:szCs w:val="32"/>
          <w:lang w:val="en-US" w:eastAsia="zh-CN"/>
        </w:rPr>
      </w:pPr>
      <w:r>
        <w:rPr>
          <w:rFonts w:ascii="仿宋" w:hAnsi="仿宋" w:eastAsia="仿宋" w:cs="仿宋"/>
          <w:color w:val="auto"/>
          <w:spacing w:val="-2"/>
          <w:kern w:val="2"/>
          <w:sz w:val="32"/>
          <w:szCs w:val="32"/>
          <w:lang w:val="en-US" w:eastAsia="zh-CN" w:bidi="ar-SA"/>
        </w:rPr>
        <w:t>基本支出系保障</w:t>
      </w:r>
      <w:r>
        <w:rPr>
          <w:rFonts w:hint="eastAsia" w:ascii="仿宋" w:hAnsi="仿宋" w:eastAsia="仿宋" w:cs="仿宋"/>
          <w:color w:val="auto"/>
          <w:spacing w:val="-2"/>
          <w:kern w:val="2"/>
          <w:sz w:val="32"/>
          <w:szCs w:val="32"/>
          <w:lang w:val="en-US" w:eastAsia="zh-CN" w:bidi="ar-SA"/>
        </w:rPr>
        <w:t>我室</w:t>
      </w:r>
      <w:r>
        <w:rPr>
          <w:rFonts w:ascii="仿宋" w:hAnsi="仿宋" w:eastAsia="仿宋" w:cs="仿宋"/>
          <w:color w:val="auto"/>
          <w:spacing w:val="-2"/>
          <w:kern w:val="2"/>
          <w:sz w:val="32"/>
          <w:szCs w:val="32"/>
          <w:lang w:val="en-US" w:eastAsia="zh-CN" w:bidi="ar-SA"/>
        </w:rPr>
        <w:t>正常运转、完成日常工作任务而发生的</w:t>
      </w:r>
      <w:r>
        <w:rPr>
          <w:rFonts w:hint="eastAsia" w:ascii="仿宋" w:hAnsi="仿宋" w:eastAsia="仿宋" w:cs="仿宋"/>
          <w:color w:val="auto"/>
          <w:spacing w:val="-2"/>
          <w:kern w:val="2"/>
          <w:sz w:val="32"/>
          <w:szCs w:val="21"/>
          <w:lang w:val="en-US" w:eastAsia="zh-CN" w:bidi="ar-SA"/>
        </w:rPr>
        <w:t>人员经费和日常公用经费。</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年基本支出288.28万元</w:t>
      </w:r>
      <w:r>
        <w:rPr>
          <w:rFonts w:hint="eastAsia" w:ascii="仿宋" w:hAnsi="仿宋" w:eastAsia="仿宋" w:cs="Times New Roman"/>
          <w:spacing w:val="-2"/>
          <w:sz w:val="32"/>
          <w:szCs w:val="32"/>
          <w:lang w:eastAsia="zh-CN"/>
        </w:rPr>
        <w:t>，</w:t>
      </w:r>
      <w:r>
        <w:rPr>
          <w:rFonts w:ascii="仿宋" w:hAnsi="仿宋" w:eastAsia="仿宋" w:cs="仿宋"/>
          <w:color w:val="auto"/>
          <w:spacing w:val="-2"/>
          <w:kern w:val="2"/>
          <w:sz w:val="32"/>
          <w:szCs w:val="32"/>
          <w:lang w:val="en-US" w:eastAsia="zh-CN" w:bidi="ar-SA"/>
        </w:rPr>
        <w:t>较上年</w:t>
      </w:r>
      <w:r>
        <w:rPr>
          <w:rFonts w:hint="eastAsia" w:ascii="仿宋" w:hAnsi="仿宋" w:eastAsia="仿宋" w:cs="仿宋"/>
          <w:color w:val="auto"/>
          <w:spacing w:val="-2"/>
          <w:kern w:val="2"/>
          <w:sz w:val="32"/>
          <w:szCs w:val="32"/>
          <w:lang w:val="en-US" w:eastAsia="zh-CN" w:bidi="ar-SA"/>
        </w:rPr>
        <w:t>增加22.27</w:t>
      </w:r>
      <w:r>
        <w:rPr>
          <w:rFonts w:ascii="仿宋" w:hAnsi="仿宋" w:eastAsia="仿宋" w:cs="仿宋"/>
          <w:color w:val="auto"/>
          <w:spacing w:val="-2"/>
          <w:kern w:val="2"/>
          <w:sz w:val="32"/>
          <w:szCs w:val="32"/>
          <w:lang w:val="en-US" w:eastAsia="zh-CN" w:bidi="ar-SA"/>
        </w:rPr>
        <w:t>万元，</w:t>
      </w:r>
      <w:r>
        <w:rPr>
          <w:rFonts w:hint="eastAsia" w:ascii="仿宋" w:hAnsi="仿宋" w:eastAsia="仿宋" w:cs="仿宋"/>
          <w:color w:val="auto"/>
          <w:spacing w:val="-2"/>
          <w:kern w:val="2"/>
          <w:sz w:val="32"/>
          <w:szCs w:val="32"/>
          <w:lang w:val="en-US" w:eastAsia="zh-CN" w:bidi="ar-SA"/>
        </w:rPr>
        <w:t>增长8.37</w:t>
      </w:r>
      <w:r>
        <w:rPr>
          <w:rFonts w:ascii="仿宋" w:hAnsi="仿宋" w:eastAsia="仿宋" w:cs="仿宋"/>
          <w:color w:val="auto"/>
          <w:spacing w:val="-2"/>
          <w:kern w:val="2"/>
          <w:sz w:val="32"/>
          <w:szCs w:val="32"/>
          <w:lang w:val="en-US" w:eastAsia="zh-CN" w:bidi="ar-SA"/>
        </w:rPr>
        <w:t>%</w:t>
      </w:r>
      <w:r>
        <w:rPr>
          <w:rFonts w:hint="eastAsia" w:ascii="仿宋" w:hAnsi="仿宋" w:eastAsia="仿宋" w:cs="仿宋"/>
          <w:color w:val="auto"/>
          <w:spacing w:val="-2"/>
          <w:kern w:val="2"/>
          <w:sz w:val="32"/>
          <w:szCs w:val="32"/>
          <w:lang w:val="en-US" w:eastAsia="zh-CN" w:bidi="ar-SA"/>
        </w:rPr>
        <w:t>，主要</w:t>
      </w:r>
      <w:r>
        <w:rPr>
          <w:rFonts w:hint="eastAsia" w:ascii="仿宋" w:hAnsi="仿宋" w:eastAsia="仿宋" w:cs="仿宋"/>
          <w:spacing w:val="-2"/>
          <w:sz w:val="32"/>
          <w:szCs w:val="32"/>
        </w:rPr>
        <w:t>是</w:t>
      </w:r>
      <w:r>
        <w:rPr>
          <w:rFonts w:hint="eastAsia" w:ascii="仿宋" w:hAnsi="仿宋" w:eastAsia="仿宋" w:cs="仿宋"/>
          <w:spacing w:val="-2"/>
          <w:sz w:val="32"/>
          <w:szCs w:val="32"/>
          <w:lang w:val="en-US" w:eastAsia="zh-CN"/>
        </w:rPr>
        <w:t>因为工资福利支出增加。</w:t>
      </w:r>
    </w:p>
    <w:p w14:paraId="0EB4F154">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pP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人员经费。人员经费253.64</w:t>
      </w:r>
      <w:r>
        <w:rPr>
          <w:rFonts w:hint="eastAsia" w:ascii="仿宋" w:hAnsi="仿宋" w:eastAsia="仿宋" w:cs="仿宋"/>
          <w:color w:val="auto"/>
          <w:spacing w:val="-2"/>
          <w:kern w:val="2"/>
          <w:sz w:val="32"/>
          <w:szCs w:val="32"/>
          <w:lang w:val="en-US" w:eastAsia="zh-CN" w:bidi="ar-SA"/>
        </w:rPr>
        <w:t>万</w:t>
      </w:r>
      <w:r>
        <w:rPr>
          <w:rFonts w:hint="eastAsia" w:ascii="仿宋" w:hAnsi="仿宋" w:eastAsia="仿宋" w:cs="仿宋"/>
          <w:spacing w:val="-2"/>
          <w:sz w:val="32"/>
          <w:szCs w:val="32"/>
        </w:rPr>
        <w:t>元，占基本支出的</w:t>
      </w:r>
      <w:r>
        <w:rPr>
          <w:rFonts w:hint="eastAsia" w:ascii="仿宋" w:hAnsi="仿宋" w:eastAsia="仿宋" w:cs="仿宋"/>
          <w:spacing w:val="-2"/>
          <w:sz w:val="32"/>
          <w:szCs w:val="32"/>
          <w:lang w:val="en-US" w:eastAsia="zh-CN"/>
        </w:rPr>
        <w:t>87.98</w:t>
      </w:r>
      <w:r>
        <w:rPr>
          <w:rFonts w:hint="eastAsia" w:ascii="仿宋" w:hAnsi="仿宋" w:eastAsia="仿宋" w:cs="仿宋"/>
          <w:spacing w:val="-2"/>
          <w:sz w:val="32"/>
          <w:szCs w:val="32"/>
        </w:rPr>
        <w:t>%，较上年</w:t>
      </w:r>
      <w:r>
        <w:rPr>
          <w:rFonts w:hint="eastAsia" w:ascii="仿宋" w:hAnsi="仿宋" w:eastAsia="仿宋" w:cs="仿宋"/>
          <w:spacing w:val="-2"/>
          <w:sz w:val="32"/>
          <w:szCs w:val="32"/>
          <w:lang w:val="en-US" w:eastAsia="zh-CN"/>
        </w:rPr>
        <w:t>增加15.74万元，增长6.62</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因为本年度住房公积金由单位缴纳，人员经费支出增加</w:t>
      </w:r>
      <w:r>
        <w:rPr>
          <w:rFonts w:hint="eastAsia" w:ascii="仿宋" w:hAnsi="仿宋" w:eastAsia="仿宋" w:cs="仿宋"/>
          <w:spacing w:val="-2"/>
          <w:sz w:val="32"/>
          <w:szCs w:val="32"/>
        </w:rPr>
        <w:t>。</w:t>
      </w:r>
    </w:p>
    <w:p w14:paraId="7DC37E4B">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hAnsi="仿宋" w:eastAsia="仿宋"/>
          <w:spacing w:val="-2"/>
          <w:sz w:val="32"/>
          <w:szCs w:val="32"/>
          <w:lang w:eastAsia="zh-CN"/>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工资福利支出220.37万元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lang w:val="en-US" w:eastAsia="zh-CN"/>
        </w:rPr>
        <w:t>住房公积金等支出</w:t>
      </w:r>
      <w:r>
        <w:rPr>
          <w:rFonts w:hint="eastAsia" w:hAnsi="仿宋" w:eastAsia="仿宋"/>
          <w:spacing w:val="-2"/>
          <w:sz w:val="32"/>
          <w:szCs w:val="32"/>
          <w:lang w:eastAsia="zh-CN"/>
        </w:rPr>
        <w:t>。</w:t>
      </w:r>
    </w:p>
    <w:p w14:paraId="749532C6">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对个人和家庭补助支出33.27万元。主要包括生活补助、</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其他对个人和家庭的补助等支出。</w:t>
      </w:r>
    </w:p>
    <w:p w14:paraId="41DA01F9">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日常公用经费。日常公用经费34.64万元，占基本支出的</w:t>
      </w:r>
      <w:r>
        <w:rPr>
          <w:rFonts w:hint="eastAsia" w:ascii="仿宋" w:hAnsi="仿宋" w:eastAsia="仿宋" w:cs="仿宋"/>
          <w:spacing w:val="-2"/>
          <w:sz w:val="32"/>
          <w:szCs w:val="32"/>
          <w:lang w:val="en-US" w:eastAsia="zh-CN"/>
        </w:rPr>
        <w:t>12.02</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ascii="仿宋" w:hAnsi="仿宋" w:eastAsia="仿宋" w:cs="仿宋"/>
          <w:color w:val="auto"/>
          <w:spacing w:val="-2"/>
          <w:kern w:val="2"/>
          <w:sz w:val="32"/>
          <w:szCs w:val="32"/>
          <w:lang w:val="en-US" w:eastAsia="zh-CN" w:bidi="ar-SA"/>
        </w:rPr>
        <w:t>较上年增加6.53万元，增长23.23%，</w:t>
      </w:r>
      <w:r>
        <w:rPr>
          <w:rFonts w:hint="eastAsia" w:ascii="仿宋" w:hAnsi="仿宋" w:eastAsia="仿宋" w:cs="仿宋"/>
          <w:spacing w:val="-2"/>
          <w:sz w:val="32"/>
          <w:szCs w:val="32"/>
        </w:rPr>
        <w:t>主要是</w:t>
      </w:r>
      <w:r>
        <w:rPr>
          <w:rFonts w:hint="eastAsia" w:ascii="仿宋" w:hAnsi="仿宋" w:eastAsia="仿宋" w:cs="仿宋"/>
          <w:spacing w:val="-2"/>
          <w:sz w:val="32"/>
          <w:szCs w:val="32"/>
          <w:lang w:val="en-US" w:eastAsia="zh-CN"/>
        </w:rPr>
        <w:t>差旅费、公务用车运行维护费支出增加。</w:t>
      </w:r>
    </w:p>
    <w:p w14:paraId="3A24DE83">
      <w:pPr>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right="0" w:rightChars="0" w:firstLine="632" w:firstLineChars="200"/>
        <w:textAlignment w:val="auto"/>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商品和服务支出34.64万元。主要包括日常运行正常</w:t>
      </w:r>
      <w:r>
        <w:rPr>
          <w:rFonts w:hint="eastAsia" w:ascii="仿宋" w:hAnsi="仿宋" w:eastAsia="仿宋" w:cs="仿宋"/>
          <w:spacing w:val="-2"/>
          <w:sz w:val="32"/>
          <w:szCs w:val="32"/>
          <w:lang w:eastAsia="zh-CN"/>
        </w:rPr>
        <w:t>的</w:t>
      </w:r>
      <w:r>
        <w:rPr>
          <w:rFonts w:hint="eastAsia" w:ascii="仿宋" w:hAnsi="仿宋" w:eastAsia="仿宋" w:cs="仿宋"/>
          <w:spacing w:val="-2"/>
          <w:sz w:val="32"/>
          <w:szCs w:val="32"/>
        </w:rPr>
        <w:t>办公费</w:t>
      </w:r>
      <w:r>
        <w:rPr>
          <w:rFonts w:hint="eastAsia" w:ascii="仿宋" w:hAnsi="仿宋" w:eastAsia="仿宋" w:cs="仿宋"/>
          <w:spacing w:val="-2"/>
          <w:sz w:val="32"/>
          <w:szCs w:val="32"/>
          <w:lang w:val="en-US" w:eastAsia="zh-CN"/>
        </w:rPr>
        <w:t>、邮电费、差旅费、维修（护）费、工会经费、</w:t>
      </w:r>
      <w:r>
        <w:rPr>
          <w:rFonts w:hint="eastAsia" w:ascii="仿宋" w:hAnsi="仿宋" w:eastAsia="仿宋" w:cs="仿宋"/>
          <w:spacing w:val="-2"/>
          <w:sz w:val="32"/>
          <w:szCs w:val="32"/>
        </w:rPr>
        <w:t>其他商品</w:t>
      </w:r>
      <w:r>
        <w:rPr>
          <w:rFonts w:hint="eastAsia" w:ascii="仿宋" w:hAnsi="仿宋" w:eastAsia="仿宋" w:cs="仿宋"/>
          <w:spacing w:val="-2"/>
          <w:sz w:val="32"/>
          <w:szCs w:val="32"/>
          <w:lang w:val="en-US" w:eastAsia="zh-CN"/>
        </w:rPr>
        <w:t>和</w:t>
      </w:r>
      <w:r>
        <w:rPr>
          <w:rFonts w:hint="eastAsia" w:ascii="仿宋" w:hAnsi="仿宋" w:eastAsia="仿宋" w:cs="仿宋"/>
          <w:spacing w:val="-2"/>
          <w:sz w:val="32"/>
          <w:szCs w:val="32"/>
        </w:rPr>
        <w:t>服务支出等。</w:t>
      </w:r>
    </w:p>
    <w:p w14:paraId="2620C474">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sz w:val="32"/>
          <w:szCs w:val="32"/>
        </w:rPr>
      </w:pPr>
      <w:r>
        <w:rPr>
          <w:rFonts w:hint="eastAsia" w:ascii="仿宋" w:hAnsi="仿宋" w:eastAsia="仿宋" w:cs="仿宋"/>
          <w:spacing w:val="-2"/>
          <w:sz w:val="32"/>
          <w:szCs w:val="32"/>
          <w:lang w:val="en-US" w:eastAsia="zh-CN"/>
        </w:rPr>
        <w:t>3.“</w:t>
      </w:r>
      <w:r>
        <w:rPr>
          <w:rFonts w:hint="default" w:ascii="仿宋" w:hAnsi="仿宋" w:eastAsia="仿宋" w:cs="仿宋"/>
          <w:spacing w:val="-2"/>
          <w:sz w:val="32"/>
          <w:szCs w:val="32"/>
        </w:rPr>
        <w:t>三公</w:t>
      </w:r>
      <w:r>
        <w:rPr>
          <w:rFonts w:hint="eastAsia" w:ascii="仿宋" w:hAnsi="仿宋" w:eastAsia="仿宋" w:cs="仿宋"/>
          <w:spacing w:val="-2"/>
          <w:sz w:val="32"/>
          <w:szCs w:val="32"/>
          <w:lang w:val="en-US" w:eastAsia="zh-CN"/>
        </w:rPr>
        <w:t>”</w:t>
      </w:r>
      <w:r>
        <w:rPr>
          <w:rFonts w:hint="default" w:ascii="仿宋" w:hAnsi="仿宋" w:eastAsia="仿宋" w:cs="仿宋"/>
          <w:spacing w:val="-2"/>
          <w:sz w:val="32"/>
          <w:szCs w:val="32"/>
        </w:rPr>
        <w:t>经费使用和管理情况</w:t>
      </w:r>
    </w:p>
    <w:p w14:paraId="532D2CE3">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年“三公”经费预算为3.8</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因公出国(境)费预算0万元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2.80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万元。本年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“三公”经费总支出3.67万元，其中</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因公出国(境)费0万元，公务用车购置费</w:t>
      </w:r>
      <w:r>
        <w:rPr>
          <w:rFonts w:hint="eastAsia" w:ascii="仿宋" w:hAnsi="仿宋" w:eastAsia="仿宋" w:cs="仿宋"/>
          <w:spacing w:val="-2"/>
          <w:sz w:val="32"/>
          <w:szCs w:val="32"/>
          <w:lang w:val="en-US" w:eastAsia="zh-CN"/>
        </w:rPr>
        <w:t>0万元，</w:t>
      </w:r>
      <w:r>
        <w:rPr>
          <w:rFonts w:hint="eastAsia" w:ascii="仿宋" w:hAnsi="仿宋" w:eastAsia="仿宋" w:cs="仿宋"/>
          <w:spacing w:val="-2"/>
          <w:sz w:val="32"/>
          <w:szCs w:val="32"/>
        </w:rPr>
        <w:t>公务用车运行维护费</w:t>
      </w:r>
      <w:r>
        <w:rPr>
          <w:rFonts w:hint="eastAsia" w:ascii="仿宋" w:hAnsi="仿宋" w:eastAsia="仿宋" w:cs="仿宋"/>
          <w:spacing w:val="-2"/>
          <w:sz w:val="32"/>
          <w:szCs w:val="32"/>
          <w:lang w:val="en-US" w:eastAsia="zh-CN"/>
        </w:rPr>
        <w:t>2.80</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0.87</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完成预算的96.58%，决算数小于预算数的主要原因是严格控制安排“三公”经费，确保“三公”经费不超预算。</w:t>
      </w:r>
      <w:r>
        <w:rPr>
          <w:rFonts w:hint="eastAsia" w:ascii="仿宋" w:hAnsi="仿宋" w:eastAsia="仿宋" w:cs="仿宋"/>
          <w:spacing w:val="-2"/>
          <w:sz w:val="32"/>
          <w:szCs w:val="32"/>
        </w:rPr>
        <w:t>本年</w:t>
      </w:r>
      <w:r>
        <w:rPr>
          <w:rFonts w:hint="eastAsia" w:ascii="仿宋" w:hAnsi="仿宋" w:eastAsia="仿宋" w:cs="仿宋"/>
          <w:spacing w:val="-2"/>
          <w:sz w:val="32"/>
          <w:szCs w:val="32"/>
          <w:lang w:val="en-US" w:eastAsia="zh-CN"/>
        </w:rPr>
        <w:t>度</w:t>
      </w:r>
      <w:r>
        <w:rPr>
          <w:rFonts w:hint="eastAsia" w:ascii="仿宋" w:hAnsi="仿宋" w:eastAsia="仿宋" w:cs="仿宋"/>
          <w:spacing w:val="-2"/>
          <w:sz w:val="32"/>
          <w:szCs w:val="32"/>
        </w:rPr>
        <w:t>“三公”经费总支出较上年</w:t>
      </w:r>
      <w:r>
        <w:rPr>
          <w:rFonts w:hint="eastAsia" w:ascii="仿宋" w:hAnsi="仿宋" w:eastAsia="仿宋" w:cs="仿宋"/>
          <w:spacing w:val="-2"/>
          <w:sz w:val="32"/>
          <w:szCs w:val="32"/>
          <w:lang w:val="en-US" w:eastAsia="zh-CN"/>
        </w:rPr>
        <w:t>增加0.82</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增长28.77</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其中公务用车运行费比上年</w:t>
      </w:r>
      <w:r>
        <w:rPr>
          <w:rFonts w:hint="eastAsia" w:ascii="仿宋" w:hAnsi="仿宋" w:eastAsia="仿宋" w:cs="仿宋"/>
          <w:spacing w:val="-2"/>
          <w:sz w:val="32"/>
          <w:szCs w:val="32"/>
          <w:lang w:val="en-US" w:eastAsia="zh-CN"/>
        </w:rPr>
        <w:t>增加0.53</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公务接待费比上年增加0.29万元，主要原因是车辆使用年限长，发动机损坏，车辆维修费支出增加；本年度开展党史业务工作公务接待支出增加。</w:t>
      </w:r>
    </w:p>
    <w:p w14:paraId="0483A883">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2"/>
          <w:sz w:val="32"/>
          <w:szCs w:val="32"/>
          <w:highlight w:val="none"/>
          <w:lang w:val="en-US" w:eastAsia="zh-CN"/>
        </w:rPr>
        <w:t>我室</w:t>
      </w:r>
      <w:r>
        <w:rPr>
          <w:rFonts w:hint="default" w:ascii="仿宋" w:hAnsi="仿宋" w:eastAsia="仿宋" w:cs="仿宋"/>
          <w:spacing w:val="-2"/>
          <w:sz w:val="32"/>
          <w:szCs w:val="32"/>
          <w:highlight w:val="none"/>
          <w:lang w:val="en-US" w:eastAsia="zh-CN"/>
        </w:rPr>
        <w:t>认真贯彻落实中央八项规定、省委九项规定精神和厉行节约要求</w:t>
      </w:r>
      <w:r>
        <w:rPr>
          <w:rFonts w:hint="eastAsia" w:ascii="仿宋" w:hAnsi="仿宋" w:eastAsia="仿宋" w:cs="仿宋"/>
          <w:spacing w:val="-2"/>
          <w:sz w:val="32"/>
          <w:szCs w:val="32"/>
          <w:highlight w:val="none"/>
          <w:lang w:val="en-US" w:eastAsia="zh-CN"/>
        </w:rPr>
        <w:t>，</w:t>
      </w:r>
      <w:r>
        <w:rPr>
          <w:rFonts w:hint="default" w:ascii="仿宋" w:hAnsi="仿宋" w:eastAsia="仿宋" w:cs="仿宋"/>
          <w:spacing w:val="-2"/>
          <w:sz w:val="32"/>
          <w:szCs w:val="32"/>
          <w:highlight w:val="none"/>
          <w:lang w:val="en-US" w:eastAsia="zh-CN"/>
        </w:rPr>
        <w:t>严格控制“三公”经费开支</w:t>
      </w:r>
      <w:r>
        <w:rPr>
          <w:rFonts w:hint="eastAsia" w:ascii="仿宋" w:hAnsi="仿宋" w:eastAsia="仿宋" w:cs="仿宋"/>
          <w:spacing w:val="-2"/>
          <w:sz w:val="32"/>
          <w:szCs w:val="32"/>
          <w:highlight w:val="none"/>
          <w:lang w:val="en-US" w:eastAsia="zh-CN"/>
        </w:rPr>
        <w:t>，</w:t>
      </w:r>
      <w:r>
        <w:rPr>
          <w:rFonts w:hint="default" w:ascii="仿宋" w:hAnsi="仿宋" w:eastAsia="仿宋" w:cs="仿宋"/>
          <w:spacing w:val="-2"/>
          <w:sz w:val="32"/>
          <w:szCs w:val="32"/>
          <w:highlight w:val="none"/>
          <w:lang w:val="en-US" w:eastAsia="zh-CN"/>
        </w:rPr>
        <w:t>坚决做到“三公”经费预算只减不增，经费开支手续齐全，管理规范。</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1.项目资金（包括财政资金、自筹资金等）安排落实、总投入等情况分析</w:t>
      </w:r>
    </w:p>
    <w:p w14:paraId="2E19AC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根据《怀化市财政局关于批复下达2024年市直部门预算的通知》（怀财预〔2024〕5号），2024年项目支出预算安排69万元，其中《怀化市志》工作13万元、业务费</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4万元、《中国共产党怀化历史》（三）</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t>5万元、《怀化年鉴》20万元、《怀化党委工作纪事》6万元、党史联络工作经费21万元。年中追加《湖南乡镇简志·怀化卷》30.21万元、《怀化市志(1978-2010)》75.23万元。本年度一般公共预算项目支出预算数174.44万元，实际到位174.44万元，到位率100%。</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2.项目资金（主要指财政资金）实际使用情况分析</w:t>
      </w:r>
    </w:p>
    <w:p w14:paraId="0B5764F3">
      <w:pPr>
        <w:keepNext w:val="0"/>
        <w:keepLines w:val="0"/>
        <w:pageBreakBefore w:val="0"/>
        <w:widowControl/>
        <w:shd w:val="clear" w:color="auto" w:fill="FFFFFF"/>
        <w:kinsoku/>
        <w:wordWrap/>
        <w:overflowPunct/>
        <w:topLinePunct w:val="0"/>
        <w:autoSpaceDE/>
        <w:autoSpaceDN/>
        <w:bidi w:val="0"/>
        <w:adjustRightInd/>
        <w:spacing w:line="520" w:lineRule="exact"/>
        <w:ind w:firstLine="632"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pacing w:val="-2"/>
          <w:sz w:val="32"/>
          <w:szCs w:val="32"/>
        </w:rPr>
        <w:t>项目支出系</w:t>
      </w:r>
      <w:r>
        <w:rPr>
          <w:rFonts w:hint="eastAsia" w:ascii="仿宋" w:hAnsi="仿宋" w:eastAsia="仿宋" w:cs="仿宋"/>
          <w:spacing w:val="-2"/>
          <w:sz w:val="32"/>
          <w:szCs w:val="32"/>
          <w:lang w:eastAsia="zh-CN"/>
        </w:rPr>
        <w:t>我室</w:t>
      </w:r>
      <w:r>
        <w:rPr>
          <w:rFonts w:hint="eastAsia" w:ascii="仿宋" w:hAnsi="仿宋" w:eastAsia="仿宋" w:cs="仿宋"/>
          <w:spacing w:val="-2"/>
          <w:sz w:val="32"/>
          <w:szCs w:val="32"/>
        </w:rPr>
        <w:t>为完成事业发展目标而发生的支出，</w:t>
      </w:r>
      <w:r>
        <w:rPr>
          <w:rFonts w:hint="eastAsia" w:ascii="仿宋" w:hAnsi="仿宋" w:eastAsia="仿宋" w:cs="仿宋"/>
          <w:spacing w:val="-2"/>
          <w:sz w:val="32"/>
          <w:szCs w:val="32"/>
          <w:lang w:val="en-US" w:eastAsia="zh-CN"/>
        </w:rPr>
        <w:t>主要为</w:t>
      </w:r>
      <w:r>
        <w:rPr>
          <w:rFonts w:hint="eastAsia" w:ascii="仿宋" w:hAnsi="仿宋" w:eastAsia="仿宋" w:cs="仿宋"/>
          <w:spacing w:val="-2"/>
          <w:sz w:val="32"/>
          <w:szCs w:val="32"/>
          <w:highlight w:val="none"/>
          <w:lang w:val="en-US" w:eastAsia="zh-CN"/>
        </w:rPr>
        <w:t>专项资金</w:t>
      </w:r>
      <w:r>
        <w:rPr>
          <w:rFonts w:hint="eastAsia" w:ascii="仿宋" w:hAnsi="仿宋" w:eastAsia="仿宋" w:cs="仿宋"/>
          <w:spacing w:val="-2"/>
          <w:sz w:val="32"/>
          <w:szCs w:val="32"/>
          <w:highlight w:val="none"/>
        </w:rPr>
        <w:t>。20</w:t>
      </w:r>
      <w:r>
        <w:rPr>
          <w:rFonts w:hint="eastAsia" w:ascii="仿宋" w:hAnsi="仿宋" w:eastAsia="仿宋" w:cs="仿宋"/>
          <w:spacing w:val="-2"/>
          <w:sz w:val="32"/>
          <w:szCs w:val="32"/>
          <w:highlight w:val="none"/>
          <w:lang w:val="en-US" w:eastAsia="zh-CN"/>
        </w:rPr>
        <w:t>24</w:t>
      </w:r>
      <w:r>
        <w:rPr>
          <w:rFonts w:hint="eastAsia" w:ascii="仿宋" w:hAnsi="仿宋" w:eastAsia="仿宋" w:cs="仿宋"/>
          <w:spacing w:val="-2"/>
          <w:sz w:val="32"/>
          <w:szCs w:val="32"/>
          <w:highlight w:val="none"/>
        </w:rPr>
        <w:t>年</w:t>
      </w:r>
      <w:r>
        <w:rPr>
          <w:rFonts w:hint="eastAsia" w:ascii="仿宋" w:hAnsi="仿宋" w:eastAsia="仿宋" w:cs="仿宋"/>
          <w:spacing w:val="-2"/>
          <w:sz w:val="32"/>
          <w:szCs w:val="32"/>
          <w:highlight w:val="none"/>
          <w:lang w:val="en-US" w:eastAsia="zh-CN"/>
        </w:rPr>
        <w:t>一般公共预算</w:t>
      </w:r>
      <w:r>
        <w:rPr>
          <w:rFonts w:hint="eastAsia" w:ascii="仿宋" w:hAnsi="仿宋" w:eastAsia="仿宋" w:cs="仿宋"/>
          <w:spacing w:val="-2"/>
          <w:sz w:val="32"/>
          <w:szCs w:val="32"/>
          <w:highlight w:val="none"/>
        </w:rPr>
        <w:t>项目支出</w:t>
      </w:r>
      <w:r>
        <w:rPr>
          <w:rFonts w:hint="eastAsia" w:ascii="仿宋" w:hAnsi="仿宋" w:eastAsia="仿宋" w:cs="仿宋"/>
          <w:spacing w:val="-2"/>
          <w:sz w:val="32"/>
          <w:szCs w:val="32"/>
          <w:highlight w:val="none"/>
          <w:lang w:val="en-US" w:eastAsia="zh-CN"/>
        </w:rPr>
        <w:t>决算数107.37</w:t>
      </w:r>
      <w:r>
        <w:rPr>
          <w:rFonts w:hint="eastAsia" w:ascii="仿宋" w:hAnsi="仿宋" w:eastAsia="仿宋" w:cs="仿宋"/>
          <w:spacing w:val="-2"/>
          <w:sz w:val="32"/>
          <w:szCs w:val="32"/>
          <w:highlight w:val="none"/>
        </w:rPr>
        <w:t>万元</w:t>
      </w:r>
      <w:r>
        <w:rPr>
          <w:rFonts w:hint="eastAsia" w:ascii="仿宋" w:hAnsi="仿宋" w:eastAsia="仿宋" w:cs="仿宋"/>
          <w:spacing w:val="-2"/>
          <w:sz w:val="32"/>
          <w:szCs w:val="32"/>
          <w:highlight w:val="none"/>
          <w:lang w:val="en-US" w:eastAsia="zh-CN"/>
        </w:rPr>
        <w:t>，</w:t>
      </w:r>
      <w:r>
        <w:rPr>
          <w:rFonts w:hint="eastAsia" w:ascii="仿宋" w:hAnsi="仿宋" w:eastAsia="仿宋" w:cs="仿宋"/>
          <w:spacing w:val="-2"/>
          <w:sz w:val="32"/>
          <w:szCs w:val="32"/>
          <w:highlight w:val="none"/>
        </w:rPr>
        <w:t>主要</w:t>
      </w:r>
      <w:r>
        <w:rPr>
          <w:rFonts w:hint="eastAsia" w:ascii="仿宋" w:hAnsi="仿宋" w:eastAsia="仿宋" w:cs="仿宋"/>
          <w:spacing w:val="-2"/>
          <w:sz w:val="32"/>
          <w:szCs w:val="32"/>
          <w:highlight w:val="none"/>
          <w:lang w:eastAsia="zh-CN"/>
        </w:rPr>
        <w:t>用于</w:t>
      </w:r>
      <w:r>
        <w:rPr>
          <w:rFonts w:hint="eastAsia" w:ascii="仿宋" w:hAnsi="仿宋" w:eastAsia="仿宋" w:cs="仿宋"/>
          <w:spacing w:val="-2"/>
          <w:sz w:val="32"/>
          <w:szCs w:val="32"/>
          <w:highlight w:val="none"/>
          <w:lang w:val="en-US" w:eastAsia="zh-CN"/>
        </w:rPr>
        <w:t>党史调研、党史联络组工作开展、《怀化年鉴》印刷费和书号费、《志书里的怀化》拍摄制作、全市史志暨中共党史联络会议费及劳务派遣人员工资等。2024年一般公共预算项目支出</w:t>
      </w:r>
      <w:r>
        <w:rPr>
          <w:rFonts w:hint="eastAsia" w:ascii="仿宋" w:hAnsi="仿宋" w:eastAsia="仿宋" w:cs="仿宋"/>
          <w:spacing w:val="-2"/>
          <w:sz w:val="32"/>
          <w:szCs w:val="32"/>
          <w:highlight w:val="none"/>
          <w:lang w:eastAsia="zh-CN"/>
        </w:rPr>
        <w:t>较</w:t>
      </w:r>
      <w:r>
        <w:rPr>
          <w:rFonts w:hint="eastAsia" w:ascii="仿宋" w:hAnsi="仿宋" w:eastAsia="仿宋" w:cs="仿宋"/>
          <w:spacing w:val="-2"/>
          <w:sz w:val="32"/>
          <w:szCs w:val="32"/>
          <w:highlight w:val="none"/>
        </w:rPr>
        <w:t>上年</w:t>
      </w:r>
      <w:r>
        <w:rPr>
          <w:rFonts w:hint="eastAsia" w:ascii="仿宋" w:hAnsi="仿宋" w:eastAsia="仿宋" w:cs="仿宋"/>
          <w:spacing w:val="-2"/>
          <w:sz w:val="32"/>
          <w:szCs w:val="32"/>
          <w:highlight w:val="none"/>
          <w:lang w:val="en-US" w:eastAsia="zh-CN"/>
        </w:rPr>
        <w:t>数减少176.07万元</w:t>
      </w:r>
      <w:r>
        <w:rPr>
          <w:rFonts w:hint="eastAsia" w:ascii="仿宋" w:hAnsi="仿宋" w:eastAsia="仿宋" w:cs="仿宋"/>
          <w:spacing w:val="-2"/>
          <w:sz w:val="32"/>
          <w:szCs w:val="32"/>
          <w:highlight w:val="none"/>
          <w:lang w:eastAsia="zh-CN"/>
        </w:rPr>
        <w:t>，</w:t>
      </w:r>
      <w:r>
        <w:rPr>
          <w:rFonts w:hint="eastAsia" w:ascii="仿宋" w:hAnsi="仿宋" w:eastAsia="仿宋" w:cs="仿宋"/>
          <w:spacing w:val="-2"/>
          <w:sz w:val="32"/>
          <w:szCs w:val="32"/>
          <w:highlight w:val="none"/>
          <w:lang w:val="en-US" w:eastAsia="zh-CN"/>
        </w:rPr>
        <w:t>降低62.12%</w:t>
      </w:r>
      <w:r>
        <w:rPr>
          <w:rFonts w:hint="eastAsia" w:ascii="仿宋" w:hAnsi="仿宋" w:eastAsia="仿宋" w:cs="仿宋"/>
          <w:spacing w:val="-2"/>
          <w:sz w:val="32"/>
          <w:szCs w:val="32"/>
          <w:highlight w:val="none"/>
        </w:rPr>
        <w:t>，</w:t>
      </w:r>
      <w:r>
        <w:rPr>
          <w:rFonts w:hint="eastAsia" w:ascii="仿宋" w:hAnsi="仿宋" w:eastAsia="仿宋" w:cs="仿宋"/>
          <w:spacing w:val="-2"/>
          <w:sz w:val="32"/>
          <w:szCs w:val="32"/>
          <w:highlight w:val="none"/>
          <w:lang w:val="en-US" w:eastAsia="zh-CN"/>
        </w:rPr>
        <w:t>主要是《怀化市志(1978-2010)》《湖南乡镇简志</w:t>
      </w:r>
      <w:r>
        <w:rPr>
          <w:rFonts w:hint="eastAsia" w:ascii="仿宋" w:hAnsi="仿宋" w:eastAsia="仿宋" w:cs="仿宋"/>
          <w:color w:val="auto"/>
          <w:sz w:val="32"/>
          <w:szCs w:val="32"/>
          <w:highlight w:val="none"/>
          <w:lang w:val="en-US" w:eastAsia="zh-CN"/>
        </w:rPr>
        <w:t>·</w:t>
      </w:r>
      <w:r>
        <w:rPr>
          <w:rFonts w:hint="eastAsia" w:ascii="仿宋" w:hAnsi="仿宋" w:eastAsia="仿宋" w:cs="仿宋"/>
          <w:spacing w:val="-2"/>
          <w:sz w:val="32"/>
          <w:szCs w:val="32"/>
          <w:highlight w:val="none"/>
          <w:lang w:val="en-US" w:eastAsia="zh-CN"/>
        </w:rPr>
        <w:t>怀化卷》等项目经费支出减少。</w:t>
      </w:r>
    </w:p>
    <w:p w14:paraId="064BB09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3.项目资金管理情况分析</w:t>
      </w:r>
    </w:p>
    <w:p w14:paraId="3422E9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是加强项目资金使用管理。专项资金报账资料齐全、规范，经财务审核、分管财务领导审批后拨付资金，大额支出需经室务会研究。实行专款专用，严格按照规定的范围、标准和程序支出，没有擅自扩大专项资金支出范围，无虚列、转移、挤占挪用等违规情况。</w:t>
      </w:r>
    </w:p>
    <w:p w14:paraId="3D34EA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二是实行项目资金跟踪监控制度。将项目资金信息录入财政绩效评价系统，实现动态监控；规范操作流程，确保资金运行安全。及时跟进项目进度，提高资金使用效益。</w:t>
      </w:r>
    </w:p>
    <w:p w14:paraId="47AF94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（一）项目组织情况分析</w:t>
      </w:r>
    </w:p>
    <w:p w14:paraId="4384B1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项目招投标方面，我室专项项目严格按照《怀化市政府采购限额标准(2022年版)》（怀财购〔2022〕52号）有关规定进行组织实施。</w:t>
      </w:r>
    </w:p>
    <w:p w14:paraId="1E6577B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项目验收方面，项目业务部室对项目的进度和质量进行跟踪、检查、监督、验收。项目完工后，验收人员按质量要求对各项指标进行检查验收，确保项目达到预期效益目标。</w:t>
      </w:r>
    </w:p>
    <w:p w14:paraId="502C98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（二）项目管理情况分析</w:t>
      </w:r>
    </w:p>
    <w:p w14:paraId="5988C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在实施项目过程中，我室严格按照项目管理制度及相关文件要求开展工作，建立健全管理制度，严格履行审批手续，保障项目顺利实施。项目实施遵守相关法律法规和相关管理规定，合同书、验收资料齐全并及时归档。</w:t>
      </w:r>
    </w:p>
    <w:p w14:paraId="6681E1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410C1A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合理配置资产，按程序处置资产。</w:t>
      </w:r>
    </w:p>
    <w:p w14:paraId="65E2E1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加强日常维护。固定资产使用人负责资产的日常维护保养，保证资产安全完整，提高资产使用效率。</w:t>
      </w:r>
    </w:p>
    <w:p w14:paraId="572145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每年定期组织资产清查，对资产进行账实核对，做到账实相符、账账相符。</w:t>
      </w:r>
    </w:p>
    <w:p w14:paraId="7C2AAC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51A5357E">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4年我室无政府性基金预算支出。</w:t>
      </w:r>
    </w:p>
    <w:p w14:paraId="348862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0FABDDEB">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4年我室无国有资本经营预算支出。</w:t>
      </w:r>
    </w:p>
    <w:p w14:paraId="3844A8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5E933E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仿宋" w:hAnsi="仿宋" w:eastAsia="仿宋" w:cs="Times New Roman"/>
          <w:spacing w:val="-2"/>
          <w:kern w:val="2"/>
          <w:sz w:val="32"/>
          <w:szCs w:val="32"/>
          <w:lang w:val="en-US" w:eastAsia="zh-CN" w:bidi="ar-SA"/>
        </w:rPr>
        <w:t>202</w:t>
      </w:r>
      <w:r>
        <w:rPr>
          <w:rFonts w:hint="eastAsia" w:ascii="仿宋" w:hAnsi="仿宋" w:eastAsia="仿宋" w:cs="Times New Roman"/>
          <w:spacing w:val="-2"/>
          <w:kern w:val="2"/>
          <w:sz w:val="32"/>
          <w:szCs w:val="32"/>
          <w:lang w:val="en-US" w:eastAsia="zh-CN" w:bidi="ar-SA"/>
        </w:rPr>
        <w:t>4年我室无社会保险基金预算支出。</w:t>
      </w:r>
    </w:p>
    <w:p w14:paraId="387ACB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4233E8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（一）综合评价结论</w:t>
      </w:r>
    </w:p>
    <w:p w14:paraId="2D1F7D3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2024年市委党史研究室部门整体贯彻实施市委、市政府和省院相关工作要求，切实高效履行其职能职责，各项任务开展顺利。</w:t>
      </w:r>
      <w:r>
        <w:rPr>
          <w:rFonts w:hint="default" w:ascii="仿宋" w:hAnsi="仿宋" w:eastAsia="仿宋" w:cs="仿宋"/>
          <w:color w:val="auto"/>
          <w:kern w:val="2"/>
          <w:sz w:val="32"/>
          <w:szCs w:val="32"/>
          <w:highlight w:val="none"/>
          <w:lang w:val="en-US" w:eastAsia="zh-CN" w:bidi="ar-SA"/>
        </w:rPr>
        <w:t>经综合分析与评价，2024年整体支出绩效自评得分为98.64分</w:t>
      </w:r>
      <w:r>
        <w:rPr>
          <w:rFonts w:hint="eastAsia" w:ascii="仿宋" w:hAnsi="仿宋" w:eastAsia="仿宋" w:cs="仿宋"/>
          <w:color w:val="auto"/>
          <w:kern w:val="2"/>
          <w:sz w:val="32"/>
          <w:szCs w:val="32"/>
          <w:highlight w:val="none"/>
          <w:lang w:val="en-US" w:eastAsia="zh-CN" w:bidi="ar-SA"/>
        </w:rPr>
        <w:t>。</w:t>
      </w:r>
    </w:p>
    <w:p w14:paraId="56D27D3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w:t>
      </w:r>
      <w:r>
        <w:rPr>
          <w:rFonts w:hint="default" w:ascii="仿宋" w:hAnsi="仿宋" w:eastAsia="仿宋" w:cs="仿宋"/>
          <w:color w:val="auto"/>
          <w:kern w:val="2"/>
          <w:sz w:val="32"/>
          <w:szCs w:val="32"/>
          <w:highlight w:val="none"/>
          <w:lang w:val="en-US" w:eastAsia="zh-CN" w:bidi="ar-SA"/>
        </w:rPr>
        <w:t>运行成本</w:t>
      </w:r>
    </w:p>
    <w:p w14:paraId="2163045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我室2024年在职人员、“</w:t>
      </w:r>
      <w:r>
        <w:rPr>
          <w:rFonts w:hint="default" w:ascii="仿宋" w:hAnsi="仿宋" w:eastAsia="仿宋" w:cs="仿宋"/>
          <w:color w:val="auto"/>
          <w:kern w:val="2"/>
          <w:sz w:val="32"/>
          <w:szCs w:val="32"/>
          <w:highlight w:val="none"/>
          <w:lang w:val="en-US" w:eastAsia="zh-CN" w:bidi="ar-SA"/>
        </w:rPr>
        <w:t>三公经费</w:t>
      </w:r>
      <w:r>
        <w:rPr>
          <w:rFonts w:hint="eastAsia" w:ascii="仿宋" w:hAnsi="仿宋" w:eastAsia="仿宋" w:cs="仿宋"/>
          <w:color w:val="auto"/>
          <w:kern w:val="2"/>
          <w:sz w:val="32"/>
          <w:szCs w:val="32"/>
          <w:highlight w:val="none"/>
          <w:lang w:val="en-US" w:eastAsia="zh-CN" w:bidi="ar-SA"/>
        </w:rPr>
        <w:t>”控制情况较好，因年中追加非税专户拨款，公用经费控制率较差。具体情况如下：</w:t>
      </w:r>
    </w:p>
    <w:p w14:paraId="3238FEE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1.财政供养人员控制率。2024年我室人员编制数21人，实际在职人员数15人，在职人员控制率为71.43%。</w:t>
      </w:r>
    </w:p>
    <w:p w14:paraId="2E13DD7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公用经费控制率。202</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年实际支出公用经费总额65.52　万元，预算安排公用经费总额38.95万元，公用经费控制率</w:t>
      </w:r>
      <w:r>
        <w:rPr>
          <w:rFonts w:hint="eastAsia" w:ascii="仿宋" w:hAnsi="仿宋" w:eastAsia="仿宋" w:cs="仿宋"/>
          <w:color w:val="auto"/>
          <w:kern w:val="2"/>
          <w:sz w:val="32"/>
          <w:szCs w:val="32"/>
          <w:highlight w:val="none"/>
          <w:lang w:val="en-US" w:eastAsia="zh-CN" w:bidi="ar-SA"/>
        </w:rPr>
        <w:t>168.22</w:t>
      </w:r>
      <w:r>
        <w:rPr>
          <w:rFonts w:hint="default" w:ascii="仿宋" w:hAnsi="仿宋" w:eastAsia="仿宋" w:cs="仿宋"/>
          <w:color w:val="auto"/>
          <w:kern w:val="2"/>
          <w:sz w:val="32"/>
          <w:szCs w:val="32"/>
          <w:highlight w:val="none"/>
          <w:lang w:val="en-US" w:eastAsia="zh-CN" w:bidi="ar-SA"/>
        </w:rPr>
        <w:t>%。</w:t>
      </w:r>
    </w:p>
    <w:p w14:paraId="3FD5646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“三公经费”控制率。</w:t>
      </w:r>
      <w:r>
        <w:rPr>
          <w:rFonts w:hint="eastAsia" w:ascii="仿宋" w:hAnsi="仿宋" w:eastAsia="仿宋" w:cs="仿宋"/>
          <w:color w:val="auto"/>
          <w:kern w:val="2"/>
          <w:sz w:val="32"/>
          <w:szCs w:val="32"/>
          <w:highlight w:val="none"/>
          <w:lang w:val="en-US" w:eastAsia="zh-CN" w:bidi="ar-SA"/>
        </w:rPr>
        <w:t>本年度</w:t>
      </w:r>
      <w:r>
        <w:rPr>
          <w:rFonts w:hint="default" w:ascii="仿宋" w:hAnsi="仿宋" w:eastAsia="仿宋" w:cs="仿宋"/>
          <w:color w:val="auto"/>
          <w:kern w:val="2"/>
          <w:sz w:val="32"/>
          <w:szCs w:val="32"/>
          <w:highlight w:val="none"/>
          <w:lang w:val="en-US" w:eastAsia="zh-CN" w:bidi="ar-SA"/>
        </w:rPr>
        <w:t>“三公经费”实际支出数为</w:t>
      </w:r>
      <w:r>
        <w:rPr>
          <w:rFonts w:hint="eastAsia" w:ascii="仿宋" w:hAnsi="仿宋" w:eastAsia="仿宋" w:cs="仿宋"/>
          <w:color w:val="auto"/>
          <w:kern w:val="2"/>
          <w:sz w:val="32"/>
          <w:szCs w:val="32"/>
          <w:highlight w:val="none"/>
          <w:lang w:val="en-US" w:eastAsia="zh-CN" w:bidi="ar-SA"/>
        </w:rPr>
        <w:t>3.67</w:t>
      </w:r>
      <w:r>
        <w:rPr>
          <w:rFonts w:hint="default" w:ascii="仿宋" w:hAnsi="仿宋" w:eastAsia="仿宋" w:cs="仿宋"/>
          <w:color w:val="auto"/>
          <w:kern w:val="2"/>
          <w:sz w:val="32"/>
          <w:szCs w:val="32"/>
          <w:highlight w:val="none"/>
          <w:lang w:val="en-US" w:eastAsia="zh-CN" w:bidi="ar-SA"/>
        </w:rPr>
        <w:t>万元，“三公经费”预算控制数为</w:t>
      </w:r>
      <w:r>
        <w:rPr>
          <w:rFonts w:hint="eastAsia" w:ascii="仿宋" w:hAnsi="仿宋" w:eastAsia="仿宋" w:cs="仿宋"/>
          <w:color w:val="auto"/>
          <w:kern w:val="2"/>
          <w:sz w:val="32"/>
          <w:szCs w:val="32"/>
          <w:highlight w:val="none"/>
          <w:lang w:val="en-US" w:eastAsia="zh-CN" w:bidi="ar-SA"/>
        </w:rPr>
        <w:t>3.80</w:t>
      </w:r>
      <w:r>
        <w:rPr>
          <w:rFonts w:hint="default" w:ascii="仿宋" w:hAnsi="仿宋" w:eastAsia="仿宋" w:cs="仿宋"/>
          <w:color w:val="auto"/>
          <w:kern w:val="2"/>
          <w:sz w:val="32"/>
          <w:szCs w:val="32"/>
          <w:highlight w:val="none"/>
          <w:lang w:val="en-US" w:eastAsia="zh-CN" w:bidi="ar-SA"/>
        </w:rPr>
        <w:t>万元，“三公经费”控制率为</w:t>
      </w:r>
      <w:r>
        <w:rPr>
          <w:rFonts w:hint="eastAsia" w:ascii="仿宋" w:hAnsi="仿宋" w:eastAsia="仿宋" w:cs="仿宋"/>
          <w:color w:val="auto"/>
          <w:kern w:val="2"/>
          <w:sz w:val="32"/>
          <w:szCs w:val="32"/>
          <w:highlight w:val="none"/>
          <w:lang w:val="en-US" w:eastAsia="zh-CN" w:bidi="ar-SA"/>
        </w:rPr>
        <w:t>96.58</w:t>
      </w:r>
      <w:r>
        <w:rPr>
          <w:rFonts w:hint="default" w:ascii="仿宋" w:hAnsi="仿宋" w:eastAsia="仿宋" w:cs="仿宋"/>
          <w:color w:val="auto"/>
          <w:kern w:val="2"/>
          <w:sz w:val="32"/>
          <w:szCs w:val="32"/>
          <w:highlight w:val="none"/>
          <w:lang w:val="en-US" w:eastAsia="zh-CN" w:bidi="ar-SA"/>
        </w:rPr>
        <w:t>%。</w:t>
      </w:r>
    </w:p>
    <w:p w14:paraId="280BC2D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4.“三公经费”变动率。本年度“三公经费”预算数3.80万元，上年度“三公经费”预算数4.18万元，“三公经费”变动率为-9.09%。</w:t>
      </w:r>
    </w:p>
    <w:p w14:paraId="47ED6B6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5.政府采购控制率。2024年度我中心政府采购预算0万元，实际政府采购金额14.07万元，政府采购控制率0%。</w:t>
      </w:r>
    </w:p>
    <w:p w14:paraId="7CFD2E1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w:t>
      </w:r>
      <w:r>
        <w:rPr>
          <w:rFonts w:hint="default" w:ascii="仿宋" w:hAnsi="仿宋" w:eastAsia="仿宋" w:cs="仿宋"/>
          <w:color w:val="auto"/>
          <w:kern w:val="2"/>
          <w:sz w:val="32"/>
          <w:szCs w:val="32"/>
          <w:highlight w:val="none"/>
          <w:lang w:val="en-US" w:eastAsia="zh-CN" w:bidi="ar-SA"/>
        </w:rPr>
        <w:t>管理效率</w:t>
      </w:r>
    </w:p>
    <w:p w14:paraId="48F332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1.预算编制</w:t>
      </w:r>
    </w:p>
    <w:p w14:paraId="2371C2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我</w:t>
      </w:r>
      <w:r>
        <w:rPr>
          <w:rFonts w:hint="eastAsia" w:ascii="仿宋" w:hAnsi="仿宋" w:eastAsia="仿宋" w:cs="仿宋"/>
          <w:color w:val="auto"/>
          <w:kern w:val="2"/>
          <w:sz w:val="32"/>
          <w:szCs w:val="32"/>
          <w:highlight w:val="none"/>
          <w:lang w:val="en-US" w:eastAsia="zh-CN" w:bidi="ar-SA"/>
        </w:rPr>
        <w:t>室</w:t>
      </w:r>
      <w:r>
        <w:rPr>
          <w:rFonts w:hint="default" w:ascii="仿宋" w:hAnsi="仿宋" w:eastAsia="仿宋" w:cs="仿宋"/>
          <w:color w:val="auto"/>
          <w:kern w:val="2"/>
          <w:sz w:val="32"/>
          <w:szCs w:val="32"/>
          <w:highlight w:val="none"/>
          <w:lang w:val="en-US" w:eastAsia="zh-CN" w:bidi="ar-SA"/>
        </w:rPr>
        <w:t>严格按照编</w:t>
      </w:r>
      <w:r>
        <w:rPr>
          <w:rFonts w:hint="eastAsia" w:ascii="仿宋" w:hAnsi="仿宋" w:eastAsia="仿宋" w:cs="仿宋"/>
          <w:color w:val="auto"/>
          <w:kern w:val="2"/>
          <w:sz w:val="32"/>
          <w:szCs w:val="32"/>
          <w:highlight w:val="none"/>
          <w:lang w:val="en-US" w:eastAsia="zh-CN" w:bidi="ar-SA"/>
        </w:rPr>
        <w:t>办</w:t>
      </w:r>
      <w:r>
        <w:rPr>
          <w:rFonts w:hint="default" w:ascii="仿宋" w:hAnsi="仿宋" w:eastAsia="仿宋" w:cs="仿宋"/>
          <w:color w:val="auto"/>
          <w:kern w:val="2"/>
          <w:sz w:val="32"/>
          <w:szCs w:val="32"/>
          <w:highlight w:val="none"/>
          <w:lang w:val="en-US" w:eastAsia="zh-CN" w:bidi="ar-SA"/>
        </w:rPr>
        <w:t>核定的人员编制</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按编制内实有人数和规定的政策标准编制人员经费预算。按公用经费定额标准、公务支出管理的规定，根据本单位实际情况编制公用支出经费预算，“三公”经费预算未超年度预算，也未超过上年。根据</w:t>
      </w:r>
      <w:r>
        <w:rPr>
          <w:rFonts w:hint="eastAsia" w:ascii="仿宋" w:hAnsi="仿宋" w:eastAsia="仿宋" w:cs="仿宋"/>
          <w:color w:val="auto"/>
          <w:kern w:val="2"/>
          <w:sz w:val="32"/>
          <w:szCs w:val="32"/>
          <w:highlight w:val="none"/>
          <w:lang w:val="en-US" w:eastAsia="zh-CN" w:bidi="ar-SA"/>
        </w:rPr>
        <w:t>史志</w:t>
      </w:r>
      <w:r>
        <w:rPr>
          <w:rFonts w:hint="default" w:ascii="仿宋" w:hAnsi="仿宋" w:eastAsia="仿宋" w:cs="仿宋"/>
          <w:color w:val="auto"/>
          <w:kern w:val="2"/>
          <w:sz w:val="32"/>
          <w:szCs w:val="32"/>
          <w:highlight w:val="none"/>
          <w:lang w:val="en-US" w:eastAsia="zh-CN" w:bidi="ar-SA"/>
        </w:rPr>
        <w:t>事业发展需求，组织项目部门申报项目绩效目标，细化编制项目支出预算。202</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年年初预算安排359.6</w:t>
      </w:r>
      <w:r>
        <w:rPr>
          <w:rFonts w:hint="eastAsia" w:ascii="仿宋" w:hAnsi="仿宋" w:eastAsia="仿宋" w:cs="仿宋"/>
          <w:color w:val="auto"/>
          <w:kern w:val="2"/>
          <w:sz w:val="32"/>
          <w:szCs w:val="32"/>
          <w:highlight w:val="none"/>
          <w:lang w:val="en-US" w:eastAsia="zh-CN" w:bidi="ar-SA"/>
        </w:rPr>
        <w:t>0</w:t>
      </w:r>
      <w:r>
        <w:rPr>
          <w:rFonts w:hint="default" w:ascii="仿宋" w:hAnsi="仿宋" w:eastAsia="仿宋" w:cs="仿宋"/>
          <w:color w:val="auto"/>
          <w:kern w:val="2"/>
          <w:sz w:val="32"/>
          <w:szCs w:val="32"/>
          <w:highlight w:val="none"/>
          <w:lang w:val="en-US" w:eastAsia="zh-CN" w:bidi="ar-SA"/>
        </w:rPr>
        <w:t>万元。</w:t>
      </w:r>
    </w:p>
    <w:p w14:paraId="2CF88F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2.预算执行</w:t>
      </w:r>
    </w:p>
    <w:p w14:paraId="267DA8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部室进行反馈，以采取措施纠正执行偏差，促进预算目标的全面完成。全年预算执行率达到86.39%。</w:t>
      </w:r>
    </w:p>
    <w:p w14:paraId="7632EE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3.预决算信息公开性</w:t>
      </w:r>
    </w:p>
    <w:p w14:paraId="4D9EA4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w:t>
      </w:r>
      <w:r>
        <w:rPr>
          <w:rFonts w:hint="default" w:ascii="仿宋" w:hAnsi="仿宋" w:eastAsia="仿宋" w:cs="仿宋"/>
          <w:color w:val="auto"/>
          <w:kern w:val="2"/>
          <w:sz w:val="32"/>
          <w:szCs w:val="32"/>
          <w:highlight w:val="none"/>
          <w:lang w:val="en-US" w:eastAsia="zh-CN" w:bidi="ar-SA"/>
        </w:rPr>
        <w:t>部门预算、</w:t>
      </w:r>
      <w:r>
        <w:rPr>
          <w:rFonts w:hint="eastAsia" w:ascii="仿宋" w:hAnsi="仿宋" w:eastAsia="仿宋" w:cs="仿宋"/>
          <w:color w:val="auto"/>
          <w:kern w:val="2"/>
          <w:sz w:val="32"/>
          <w:szCs w:val="32"/>
          <w:highlight w:val="none"/>
          <w:lang w:val="en-US" w:eastAsia="zh-CN" w:bidi="ar-SA"/>
        </w:rPr>
        <w:t>2023年部门</w:t>
      </w:r>
      <w:r>
        <w:rPr>
          <w:rFonts w:hint="default" w:ascii="仿宋" w:hAnsi="仿宋" w:eastAsia="仿宋" w:cs="仿宋"/>
          <w:color w:val="auto"/>
          <w:kern w:val="2"/>
          <w:sz w:val="32"/>
          <w:szCs w:val="32"/>
          <w:highlight w:val="none"/>
          <w:lang w:val="en-US" w:eastAsia="zh-CN" w:bidi="ar-SA"/>
        </w:rPr>
        <w:t>决算经</w:t>
      </w:r>
      <w:r>
        <w:rPr>
          <w:rFonts w:hint="eastAsia" w:ascii="仿宋" w:hAnsi="仿宋" w:eastAsia="仿宋" w:cs="仿宋"/>
          <w:color w:val="auto"/>
          <w:kern w:val="2"/>
          <w:sz w:val="32"/>
          <w:szCs w:val="32"/>
          <w:highlight w:val="none"/>
          <w:lang w:val="en-US" w:eastAsia="zh-CN" w:bidi="ar-SA"/>
        </w:rPr>
        <w:t>市财政局</w:t>
      </w:r>
      <w:r>
        <w:rPr>
          <w:rFonts w:hint="default" w:ascii="仿宋" w:hAnsi="仿宋" w:eastAsia="仿宋" w:cs="仿宋"/>
          <w:color w:val="auto"/>
          <w:kern w:val="2"/>
          <w:sz w:val="32"/>
          <w:szCs w:val="32"/>
          <w:highlight w:val="none"/>
          <w:lang w:val="en-US" w:eastAsia="zh-CN" w:bidi="ar-SA"/>
        </w:rPr>
        <w:t>批复后，均能按要求的时间节点及时在</w:t>
      </w:r>
      <w:r>
        <w:rPr>
          <w:rFonts w:hint="eastAsia" w:ascii="仿宋" w:hAnsi="仿宋" w:eastAsia="仿宋" w:cs="仿宋"/>
          <w:color w:val="auto"/>
          <w:kern w:val="2"/>
          <w:sz w:val="32"/>
          <w:szCs w:val="32"/>
          <w:highlight w:val="none"/>
          <w:lang w:val="en-US" w:eastAsia="zh-CN" w:bidi="ar-SA"/>
        </w:rPr>
        <w:t>财政门户网站</w:t>
      </w:r>
      <w:r>
        <w:rPr>
          <w:rFonts w:hint="default" w:ascii="仿宋" w:hAnsi="仿宋" w:eastAsia="仿宋" w:cs="仿宋"/>
          <w:color w:val="auto"/>
          <w:kern w:val="2"/>
          <w:sz w:val="32"/>
          <w:szCs w:val="32"/>
          <w:highlight w:val="none"/>
          <w:lang w:val="en-US" w:eastAsia="zh-CN" w:bidi="ar-SA"/>
        </w:rPr>
        <w:t>上公开，保证基础数据信息和会计信息资料真实、完整、准确。</w:t>
      </w:r>
    </w:p>
    <w:p w14:paraId="59A6EB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4.绩效管理</w:t>
      </w:r>
    </w:p>
    <w:p w14:paraId="778AC0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2024年年初，我室按照要求完成了怀化市财政局2024年度预算绩效目标审核工作。</w:t>
      </w:r>
    </w:p>
    <w:p w14:paraId="29CAB9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9月，根据《怀化市财政局关于开展2024年度市级财政资金绩效运行监控工作的通知》（怀财绩〔2024〕90号）有关规定，我室高度重视，组织开展了2024年1-7月份部门整体支出和项目支出绩效运行监控工作，由综合部分管财务领导牵头，其他业务部室配合财务人员完成资料收集及汇总，按照年初绩效目标对1-7月份部门整体预算执行情况和绩效目标实现程度进行了统计分析，对绩效监控中发现的绩效目标执行偏差和管理漏洞，及时采取有针对性的措施予以纠正，不断改进和加强预算绩效管理。</w:t>
      </w:r>
    </w:p>
    <w:p w14:paraId="1EC614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2025年6月，按照</w:t>
      </w:r>
      <w:r>
        <w:rPr>
          <w:rFonts w:hint="eastAsia" w:ascii="仿宋" w:hAnsi="仿宋" w:eastAsia="仿宋" w:cs="仿宋"/>
          <w:color w:val="auto"/>
          <w:sz w:val="32"/>
          <w:szCs w:val="32"/>
          <w:highlight w:val="none"/>
          <w:lang w:val="en-US" w:eastAsia="zh-CN"/>
        </w:rPr>
        <w:t>怀财绩〔2025〕32号文件要求，我室认真开展绩效自评工作，对2024年整体支出和项目支出实施了预算绩效自评。</w:t>
      </w:r>
    </w:p>
    <w:p w14:paraId="7B9A5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管理制度健全性</w:t>
      </w:r>
    </w:p>
    <w:p w14:paraId="3D0323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我室</w:t>
      </w:r>
      <w:r>
        <w:rPr>
          <w:rFonts w:hint="default" w:ascii="仿宋" w:hAnsi="仿宋" w:eastAsia="仿宋" w:cs="仿宋"/>
          <w:color w:val="auto"/>
          <w:kern w:val="2"/>
          <w:sz w:val="32"/>
          <w:szCs w:val="32"/>
          <w:highlight w:val="none"/>
          <w:lang w:val="en-US" w:eastAsia="zh-CN" w:bidi="ar-SA"/>
        </w:rPr>
        <w:t>制定了《</w:t>
      </w:r>
      <w:r>
        <w:rPr>
          <w:rFonts w:hint="eastAsia" w:ascii="仿宋" w:hAnsi="仿宋" w:eastAsia="仿宋" w:cs="仿宋"/>
          <w:color w:val="auto"/>
          <w:kern w:val="2"/>
          <w:sz w:val="32"/>
          <w:szCs w:val="32"/>
          <w:highlight w:val="none"/>
          <w:lang w:val="en-US" w:eastAsia="zh-CN" w:bidi="ar-SA"/>
        </w:rPr>
        <w:t>中共怀化市委党史研究室</w:t>
      </w:r>
      <w:r>
        <w:rPr>
          <w:rFonts w:hint="default" w:ascii="仿宋" w:hAnsi="仿宋" w:eastAsia="仿宋" w:cs="仿宋"/>
          <w:color w:val="auto"/>
          <w:kern w:val="2"/>
          <w:sz w:val="32"/>
          <w:szCs w:val="32"/>
          <w:highlight w:val="none"/>
          <w:lang w:val="en-US" w:eastAsia="zh-CN" w:bidi="ar-SA"/>
        </w:rPr>
        <w:t>财务</w:t>
      </w:r>
      <w:r>
        <w:rPr>
          <w:rFonts w:hint="eastAsia" w:ascii="仿宋" w:hAnsi="仿宋" w:eastAsia="仿宋" w:cs="仿宋"/>
          <w:color w:val="auto"/>
          <w:kern w:val="2"/>
          <w:sz w:val="32"/>
          <w:szCs w:val="32"/>
          <w:highlight w:val="none"/>
          <w:lang w:val="en-US" w:eastAsia="zh-CN" w:bidi="ar-SA"/>
        </w:rPr>
        <w:t>管理制度</w:t>
      </w:r>
      <w:r>
        <w:rPr>
          <w:rFonts w:hint="default" w:ascii="仿宋" w:hAnsi="仿宋" w:eastAsia="仿宋" w:cs="仿宋"/>
          <w:color w:val="auto"/>
          <w:kern w:val="2"/>
          <w:sz w:val="32"/>
          <w:szCs w:val="32"/>
          <w:highlight w:val="none"/>
          <w:lang w:val="en-US" w:eastAsia="zh-CN" w:bidi="ar-SA"/>
        </w:rPr>
        <w:t>》包括</w:t>
      </w:r>
      <w:r>
        <w:rPr>
          <w:rFonts w:hint="eastAsia" w:ascii="仿宋" w:hAnsi="仿宋" w:eastAsia="仿宋" w:cs="仿宋"/>
          <w:color w:val="auto"/>
          <w:kern w:val="2"/>
          <w:sz w:val="32"/>
          <w:szCs w:val="32"/>
          <w:highlight w:val="none"/>
          <w:lang w:val="en-US" w:eastAsia="zh-CN" w:bidi="ar-SA"/>
        </w:rPr>
        <w:t>管理原则、职责分工、预算管理、资产及采购管理、经费支出管理</w:t>
      </w:r>
      <w:r>
        <w:rPr>
          <w:rFonts w:hint="default" w:ascii="仿宋" w:hAnsi="仿宋" w:eastAsia="仿宋" w:cs="仿宋"/>
          <w:color w:val="auto"/>
          <w:kern w:val="2"/>
          <w:sz w:val="32"/>
          <w:szCs w:val="32"/>
          <w:highlight w:val="none"/>
          <w:lang w:val="en-US" w:eastAsia="zh-CN" w:bidi="ar-SA"/>
        </w:rPr>
        <w:t>等，规范财务审批程序，推行公务卡结算，严格支出标准、范围和程序的审核，财务管理制度较为健全，为资金使用管理提供有效制度保障。</w:t>
      </w:r>
    </w:p>
    <w:p w14:paraId="26AB8C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r>
        <w:rPr>
          <w:rFonts w:hint="default" w:ascii="仿宋" w:hAnsi="仿宋" w:eastAsia="仿宋" w:cs="仿宋"/>
          <w:color w:val="auto"/>
          <w:kern w:val="2"/>
          <w:sz w:val="32"/>
          <w:szCs w:val="32"/>
          <w:highlight w:val="none"/>
          <w:lang w:val="en-US" w:eastAsia="zh-CN" w:bidi="ar-SA"/>
        </w:rPr>
        <w:t>资金使用合规性</w:t>
      </w:r>
    </w:p>
    <w:p w14:paraId="32004F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严格按照国家财经法规和财务管理制度及有关专项资金管理办法的规定进行支出。加强经费合法合规性审核和预算控制，资金使用合规</w:t>
      </w:r>
      <w:r>
        <w:rPr>
          <w:rFonts w:hint="eastAsia" w:ascii="仿宋" w:hAnsi="仿宋" w:eastAsia="仿宋" w:cs="仿宋"/>
          <w:color w:val="auto"/>
          <w:kern w:val="2"/>
          <w:sz w:val="32"/>
          <w:szCs w:val="32"/>
          <w:highlight w:val="none"/>
          <w:lang w:val="en-US" w:eastAsia="zh-CN" w:bidi="ar-SA"/>
        </w:rPr>
        <w:t>性较好</w:t>
      </w:r>
      <w:r>
        <w:rPr>
          <w:rFonts w:hint="default" w:ascii="仿宋" w:hAnsi="仿宋" w:eastAsia="仿宋" w:cs="仿宋"/>
          <w:color w:val="auto"/>
          <w:kern w:val="2"/>
          <w:sz w:val="32"/>
          <w:szCs w:val="32"/>
          <w:highlight w:val="none"/>
          <w:lang w:val="en-US" w:eastAsia="zh-CN" w:bidi="ar-SA"/>
        </w:rPr>
        <w:t>，支出手续齐全，程序到位。</w:t>
      </w:r>
    </w:p>
    <w:p w14:paraId="5CFB02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w:t>
      </w:r>
      <w:r>
        <w:rPr>
          <w:rFonts w:hint="default" w:ascii="仿宋" w:hAnsi="仿宋" w:eastAsia="仿宋" w:cs="仿宋"/>
          <w:color w:val="auto"/>
          <w:kern w:val="2"/>
          <w:sz w:val="32"/>
          <w:szCs w:val="32"/>
          <w:highlight w:val="none"/>
          <w:lang w:val="en-US" w:eastAsia="zh-CN" w:bidi="ar-SA"/>
        </w:rPr>
        <w:t>资产管理</w:t>
      </w:r>
    </w:p>
    <w:p w14:paraId="0C2AB0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我室资产保存完整、使用合规、配置合理、处置规范。一是制定了资产管理制度，明确相关责任；二是对配置和处置的资产严格按程序，逐级报市机关事务管理局、市财政局审批；三是对资产增减及时进行财务账登记并录入“湖南省预算管理一体化系统资产管理模块”，定期开展资产清查工作，确保账账相符、账实相符。</w:t>
      </w:r>
    </w:p>
    <w:p w14:paraId="60A0C66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履职效能</w:t>
      </w:r>
    </w:p>
    <w:p w14:paraId="130522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1.年度总体目标完成情况</w:t>
      </w:r>
    </w:p>
    <w:p w14:paraId="4FCD48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2024年，我室深入学习贯彻党的二十大和二十届三中全会精神以及习近平总书记考察湖南重要讲话精神</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扎实开展党纪学习教育，在市委、市政府的正确领导和省院精心指导下，不断强化机关党的政治建设，持续拓展地方史志研究，努力为市委深入实施“五新四城”战略推动怀化高水平开放、高质量发展贡献史志力量。</w:t>
      </w:r>
    </w:p>
    <w:p w14:paraId="2A99BF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w:t>
      </w:r>
      <w:r>
        <w:rPr>
          <w:rFonts w:hint="default" w:ascii="仿宋" w:hAnsi="仿宋" w:eastAsia="仿宋" w:cs="仿宋"/>
          <w:b/>
          <w:bCs/>
          <w:color w:val="auto"/>
          <w:kern w:val="2"/>
          <w:sz w:val="32"/>
          <w:szCs w:val="32"/>
          <w:highlight w:val="none"/>
          <w:lang w:val="en-US" w:eastAsia="zh-CN" w:bidi="ar-SA"/>
        </w:rPr>
        <w:t>强基础，固根本，政治引领不断增强</w:t>
      </w:r>
    </w:p>
    <w:p w14:paraId="4F3151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不断深化党的政治建设。</w:t>
      </w:r>
      <w:r>
        <w:rPr>
          <w:rFonts w:hint="default" w:ascii="仿宋" w:hAnsi="仿宋" w:eastAsia="仿宋" w:cs="仿宋"/>
          <w:color w:val="auto"/>
          <w:kern w:val="2"/>
          <w:sz w:val="32"/>
          <w:szCs w:val="32"/>
          <w:highlight w:val="none"/>
          <w:lang w:val="en-US" w:eastAsia="zh-CN" w:bidi="ar-SA"/>
        </w:rPr>
        <w:t>室务会始终把加强党的政治建设放在首位，坚定“党史姓党”，坚持“第一议题”、“理论学习中心组”等制度，及时跟进学习贯彻习近平总书记最新重要讲话、重要指示批示精神，始终保持常学常新。2024年，开展室务会理论学习中心组集中（扩大）学习12次，开展“解放思想大讨论”活动1次，深刻领悟“两个确立”的决定性意义，坚决做到“两个维护”，切实提高政治判断力、政治领悟力、政治执行力。</w:t>
      </w:r>
    </w:p>
    <w:p w14:paraId="67E527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深学笃行党的二十届三中全会精神。</w:t>
      </w:r>
      <w:r>
        <w:rPr>
          <w:rFonts w:hint="default" w:ascii="仿宋" w:hAnsi="仿宋" w:eastAsia="仿宋" w:cs="仿宋"/>
          <w:color w:val="auto"/>
          <w:kern w:val="2"/>
          <w:sz w:val="32"/>
          <w:szCs w:val="32"/>
          <w:highlight w:val="none"/>
          <w:lang w:val="en-US" w:eastAsia="zh-CN" w:bidi="ar-SA"/>
        </w:rPr>
        <w:t>将学习宣传贯彻党的二十届三中全会精神作为当前和今后一个时期史志工作的首要政治任务。通过室务会理论学习中心组、“专题培训班”、主题讲座、“三会一课”、主题党日、干部网络学院等多种形式，组织全体干部职工深入学习领会全会精神。坚持把学习贯彻党的二十届三中全会精神同贯彻落实习近平总书记关于湖南工作的重要讲话和指示批示精神结合起来，同创新工作机制做好全市史志工作结合起来，充分发挥史志研究“存史、资政、育人”的重要作用，切实担负起为党写史、为国存史、为民修志的光荣使命。</w:t>
      </w:r>
    </w:p>
    <w:p w14:paraId="6ED82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扎实做好《条例》《办法》的学习宣传贯彻。</w:t>
      </w:r>
      <w:r>
        <w:rPr>
          <w:rFonts w:hint="default" w:ascii="仿宋" w:hAnsi="仿宋" w:eastAsia="仿宋" w:cs="仿宋"/>
          <w:color w:val="auto"/>
          <w:kern w:val="2"/>
          <w:sz w:val="32"/>
          <w:szCs w:val="32"/>
          <w:highlight w:val="none"/>
          <w:lang w:val="en-US" w:eastAsia="zh-CN" w:bidi="ar-SA"/>
        </w:rPr>
        <w:t>始终坚持强化依法修史治志意识，把学习贯彻《党史学习教育工作条例》《湖南省地方志工作办法》作为推进史志高质量发展的重要助推器。《条例》《办法》颁布后，室务会专题研究制定了学习贯彻和宣传工作方案，明确工作要点和任务。将《条例》《办法》纳入理论学习中心组重点学习内容，组织室务会班子、全体干部职工多次解读学习原文，在4月召开的怀化市史志暨党史联络工作会议上发放解读资料150余份，并对施行中需要注意的事项进行说明。确保《条例》《办法》相关规定始终贯彻落实到史志编纂、审查验收、出版、开发利用等全过程各环节</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推动地方史志工作的法治化转型发展。</w:t>
      </w:r>
    </w:p>
    <w:p w14:paraId="62668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w:t>
      </w:r>
      <w:r>
        <w:rPr>
          <w:rFonts w:hint="default" w:ascii="仿宋" w:hAnsi="仿宋" w:eastAsia="仿宋" w:cs="仿宋"/>
          <w:b/>
          <w:bCs/>
          <w:color w:val="auto"/>
          <w:kern w:val="2"/>
          <w:sz w:val="32"/>
          <w:szCs w:val="32"/>
          <w:highlight w:val="none"/>
          <w:lang w:val="en-US" w:eastAsia="zh-CN" w:bidi="ar-SA"/>
        </w:rPr>
        <w:t>贴中心、勇担当，服务水平不断提升</w:t>
      </w:r>
    </w:p>
    <w:p w14:paraId="549DF9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全面压实党建主体责任。</w:t>
      </w:r>
      <w:r>
        <w:rPr>
          <w:rFonts w:hint="default" w:ascii="仿宋" w:hAnsi="仿宋" w:eastAsia="仿宋" w:cs="仿宋"/>
          <w:color w:val="auto"/>
          <w:kern w:val="2"/>
          <w:sz w:val="32"/>
          <w:szCs w:val="32"/>
          <w:highlight w:val="none"/>
          <w:lang w:val="en-US" w:eastAsia="zh-CN" w:bidi="ar-SA"/>
        </w:rPr>
        <w:t>把党建工作贯穿到史志工作的全过程、各方面。及时制定年度党建工作要点，调整机关党的建设工作领导小组，修订完善全面从严治党主体责任清单。严格执行“三会一课”、主题党日、组织生活会、民主评议党员等制度，确保党内政治生活严肃规范。加强党员教育管理，对党员的基本信息、学习情况、工作表现等实行动态管理，经常性地开展谈心谈话，及时了解思想动态和生活情况。强化党员过“政治生日”、重温入党誓词，全面提高党员干部的履职能力，增强党员政治意识。巩固拓展主题教育成果，立足我室职能职责，围绕史志工作发展、乡村振兴、红色资源开发利用等常态化开展“走找想促”活动，发现解决问题12个。加强党建带统一战线、团建、工建、妇建工作，开展丰富多彩的党员志愿活动、工会活动、妇儿活动共计50余次。</w:t>
      </w:r>
    </w:p>
    <w:p w14:paraId="0A923D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持续抓好党风廉政建设。</w:t>
      </w:r>
      <w:r>
        <w:rPr>
          <w:rFonts w:hint="default" w:ascii="仿宋" w:hAnsi="仿宋" w:eastAsia="仿宋" w:cs="仿宋"/>
          <w:color w:val="auto"/>
          <w:kern w:val="2"/>
          <w:sz w:val="32"/>
          <w:szCs w:val="32"/>
          <w:highlight w:val="none"/>
          <w:lang w:val="en-US" w:eastAsia="zh-CN" w:bidi="ar-SA"/>
        </w:rPr>
        <w:t>扎实开展党纪学习教育，紧紧围绕党纪学习教育目标要求和工作安排，迅速行动、周密部署，组织广大党员干部深入学习贯彻《中国共产党纪律处分条例》。室务会专题研究党风廉政建设工作3次，开展党纪专题学习与研讨交流4次，支部书记上纪律党课2堂，开展警示教育会1次，经常性地传达学习省市纪委关于违反相关规定典型问题的通报。开展廉政教育，7月组织全体在职党员参观怀化市清廉文化教育馆，通过反面教育引导党员干部知敬畏、存戒惧、守底线。10月组织全体党员赴安江农校纪念园开展“争做一粒好种子”主题党日活动，传承隆平精神，汲取奋进力量。全年没有干部职工因违反中央和省委、市委相关规定而受到处分。</w:t>
      </w:r>
    </w:p>
    <w:p w14:paraId="31B309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始终坚守意识形态阵地。</w:t>
      </w:r>
      <w:r>
        <w:rPr>
          <w:rFonts w:hint="default" w:ascii="仿宋" w:hAnsi="仿宋" w:eastAsia="仿宋" w:cs="仿宋"/>
          <w:color w:val="auto"/>
          <w:kern w:val="2"/>
          <w:sz w:val="32"/>
          <w:szCs w:val="32"/>
          <w:highlight w:val="none"/>
          <w:lang w:val="en-US" w:eastAsia="zh-CN" w:bidi="ar-SA"/>
        </w:rPr>
        <w:t xml:space="preserve">全年召开意识形态专题研究部署会议2次，分析研判史志编研中意识形态领域可能出现的问题。室主要负责人坚持牵头抓总、靠前指挥，做到了带头抓意识形态工作、带头管阵地把导向强队伍，切实当好“第一责任人”。明确排名第一的副主任具体分管意识形态工作，班子成员按照“一岗双责”抓好分管部室和分管领域，注重调动各部室抓意识形态工作的积极性。加强对党史、方志业务范围内意识形态的把控，党史正本、专题研究和方志年鉴等业务编纂人员始终严把稿件关口，确保不出问题。    </w:t>
      </w:r>
    </w:p>
    <w:p w14:paraId="0FB8D6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持之以恒建强干部队伍。</w:t>
      </w:r>
      <w:r>
        <w:rPr>
          <w:rFonts w:hint="default" w:ascii="仿宋" w:hAnsi="仿宋" w:eastAsia="仿宋" w:cs="仿宋"/>
          <w:color w:val="auto"/>
          <w:kern w:val="2"/>
          <w:sz w:val="32"/>
          <w:szCs w:val="32"/>
          <w:highlight w:val="none"/>
          <w:lang w:val="en-US" w:eastAsia="zh-CN" w:bidi="ar-SA"/>
        </w:rPr>
        <w:t>旗帜鲜明地树立“实干实绩、有为有位”的选人用人导向，严格按规范程序晋升1名乡镇挂职科级干部职级，有效提振干部职工干事创业的信心。着眼史志发展需要，加大对年轻干部、女干部、少数民族干部培养选拔力度，全年新招录1名公务员（90后、女性、少数民族），选派1名少数民族青年党员参与市委巡察工作。着力提升干部职工法治化水平，组织学习《宪法》《中国共产党党章》《中国共产党支部工作条例（试行）》《中央八项规定及其实施细则》《中国共产党统一战线工作条例》等，室机关学法用法考试参考率、优秀率率均达100%。</w:t>
      </w:r>
    </w:p>
    <w:p w14:paraId="71F3DD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戮力同心助推乡村振兴。</w:t>
      </w:r>
      <w:r>
        <w:rPr>
          <w:rFonts w:hint="default" w:ascii="仿宋" w:hAnsi="仿宋" w:eastAsia="仿宋" w:cs="仿宋"/>
          <w:color w:val="auto"/>
          <w:kern w:val="2"/>
          <w:sz w:val="32"/>
          <w:szCs w:val="32"/>
          <w:highlight w:val="none"/>
          <w:lang w:val="en-US" w:eastAsia="zh-CN" w:bidi="ar-SA"/>
        </w:rPr>
        <w:t>全年4次专题研究部署，坚持把乡村振兴工作与中心工作、业务工作同研究同部署同落实。全力支持驻村工作，优先安排解决派驻干部的工作经费、意外保险和差旅补助，落实帮扶资金，在经费十分紧张的情况下，解决帮扶资金共计5万元。上半年市级驻村帮扶调整以来，牵头联席后盾单位一起同向发力，新帮扶的诸葛村村支两委班子团结有力，集体经济日益壮大，产业发展成效明显，村民收入不断提高，人居环境日新月异，成功摘除“软、弱、涣、散”基层组织帽子。</w:t>
      </w:r>
    </w:p>
    <w:p w14:paraId="60FCCD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着力完成市委、市政府其他工作任务。</w:t>
      </w:r>
      <w:r>
        <w:rPr>
          <w:rFonts w:hint="default" w:ascii="仿宋" w:hAnsi="仿宋" w:eastAsia="仿宋" w:cs="仿宋"/>
          <w:color w:val="auto"/>
          <w:kern w:val="2"/>
          <w:sz w:val="32"/>
          <w:szCs w:val="32"/>
          <w:highlight w:val="none"/>
          <w:lang w:val="en-US" w:eastAsia="zh-CN" w:bidi="ar-SA"/>
        </w:rPr>
        <w:t>严格落实“一岗双责”，将平安建设、政府化债、保密工作、安全生产、统计监督等与日常工作同安排、同部署、同落实。经常性地在微信工作群向干部职工宣传崇尚科学、反对邪教、远离毒品等内容，举办消防安全讲座，邀请专业消防安全人员为我室全体人员讲解火灾预防知识、初期火灾扑救方法以及使用消防器材的正确操作流程等，增强自防自救能力。一年来，我室未发生失泄密事件、违法乱纪事件、刑事案件以及“黄、赌、毒”等现象，单位内部和谐融洽，气氛积极向上。</w:t>
      </w:r>
    </w:p>
    <w:p w14:paraId="0C24D2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w:t>
      </w:r>
      <w:r>
        <w:rPr>
          <w:rFonts w:hint="default" w:ascii="仿宋" w:hAnsi="仿宋" w:eastAsia="仿宋" w:cs="仿宋"/>
          <w:b/>
          <w:bCs/>
          <w:color w:val="auto"/>
          <w:kern w:val="2"/>
          <w:sz w:val="32"/>
          <w:szCs w:val="32"/>
          <w:highlight w:val="none"/>
          <w:lang w:val="en-US" w:eastAsia="zh-CN" w:bidi="ar-SA"/>
        </w:rPr>
        <w:t>担主责、强特色，史志编研不断推进</w:t>
      </w:r>
    </w:p>
    <w:p w14:paraId="5F844D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党史编研取得新成果。</w:t>
      </w:r>
      <w:r>
        <w:rPr>
          <w:rFonts w:hint="default" w:ascii="仿宋" w:hAnsi="仿宋" w:eastAsia="仿宋" w:cs="仿宋"/>
          <w:color w:val="auto"/>
          <w:kern w:val="2"/>
          <w:sz w:val="32"/>
          <w:szCs w:val="32"/>
          <w:highlight w:val="none"/>
          <w:lang w:val="en-US" w:eastAsia="zh-CN" w:bidi="ar-SA"/>
        </w:rPr>
        <w:t>室务会始终突出党史编研主责出成果，荣获“2024年度全省党史工作业务评估优秀单位”称号，首次实现6年来在省级层面创先争优破零。</w:t>
      </w:r>
    </w:p>
    <w:p w14:paraId="3B7B8C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党史编研不断深化。</w:t>
      </w:r>
      <w:r>
        <w:rPr>
          <w:rFonts w:hint="default" w:ascii="仿宋" w:hAnsi="仿宋" w:eastAsia="仿宋" w:cs="仿宋"/>
          <w:color w:val="auto"/>
          <w:kern w:val="2"/>
          <w:sz w:val="32"/>
          <w:szCs w:val="32"/>
          <w:highlight w:val="none"/>
          <w:lang w:val="en-US" w:eastAsia="zh-CN" w:bidi="ar-SA"/>
        </w:rPr>
        <w:t>继续推动党史正本编纂，修改提升《中国共产党怀化历史（1978-2012）》史稿质量，启动党史正本三卷编纂工作，制定《中国共产党怀化历史（1978-2012）》编纂方案，组建编纂队伍，初步完成编纂大纲。《湖南脱贫攻坚口述史系列丛书·怀化卷》完成初稿，进入修改完善阶段，力争春节前出版印刷。重点推动6个党史专题编纂，其中《怀化铁路交通建设史》列入2024年度全省党史研究编研著作类重点选题项目，已完成前期资料收集。《怀化市城镇知识青年上山下乡纪事》已完成前期策划，拟自今年起三年内完成出版任务，《怀化军人英雄谱》《怀化国有工业企业改革纪实》《怀化高等教育发展纪实》《点亮五溪——怀化水电发展纪实》等4个专题均已启动。积极推动筹办“通道转兵历史意义与时代价值研究”交流座谈会，撰写的《通道转兵与党的独立自主原则》作为优秀论文代表在会上作交流发言；指导参与滕代远同志践行“为人民服务”思想学术研讨活动，对活动相关资料进行审读，作题为《贯彻党的二十届三中全会精神，传承红色基因，践行滕代远“为人民服务”思想》宣讲。二是党史宣教不断推进。3月28日，市委常委会同意将中共怀化历史馆建设纳入怀化市“三馆一院”的统筹规划。对此，我室积极开展前期调研，形成了《关于中共怀化历史馆建设的考察报告和建议》。加大党史教育基地申报创建力度，指导粟裕同志纪念馆、向警予同志纪念馆成功创建第六批湖南省党史教育基地。加强党史理论研究，《用不息奋斗之姿传承红色基因 以攻坚克难之势建设现代化新洪江》发表在《湘潮》2024年第1期“书记讲党史”栏目。“怀化知青文化陈列馆”在洪江市安江镇布展开馆，真实客观地反映了广大知识青年在怀化艰苦奋斗创业历程，截至目前，共有5万余人进馆参观。与湖南日报怀化分社合作，联合制作《红色怀化》系列新媒体宣传片，目前宣传片头及前5期内容已制作完成，春节前陆续推出。三是党史联络不断加强。先后召开2024年度怀化市中共党史联络组工作会议和全市史志暨党史联络工作会议，对全市党史联络重点工作进行安排和部署，持续加强对县市区党史联络组的工作指导。5月和12月市中共党史联络组分别赴江西、湖南郴州、广西全州、贵州黎平、遵义等地开展长征文化调研，形成《打造“红色集群”是推进长征国家文化公园怀化段高质量发展的关键之举——推动怀化长征文化传承保护与利用的调研报告》一文，对挖掘和利用好在怀的长征文化资源，切实推进长征国家文化公园建设，将“红色资源”转化为支撑怀化高质量发展的“红色财富”具有一定的促进意义。加强县级调研指导，市党史联络组先后赴洪江区、会同、洪江市、新晃、通道、麻阳、靖州、芷江等地调研当地的红色资源和新时代实践成果，针对县市区史志部门存在的困难向县市区委提出工作建议。注重上下联动、横向交流，积极开展与高校的交流合作，先后赴湖南医药学院、怀化学院开展调研，推动《怀化高等教育发展纪实》的编纂进程。</w:t>
      </w:r>
    </w:p>
    <w:p w14:paraId="62DF6A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b/>
          <w:bCs/>
          <w:color w:val="auto"/>
          <w:kern w:val="2"/>
          <w:sz w:val="32"/>
          <w:szCs w:val="32"/>
          <w:highlight w:val="none"/>
          <w:lang w:val="en-US" w:eastAsia="zh-CN" w:bidi="ar-SA"/>
        </w:rPr>
        <w:t>志鉴编修取得新进展。</w:t>
      </w:r>
      <w:r>
        <w:rPr>
          <w:rFonts w:hint="default" w:ascii="仿宋" w:hAnsi="仿宋" w:eastAsia="仿宋" w:cs="仿宋"/>
          <w:color w:val="auto"/>
          <w:kern w:val="2"/>
          <w:sz w:val="32"/>
          <w:szCs w:val="32"/>
          <w:highlight w:val="none"/>
          <w:lang w:val="en-US" w:eastAsia="zh-CN" w:bidi="ar-SA"/>
        </w:rPr>
        <w:t>一是全力推进扶贫志编纂工程。按照省志院“四跟四走，四个做到”总体部署和“一月一调度，一季一通报、半年一小结，一年一总结”工作机制要求，加强工作调度，强化跟踪督导。3月，会同省志院对沅陵、辰溪等8个县开展专项督导，4至7月又先后赴通道、靖州、溆浦、中方、芷江等县开展常态化督导，推动各县市区在保证质量的前提下，加快工作进程。11月底召开《沅陵县扶贫志》稿市级评审会，在全市形成引领效应。二是加快完成市县志终审出版。高标准严要求抓好二轮市县志出版工作。《怀化市志》在3月完成省志院初审后进行了第二次修改，</w:t>
      </w:r>
      <w:r>
        <w:rPr>
          <w:rFonts w:hint="eastAsia" w:ascii="仿宋" w:hAnsi="仿宋" w:eastAsia="仿宋" w:cs="仿宋"/>
          <w:color w:val="auto"/>
          <w:kern w:val="2"/>
          <w:sz w:val="32"/>
          <w:szCs w:val="32"/>
          <w:highlight w:val="none"/>
          <w:lang w:val="en-US" w:eastAsia="zh-CN" w:bidi="ar-SA"/>
        </w:rPr>
        <w:t>10月</w:t>
      </w:r>
      <w:r>
        <w:rPr>
          <w:rFonts w:hint="default" w:ascii="仿宋" w:hAnsi="仿宋" w:eastAsia="仿宋" w:cs="仿宋"/>
          <w:color w:val="auto"/>
          <w:kern w:val="2"/>
          <w:sz w:val="32"/>
          <w:szCs w:val="32"/>
          <w:highlight w:val="none"/>
          <w:lang w:val="en-US" w:eastAsia="zh-CN" w:bidi="ar-SA"/>
        </w:rPr>
        <w:t>已通过省志院终审，进入出版程序。《新晃县志》完成省级终审，《怀化市鹤城区志》《洪江市志》出版发行。《湖南乡镇简志·怀化卷》完成省志院终审后修改工作，进入出版印刷阶段。特色志《湖南安江纺织印染厂志》已出版。指导并资助沅陵县编纂《马底驿乡志》、《黄腊溪村志》。三是扎实抓好“一年一鉴”工作。按照“一年一鉴”部署要求，于3月启动部署《怀化年鉴（2024）》编纂工作，文件发布、资料征集、整理和编纂基础工作有序有效。针对个别单位交稿质量不高和不及时的问题，7月底发出专函督促催收稿件。截止</w:t>
      </w:r>
      <w:r>
        <w:rPr>
          <w:rFonts w:hint="eastAsia" w:ascii="仿宋" w:hAnsi="仿宋" w:eastAsia="仿宋" w:cs="仿宋"/>
          <w:color w:val="auto"/>
          <w:kern w:val="2"/>
          <w:sz w:val="32"/>
          <w:szCs w:val="32"/>
          <w:highlight w:val="none"/>
          <w:lang w:val="en-US" w:eastAsia="zh-CN" w:bidi="ar-SA"/>
        </w:rPr>
        <w:t>12月</w:t>
      </w:r>
      <w:r>
        <w:rPr>
          <w:rFonts w:hint="default" w:ascii="仿宋" w:hAnsi="仿宋" w:eastAsia="仿宋" w:cs="仿宋"/>
          <w:color w:val="auto"/>
          <w:kern w:val="2"/>
          <w:sz w:val="32"/>
          <w:szCs w:val="32"/>
          <w:highlight w:val="none"/>
          <w:lang w:val="en-US" w:eastAsia="zh-CN" w:bidi="ar-SA"/>
        </w:rPr>
        <w:t>，《怀化年鉴2024卷》和13个县市区综合年鉴均已编纂完成。四是方志利用开展取得新突破。在推动数字化赋能方志工作高质量发展方面创新思考，积极作为，建成“史志怀化”数字史志馆，开设红色怀化、志书怀化、年鉴怀化、记忆怀化、影像怀化、地情怀化六个栏目，已链接至市人民政府官网，目前上架怀化地方党史、志书、年鉴、地情文化等书籍20部，成为线上了解怀化、查阅怀化的重要“窗口”。此外，与怀化市广播电视台合作，开拍影像志《志书里的怀化》，目前已初步完成了1-3集的制作任务，届时将与《怀化市志（1978-2010）》出版发行同步推出。</w:t>
      </w:r>
    </w:p>
    <w:p w14:paraId="5621E9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2.绩效目标指标完成情况</w:t>
      </w:r>
    </w:p>
    <w:p w14:paraId="09F8C7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2024年度我室结合部门职能与年度总体工作任务设置了三级成本指标2个、产出指标5个、效益指标3个、满意度指标1个，指标完成情况如下：</w:t>
      </w:r>
    </w:p>
    <w:p w14:paraId="5AAD8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（1）成本指标分析</w:t>
      </w:r>
    </w:p>
    <w:p w14:paraId="7F95B9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整体成本控制426.53万元</w:t>
      </w:r>
      <w:r>
        <w:rPr>
          <w:rFonts w:hint="eastAsia" w:ascii="仿宋" w:hAnsi="仿宋" w:eastAsia="仿宋" w:cs="仿宋"/>
          <w:color w:val="auto"/>
          <w:kern w:val="2"/>
          <w:sz w:val="32"/>
          <w:szCs w:val="32"/>
          <w:highlight w:val="none"/>
          <w:lang w:val="en-US" w:eastAsia="zh-CN" w:bidi="ar-SA"/>
        </w:rPr>
        <w:t>，社会成本节约率13.61%，完成年初目标。</w:t>
      </w:r>
    </w:p>
    <w:p w14:paraId="27D66A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（2）产出指标分析</w:t>
      </w:r>
    </w:p>
    <w:p w14:paraId="3A2530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2024年度举办全市史志业务培训1期，组织理论学习12次，党史宣教5次，史志编研工作完成达标率100%，完成及时在2024年12月31日前完成，完成年初目标。</w:t>
      </w:r>
    </w:p>
    <w:p w14:paraId="0292B5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（3）效益指标分析</w:t>
      </w:r>
    </w:p>
    <w:p w14:paraId="06814F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积极参与推动红色资源、红色文化与全域旅游的融合发展；深化怀化地方党史编研和志鉴编修，全面客观记录全市自然、政治、经济、文化和社会的历史和现状；推动史志事业可持续发展。完成年初目标。</w:t>
      </w:r>
    </w:p>
    <w:p w14:paraId="7938E91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满意度</w:t>
      </w:r>
      <w:r>
        <w:rPr>
          <w:rFonts w:hint="eastAsia" w:ascii="仿宋" w:hAnsi="仿宋" w:eastAsia="仿宋" w:cs="仿宋"/>
          <w:color w:val="auto"/>
          <w:kern w:val="2"/>
          <w:sz w:val="32"/>
          <w:szCs w:val="32"/>
          <w:highlight w:val="none"/>
          <w:lang w:val="en-US" w:eastAsia="zh-CN" w:bidi="ar-SA"/>
        </w:rPr>
        <w:t>指标分析</w:t>
      </w:r>
    </w:p>
    <w:p w14:paraId="4059CD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社会公众满意度达95%，完成年初目标。</w:t>
      </w:r>
    </w:p>
    <w:p w14:paraId="7943E2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6C66F6C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是部分项目执行进度较慢。《湖南乡镇简志·怀化卷》《怀化市志(1978-2010)》预算执行率较低。因为编纂史志书籍需要经过资料收集、撰写初稿、书稿评审、评审意见修改补充形成终审稿、终审书稿、印刷出版等流程，时间跨度大，需根据各项工作开展情况和合同约定付款。</w:t>
      </w:r>
    </w:p>
    <w:p w14:paraId="7E5758D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二是政府采购预算编制准确性有待于提升。年初政府采购预算未包含电子卖场采购金额，导致政府采购预算小于政府采购执行。</w:t>
      </w:r>
    </w:p>
    <w:p w14:paraId="4F0F78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67598F1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一是财务部门与项目部室加强沟通，定期对项目进度和资金支付情况进行分析，发现问题及时整改，加快资金拨付进度。</w:t>
      </w:r>
    </w:p>
    <w:p w14:paraId="3DF8C9E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二是按照《中华人民共和国预算法》《中华人民共和国政府采购法》及市财政局政府采购相关规定，切实把政府采购预算编实编细。</w:t>
      </w:r>
    </w:p>
    <w:p w14:paraId="6A2EBD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26FC548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根据绩效自评情况，</w:t>
      </w:r>
      <w:r>
        <w:rPr>
          <w:rFonts w:hint="eastAsia" w:ascii="仿宋" w:hAnsi="仿宋" w:eastAsia="仿宋" w:cs="仿宋"/>
          <w:color w:val="auto"/>
          <w:kern w:val="2"/>
          <w:sz w:val="32"/>
          <w:szCs w:val="32"/>
          <w:highlight w:val="none"/>
          <w:lang w:val="en-US" w:eastAsia="zh-CN" w:bidi="ar-SA"/>
        </w:rPr>
        <w:t>我室</w:t>
      </w:r>
      <w:r>
        <w:rPr>
          <w:rFonts w:hint="default" w:ascii="仿宋" w:hAnsi="仿宋" w:eastAsia="仿宋" w:cs="仿宋"/>
          <w:color w:val="auto"/>
          <w:kern w:val="2"/>
          <w:sz w:val="32"/>
          <w:szCs w:val="32"/>
          <w:highlight w:val="none"/>
          <w:lang w:val="en-US" w:eastAsia="zh-CN" w:bidi="ar-SA"/>
        </w:rPr>
        <w:t>绩效评价小组重点就自评中发现的问题督促各部室提出整改措施并及时落实到位。部门绩效自评报告严格按</w:t>
      </w:r>
      <w:r>
        <w:rPr>
          <w:rFonts w:hint="eastAsia" w:ascii="仿宋" w:hAnsi="仿宋" w:eastAsia="仿宋" w:cs="仿宋"/>
          <w:color w:val="auto"/>
          <w:kern w:val="2"/>
          <w:sz w:val="32"/>
          <w:szCs w:val="32"/>
          <w:highlight w:val="none"/>
          <w:lang w:val="en-US" w:eastAsia="zh-CN" w:bidi="ar-SA"/>
        </w:rPr>
        <w:t>市财政局</w:t>
      </w:r>
      <w:r>
        <w:rPr>
          <w:rFonts w:hint="default" w:ascii="仿宋" w:hAnsi="仿宋" w:eastAsia="仿宋" w:cs="仿宋"/>
          <w:color w:val="auto"/>
          <w:kern w:val="2"/>
          <w:sz w:val="32"/>
          <w:szCs w:val="32"/>
          <w:highlight w:val="none"/>
          <w:lang w:val="en-US" w:eastAsia="zh-CN" w:bidi="ar-SA"/>
        </w:rPr>
        <w:t>要求的时间节点及时在</w:t>
      </w:r>
      <w:r>
        <w:rPr>
          <w:rFonts w:hint="eastAsia" w:ascii="仿宋" w:hAnsi="仿宋" w:eastAsia="仿宋" w:cs="仿宋"/>
          <w:color w:val="auto"/>
          <w:kern w:val="2"/>
          <w:sz w:val="32"/>
          <w:szCs w:val="32"/>
          <w:highlight w:val="none"/>
          <w:lang w:val="en-US" w:eastAsia="zh-CN" w:bidi="ar-SA"/>
        </w:rPr>
        <w:t>财政门户网站上</w:t>
      </w:r>
      <w:r>
        <w:rPr>
          <w:rFonts w:hint="default" w:ascii="仿宋" w:hAnsi="仿宋" w:eastAsia="仿宋" w:cs="仿宋"/>
          <w:color w:val="auto"/>
          <w:kern w:val="2"/>
          <w:sz w:val="32"/>
          <w:szCs w:val="32"/>
          <w:highlight w:val="none"/>
          <w:lang w:val="en-US" w:eastAsia="zh-CN" w:bidi="ar-SA"/>
        </w:rPr>
        <w:t>公开，保证信息资料真实、完整、准确，接受社会公众监督。</w:t>
      </w:r>
    </w:p>
    <w:p w14:paraId="0D944C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68E802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无。</w:t>
      </w: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44CD51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19BB9D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394B4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34F4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360F7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B2499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8BFA7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C7A9F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EE50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96AA3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A2292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C2D85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01B0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92A2F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64ADA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A7220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8775D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A0E28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3CC80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D33AC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61D18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7D365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59971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9984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3AFDBF4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361F0C1F">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C8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644FFEA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1C98D9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A9EFA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9E9D69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3B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7F0009BF">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12506EC6">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21</w:t>
            </w:r>
          </w:p>
        </w:tc>
        <w:tc>
          <w:tcPr>
            <w:tcW w:w="2240" w:type="dxa"/>
            <w:gridSpan w:val="2"/>
            <w:noWrap w:val="0"/>
            <w:vAlign w:val="center"/>
          </w:tcPr>
          <w:p w14:paraId="4E8E3B97">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15</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6E6C1EE">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71.43</w:t>
            </w:r>
            <w:r>
              <w:rPr>
                <w:rFonts w:hint="default" w:ascii="Times New Roman" w:hAnsi="Times New Roman" w:eastAsia="仿宋" w:cs="Times New Roman"/>
                <w:b w:val="0"/>
                <w:bCs w:val="0"/>
                <w:kern w:val="0"/>
                <w:sz w:val="20"/>
                <w:szCs w:val="20"/>
                <w:lang w:val="en-US" w:eastAsia="zh-CN"/>
              </w:rPr>
              <w:t>%</w:t>
            </w:r>
            <w:r>
              <w:rPr>
                <w:rFonts w:hint="default" w:ascii="Times New Roman" w:hAnsi="Times New Roman" w:eastAsia="仿宋" w:cs="Times New Roman"/>
                <w:b w:val="0"/>
                <w:bCs w:val="0"/>
                <w:kern w:val="0"/>
                <w:sz w:val="20"/>
                <w:szCs w:val="20"/>
              </w:rPr>
              <w:t>　</w:t>
            </w:r>
          </w:p>
        </w:tc>
      </w:tr>
      <w:tr w14:paraId="7CD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D5BF25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6AD728F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48766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7943B9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312C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5BDAD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1C1ABAE0">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_GB2312" w:cs="Times New Roman"/>
                <w:sz w:val="20"/>
                <w:szCs w:val="20"/>
                <w:lang w:val="en-US" w:eastAsia="zh-CN"/>
              </w:rPr>
              <w:t>2.85</w:t>
            </w:r>
          </w:p>
        </w:tc>
        <w:tc>
          <w:tcPr>
            <w:tcW w:w="2240" w:type="dxa"/>
            <w:gridSpan w:val="2"/>
            <w:shd w:val="clear" w:color="auto" w:fill="auto"/>
            <w:noWrap w:val="0"/>
            <w:vAlign w:val="center"/>
          </w:tcPr>
          <w:p w14:paraId="4C8C87FA">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3.8</w:t>
            </w:r>
            <w:r>
              <w:rPr>
                <w:rFonts w:hint="eastAsia" w:ascii="Times New Roman" w:hAnsi="Times New Roman" w:eastAsia="仿宋_GB2312" w:cs="Times New Roman"/>
                <w:kern w:val="2"/>
                <w:sz w:val="20"/>
                <w:szCs w:val="20"/>
                <w:lang w:val="en-US" w:eastAsia="zh-CN" w:bidi="ar-SA"/>
              </w:rPr>
              <w:t>0</w:t>
            </w:r>
          </w:p>
        </w:tc>
        <w:tc>
          <w:tcPr>
            <w:tcW w:w="1832" w:type="dxa"/>
            <w:gridSpan w:val="2"/>
            <w:shd w:val="clear" w:color="auto" w:fill="auto"/>
            <w:noWrap w:val="0"/>
            <w:vAlign w:val="center"/>
          </w:tcPr>
          <w:p w14:paraId="03F481CF">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3.67</w:t>
            </w:r>
          </w:p>
        </w:tc>
      </w:tr>
      <w:tr w14:paraId="2E4E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349B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23AEB32B">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2.27</w:t>
            </w:r>
          </w:p>
        </w:tc>
        <w:tc>
          <w:tcPr>
            <w:tcW w:w="2240" w:type="dxa"/>
            <w:gridSpan w:val="2"/>
            <w:shd w:val="clear" w:color="auto" w:fill="auto"/>
            <w:noWrap w:val="0"/>
            <w:vAlign w:val="center"/>
          </w:tcPr>
          <w:p w14:paraId="719B73B0">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2.80</w:t>
            </w:r>
          </w:p>
        </w:tc>
        <w:tc>
          <w:tcPr>
            <w:tcW w:w="1832" w:type="dxa"/>
            <w:gridSpan w:val="2"/>
            <w:shd w:val="clear" w:color="auto" w:fill="auto"/>
            <w:noWrap w:val="0"/>
            <w:vAlign w:val="center"/>
          </w:tcPr>
          <w:p w14:paraId="64FCC4DD">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2.8</w:t>
            </w:r>
            <w:r>
              <w:rPr>
                <w:rFonts w:hint="eastAsia" w:ascii="Times New Roman" w:hAnsi="Times New Roman" w:eastAsia="仿宋_GB2312" w:cs="Times New Roman"/>
                <w:kern w:val="2"/>
                <w:sz w:val="20"/>
                <w:szCs w:val="20"/>
                <w:lang w:val="en-US" w:eastAsia="zh-CN" w:bidi="ar-SA"/>
              </w:rPr>
              <w:t>0</w:t>
            </w:r>
          </w:p>
        </w:tc>
      </w:tr>
      <w:tr w14:paraId="50B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E5A9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D4BCDB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shd w:val="clear" w:color="auto" w:fill="auto"/>
            <w:noWrap w:val="0"/>
            <w:vAlign w:val="center"/>
          </w:tcPr>
          <w:p w14:paraId="05773CEE">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9CE3750">
            <w:pPr>
              <w:widowControl/>
              <w:jc w:val="center"/>
              <w:rPr>
                <w:rFonts w:hint="default" w:ascii="Times New Roman" w:hAnsi="Times New Roman" w:eastAsia="仿宋_GB2312" w:cs="Times New Roman"/>
                <w:kern w:val="2"/>
                <w:sz w:val="20"/>
                <w:szCs w:val="20"/>
                <w:lang w:val="en-US" w:eastAsia="zh-CN" w:bidi="ar-SA"/>
              </w:rPr>
            </w:pPr>
          </w:p>
        </w:tc>
      </w:tr>
      <w:tr w14:paraId="3FC1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15A52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019AEF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2.27</w:t>
            </w:r>
          </w:p>
        </w:tc>
        <w:tc>
          <w:tcPr>
            <w:tcW w:w="2240" w:type="dxa"/>
            <w:gridSpan w:val="2"/>
            <w:shd w:val="clear" w:color="auto" w:fill="auto"/>
            <w:noWrap w:val="0"/>
            <w:vAlign w:val="center"/>
          </w:tcPr>
          <w:p w14:paraId="18973460">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2.80</w:t>
            </w:r>
          </w:p>
        </w:tc>
        <w:tc>
          <w:tcPr>
            <w:tcW w:w="1832" w:type="dxa"/>
            <w:gridSpan w:val="2"/>
            <w:shd w:val="clear" w:color="auto" w:fill="auto"/>
            <w:noWrap w:val="0"/>
            <w:vAlign w:val="center"/>
          </w:tcPr>
          <w:p w14:paraId="72C2C90B">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2.8</w:t>
            </w:r>
            <w:r>
              <w:rPr>
                <w:rFonts w:hint="eastAsia" w:ascii="Times New Roman" w:hAnsi="Times New Roman" w:eastAsia="仿宋_GB2312" w:cs="Times New Roman"/>
                <w:kern w:val="2"/>
                <w:sz w:val="20"/>
                <w:szCs w:val="20"/>
                <w:lang w:val="en-US" w:eastAsia="zh-CN" w:bidi="ar-SA"/>
              </w:rPr>
              <w:t>0</w:t>
            </w:r>
          </w:p>
        </w:tc>
      </w:tr>
      <w:tr w14:paraId="418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75CF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E69F8C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shd w:val="clear" w:color="auto" w:fill="auto"/>
            <w:noWrap w:val="0"/>
            <w:vAlign w:val="center"/>
          </w:tcPr>
          <w:p w14:paraId="034E7ABD">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35992097">
            <w:pPr>
              <w:widowControl/>
              <w:jc w:val="center"/>
              <w:rPr>
                <w:rFonts w:hint="default" w:ascii="Times New Roman" w:hAnsi="Times New Roman" w:eastAsia="仿宋_GB2312" w:cs="Times New Roman"/>
                <w:kern w:val="2"/>
                <w:sz w:val="20"/>
                <w:szCs w:val="20"/>
                <w:lang w:val="en-US" w:eastAsia="zh-CN" w:bidi="ar-SA"/>
              </w:rPr>
            </w:pPr>
          </w:p>
        </w:tc>
      </w:tr>
      <w:tr w14:paraId="4F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5705F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76CADF02">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0.58　</w:t>
            </w:r>
          </w:p>
        </w:tc>
        <w:tc>
          <w:tcPr>
            <w:tcW w:w="2240" w:type="dxa"/>
            <w:gridSpan w:val="2"/>
            <w:shd w:val="clear" w:color="auto" w:fill="auto"/>
            <w:noWrap w:val="0"/>
            <w:vAlign w:val="center"/>
          </w:tcPr>
          <w:p w14:paraId="3B2B10DD">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1</w:t>
            </w:r>
          </w:p>
        </w:tc>
        <w:tc>
          <w:tcPr>
            <w:tcW w:w="1832" w:type="dxa"/>
            <w:gridSpan w:val="2"/>
            <w:shd w:val="clear" w:color="auto" w:fill="auto"/>
            <w:noWrap w:val="0"/>
            <w:vAlign w:val="center"/>
          </w:tcPr>
          <w:p w14:paraId="38C23E71">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rPr>
              <w:t>0.87</w:t>
            </w:r>
          </w:p>
        </w:tc>
      </w:tr>
      <w:tr w14:paraId="0CD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17115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3F841EA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283.44　</w:t>
            </w:r>
          </w:p>
        </w:tc>
        <w:tc>
          <w:tcPr>
            <w:tcW w:w="2240" w:type="dxa"/>
            <w:gridSpan w:val="2"/>
            <w:shd w:val="clear" w:color="auto" w:fill="auto"/>
            <w:noWrap w:val="0"/>
            <w:vAlign w:val="center"/>
          </w:tcPr>
          <w:p w14:paraId="22A2A168">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76.5</w:t>
            </w:r>
            <w:r>
              <w:rPr>
                <w:rFonts w:hint="eastAsia" w:ascii="Times New Roman" w:hAnsi="Times New Roman" w:eastAsia="仿宋_GB2312" w:cs="Times New Roman"/>
                <w:kern w:val="2"/>
                <w:sz w:val="20"/>
                <w:szCs w:val="20"/>
                <w:lang w:val="en-US" w:eastAsia="zh-CN" w:bidi="ar-SA"/>
              </w:rPr>
              <w:t>0</w:t>
            </w:r>
          </w:p>
        </w:tc>
        <w:tc>
          <w:tcPr>
            <w:tcW w:w="1832" w:type="dxa"/>
            <w:gridSpan w:val="2"/>
            <w:shd w:val="clear" w:color="auto" w:fill="auto"/>
            <w:noWrap w:val="0"/>
            <w:vAlign w:val="center"/>
          </w:tcPr>
          <w:p w14:paraId="47D255E4">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107.37</w:t>
            </w:r>
          </w:p>
        </w:tc>
      </w:tr>
      <w:tr w14:paraId="70D7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DA5C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6F1B7A31">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58859A5B">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1A1B76F8">
            <w:pPr>
              <w:widowControl/>
              <w:jc w:val="center"/>
              <w:rPr>
                <w:rFonts w:hint="default" w:ascii="Times New Roman" w:hAnsi="Times New Roman" w:eastAsia="仿宋_GB2312" w:cs="Times New Roman"/>
                <w:kern w:val="2"/>
                <w:sz w:val="20"/>
                <w:szCs w:val="20"/>
                <w:lang w:val="en-US" w:eastAsia="zh-CN" w:bidi="ar-SA"/>
              </w:rPr>
            </w:pPr>
          </w:p>
        </w:tc>
      </w:tr>
      <w:tr w14:paraId="56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A008D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7F900988">
            <w:pPr>
              <w:widowControl/>
              <w:jc w:val="center"/>
              <w:rPr>
                <w:rFonts w:hint="default" w:ascii="Times New Roman" w:hAnsi="Times New Roman" w:eastAsia="仿宋_GB2312" w:cs="Times New Roman"/>
                <w:sz w:val="20"/>
                <w:szCs w:val="20"/>
                <w:lang w:val="en-US" w:eastAsia="zh-CN"/>
              </w:rPr>
            </w:pPr>
          </w:p>
        </w:tc>
        <w:tc>
          <w:tcPr>
            <w:tcW w:w="2240" w:type="dxa"/>
            <w:gridSpan w:val="2"/>
            <w:shd w:val="clear" w:color="auto" w:fill="auto"/>
            <w:noWrap w:val="0"/>
            <w:vAlign w:val="center"/>
          </w:tcPr>
          <w:p w14:paraId="228B88B7">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1FC2F442">
            <w:pPr>
              <w:widowControl/>
              <w:jc w:val="center"/>
              <w:rPr>
                <w:rFonts w:hint="default" w:ascii="Times New Roman" w:hAnsi="Times New Roman" w:eastAsia="仿宋_GB2312" w:cs="Times New Roman"/>
                <w:kern w:val="2"/>
                <w:sz w:val="20"/>
                <w:szCs w:val="20"/>
                <w:lang w:val="en-US" w:eastAsia="zh-CN" w:bidi="ar-SA"/>
              </w:rPr>
            </w:pPr>
          </w:p>
        </w:tc>
      </w:tr>
      <w:tr w14:paraId="2B9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8EC2AD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1DA4A87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017ADD">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283.44</w:t>
            </w:r>
          </w:p>
        </w:tc>
        <w:tc>
          <w:tcPr>
            <w:tcW w:w="2240" w:type="dxa"/>
            <w:gridSpan w:val="2"/>
            <w:shd w:val="clear" w:color="auto" w:fill="auto"/>
            <w:noWrap w:val="0"/>
            <w:vAlign w:val="center"/>
          </w:tcPr>
          <w:p w14:paraId="0CCE9AA5">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76.5</w:t>
            </w:r>
            <w:r>
              <w:rPr>
                <w:rFonts w:hint="eastAsia" w:ascii="Times New Roman" w:hAnsi="Times New Roman" w:eastAsia="仿宋_GB2312" w:cs="Times New Roman"/>
                <w:kern w:val="2"/>
                <w:sz w:val="20"/>
                <w:szCs w:val="20"/>
                <w:lang w:val="en-US" w:eastAsia="zh-CN" w:bidi="ar-SA"/>
              </w:rPr>
              <w:t>0</w:t>
            </w:r>
          </w:p>
        </w:tc>
        <w:tc>
          <w:tcPr>
            <w:tcW w:w="1832" w:type="dxa"/>
            <w:gridSpan w:val="2"/>
            <w:shd w:val="clear" w:color="auto" w:fill="auto"/>
            <w:noWrap w:val="0"/>
            <w:vAlign w:val="center"/>
          </w:tcPr>
          <w:p w14:paraId="79800FE4">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107.37</w:t>
            </w:r>
          </w:p>
        </w:tc>
      </w:tr>
      <w:tr w14:paraId="61EC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587E63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《怀化市志》工作经费</w:t>
            </w:r>
          </w:p>
        </w:tc>
        <w:tc>
          <w:tcPr>
            <w:tcW w:w="2038" w:type="dxa"/>
            <w:gridSpan w:val="2"/>
            <w:noWrap w:val="0"/>
            <w:vAlign w:val="center"/>
          </w:tcPr>
          <w:p w14:paraId="15730C66">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12.58</w:t>
            </w:r>
          </w:p>
        </w:tc>
        <w:tc>
          <w:tcPr>
            <w:tcW w:w="2240" w:type="dxa"/>
            <w:gridSpan w:val="2"/>
            <w:shd w:val="clear" w:color="auto" w:fill="auto"/>
            <w:noWrap w:val="0"/>
            <w:vAlign w:val="center"/>
          </w:tcPr>
          <w:p w14:paraId="58EEC8DC">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13</w:t>
            </w:r>
          </w:p>
        </w:tc>
        <w:tc>
          <w:tcPr>
            <w:tcW w:w="1832" w:type="dxa"/>
            <w:gridSpan w:val="2"/>
            <w:shd w:val="clear" w:color="auto" w:fill="auto"/>
            <w:noWrap w:val="0"/>
            <w:vAlign w:val="center"/>
          </w:tcPr>
          <w:p w14:paraId="711E6B2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w:t>
            </w:r>
          </w:p>
        </w:tc>
      </w:tr>
      <w:tr w14:paraId="1405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2389A6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业务费</w:t>
            </w:r>
          </w:p>
        </w:tc>
        <w:tc>
          <w:tcPr>
            <w:tcW w:w="2038" w:type="dxa"/>
            <w:gridSpan w:val="2"/>
            <w:noWrap w:val="0"/>
            <w:vAlign w:val="center"/>
          </w:tcPr>
          <w:p w14:paraId="4FD0170D">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3.87</w:t>
            </w:r>
          </w:p>
        </w:tc>
        <w:tc>
          <w:tcPr>
            <w:tcW w:w="2240" w:type="dxa"/>
            <w:gridSpan w:val="2"/>
            <w:shd w:val="clear" w:color="auto" w:fill="auto"/>
            <w:noWrap w:val="0"/>
            <w:vAlign w:val="center"/>
          </w:tcPr>
          <w:p w14:paraId="589D6840">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bidi="ar-SA"/>
              </w:rPr>
              <w:t>4</w:t>
            </w:r>
          </w:p>
        </w:tc>
        <w:tc>
          <w:tcPr>
            <w:tcW w:w="1832" w:type="dxa"/>
            <w:gridSpan w:val="2"/>
            <w:shd w:val="clear" w:color="auto" w:fill="auto"/>
            <w:noWrap w:val="0"/>
            <w:vAlign w:val="center"/>
          </w:tcPr>
          <w:p w14:paraId="0594C7A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w:t>
            </w:r>
          </w:p>
        </w:tc>
      </w:tr>
      <w:tr w14:paraId="2D6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58B8ADB">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《中国共产党怀化历史》（三）</w:t>
            </w:r>
          </w:p>
        </w:tc>
        <w:tc>
          <w:tcPr>
            <w:tcW w:w="2038" w:type="dxa"/>
            <w:gridSpan w:val="2"/>
            <w:noWrap w:val="0"/>
            <w:vAlign w:val="center"/>
          </w:tcPr>
          <w:p w14:paraId="16770499">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240" w:type="dxa"/>
            <w:gridSpan w:val="2"/>
            <w:noWrap w:val="0"/>
            <w:vAlign w:val="center"/>
          </w:tcPr>
          <w:p w14:paraId="62A9FD42">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1832" w:type="dxa"/>
            <w:gridSpan w:val="2"/>
            <w:shd w:val="clear" w:color="auto" w:fill="auto"/>
            <w:noWrap w:val="0"/>
            <w:vAlign w:val="center"/>
          </w:tcPr>
          <w:p w14:paraId="72F6FC09">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6F9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70DE3A7">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《怀化年鉴》</w:t>
            </w:r>
          </w:p>
        </w:tc>
        <w:tc>
          <w:tcPr>
            <w:tcW w:w="2038" w:type="dxa"/>
            <w:gridSpan w:val="2"/>
            <w:noWrap w:val="0"/>
            <w:vAlign w:val="center"/>
          </w:tcPr>
          <w:p w14:paraId="136A385A">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240" w:type="dxa"/>
            <w:gridSpan w:val="2"/>
            <w:noWrap w:val="0"/>
            <w:vAlign w:val="center"/>
          </w:tcPr>
          <w:p w14:paraId="1077E53C">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1832" w:type="dxa"/>
            <w:gridSpan w:val="2"/>
            <w:shd w:val="clear" w:color="auto" w:fill="auto"/>
            <w:noWrap w:val="0"/>
            <w:vAlign w:val="center"/>
          </w:tcPr>
          <w:p w14:paraId="04029C3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r>
      <w:tr w14:paraId="749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72C3D02">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《怀化党委工作纪事》</w:t>
            </w:r>
          </w:p>
        </w:tc>
        <w:tc>
          <w:tcPr>
            <w:tcW w:w="2038" w:type="dxa"/>
            <w:gridSpan w:val="2"/>
            <w:noWrap w:val="0"/>
            <w:vAlign w:val="center"/>
          </w:tcPr>
          <w:p w14:paraId="192CBB2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2240" w:type="dxa"/>
            <w:gridSpan w:val="2"/>
            <w:noWrap w:val="0"/>
            <w:vAlign w:val="center"/>
          </w:tcPr>
          <w:p w14:paraId="3AAF9F81">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c>
          <w:tcPr>
            <w:tcW w:w="1832" w:type="dxa"/>
            <w:gridSpan w:val="2"/>
            <w:shd w:val="clear" w:color="auto" w:fill="auto"/>
            <w:noWrap w:val="0"/>
            <w:vAlign w:val="center"/>
          </w:tcPr>
          <w:p w14:paraId="7B434D4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w:t>
            </w:r>
          </w:p>
        </w:tc>
      </w:tr>
      <w:tr w14:paraId="129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3606588">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党史联络工作经费</w:t>
            </w:r>
          </w:p>
        </w:tc>
        <w:tc>
          <w:tcPr>
            <w:tcW w:w="2038" w:type="dxa"/>
            <w:gridSpan w:val="2"/>
            <w:noWrap w:val="0"/>
            <w:vAlign w:val="center"/>
          </w:tcPr>
          <w:p w14:paraId="749654E4">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0C7971D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28.50</w:t>
            </w:r>
          </w:p>
        </w:tc>
        <w:tc>
          <w:tcPr>
            <w:tcW w:w="1832" w:type="dxa"/>
            <w:gridSpan w:val="2"/>
            <w:shd w:val="clear" w:color="auto" w:fill="auto"/>
            <w:noWrap w:val="0"/>
            <w:vAlign w:val="center"/>
          </w:tcPr>
          <w:p w14:paraId="2880DF3E">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w:t>
            </w:r>
          </w:p>
        </w:tc>
      </w:tr>
      <w:tr w14:paraId="73C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136AE7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《湖南乡镇简志·怀化卷》</w:t>
            </w:r>
          </w:p>
        </w:tc>
        <w:tc>
          <w:tcPr>
            <w:tcW w:w="2038" w:type="dxa"/>
            <w:gridSpan w:val="2"/>
            <w:noWrap w:val="0"/>
            <w:vAlign w:val="center"/>
          </w:tcPr>
          <w:p w14:paraId="6AE39A02">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49.79</w:t>
            </w:r>
          </w:p>
        </w:tc>
        <w:tc>
          <w:tcPr>
            <w:tcW w:w="2240" w:type="dxa"/>
            <w:gridSpan w:val="2"/>
            <w:noWrap w:val="0"/>
            <w:vAlign w:val="center"/>
          </w:tcPr>
          <w:p w14:paraId="07847392">
            <w:pPr>
              <w:widowControl/>
              <w:jc w:val="center"/>
              <w:rPr>
                <w:rFonts w:hint="default" w:ascii="Times New Roman" w:hAnsi="Times New Roman" w:eastAsia="仿宋_GB2312" w:cs="Times New Roman"/>
                <w:sz w:val="20"/>
                <w:szCs w:val="20"/>
                <w:lang w:val="en-US" w:eastAsia="zh-CN"/>
              </w:rPr>
            </w:pPr>
          </w:p>
        </w:tc>
        <w:tc>
          <w:tcPr>
            <w:tcW w:w="1832" w:type="dxa"/>
            <w:gridSpan w:val="2"/>
            <w:shd w:val="clear" w:color="auto" w:fill="auto"/>
            <w:noWrap w:val="0"/>
            <w:vAlign w:val="center"/>
          </w:tcPr>
          <w:p w14:paraId="47464B73">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6.22</w:t>
            </w:r>
          </w:p>
        </w:tc>
      </w:tr>
      <w:tr w14:paraId="49B9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4A7B456">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《怀化市志(1978-2010)》</w:t>
            </w:r>
          </w:p>
        </w:tc>
        <w:tc>
          <w:tcPr>
            <w:tcW w:w="2038" w:type="dxa"/>
            <w:gridSpan w:val="2"/>
            <w:noWrap w:val="0"/>
            <w:vAlign w:val="center"/>
          </w:tcPr>
          <w:p w14:paraId="441DA066">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160.44</w:t>
            </w:r>
          </w:p>
        </w:tc>
        <w:tc>
          <w:tcPr>
            <w:tcW w:w="2240" w:type="dxa"/>
            <w:gridSpan w:val="2"/>
            <w:noWrap w:val="0"/>
            <w:vAlign w:val="center"/>
          </w:tcPr>
          <w:p w14:paraId="189AB438">
            <w:pPr>
              <w:widowControl/>
              <w:jc w:val="center"/>
              <w:rPr>
                <w:rFonts w:hint="default" w:ascii="Times New Roman" w:hAnsi="Times New Roman" w:eastAsia="仿宋_GB2312" w:cs="Times New Roman"/>
                <w:sz w:val="20"/>
                <w:szCs w:val="20"/>
                <w:lang w:val="en-US" w:eastAsia="zh-CN"/>
              </w:rPr>
            </w:pPr>
          </w:p>
        </w:tc>
        <w:tc>
          <w:tcPr>
            <w:tcW w:w="1832" w:type="dxa"/>
            <w:gridSpan w:val="2"/>
            <w:shd w:val="clear" w:color="auto" w:fill="auto"/>
            <w:noWrap w:val="0"/>
            <w:vAlign w:val="center"/>
          </w:tcPr>
          <w:p w14:paraId="7F37A862">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32.15</w:t>
            </w:r>
          </w:p>
        </w:tc>
      </w:tr>
      <w:tr w14:paraId="1E3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9738FB3">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党史联络组经费</w:t>
            </w:r>
          </w:p>
        </w:tc>
        <w:tc>
          <w:tcPr>
            <w:tcW w:w="2038" w:type="dxa"/>
            <w:gridSpan w:val="2"/>
            <w:noWrap w:val="0"/>
            <w:vAlign w:val="center"/>
          </w:tcPr>
          <w:p w14:paraId="27AD7835">
            <w:pPr>
              <w:widowControl/>
              <w:jc w:val="center"/>
              <w:rPr>
                <w:rFonts w:hint="eastAsia"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20.76</w:t>
            </w:r>
          </w:p>
        </w:tc>
        <w:tc>
          <w:tcPr>
            <w:tcW w:w="2240" w:type="dxa"/>
            <w:gridSpan w:val="2"/>
            <w:noWrap w:val="0"/>
            <w:vAlign w:val="center"/>
          </w:tcPr>
          <w:p w14:paraId="244580D3">
            <w:pPr>
              <w:widowControl/>
              <w:jc w:val="center"/>
              <w:rPr>
                <w:rFonts w:hint="default" w:ascii="Times New Roman" w:hAnsi="Times New Roman" w:eastAsia="仿宋" w:cs="Times New Roman"/>
                <w:b w:val="0"/>
                <w:bCs w:val="0"/>
                <w:kern w:val="0"/>
                <w:sz w:val="20"/>
                <w:szCs w:val="20"/>
              </w:rPr>
            </w:pPr>
          </w:p>
        </w:tc>
        <w:tc>
          <w:tcPr>
            <w:tcW w:w="1832" w:type="dxa"/>
            <w:gridSpan w:val="2"/>
            <w:shd w:val="clear" w:color="auto" w:fill="auto"/>
            <w:noWrap w:val="0"/>
            <w:vAlign w:val="center"/>
          </w:tcPr>
          <w:p w14:paraId="0FAC83FB">
            <w:pPr>
              <w:widowControl/>
              <w:jc w:val="center"/>
              <w:rPr>
                <w:rFonts w:hint="default" w:ascii="Times New Roman" w:hAnsi="Times New Roman" w:eastAsia="仿宋_GB2312" w:cs="Times New Roman"/>
                <w:kern w:val="2"/>
                <w:sz w:val="20"/>
                <w:szCs w:val="20"/>
                <w:lang w:val="en-US" w:eastAsia="zh-CN" w:bidi="ar-SA"/>
              </w:rPr>
            </w:pPr>
          </w:p>
        </w:tc>
      </w:tr>
      <w:tr w14:paraId="26DC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5D7B5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安江纺织印染厂志印刷经费</w:t>
            </w:r>
          </w:p>
        </w:tc>
        <w:tc>
          <w:tcPr>
            <w:tcW w:w="2038" w:type="dxa"/>
            <w:gridSpan w:val="2"/>
            <w:noWrap w:val="0"/>
            <w:vAlign w:val="center"/>
          </w:tcPr>
          <w:p w14:paraId="0E335BC6">
            <w:pPr>
              <w:widowControl/>
              <w:jc w:val="center"/>
              <w:rPr>
                <w:rFonts w:hint="eastAsia"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5</w:t>
            </w:r>
          </w:p>
        </w:tc>
        <w:tc>
          <w:tcPr>
            <w:tcW w:w="2240" w:type="dxa"/>
            <w:gridSpan w:val="2"/>
            <w:noWrap w:val="0"/>
            <w:vAlign w:val="center"/>
          </w:tcPr>
          <w:p w14:paraId="7D4F4A7E">
            <w:pPr>
              <w:widowControl/>
              <w:jc w:val="center"/>
              <w:rPr>
                <w:rFonts w:hint="default" w:ascii="Times New Roman" w:hAnsi="Times New Roman" w:eastAsia="仿宋" w:cs="Times New Roman"/>
                <w:b w:val="0"/>
                <w:bCs w:val="0"/>
                <w:kern w:val="0"/>
                <w:sz w:val="20"/>
                <w:szCs w:val="20"/>
              </w:rPr>
            </w:pPr>
          </w:p>
        </w:tc>
        <w:tc>
          <w:tcPr>
            <w:tcW w:w="1832" w:type="dxa"/>
            <w:gridSpan w:val="2"/>
            <w:shd w:val="clear" w:color="auto" w:fill="auto"/>
            <w:noWrap w:val="0"/>
            <w:vAlign w:val="center"/>
          </w:tcPr>
          <w:p w14:paraId="6ABA5181">
            <w:pPr>
              <w:widowControl/>
              <w:jc w:val="center"/>
              <w:rPr>
                <w:rFonts w:hint="default" w:ascii="Times New Roman" w:hAnsi="Times New Roman" w:eastAsia="仿宋_GB2312" w:cs="Times New Roman"/>
                <w:kern w:val="2"/>
                <w:sz w:val="20"/>
                <w:szCs w:val="20"/>
                <w:lang w:val="en-US" w:eastAsia="zh-CN" w:bidi="ar-SA"/>
              </w:rPr>
            </w:pPr>
          </w:p>
        </w:tc>
      </w:tr>
      <w:tr w14:paraId="78E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A79149F">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1463F05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6B77202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shd w:val="clear" w:color="auto" w:fill="auto"/>
            <w:noWrap w:val="0"/>
            <w:vAlign w:val="center"/>
          </w:tcPr>
          <w:p w14:paraId="4CA8B97D">
            <w:pPr>
              <w:widowControl/>
              <w:jc w:val="center"/>
              <w:rPr>
                <w:rFonts w:hint="default" w:ascii="Times New Roman" w:hAnsi="Times New Roman" w:eastAsia="仿宋_GB2312" w:cs="Times New Roman"/>
                <w:kern w:val="2"/>
                <w:sz w:val="20"/>
                <w:szCs w:val="20"/>
                <w:lang w:val="en-US" w:eastAsia="zh-CN" w:bidi="ar-SA"/>
              </w:rPr>
            </w:pPr>
          </w:p>
        </w:tc>
      </w:tr>
      <w:tr w14:paraId="348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5CFD04D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shd w:val="clear" w:color="auto" w:fill="auto"/>
            <w:noWrap w:val="0"/>
            <w:vAlign w:val="center"/>
          </w:tcPr>
          <w:p w14:paraId="17DBD7DE">
            <w:pPr>
              <w:widowControl/>
              <w:jc w:val="center"/>
              <w:rPr>
                <w:rFonts w:hint="default" w:ascii="Times New Roman" w:hAnsi="Times New Roman" w:eastAsia="仿宋_GB2312" w:cs="Times New Roman"/>
                <w:kern w:val="2"/>
                <w:sz w:val="20"/>
                <w:szCs w:val="20"/>
                <w:lang w:val="en-US" w:eastAsia="zh-CN" w:bidi="ar-SA"/>
              </w:rPr>
            </w:pPr>
          </w:p>
        </w:tc>
        <w:tc>
          <w:tcPr>
            <w:tcW w:w="2240" w:type="dxa"/>
            <w:gridSpan w:val="2"/>
            <w:shd w:val="clear" w:color="auto" w:fill="auto"/>
            <w:noWrap w:val="0"/>
            <w:vAlign w:val="center"/>
          </w:tcPr>
          <w:p w14:paraId="73E579C5">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5379450E">
            <w:pPr>
              <w:widowControl/>
              <w:jc w:val="center"/>
              <w:rPr>
                <w:rFonts w:hint="default" w:ascii="Times New Roman" w:hAnsi="Times New Roman" w:eastAsia="仿宋_GB2312" w:cs="Times New Roman"/>
                <w:kern w:val="2"/>
                <w:sz w:val="20"/>
                <w:szCs w:val="20"/>
                <w:lang w:val="en-US" w:eastAsia="zh-CN" w:bidi="ar-SA"/>
              </w:rPr>
            </w:pPr>
          </w:p>
        </w:tc>
      </w:tr>
      <w:tr w14:paraId="6E0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011A64">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highlight w:val="none"/>
                <w:lang w:val="en-US" w:eastAsia="zh-CN"/>
              </w:rPr>
              <w:t>公用经费</w:t>
            </w:r>
          </w:p>
        </w:tc>
        <w:tc>
          <w:tcPr>
            <w:tcW w:w="2038" w:type="dxa"/>
            <w:gridSpan w:val="2"/>
            <w:shd w:val="clear" w:color="auto" w:fill="auto"/>
            <w:noWrap w:val="0"/>
            <w:vAlign w:val="center"/>
          </w:tcPr>
          <w:p w14:paraId="6FE56C30">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50.22</w:t>
            </w:r>
          </w:p>
        </w:tc>
        <w:tc>
          <w:tcPr>
            <w:tcW w:w="2240" w:type="dxa"/>
            <w:gridSpan w:val="2"/>
            <w:shd w:val="clear" w:color="auto" w:fill="auto"/>
            <w:noWrap w:val="0"/>
            <w:vAlign w:val="center"/>
          </w:tcPr>
          <w:p w14:paraId="4D53D861">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38.95</w:t>
            </w:r>
          </w:p>
        </w:tc>
        <w:tc>
          <w:tcPr>
            <w:tcW w:w="1832" w:type="dxa"/>
            <w:gridSpan w:val="2"/>
            <w:shd w:val="clear" w:color="auto" w:fill="auto"/>
            <w:noWrap w:val="0"/>
            <w:vAlign w:val="center"/>
          </w:tcPr>
          <w:p w14:paraId="0DBE2650">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65.52</w:t>
            </w:r>
          </w:p>
        </w:tc>
      </w:tr>
      <w:tr w14:paraId="605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B51628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52905801">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0.28</w:t>
            </w:r>
          </w:p>
        </w:tc>
        <w:tc>
          <w:tcPr>
            <w:tcW w:w="2240" w:type="dxa"/>
            <w:gridSpan w:val="2"/>
            <w:shd w:val="clear" w:color="auto" w:fill="auto"/>
            <w:noWrap w:val="0"/>
            <w:vAlign w:val="center"/>
          </w:tcPr>
          <w:p w14:paraId="6A3B5C67">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w:t>
            </w:r>
          </w:p>
        </w:tc>
        <w:tc>
          <w:tcPr>
            <w:tcW w:w="1832" w:type="dxa"/>
            <w:gridSpan w:val="2"/>
            <w:shd w:val="clear" w:color="auto" w:fill="auto"/>
            <w:noWrap w:val="0"/>
            <w:vAlign w:val="center"/>
          </w:tcPr>
          <w:p w14:paraId="70D0A982">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0.47</w:t>
            </w:r>
          </w:p>
        </w:tc>
      </w:tr>
      <w:tr w14:paraId="313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13A6A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41E1928C">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0.07</w:t>
            </w:r>
          </w:p>
        </w:tc>
        <w:tc>
          <w:tcPr>
            <w:tcW w:w="2240" w:type="dxa"/>
            <w:gridSpan w:val="2"/>
            <w:shd w:val="clear" w:color="auto" w:fill="auto"/>
            <w:noWrap w:val="0"/>
            <w:vAlign w:val="center"/>
          </w:tcPr>
          <w:p w14:paraId="1681EE95">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1.30</w:t>
            </w:r>
          </w:p>
        </w:tc>
        <w:tc>
          <w:tcPr>
            <w:tcW w:w="1832" w:type="dxa"/>
            <w:gridSpan w:val="2"/>
            <w:shd w:val="clear" w:color="auto" w:fill="auto"/>
            <w:noWrap w:val="0"/>
            <w:vAlign w:val="center"/>
          </w:tcPr>
          <w:p w14:paraId="6D1FFD8C">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3.02</w:t>
            </w:r>
          </w:p>
        </w:tc>
      </w:tr>
      <w:tr w14:paraId="5E23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33A2483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4E0300FB">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0</w:t>
            </w:r>
          </w:p>
        </w:tc>
        <w:tc>
          <w:tcPr>
            <w:tcW w:w="2240" w:type="dxa"/>
            <w:gridSpan w:val="2"/>
            <w:shd w:val="clear" w:color="auto" w:fill="auto"/>
            <w:noWrap w:val="0"/>
            <w:vAlign w:val="center"/>
          </w:tcPr>
          <w:p w14:paraId="3CA51C1B">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0</w:t>
            </w:r>
          </w:p>
        </w:tc>
        <w:tc>
          <w:tcPr>
            <w:tcW w:w="1832" w:type="dxa"/>
            <w:gridSpan w:val="2"/>
            <w:shd w:val="clear" w:color="auto" w:fill="auto"/>
            <w:noWrap w:val="0"/>
            <w:vAlign w:val="center"/>
          </w:tcPr>
          <w:p w14:paraId="4FA7D69D">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0</w:t>
            </w:r>
          </w:p>
        </w:tc>
      </w:tr>
      <w:tr w14:paraId="3D3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C3C7D7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highlight w:val="none"/>
              </w:rPr>
              <w:t>政府采购金额</w:t>
            </w:r>
          </w:p>
        </w:tc>
        <w:tc>
          <w:tcPr>
            <w:tcW w:w="2038" w:type="dxa"/>
            <w:gridSpan w:val="2"/>
            <w:shd w:val="clear" w:color="auto" w:fill="auto"/>
            <w:noWrap w:val="0"/>
            <w:vAlign w:val="center"/>
          </w:tcPr>
          <w:p w14:paraId="4D72B6D4">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rPr>
              <w:t>　</w:t>
            </w:r>
          </w:p>
        </w:tc>
        <w:tc>
          <w:tcPr>
            <w:tcW w:w="2240" w:type="dxa"/>
            <w:gridSpan w:val="2"/>
            <w:shd w:val="clear" w:color="auto" w:fill="auto"/>
            <w:noWrap w:val="0"/>
            <w:vAlign w:val="center"/>
          </w:tcPr>
          <w:p w14:paraId="50449A03">
            <w:pPr>
              <w:widowControl/>
              <w:jc w:val="center"/>
              <w:rPr>
                <w:rFonts w:hint="default" w:ascii="Times New Roman" w:hAnsi="Times New Roman" w:eastAsia="仿宋" w:cs="Times New Roman"/>
                <w:b w:val="0"/>
                <w:bCs w:val="0"/>
                <w:kern w:val="0"/>
                <w:sz w:val="20"/>
                <w:szCs w:val="20"/>
                <w:lang w:val="en-US" w:eastAsia="zh-CN" w:bidi="ar-SA"/>
              </w:rPr>
            </w:pPr>
            <w:r>
              <w:rPr>
                <w:rFonts w:hint="eastAsia" w:ascii="Times New Roman" w:hAnsi="Times New Roman" w:eastAsia="仿宋" w:cs="Times New Roman"/>
                <w:b w:val="0"/>
                <w:bCs w:val="0"/>
                <w:kern w:val="0"/>
                <w:sz w:val="20"/>
                <w:szCs w:val="20"/>
                <w:lang w:val="en-US" w:eastAsia="zh-CN"/>
              </w:rPr>
              <w:t>0</w:t>
            </w:r>
            <w:r>
              <w:rPr>
                <w:rFonts w:hint="default" w:ascii="Times New Roman" w:hAnsi="Times New Roman" w:eastAsia="仿宋" w:cs="Times New Roman"/>
                <w:b w:val="0"/>
                <w:bCs w:val="0"/>
                <w:kern w:val="0"/>
                <w:sz w:val="20"/>
                <w:szCs w:val="20"/>
              </w:rPr>
              <w:t>　</w:t>
            </w:r>
          </w:p>
        </w:tc>
        <w:tc>
          <w:tcPr>
            <w:tcW w:w="1832" w:type="dxa"/>
            <w:gridSpan w:val="2"/>
            <w:shd w:val="clear" w:color="auto" w:fill="auto"/>
            <w:noWrap w:val="0"/>
            <w:vAlign w:val="center"/>
          </w:tcPr>
          <w:p w14:paraId="336605C8">
            <w:pPr>
              <w:widowControl/>
              <w:jc w:val="center"/>
              <w:rPr>
                <w:rFonts w:hint="default" w:ascii="Times New Roman" w:hAnsi="Times New Roman" w:eastAsia="仿宋" w:cs="Times New Roman"/>
                <w:b w:val="0"/>
                <w:bCs w:val="0"/>
                <w:kern w:val="0"/>
                <w:sz w:val="20"/>
                <w:szCs w:val="20"/>
                <w:lang w:val="en-US" w:eastAsia="zh-CN" w:bidi="ar-SA"/>
              </w:rPr>
            </w:pPr>
            <w:r>
              <w:rPr>
                <w:rFonts w:hint="default" w:ascii="Times New Roman" w:hAnsi="Times New Roman" w:eastAsia="仿宋" w:cs="Times New Roman"/>
                <w:b w:val="0"/>
                <w:bCs w:val="0"/>
                <w:kern w:val="0"/>
                <w:sz w:val="20"/>
                <w:szCs w:val="20"/>
              </w:rPr>
              <w:t>14.07　</w:t>
            </w:r>
          </w:p>
        </w:tc>
      </w:tr>
      <w:tr w14:paraId="661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22059B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41B8DCA9">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noWrap w:val="0"/>
            <w:vAlign w:val="center"/>
          </w:tcPr>
          <w:p w14:paraId="0D8C737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195.65　</w:t>
            </w:r>
          </w:p>
        </w:tc>
        <w:tc>
          <w:tcPr>
            <w:tcW w:w="1832" w:type="dxa"/>
            <w:gridSpan w:val="2"/>
            <w:noWrap w:val="0"/>
            <w:vAlign w:val="center"/>
          </w:tcPr>
          <w:p w14:paraId="2446EEC2">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319.28</w:t>
            </w:r>
          </w:p>
        </w:tc>
      </w:tr>
      <w:tr w14:paraId="0749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49D2845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C1B2B9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04DEB310">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3E9C04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4275F28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2014A9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6035B7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17B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2E35536D">
            <w:pPr>
              <w:widowControl/>
              <w:jc w:val="left"/>
              <w:rPr>
                <w:rFonts w:hint="eastAsia" w:ascii="仿宋" w:hAnsi="仿宋" w:eastAsia="仿宋" w:cs="仿宋"/>
                <w:b w:val="0"/>
                <w:bCs w:val="0"/>
                <w:kern w:val="0"/>
                <w:sz w:val="20"/>
                <w:szCs w:val="20"/>
              </w:rPr>
            </w:pPr>
          </w:p>
        </w:tc>
        <w:tc>
          <w:tcPr>
            <w:tcW w:w="1189" w:type="dxa"/>
            <w:noWrap w:val="0"/>
            <w:vAlign w:val="center"/>
          </w:tcPr>
          <w:p w14:paraId="59A9C55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0</w:t>
            </w:r>
          </w:p>
        </w:tc>
        <w:tc>
          <w:tcPr>
            <w:tcW w:w="849" w:type="dxa"/>
            <w:noWrap w:val="0"/>
            <w:vAlign w:val="center"/>
          </w:tcPr>
          <w:p w14:paraId="405B3903">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29" w:type="dxa"/>
            <w:noWrap w:val="0"/>
            <w:vAlign w:val="center"/>
          </w:tcPr>
          <w:p w14:paraId="23A159BE">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11" w:type="dxa"/>
            <w:noWrap w:val="0"/>
            <w:vAlign w:val="center"/>
          </w:tcPr>
          <w:p w14:paraId="55CD9AE9">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969" w:type="dxa"/>
            <w:noWrap w:val="0"/>
            <w:vAlign w:val="center"/>
          </w:tcPr>
          <w:p w14:paraId="2051E746">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863" w:type="dxa"/>
            <w:noWrap w:val="0"/>
            <w:vAlign w:val="center"/>
          </w:tcPr>
          <w:p w14:paraId="1954C60F">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1FE5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F48B5F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3BAF2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1.公用经费按照厉行节约的要求，根据部门实际需求，分项定额标准等从紧编制；2.坚决贯彻执行“中办”、“国办”</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rPr>
              <w:t>《关于厉行节约若干问题的通知》及《中央八项规定》。　</w:t>
            </w:r>
          </w:p>
        </w:tc>
      </w:tr>
    </w:tbl>
    <w:p w14:paraId="7E0EA46B">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FDEF984">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15115151166</w:t>
      </w:r>
    </w:p>
    <w:p w14:paraId="179797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8C0D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B52CE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19D70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9FE7F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84DA4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2767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6EF1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A396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1A883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D9A92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F35D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62DC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8114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4AB1E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B34D7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360DE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ABDC1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52AB66D2">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06"/>
        <w:gridCol w:w="1063"/>
        <w:gridCol w:w="981"/>
        <w:gridCol w:w="90"/>
        <w:gridCol w:w="1161"/>
        <w:gridCol w:w="1105"/>
        <w:gridCol w:w="691"/>
        <w:gridCol w:w="816"/>
        <w:gridCol w:w="1131"/>
      </w:tblGrid>
      <w:tr w14:paraId="2302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8" w:type="dxa"/>
            <w:noWrap w:val="0"/>
            <w:vAlign w:val="center"/>
          </w:tcPr>
          <w:p w14:paraId="47D43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4" w:type="dxa"/>
            <w:gridSpan w:val="9"/>
            <w:noWrap w:val="0"/>
            <w:vAlign w:val="center"/>
          </w:tcPr>
          <w:p w14:paraId="2BAD3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中共怀化市委党史研究室</w:t>
            </w:r>
            <w:r>
              <w:rPr>
                <w:rFonts w:hint="eastAsia" w:ascii="仿宋" w:hAnsi="仿宋" w:eastAsia="仿宋" w:cs="仿宋"/>
                <w:color w:val="000000"/>
                <w:kern w:val="0"/>
                <w:sz w:val="20"/>
                <w:szCs w:val="20"/>
              </w:rPr>
              <w:t>　</w:t>
            </w:r>
          </w:p>
        </w:tc>
      </w:tr>
      <w:tr w14:paraId="39E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restart"/>
            <w:noWrap w:val="0"/>
            <w:vAlign w:val="center"/>
          </w:tcPr>
          <w:p w14:paraId="0D2149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2594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9" w:type="dxa"/>
            <w:gridSpan w:val="2"/>
            <w:noWrap w:val="0"/>
            <w:vAlign w:val="center"/>
          </w:tcPr>
          <w:p w14:paraId="3BD14A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35278C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D003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1" w:type="dxa"/>
            <w:gridSpan w:val="2"/>
            <w:noWrap w:val="0"/>
            <w:vAlign w:val="center"/>
          </w:tcPr>
          <w:p w14:paraId="479E14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5" w:type="dxa"/>
            <w:noWrap w:val="0"/>
            <w:vAlign w:val="center"/>
          </w:tcPr>
          <w:p w14:paraId="1B0D2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FD220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05589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581D0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1" w:type="dxa"/>
            <w:noWrap w:val="0"/>
            <w:vAlign w:val="center"/>
          </w:tcPr>
          <w:p w14:paraId="6029C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E7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7B3BC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9" w:type="dxa"/>
            <w:gridSpan w:val="2"/>
            <w:noWrap w:val="0"/>
            <w:vAlign w:val="center"/>
          </w:tcPr>
          <w:p w14:paraId="786D2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79AFC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rPr>
              <w:t>359.6</w:t>
            </w:r>
            <w:r>
              <w:rPr>
                <w:rFonts w:hint="eastAsia" w:ascii="仿宋" w:hAnsi="仿宋" w:eastAsia="仿宋" w:cs="仿宋"/>
                <w:sz w:val="20"/>
                <w:szCs w:val="20"/>
                <w:lang w:val="en-US" w:eastAsia="zh-CN"/>
              </w:rPr>
              <w:t>0</w:t>
            </w:r>
          </w:p>
        </w:tc>
        <w:tc>
          <w:tcPr>
            <w:tcW w:w="1251" w:type="dxa"/>
            <w:gridSpan w:val="2"/>
            <w:noWrap w:val="0"/>
            <w:vAlign w:val="center"/>
          </w:tcPr>
          <w:p w14:paraId="7BA7EC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493.73</w:t>
            </w:r>
          </w:p>
        </w:tc>
        <w:tc>
          <w:tcPr>
            <w:tcW w:w="1105" w:type="dxa"/>
            <w:noWrap w:val="0"/>
            <w:vAlign w:val="center"/>
          </w:tcPr>
          <w:p w14:paraId="4421B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426.53</w:t>
            </w:r>
          </w:p>
        </w:tc>
        <w:tc>
          <w:tcPr>
            <w:tcW w:w="691" w:type="dxa"/>
            <w:noWrap w:val="0"/>
            <w:vAlign w:val="center"/>
          </w:tcPr>
          <w:p w14:paraId="308E86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30CFEA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86.39%</w:t>
            </w:r>
          </w:p>
        </w:tc>
        <w:tc>
          <w:tcPr>
            <w:tcW w:w="1131" w:type="dxa"/>
            <w:noWrap w:val="0"/>
            <w:vAlign w:val="center"/>
          </w:tcPr>
          <w:p w14:paraId="31D70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8.64</w:t>
            </w:r>
          </w:p>
        </w:tc>
      </w:tr>
      <w:tr w14:paraId="1F9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66538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682E51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3" w:type="dxa"/>
            <w:gridSpan w:val="4"/>
            <w:noWrap w:val="0"/>
            <w:vAlign w:val="center"/>
          </w:tcPr>
          <w:p w14:paraId="6F012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8B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6D99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1BD246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一般公共预算：395.65</w:t>
            </w:r>
          </w:p>
        </w:tc>
        <w:tc>
          <w:tcPr>
            <w:tcW w:w="3743" w:type="dxa"/>
            <w:gridSpan w:val="4"/>
            <w:noWrap w:val="0"/>
            <w:vAlign w:val="center"/>
          </w:tcPr>
          <w:p w14:paraId="50FDA2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其中：基本支出：319.16</w:t>
            </w:r>
          </w:p>
        </w:tc>
      </w:tr>
      <w:tr w14:paraId="5CE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0FCC7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7A382879">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43" w:type="dxa"/>
            <w:gridSpan w:val="4"/>
            <w:noWrap w:val="0"/>
            <w:vAlign w:val="center"/>
          </w:tcPr>
          <w:p w14:paraId="6438E14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项目支出：107.37</w:t>
            </w:r>
          </w:p>
        </w:tc>
      </w:tr>
      <w:tr w14:paraId="4ED8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B2EEC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B592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纳入专户管理的非税收入拨款：30.88</w:t>
            </w:r>
          </w:p>
        </w:tc>
        <w:tc>
          <w:tcPr>
            <w:tcW w:w="3743" w:type="dxa"/>
            <w:gridSpan w:val="4"/>
            <w:noWrap w:val="0"/>
            <w:vAlign w:val="center"/>
          </w:tcPr>
          <w:p w14:paraId="61D3B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C3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vMerge w:val="continue"/>
            <w:noWrap w:val="0"/>
            <w:vAlign w:val="center"/>
          </w:tcPr>
          <w:p w14:paraId="4B2BC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8AC17FC">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43" w:type="dxa"/>
            <w:gridSpan w:val="4"/>
            <w:noWrap w:val="0"/>
            <w:vAlign w:val="center"/>
          </w:tcPr>
          <w:p w14:paraId="5DDDA3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EC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restart"/>
            <w:noWrap w:val="0"/>
            <w:vAlign w:val="center"/>
          </w:tcPr>
          <w:p w14:paraId="5A97E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1" w:type="dxa"/>
            <w:gridSpan w:val="5"/>
            <w:noWrap w:val="0"/>
            <w:vAlign w:val="center"/>
          </w:tcPr>
          <w:p w14:paraId="741B51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3" w:type="dxa"/>
            <w:gridSpan w:val="4"/>
            <w:noWrap w:val="0"/>
            <w:vAlign w:val="center"/>
          </w:tcPr>
          <w:p w14:paraId="5767F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FE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8" w:type="dxa"/>
            <w:vMerge w:val="continue"/>
            <w:noWrap w:val="0"/>
            <w:vAlign w:val="center"/>
          </w:tcPr>
          <w:p w14:paraId="6EB5ED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5A3E01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目标1：加强政治机关建设；</w:t>
            </w:r>
          </w:p>
          <w:p w14:paraId="5CEB8D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目标2：落实好管党治党责任；</w:t>
            </w:r>
          </w:p>
          <w:p w14:paraId="1C355C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目标3：攻艰克难，推动业务工作齐头并进；</w:t>
            </w:r>
          </w:p>
          <w:p w14:paraId="1675C0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目标4：加强业务指导，搞高全市党史方志水平；</w:t>
            </w:r>
          </w:p>
          <w:p w14:paraId="114860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目标5：抓好自身和队伍建设。</w:t>
            </w:r>
          </w:p>
          <w:p w14:paraId="11C936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3743" w:type="dxa"/>
            <w:gridSpan w:val="4"/>
            <w:noWrap w:val="0"/>
            <w:vAlign w:val="center"/>
          </w:tcPr>
          <w:p w14:paraId="564158EB">
            <w:pPr>
              <w:pStyle w:val="11"/>
              <w:ind w:left="0" w:leftChars="0" w:firstLine="0" w:firstLineChars="0"/>
              <w:rPr>
                <w:rFonts w:hint="eastAsia"/>
                <w:sz w:val="16"/>
                <w:szCs w:val="16"/>
                <w:lang w:val="en-US" w:eastAsia="zh-CN"/>
              </w:rPr>
            </w:pPr>
          </w:p>
          <w:p w14:paraId="6566E21F">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b w:val="0"/>
                <w:bCs w:val="0"/>
                <w:color w:val="000000"/>
                <w:kern w:val="0"/>
                <w:sz w:val="20"/>
                <w:szCs w:val="20"/>
                <w:lang w:val="en-US" w:eastAsia="zh-CN"/>
              </w:rPr>
            </w:pPr>
            <w:r>
              <w:rPr>
                <w:rFonts w:hint="eastAsia" w:ascii="仿宋" w:hAnsi="仿宋" w:eastAsia="仿宋" w:cs="仿宋"/>
                <w:b w:val="0"/>
                <w:bCs w:val="0"/>
                <w:color w:val="000000"/>
                <w:kern w:val="0"/>
                <w:sz w:val="20"/>
                <w:szCs w:val="20"/>
                <w:lang w:val="en-US" w:eastAsia="zh-CN"/>
              </w:rPr>
              <w:t>2024年，我室深入学习贯彻党的二十大和二十届三中全会精神以及习近平总书记考察湖南重要讲话精神，扎实开展党纪学习教育，在市委、市政府的正确领导和省院精心指导下，不断强化机关党的政治建设，持续拓展地方史志研究，努力为市委深入实施“五新四城”战略推动怀化高水平开放、高质量发展贡献史志力量。</w:t>
            </w:r>
          </w:p>
          <w:p w14:paraId="11E0F991">
            <w:pPr>
              <w:pStyle w:val="11"/>
              <w:rPr>
                <w:rFonts w:hint="default"/>
                <w:sz w:val="15"/>
                <w:szCs w:val="15"/>
                <w:lang w:val="en-US" w:eastAsia="zh-CN"/>
              </w:rPr>
            </w:pPr>
          </w:p>
        </w:tc>
      </w:tr>
      <w:tr w14:paraId="545A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8" w:type="dxa"/>
            <w:vMerge w:val="restart"/>
            <w:noWrap w:val="0"/>
            <w:vAlign w:val="center"/>
          </w:tcPr>
          <w:p w14:paraId="0ED314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3F87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B3DD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ECDB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6" w:type="dxa"/>
            <w:noWrap w:val="0"/>
            <w:vAlign w:val="center"/>
          </w:tcPr>
          <w:p w14:paraId="2FBDE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1F7EF1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1" w:type="dxa"/>
            <w:gridSpan w:val="2"/>
            <w:noWrap w:val="0"/>
            <w:vAlign w:val="center"/>
          </w:tcPr>
          <w:p w14:paraId="0544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1" w:type="dxa"/>
            <w:noWrap w:val="0"/>
            <w:vAlign w:val="center"/>
          </w:tcPr>
          <w:p w14:paraId="192A19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5269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5" w:type="dxa"/>
            <w:noWrap w:val="0"/>
            <w:vAlign w:val="center"/>
          </w:tcPr>
          <w:p w14:paraId="676BF8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30B2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77D670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0D96F8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1" w:type="dxa"/>
            <w:noWrap w:val="0"/>
            <w:vAlign w:val="top"/>
          </w:tcPr>
          <w:p w14:paraId="5EBF0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EF8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072C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E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18" w:type="dxa"/>
            <w:vMerge w:val="continue"/>
            <w:noWrap w:val="0"/>
            <w:vAlign w:val="center"/>
          </w:tcPr>
          <w:p w14:paraId="1ABAA7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11A18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3" w:type="dxa"/>
            <w:noWrap w:val="0"/>
            <w:vAlign w:val="center"/>
          </w:tcPr>
          <w:p w14:paraId="265E8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71" w:type="dxa"/>
            <w:gridSpan w:val="2"/>
            <w:noWrap w:val="0"/>
            <w:vAlign w:val="center"/>
          </w:tcPr>
          <w:p w14:paraId="1E15D7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整体成本控制</w:t>
            </w:r>
          </w:p>
        </w:tc>
        <w:tc>
          <w:tcPr>
            <w:tcW w:w="1161" w:type="dxa"/>
            <w:noWrap w:val="0"/>
            <w:vAlign w:val="center"/>
          </w:tcPr>
          <w:p w14:paraId="749AE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w:t>
            </w:r>
            <w:r>
              <w:rPr>
                <w:rFonts w:hint="eastAsia" w:ascii="仿宋" w:hAnsi="仿宋" w:eastAsia="仿宋" w:cs="仿宋"/>
                <w:sz w:val="20"/>
                <w:szCs w:val="20"/>
              </w:rPr>
              <w:t>493.73</w:t>
            </w:r>
            <w:r>
              <w:rPr>
                <w:rFonts w:hint="eastAsia" w:ascii="仿宋" w:hAnsi="仿宋" w:eastAsia="仿宋" w:cs="仿宋"/>
                <w:color w:val="000000"/>
                <w:kern w:val="0"/>
                <w:sz w:val="20"/>
                <w:szCs w:val="20"/>
                <w:lang w:val="en-US" w:eastAsia="zh-CN"/>
              </w:rPr>
              <w:t>万元</w:t>
            </w:r>
          </w:p>
        </w:tc>
        <w:tc>
          <w:tcPr>
            <w:tcW w:w="1105" w:type="dxa"/>
            <w:noWrap w:val="0"/>
            <w:vAlign w:val="center"/>
          </w:tcPr>
          <w:p w14:paraId="5CE2D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sz w:val="20"/>
                <w:szCs w:val="20"/>
              </w:rPr>
              <w:t>426.53</w:t>
            </w:r>
            <w:r>
              <w:rPr>
                <w:rFonts w:hint="eastAsia" w:ascii="仿宋" w:hAnsi="仿宋" w:eastAsia="仿宋" w:cs="仿宋"/>
                <w:sz w:val="20"/>
                <w:szCs w:val="20"/>
                <w:lang w:val="en-US" w:eastAsia="zh-CN"/>
              </w:rPr>
              <w:t>万元</w:t>
            </w:r>
          </w:p>
        </w:tc>
        <w:tc>
          <w:tcPr>
            <w:tcW w:w="691" w:type="dxa"/>
            <w:noWrap w:val="0"/>
            <w:vAlign w:val="center"/>
          </w:tcPr>
          <w:p w14:paraId="390D6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0B4182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CAAB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B3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8" w:type="dxa"/>
            <w:vMerge w:val="continue"/>
            <w:noWrap w:val="0"/>
            <w:vAlign w:val="center"/>
          </w:tcPr>
          <w:p w14:paraId="074C48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82D4E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6E618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71" w:type="dxa"/>
            <w:gridSpan w:val="2"/>
            <w:noWrap w:val="0"/>
            <w:vAlign w:val="center"/>
          </w:tcPr>
          <w:p w14:paraId="52B69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161" w:type="dxa"/>
            <w:noWrap w:val="0"/>
            <w:vAlign w:val="center"/>
          </w:tcPr>
          <w:p w14:paraId="5922E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≥0%</w:t>
            </w:r>
          </w:p>
        </w:tc>
        <w:tc>
          <w:tcPr>
            <w:tcW w:w="1105" w:type="dxa"/>
            <w:noWrap w:val="0"/>
            <w:vAlign w:val="center"/>
          </w:tcPr>
          <w:p w14:paraId="2A0FF5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13.61%</w:t>
            </w:r>
          </w:p>
        </w:tc>
        <w:tc>
          <w:tcPr>
            <w:tcW w:w="691" w:type="dxa"/>
            <w:noWrap w:val="0"/>
            <w:vAlign w:val="center"/>
          </w:tcPr>
          <w:p w14:paraId="2B5B9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3D95D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08AE2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39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44840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E6E31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07B13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71" w:type="dxa"/>
            <w:gridSpan w:val="2"/>
            <w:noWrap w:val="0"/>
            <w:vAlign w:val="center"/>
          </w:tcPr>
          <w:p w14:paraId="1CFF9F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1" w:type="dxa"/>
            <w:noWrap w:val="0"/>
            <w:vAlign w:val="center"/>
          </w:tcPr>
          <w:p w14:paraId="05948B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p>
        </w:tc>
        <w:tc>
          <w:tcPr>
            <w:tcW w:w="1105" w:type="dxa"/>
            <w:noWrap w:val="0"/>
            <w:vAlign w:val="center"/>
          </w:tcPr>
          <w:p w14:paraId="67CE1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691" w:type="dxa"/>
            <w:noWrap w:val="0"/>
            <w:vAlign w:val="center"/>
          </w:tcPr>
          <w:p w14:paraId="0C67B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816" w:type="dxa"/>
            <w:noWrap w:val="0"/>
            <w:vAlign w:val="center"/>
          </w:tcPr>
          <w:p w14:paraId="599419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tc>
        <w:tc>
          <w:tcPr>
            <w:tcW w:w="1131" w:type="dxa"/>
            <w:noWrap w:val="0"/>
            <w:vAlign w:val="center"/>
          </w:tcPr>
          <w:p w14:paraId="42DA30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76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2611A2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344070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6B64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vMerge w:val="restart"/>
            <w:noWrap w:val="0"/>
            <w:vAlign w:val="center"/>
          </w:tcPr>
          <w:p w14:paraId="150AA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4700E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61BA85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举办全市史志业务培训</w:t>
            </w:r>
          </w:p>
        </w:tc>
        <w:tc>
          <w:tcPr>
            <w:tcW w:w="1161" w:type="dxa"/>
            <w:noWrap w:val="0"/>
            <w:vAlign w:val="center"/>
          </w:tcPr>
          <w:p w14:paraId="076B9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1期</w:t>
            </w:r>
          </w:p>
        </w:tc>
        <w:tc>
          <w:tcPr>
            <w:tcW w:w="1105" w:type="dxa"/>
            <w:noWrap w:val="0"/>
            <w:vAlign w:val="center"/>
          </w:tcPr>
          <w:p w14:paraId="203FEC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1期</w:t>
            </w:r>
          </w:p>
        </w:tc>
        <w:tc>
          <w:tcPr>
            <w:tcW w:w="691" w:type="dxa"/>
            <w:noWrap w:val="0"/>
            <w:vAlign w:val="center"/>
          </w:tcPr>
          <w:p w14:paraId="084F5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39AFD6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203F3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D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18" w:type="dxa"/>
            <w:vMerge w:val="continue"/>
            <w:noWrap w:val="0"/>
            <w:vAlign w:val="center"/>
          </w:tcPr>
          <w:p w14:paraId="6C7E51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70452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2503C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012DA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组织理论学习</w:t>
            </w:r>
          </w:p>
        </w:tc>
        <w:tc>
          <w:tcPr>
            <w:tcW w:w="1161" w:type="dxa"/>
            <w:shd w:val="clear" w:color="auto" w:fill="auto"/>
            <w:noWrap w:val="0"/>
            <w:vAlign w:val="center"/>
          </w:tcPr>
          <w:p w14:paraId="542CDD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≥10次</w:t>
            </w:r>
          </w:p>
        </w:tc>
        <w:tc>
          <w:tcPr>
            <w:tcW w:w="1105" w:type="dxa"/>
            <w:shd w:val="clear" w:color="auto" w:fill="auto"/>
            <w:noWrap w:val="0"/>
            <w:vAlign w:val="center"/>
          </w:tcPr>
          <w:p w14:paraId="0C2C69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12次</w:t>
            </w:r>
          </w:p>
        </w:tc>
        <w:tc>
          <w:tcPr>
            <w:tcW w:w="691" w:type="dxa"/>
            <w:shd w:val="clear" w:color="auto" w:fill="auto"/>
            <w:noWrap w:val="0"/>
            <w:vAlign w:val="center"/>
          </w:tcPr>
          <w:p w14:paraId="2E8482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16" w:type="dxa"/>
            <w:shd w:val="clear" w:color="auto" w:fill="auto"/>
            <w:noWrap w:val="0"/>
            <w:vAlign w:val="center"/>
          </w:tcPr>
          <w:p w14:paraId="4518B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131" w:type="dxa"/>
            <w:shd w:val="clear" w:color="auto" w:fill="auto"/>
            <w:noWrap w:val="0"/>
            <w:vAlign w:val="center"/>
          </w:tcPr>
          <w:p w14:paraId="1575C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4DE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8" w:type="dxa"/>
            <w:vMerge w:val="continue"/>
            <w:noWrap w:val="0"/>
            <w:vAlign w:val="center"/>
          </w:tcPr>
          <w:p w14:paraId="3CB528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8255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5353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shd w:val="clear" w:color="auto" w:fill="auto"/>
            <w:noWrap w:val="0"/>
            <w:vAlign w:val="center"/>
          </w:tcPr>
          <w:p w14:paraId="76E234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党史宣教</w:t>
            </w:r>
          </w:p>
        </w:tc>
        <w:tc>
          <w:tcPr>
            <w:tcW w:w="1161" w:type="dxa"/>
            <w:shd w:val="clear" w:color="auto" w:fill="auto"/>
            <w:noWrap w:val="0"/>
            <w:vAlign w:val="center"/>
          </w:tcPr>
          <w:p w14:paraId="600FD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≥3次</w:t>
            </w:r>
          </w:p>
        </w:tc>
        <w:tc>
          <w:tcPr>
            <w:tcW w:w="1105" w:type="dxa"/>
            <w:shd w:val="clear" w:color="auto" w:fill="auto"/>
            <w:noWrap w:val="0"/>
            <w:vAlign w:val="center"/>
          </w:tcPr>
          <w:p w14:paraId="086B2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5次</w:t>
            </w:r>
          </w:p>
        </w:tc>
        <w:tc>
          <w:tcPr>
            <w:tcW w:w="691" w:type="dxa"/>
            <w:shd w:val="clear" w:color="auto" w:fill="auto"/>
            <w:noWrap w:val="0"/>
            <w:vAlign w:val="center"/>
          </w:tcPr>
          <w:p w14:paraId="04A973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6</w:t>
            </w:r>
          </w:p>
        </w:tc>
        <w:tc>
          <w:tcPr>
            <w:tcW w:w="816" w:type="dxa"/>
            <w:shd w:val="clear" w:color="auto" w:fill="auto"/>
            <w:noWrap w:val="0"/>
            <w:vAlign w:val="center"/>
          </w:tcPr>
          <w:p w14:paraId="2A62A4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6</w:t>
            </w:r>
          </w:p>
        </w:tc>
        <w:tc>
          <w:tcPr>
            <w:tcW w:w="1131" w:type="dxa"/>
            <w:shd w:val="clear" w:color="auto" w:fill="auto"/>
            <w:noWrap w:val="0"/>
            <w:vAlign w:val="center"/>
          </w:tcPr>
          <w:p w14:paraId="435066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C7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06214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0FAD84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342BB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AF22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1C7281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史志编研工作完成达标率</w:t>
            </w:r>
          </w:p>
        </w:tc>
        <w:tc>
          <w:tcPr>
            <w:tcW w:w="1161" w:type="dxa"/>
            <w:shd w:val="clear" w:color="auto" w:fill="auto"/>
            <w:noWrap w:val="0"/>
            <w:vAlign w:val="center"/>
          </w:tcPr>
          <w:p w14:paraId="09D514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1105" w:type="dxa"/>
            <w:shd w:val="clear" w:color="auto" w:fill="auto"/>
            <w:noWrap w:val="0"/>
            <w:vAlign w:val="center"/>
          </w:tcPr>
          <w:p w14:paraId="19FB7F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100%</w:t>
            </w:r>
          </w:p>
        </w:tc>
        <w:tc>
          <w:tcPr>
            <w:tcW w:w="691" w:type="dxa"/>
            <w:shd w:val="clear" w:color="auto" w:fill="auto"/>
            <w:noWrap w:val="0"/>
            <w:vAlign w:val="center"/>
          </w:tcPr>
          <w:p w14:paraId="0626B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6</w:t>
            </w:r>
          </w:p>
        </w:tc>
        <w:tc>
          <w:tcPr>
            <w:tcW w:w="816" w:type="dxa"/>
            <w:shd w:val="clear" w:color="auto" w:fill="auto"/>
            <w:noWrap w:val="0"/>
            <w:vAlign w:val="center"/>
          </w:tcPr>
          <w:p w14:paraId="12BEC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6</w:t>
            </w:r>
          </w:p>
        </w:tc>
        <w:tc>
          <w:tcPr>
            <w:tcW w:w="1131" w:type="dxa"/>
            <w:shd w:val="clear" w:color="auto" w:fill="auto"/>
            <w:noWrap w:val="0"/>
            <w:vAlign w:val="center"/>
          </w:tcPr>
          <w:p w14:paraId="1BE5DD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071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continue"/>
            <w:noWrap w:val="0"/>
            <w:vAlign w:val="center"/>
          </w:tcPr>
          <w:p w14:paraId="2D6EE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90B3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7C05F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2F933C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20035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完成及时率</w:t>
            </w:r>
          </w:p>
        </w:tc>
        <w:tc>
          <w:tcPr>
            <w:tcW w:w="1161" w:type="dxa"/>
            <w:noWrap w:val="0"/>
            <w:vAlign w:val="center"/>
          </w:tcPr>
          <w:p w14:paraId="01504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2024年12月31日前完成</w:t>
            </w:r>
          </w:p>
        </w:tc>
        <w:tc>
          <w:tcPr>
            <w:tcW w:w="1105" w:type="dxa"/>
            <w:noWrap w:val="0"/>
            <w:vAlign w:val="center"/>
          </w:tcPr>
          <w:p w14:paraId="764D3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2024年12月31日前完成</w:t>
            </w:r>
          </w:p>
        </w:tc>
        <w:tc>
          <w:tcPr>
            <w:tcW w:w="691" w:type="dxa"/>
            <w:noWrap w:val="0"/>
            <w:vAlign w:val="center"/>
          </w:tcPr>
          <w:p w14:paraId="21231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816" w:type="dxa"/>
            <w:noWrap w:val="0"/>
            <w:vAlign w:val="center"/>
          </w:tcPr>
          <w:p w14:paraId="7A859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131" w:type="dxa"/>
            <w:noWrap w:val="0"/>
            <w:vAlign w:val="center"/>
          </w:tcPr>
          <w:p w14:paraId="7E0C5A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E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8" w:type="dxa"/>
            <w:vMerge w:val="continue"/>
            <w:noWrap w:val="0"/>
            <w:vAlign w:val="center"/>
          </w:tcPr>
          <w:p w14:paraId="572813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5511E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F171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376406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134A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F4337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积极参与推动红色资源、红色文化与全域旅游的融合发展</w:t>
            </w:r>
          </w:p>
        </w:tc>
        <w:tc>
          <w:tcPr>
            <w:tcW w:w="1161" w:type="dxa"/>
            <w:noWrap w:val="0"/>
            <w:vAlign w:val="center"/>
          </w:tcPr>
          <w:p w14:paraId="6D841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11A6E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7BEF8F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21BC6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11ACC9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0F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763FF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FB59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6A743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33A5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1CE950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深化怀化地方党史编研和志鉴编修，全面客观记录全市自然、政治、经济、文化和社会的历史和现状</w:t>
            </w:r>
          </w:p>
        </w:tc>
        <w:tc>
          <w:tcPr>
            <w:tcW w:w="1161" w:type="dxa"/>
            <w:noWrap w:val="0"/>
            <w:vAlign w:val="center"/>
          </w:tcPr>
          <w:p w14:paraId="056D9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67627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4E375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21E3CF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2593EF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F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8" w:type="dxa"/>
            <w:vMerge w:val="continue"/>
            <w:noWrap w:val="0"/>
            <w:vAlign w:val="center"/>
          </w:tcPr>
          <w:p w14:paraId="6A5880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3561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9C499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90220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D652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161" w:type="dxa"/>
            <w:noWrap w:val="0"/>
            <w:vAlign w:val="center"/>
          </w:tcPr>
          <w:p w14:paraId="0B042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05" w:type="dxa"/>
            <w:noWrap w:val="0"/>
            <w:vAlign w:val="center"/>
          </w:tcPr>
          <w:p w14:paraId="26E08D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691" w:type="dxa"/>
            <w:noWrap w:val="0"/>
            <w:vAlign w:val="center"/>
          </w:tcPr>
          <w:p w14:paraId="01EAA32C">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default" w:ascii="仿宋" w:hAnsi="仿宋" w:eastAsia="仿宋" w:cs="仿宋"/>
                <w:color w:val="000000"/>
                <w:kern w:val="0"/>
                <w:sz w:val="20"/>
                <w:szCs w:val="20"/>
                <w:lang w:val="en-US" w:eastAsia="zh-CN"/>
              </w:rPr>
            </w:pPr>
          </w:p>
        </w:tc>
        <w:tc>
          <w:tcPr>
            <w:tcW w:w="816" w:type="dxa"/>
            <w:noWrap w:val="0"/>
            <w:vAlign w:val="center"/>
          </w:tcPr>
          <w:p w14:paraId="6715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p>
        </w:tc>
        <w:tc>
          <w:tcPr>
            <w:tcW w:w="1131" w:type="dxa"/>
            <w:noWrap w:val="0"/>
            <w:vAlign w:val="center"/>
          </w:tcPr>
          <w:p w14:paraId="4A613D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93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8" w:type="dxa"/>
            <w:vMerge w:val="continue"/>
            <w:noWrap w:val="0"/>
            <w:vAlign w:val="center"/>
          </w:tcPr>
          <w:p w14:paraId="7883C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380102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FFB4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1" w:type="dxa"/>
            <w:gridSpan w:val="2"/>
            <w:noWrap w:val="0"/>
            <w:vAlign w:val="center"/>
          </w:tcPr>
          <w:p w14:paraId="6A1D4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推动史志事业可持续发展</w:t>
            </w:r>
          </w:p>
        </w:tc>
        <w:tc>
          <w:tcPr>
            <w:tcW w:w="1161" w:type="dxa"/>
            <w:noWrap w:val="0"/>
            <w:vAlign w:val="center"/>
          </w:tcPr>
          <w:p w14:paraId="22E250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2FBAD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2DDEDC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531CD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014C1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4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8" w:type="dxa"/>
            <w:vMerge w:val="continue"/>
            <w:noWrap w:val="0"/>
            <w:vAlign w:val="center"/>
          </w:tcPr>
          <w:p w14:paraId="1980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17C8D9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6448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F33E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4B641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1" w:type="dxa"/>
            <w:gridSpan w:val="2"/>
            <w:noWrap w:val="0"/>
            <w:vAlign w:val="center"/>
          </w:tcPr>
          <w:p w14:paraId="66BB90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161" w:type="dxa"/>
            <w:noWrap w:val="0"/>
            <w:vAlign w:val="center"/>
          </w:tcPr>
          <w:p w14:paraId="6D90C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≥90%</w:t>
            </w:r>
          </w:p>
        </w:tc>
        <w:tc>
          <w:tcPr>
            <w:tcW w:w="1105" w:type="dxa"/>
            <w:noWrap w:val="0"/>
            <w:vAlign w:val="center"/>
          </w:tcPr>
          <w:p w14:paraId="3DB06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691" w:type="dxa"/>
            <w:noWrap w:val="0"/>
            <w:vAlign w:val="center"/>
          </w:tcPr>
          <w:p w14:paraId="3DDEF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6ADE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819CF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E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4" w:type="dxa"/>
            <w:gridSpan w:val="7"/>
            <w:noWrap w:val="0"/>
            <w:vAlign w:val="center"/>
          </w:tcPr>
          <w:p w14:paraId="0C5F5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D1CE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14406F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98.64</w:t>
            </w:r>
          </w:p>
        </w:tc>
        <w:tc>
          <w:tcPr>
            <w:tcW w:w="1131" w:type="dxa"/>
            <w:noWrap w:val="0"/>
            <w:vAlign w:val="center"/>
          </w:tcPr>
          <w:p w14:paraId="18A91C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14E79BB">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5D70959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45E0D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42AD1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0130F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897B6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749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61194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F80E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72189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E5E7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D7714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82BD1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《怀化市志》工作经费</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7110CF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完成市志总纂稿及补充修改，用于聘请修志专家支付的劳务费、收集整理相关资料、打字复印、差旅费等经费支出。</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《怀化市志》在3月完成省志院初审后进行了第二次修改，10月通过省志院终审，进入出版程序。</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完成书稿送审、完成出版印刷</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80%</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lang w:val="en-US" w:eastAsia="zh-CN"/>
              </w:rPr>
              <w:t>10月</w:t>
            </w:r>
            <w:r>
              <w:rPr>
                <w:rFonts w:hint="eastAsia" w:ascii="仿宋" w:hAnsi="仿宋" w:eastAsia="仿宋" w:cs="仿宋"/>
                <w:color w:val="000000"/>
                <w:kern w:val="0"/>
                <w:sz w:val="18"/>
                <w:szCs w:val="18"/>
              </w:rPr>
              <w:t>已通过省志院终审，进入出版程序。</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符合志书出版标准</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征集和编纂工作做到应征尽收、应编尽编</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为市委决策发挥好参谋资政作用，并实现存史、育人功能</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EB76E5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77F2512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6BC394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0AA279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C9F658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2C6ED6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30629C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294F08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082048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99C7CC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DF4BC1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1609A1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7153E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B134B3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60B709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5BAF5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A3E06D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F9B76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3D1DF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2A2AEAB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70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EBB7A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9CD1C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06D33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业务费</w:t>
            </w:r>
          </w:p>
        </w:tc>
      </w:tr>
      <w:tr w14:paraId="1FBA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0A946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2E4FC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763923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2C48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7906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A015A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20CBC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8B8B7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D412E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30F56F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1FA98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120A9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183F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58725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8A325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141E2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DFA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BF59F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4F1E9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13AA78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209" w:type="dxa"/>
            <w:noWrap w:val="0"/>
            <w:vAlign w:val="center"/>
          </w:tcPr>
          <w:p w14:paraId="672C0F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4" w:type="dxa"/>
            <w:noWrap w:val="0"/>
            <w:vAlign w:val="center"/>
          </w:tcPr>
          <w:p w14:paraId="0325E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28" w:type="dxa"/>
            <w:noWrap w:val="0"/>
            <w:vAlign w:val="center"/>
          </w:tcPr>
          <w:p w14:paraId="297B76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15DA9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72A8B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31E0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D1C16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C8FFA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51747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209" w:type="dxa"/>
            <w:noWrap w:val="0"/>
            <w:vAlign w:val="center"/>
          </w:tcPr>
          <w:p w14:paraId="5A20F0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4" w:type="dxa"/>
            <w:noWrap w:val="0"/>
            <w:vAlign w:val="center"/>
          </w:tcPr>
          <w:p w14:paraId="3B7D86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28" w:type="dxa"/>
            <w:noWrap w:val="0"/>
            <w:vAlign w:val="center"/>
          </w:tcPr>
          <w:p w14:paraId="0766D8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17749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35580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B4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F1E2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01A947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FE3A3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19929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E9CC4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5B2B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D1512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8FF20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625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127A5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3C85AE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3E01C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9B925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C3A0B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2B1EA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BFD0C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C38C5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8A4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6CE03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CD056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D3B46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882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F14C5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F6B02E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提高党史史料收集整理和研究水平，增强党史宣</w:t>
            </w:r>
            <w:r>
              <w:rPr>
                <w:rFonts w:hint="eastAsia" w:ascii="仿宋" w:hAnsi="仿宋" w:eastAsia="仿宋" w:cs="仿宋"/>
                <w:color w:val="000000"/>
                <w:kern w:val="0"/>
                <w:sz w:val="20"/>
                <w:szCs w:val="20"/>
                <w:lang w:val="en-US" w:eastAsia="zh-CN"/>
              </w:rPr>
              <w:t>教</w:t>
            </w:r>
            <w:r>
              <w:rPr>
                <w:rFonts w:hint="eastAsia" w:ascii="仿宋" w:hAnsi="仿宋" w:eastAsia="仿宋" w:cs="仿宋"/>
                <w:color w:val="000000"/>
                <w:kern w:val="0"/>
                <w:sz w:val="20"/>
                <w:szCs w:val="20"/>
              </w:rPr>
              <w:t>活动的广泛性和实效性。</w:t>
            </w:r>
          </w:p>
        </w:tc>
        <w:tc>
          <w:tcPr>
            <w:tcW w:w="4253" w:type="dxa"/>
            <w:gridSpan w:val="4"/>
            <w:noWrap w:val="0"/>
            <w:vAlign w:val="center"/>
          </w:tcPr>
          <w:p w14:paraId="50F14B89">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通过室务会理论学习中心组、“专题培训班”、主题讲座、“三会一课”、主题党日、干部网络学院等多种形式，组织全体干部职工深入学习领会全会精神。</w:t>
            </w:r>
            <w:r>
              <w:rPr>
                <w:rFonts w:hint="eastAsia" w:ascii="仿宋" w:hAnsi="仿宋" w:eastAsia="仿宋" w:cs="仿宋"/>
                <w:color w:val="000000"/>
                <w:kern w:val="0"/>
                <w:sz w:val="20"/>
                <w:szCs w:val="20"/>
              </w:rPr>
              <w:t>将《党史学习教育工作条例》纳入理论学习中心组重点学习内容，组织室务会班子、全体干部职工多次解读学习原文</w:t>
            </w:r>
            <w:r>
              <w:rPr>
                <w:rFonts w:hint="eastAsia" w:ascii="仿宋" w:hAnsi="仿宋" w:eastAsia="仿宋" w:cs="仿宋"/>
                <w:color w:val="000000"/>
                <w:kern w:val="0"/>
                <w:sz w:val="20"/>
                <w:szCs w:val="20"/>
                <w:lang w:eastAsia="zh-CN"/>
              </w:rPr>
              <w:t>。</w:t>
            </w:r>
          </w:p>
          <w:p w14:paraId="60F36948">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5月和12月市中共党史联络组分别赴江西、湖南郴州、广西全州、贵州黎平、遵义等地开展长征文化调研。</w:t>
            </w:r>
          </w:p>
        </w:tc>
      </w:tr>
      <w:tr w14:paraId="1B00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D2127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DC95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4B3CC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CF06F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6AF3B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A66EB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3E456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990E6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03AA3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0702D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DE5F7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96B8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7701D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2B67C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0895A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D506C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E59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0" w:type="dxa"/>
            <w:vMerge w:val="continue"/>
            <w:noWrap w:val="0"/>
            <w:vAlign w:val="center"/>
          </w:tcPr>
          <w:p w14:paraId="3C3B43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6F83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F018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4E7A8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95AC9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≤4万元</w:t>
            </w:r>
          </w:p>
        </w:tc>
        <w:tc>
          <w:tcPr>
            <w:tcW w:w="1134" w:type="dxa"/>
            <w:noWrap w:val="0"/>
            <w:vAlign w:val="center"/>
          </w:tcPr>
          <w:p w14:paraId="4C13B2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4万元</w:t>
            </w:r>
          </w:p>
        </w:tc>
        <w:tc>
          <w:tcPr>
            <w:tcW w:w="828" w:type="dxa"/>
            <w:shd w:val="clear" w:color="auto" w:fill="auto"/>
            <w:noWrap w:val="0"/>
            <w:vAlign w:val="center"/>
          </w:tcPr>
          <w:p w14:paraId="46F306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D68A6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8FDD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F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80" w:type="dxa"/>
            <w:vMerge w:val="continue"/>
            <w:noWrap w:val="0"/>
            <w:vAlign w:val="center"/>
          </w:tcPr>
          <w:p w14:paraId="799EB4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EC59D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F8932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6921EE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2A96CA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7F70A8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59DF33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11AE9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F6A70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14B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D847B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544B1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6EB6B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E1731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2DE8B4A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21B0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068F3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6CA99D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1E5CF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D7D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B44A6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B7D3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587C2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AE6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63B363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1、对革命遗址相关情况进行调研</w:t>
            </w:r>
          </w:p>
          <w:p w14:paraId="1215D6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2、组织党员干部开展党史教育活动</w:t>
            </w:r>
          </w:p>
          <w:p w14:paraId="4DAC0A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3、上党史宣传教育课</w:t>
            </w:r>
          </w:p>
        </w:tc>
        <w:tc>
          <w:tcPr>
            <w:tcW w:w="1209" w:type="dxa"/>
            <w:noWrap w:val="0"/>
            <w:vAlign w:val="center"/>
          </w:tcPr>
          <w:p w14:paraId="0DD151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1134" w:type="dxa"/>
            <w:noWrap w:val="0"/>
            <w:vAlign w:val="center"/>
          </w:tcPr>
          <w:p w14:paraId="57B934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highlight w:val="none"/>
                <w:lang w:val="en-US" w:eastAsia="zh-CN"/>
              </w:rPr>
              <w:t>5次</w:t>
            </w:r>
          </w:p>
        </w:tc>
        <w:tc>
          <w:tcPr>
            <w:tcW w:w="828" w:type="dxa"/>
            <w:shd w:val="clear" w:color="auto" w:fill="auto"/>
            <w:noWrap w:val="0"/>
            <w:vAlign w:val="center"/>
          </w:tcPr>
          <w:p w14:paraId="08D614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1817C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E6CB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71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4CA2A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6168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6DDBF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B6573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党史课要求有讲稿，力求内容充实，重点突出，条理清楚</w:t>
            </w:r>
          </w:p>
        </w:tc>
        <w:tc>
          <w:tcPr>
            <w:tcW w:w="1209" w:type="dxa"/>
            <w:noWrap w:val="0"/>
            <w:vAlign w:val="center"/>
          </w:tcPr>
          <w:p w14:paraId="5F0DFA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462758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13587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AF2F0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253D0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8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D6ADA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724DD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6E5F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EC67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F39CD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71A459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60E9D2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C9D5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8961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7B3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E477A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9013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A587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411E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321D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17723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8FFE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CB1A7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75567D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F2704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2CD7F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5994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A0BFF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42B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5BCDE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C7D01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515EE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上党课，提高党史知晓率</w:t>
            </w:r>
          </w:p>
        </w:tc>
        <w:tc>
          <w:tcPr>
            <w:tcW w:w="1209" w:type="dxa"/>
            <w:noWrap w:val="0"/>
            <w:vAlign w:val="center"/>
          </w:tcPr>
          <w:p w14:paraId="2284B9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0EA635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0AE4E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1A2AB7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6772B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4B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66753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E95B3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C5F5D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546C3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07000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7AF891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185A2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D7A58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2B482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98D51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2B67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29AF4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8AA9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A5AAE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1498DD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严把政治关史实关，支持县市区开展党史遗址遗迹保护利用等工作</w:t>
            </w:r>
          </w:p>
        </w:tc>
        <w:tc>
          <w:tcPr>
            <w:tcW w:w="1209" w:type="dxa"/>
            <w:noWrap w:val="0"/>
            <w:vAlign w:val="center"/>
          </w:tcPr>
          <w:p w14:paraId="57119F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BE18C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5995CD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7A87C9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1B279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4E9E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61DED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03A2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389E4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CCC18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C9B0A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259BA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0C28FB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0B53D1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8FD5A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28D5C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A93D3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40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6CB6B3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F08B1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398254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590A10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E99096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48EEC48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BC5844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5B4739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F3FB20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0ECABB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2BD95F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3E4458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4627B4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50D9E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343B57F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1D0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2CDED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68CB8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7476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《中国共产党怀化历史》（三）</w:t>
            </w:r>
          </w:p>
        </w:tc>
      </w:tr>
      <w:tr w14:paraId="71BD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07D4E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18A8F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694F0F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7D7432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46BD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5B130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5BAD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04FF6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BEF09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4ECA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08B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65BB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E6AFD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4D842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CA7C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3208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955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4C8C6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C4DD2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77092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293309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29B931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1B5C0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342FD6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6B5177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6424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054D6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330E9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412DA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209" w:type="dxa"/>
            <w:noWrap w:val="0"/>
            <w:vAlign w:val="center"/>
          </w:tcPr>
          <w:p w14:paraId="246E67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13D6AF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28" w:type="dxa"/>
            <w:noWrap w:val="0"/>
            <w:vAlign w:val="center"/>
          </w:tcPr>
          <w:p w14:paraId="2BD97F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402E7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6B802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6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D0B0B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5C5EC7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02D5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F56FC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196B47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8BAA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00C0A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D6932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4C7D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989AB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0534AF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7F85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59464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9E681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88E6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11459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AD480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A10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668C5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2300B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E214F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A5D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F3B8F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0B836D7">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2024年进一步收集资料。</w:t>
            </w:r>
          </w:p>
        </w:tc>
        <w:tc>
          <w:tcPr>
            <w:tcW w:w="4253" w:type="dxa"/>
            <w:gridSpan w:val="4"/>
            <w:noWrap w:val="0"/>
            <w:vAlign w:val="center"/>
          </w:tcPr>
          <w:p w14:paraId="2615B7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继续推动党史正本编纂，启动党史正本三卷编纂工作，制定《中国共产党怀化历史（1978-2012）》编纂方案，组建编纂队伍，初步完成编纂大纲。</w:t>
            </w:r>
          </w:p>
        </w:tc>
      </w:tr>
      <w:tr w14:paraId="31A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20D03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C105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6C946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E39F3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B9DB1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7FE704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6635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1B04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68DF7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0F3B6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012C0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D260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025D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A3C81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D56EC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461648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B24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FDCB7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18645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8D2A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A7CE6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4468B1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64493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828" w:type="dxa"/>
            <w:shd w:val="clear" w:color="auto" w:fill="auto"/>
            <w:noWrap w:val="0"/>
            <w:vAlign w:val="center"/>
          </w:tcPr>
          <w:p w14:paraId="6492CC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74570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D0BE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9C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E9F4C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5DC34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3D914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FBF80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6B54F3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56C2E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1E6406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99842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0CF7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A4B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07414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FDB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9E9C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3F98C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15BD9EF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84C2C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A9E6C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C06CB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60DE6B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011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A6131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F6E3D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585AC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09727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A8A1A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完成资料收集</w:t>
            </w:r>
          </w:p>
        </w:tc>
        <w:tc>
          <w:tcPr>
            <w:tcW w:w="1209" w:type="dxa"/>
            <w:noWrap w:val="0"/>
            <w:vAlign w:val="center"/>
          </w:tcPr>
          <w:p w14:paraId="6CB66A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3C2F76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highlight w:val="none"/>
                <w:lang w:val="en-US" w:eastAsia="zh-CN"/>
              </w:rPr>
              <w:t>100%</w:t>
            </w:r>
          </w:p>
        </w:tc>
        <w:tc>
          <w:tcPr>
            <w:tcW w:w="828" w:type="dxa"/>
            <w:shd w:val="clear" w:color="auto" w:fill="auto"/>
            <w:noWrap w:val="0"/>
            <w:vAlign w:val="center"/>
          </w:tcPr>
          <w:p w14:paraId="28155C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8408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54223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C62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8569B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BED0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21CA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14AB8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符合初稿汇编标准</w:t>
            </w:r>
          </w:p>
        </w:tc>
        <w:tc>
          <w:tcPr>
            <w:tcW w:w="1209" w:type="dxa"/>
            <w:noWrap w:val="0"/>
            <w:vAlign w:val="center"/>
          </w:tcPr>
          <w:p w14:paraId="4639EE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224A98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4273EF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4B116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F7BBB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16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82E1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3E19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01867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50CDA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E436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114E65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2C978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94678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08952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841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0EA0C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D610E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1B155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B989F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D102C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9A2FA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D9B05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5F21E7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417C86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090A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3F9DB5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7E9E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43EB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4B13D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5787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0D9B1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FBE97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发挥资政、育人、存史的功能</w:t>
            </w:r>
          </w:p>
        </w:tc>
        <w:tc>
          <w:tcPr>
            <w:tcW w:w="1209" w:type="dxa"/>
            <w:noWrap w:val="0"/>
            <w:vAlign w:val="center"/>
          </w:tcPr>
          <w:p w14:paraId="376F9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031FF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46994E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257417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12</w:t>
            </w:r>
          </w:p>
        </w:tc>
        <w:tc>
          <w:tcPr>
            <w:tcW w:w="1418" w:type="dxa"/>
            <w:noWrap w:val="0"/>
            <w:vAlign w:val="center"/>
          </w:tcPr>
          <w:p w14:paraId="70BD7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4B2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6BBA7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F6914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42B3D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0AA1C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92B60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BA5D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3BB6D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3845C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4988EC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3B3B4D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3DC0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A9A5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FE7B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5BE30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687A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服务党史学习教育常态化长效化</w:t>
            </w:r>
          </w:p>
        </w:tc>
        <w:tc>
          <w:tcPr>
            <w:tcW w:w="1209" w:type="dxa"/>
            <w:noWrap w:val="0"/>
            <w:vAlign w:val="center"/>
          </w:tcPr>
          <w:p w14:paraId="6E4033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1BBD8C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1EB27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4F7BB8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5A8D8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508D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66D2E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6FFC5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1F1DF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32AA6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3567A0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BD30F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F209E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0E314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6061BB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20F3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09970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D8B10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66533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99B91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w:t>
            </w:r>
          </w:p>
        </w:tc>
        <w:tc>
          <w:tcPr>
            <w:tcW w:w="1418" w:type="dxa"/>
            <w:noWrap w:val="0"/>
            <w:vAlign w:val="center"/>
          </w:tcPr>
          <w:p w14:paraId="0E1437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6BBAA13">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6E99C2C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CEA70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59FE36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DC472C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E35D3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07CB8F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EC5E17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8EB99E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990527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409E26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378805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F47F7C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072759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08AE14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8AA668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F2D337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6582C2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36BE60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DB6388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9255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500CE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0005D06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1FF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E800A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FEBE0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2CB4E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《怀化年鉴》</w:t>
            </w:r>
          </w:p>
        </w:tc>
      </w:tr>
      <w:tr w14:paraId="6C91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23F3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89DA5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4863EE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92335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1D81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3FB55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D8835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827D2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C50C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0F7233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B4386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68499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126B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059BC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0693AA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026E4F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6CE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A34C3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1BE59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555C3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09" w:type="dxa"/>
            <w:noWrap w:val="0"/>
            <w:vAlign w:val="center"/>
          </w:tcPr>
          <w:p w14:paraId="5A75E9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34" w:type="dxa"/>
            <w:noWrap w:val="0"/>
            <w:vAlign w:val="center"/>
          </w:tcPr>
          <w:p w14:paraId="4AC0B0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28" w:type="dxa"/>
            <w:noWrap w:val="0"/>
            <w:vAlign w:val="center"/>
          </w:tcPr>
          <w:p w14:paraId="7A3CBB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21C26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1AEDE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1AFA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AB88F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D21B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60B33E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09" w:type="dxa"/>
            <w:noWrap w:val="0"/>
            <w:vAlign w:val="center"/>
          </w:tcPr>
          <w:p w14:paraId="72506E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34" w:type="dxa"/>
            <w:noWrap w:val="0"/>
            <w:vAlign w:val="center"/>
          </w:tcPr>
          <w:p w14:paraId="34BA58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28" w:type="dxa"/>
            <w:noWrap w:val="0"/>
            <w:vAlign w:val="center"/>
          </w:tcPr>
          <w:p w14:paraId="42401F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F42C5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C754B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322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B1B00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F9D137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CA47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B5740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43C4E8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C9102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45D5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C1729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C4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AED28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6AE9B4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77C08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17CD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AA65A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C6592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48FDC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98D7D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465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5F209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2F0C7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3632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902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F60DB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595361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2024年完成2023卷出版，全面客观记录全市自然、政治、经济、文化和社会的历史和现状。</w:t>
            </w:r>
          </w:p>
        </w:tc>
        <w:tc>
          <w:tcPr>
            <w:tcW w:w="4253" w:type="dxa"/>
            <w:gridSpan w:val="4"/>
            <w:noWrap w:val="0"/>
            <w:vAlign w:val="center"/>
          </w:tcPr>
          <w:p w14:paraId="207EA691">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2024年完成《怀化年鉴》2023卷出版印刷。</w:t>
            </w:r>
          </w:p>
          <w:p w14:paraId="1C984D6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按照“一年一鉴”部署要求，于3月启动部署《怀化年鉴（2024）》编纂工作，文件发布、资料征集、整理和编纂基础工作有序有效。针对个别单位交稿质量不高和不及时的问题，7月底发出专函督促催收稿件。截止12月，《怀化年鉴2024卷》编纂完成。</w:t>
            </w:r>
          </w:p>
        </w:tc>
      </w:tr>
      <w:tr w14:paraId="522D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3B144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69D5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152B4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846B2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2BB91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745D34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5C883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99909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380C58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1DC04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79647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3621E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14EB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6F9E9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B2692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C9F7B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8D0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A1828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E052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1828E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CDED8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E22CF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≤20万元</w:t>
            </w:r>
          </w:p>
        </w:tc>
        <w:tc>
          <w:tcPr>
            <w:tcW w:w="1134" w:type="dxa"/>
            <w:noWrap w:val="0"/>
            <w:vAlign w:val="center"/>
          </w:tcPr>
          <w:p w14:paraId="04B646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20万元</w:t>
            </w:r>
          </w:p>
        </w:tc>
        <w:tc>
          <w:tcPr>
            <w:tcW w:w="828" w:type="dxa"/>
            <w:shd w:val="clear" w:color="auto" w:fill="auto"/>
            <w:noWrap w:val="0"/>
            <w:vAlign w:val="center"/>
          </w:tcPr>
          <w:p w14:paraId="179BF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AC4DA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4A6B9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AF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8539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AF72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A8660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3CFBE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6B8B00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3B3FD3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0ED0DB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8303D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D1BBB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C9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vMerge w:val="continue"/>
            <w:noWrap w:val="0"/>
            <w:vAlign w:val="center"/>
          </w:tcPr>
          <w:p w14:paraId="5AAB90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C0E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C10C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5D18E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702ADB8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0CD7B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F8CF9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ABC93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6D631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D73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58F7B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299A7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F450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431A1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F9057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一年一鉴公开出版印刷</w:t>
            </w:r>
          </w:p>
        </w:tc>
        <w:tc>
          <w:tcPr>
            <w:tcW w:w="1209" w:type="dxa"/>
            <w:noWrap w:val="0"/>
            <w:vAlign w:val="center"/>
          </w:tcPr>
          <w:p w14:paraId="44D3F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1000册</w:t>
            </w:r>
          </w:p>
        </w:tc>
        <w:tc>
          <w:tcPr>
            <w:tcW w:w="1134" w:type="dxa"/>
            <w:noWrap w:val="0"/>
            <w:vAlign w:val="center"/>
          </w:tcPr>
          <w:p w14:paraId="02128A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1000册</w:t>
            </w:r>
          </w:p>
        </w:tc>
        <w:tc>
          <w:tcPr>
            <w:tcW w:w="828" w:type="dxa"/>
            <w:shd w:val="clear" w:color="auto" w:fill="auto"/>
            <w:noWrap w:val="0"/>
            <w:vAlign w:val="center"/>
          </w:tcPr>
          <w:p w14:paraId="01EBBA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B6F32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E2A1D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71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57A1A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0DE13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3F1F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60F40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符合年鉴出版标准</w:t>
            </w:r>
          </w:p>
        </w:tc>
        <w:tc>
          <w:tcPr>
            <w:tcW w:w="1209" w:type="dxa"/>
            <w:noWrap w:val="0"/>
            <w:vAlign w:val="center"/>
          </w:tcPr>
          <w:p w14:paraId="2E41A2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3626F9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03A8D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29B39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6EFD2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E22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80" w:type="dxa"/>
            <w:vMerge w:val="continue"/>
            <w:noWrap w:val="0"/>
            <w:vAlign w:val="center"/>
          </w:tcPr>
          <w:p w14:paraId="3FE1C4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78C2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CE69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5E9C57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0A1274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E0A18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16E43E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DF8D8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222D5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B9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0" w:type="dxa"/>
            <w:vMerge w:val="continue"/>
            <w:noWrap w:val="0"/>
            <w:vAlign w:val="center"/>
          </w:tcPr>
          <w:p w14:paraId="06601B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1CC50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A5A99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4F6DF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337F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27742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0C22E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8781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50D717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411470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426AD0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1493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590CD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AD9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979AB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2F1C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62B8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征集和编纂工作做到应征尽收、应编尽编</w:t>
            </w:r>
          </w:p>
        </w:tc>
        <w:tc>
          <w:tcPr>
            <w:tcW w:w="1209" w:type="dxa"/>
            <w:noWrap w:val="0"/>
            <w:vAlign w:val="center"/>
          </w:tcPr>
          <w:p w14:paraId="0F0EFF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1C3F5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404F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1422C4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9396D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4C1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2D5AD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9A2F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ABBA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32CF2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88D3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1E9FB0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DD66E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DC774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F8FA1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09636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3478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FC896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6EF9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952A6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7DD6F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为市委决策发挥好参谋资政作用，并实现存史、育人功能</w:t>
            </w:r>
          </w:p>
        </w:tc>
        <w:tc>
          <w:tcPr>
            <w:tcW w:w="1209" w:type="dxa"/>
            <w:noWrap w:val="0"/>
            <w:vAlign w:val="center"/>
          </w:tcPr>
          <w:p w14:paraId="215FC3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17E57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1C5C7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7D6B91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12</w:t>
            </w:r>
          </w:p>
        </w:tc>
        <w:tc>
          <w:tcPr>
            <w:tcW w:w="1418" w:type="dxa"/>
            <w:noWrap w:val="0"/>
            <w:vAlign w:val="center"/>
          </w:tcPr>
          <w:p w14:paraId="5762C5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1CF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7B054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F0C5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6AA2B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C883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72625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48737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5B80DB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7958B7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03E2AC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938E0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BE591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BB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DB614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386E6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7A471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w:t>
            </w:r>
          </w:p>
        </w:tc>
        <w:tc>
          <w:tcPr>
            <w:tcW w:w="1418" w:type="dxa"/>
            <w:noWrap w:val="0"/>
            <w:vAlign w:val="center"/>
          </w:tcPr>
          <w:p w14:paraId="1FE9DB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5D3A7C0D">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48C8592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A5DD59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3635B7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88E77A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993291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8BB6D8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D57BC3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732E7B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E1FBD9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3D050F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194723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6C4CD68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7C5156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C15592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E5F57A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E676C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B636D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0D91CE1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4F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B6F0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2291F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6F4086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《怀化党委工作纪事》</w:t>
            </w:r>
          </w:p>
        </w:tc>
      </w:tr>
      <w:tr w14:paraId="02DB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29CC7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999E5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1516DE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4A8B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0008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65FEE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62A76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7672E2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EFDF4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C33F7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81BCB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4EE85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8D69D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CBB65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694218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3DE4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6B80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6991C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750D1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6C7FD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209" w:type="dxa"/>
            <w:noWrap w:val="0"/>
            <w:vAlign w:val="center"/>
          </w:tcPr>
          <w:p w14:paraId="3AE542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34" w:type="dxa"/>
            <w:noWrap w:val="0"/>
            <w:vAlign w:val="center"/>
          </w:tcPr>
          <w:p w14:paraId="10290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28" w:type="dxa"/>
            <w:noWrap w:val="0"/>
            <w:vAlign w:val="center"/>
          </w:tcPr>
          <w:p w14:paraId="68AB5F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CAE3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3C9D7A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6D08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D4954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5D57F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67D83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209" w:type="dxa"/>
            <w:noWrap w:val="0"/>
            <w:vAlign w:val="center"/>
          </w:tcPr>
          <w:p w14:paraId="25954D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34" w:type="dxa"/>
            <w:noWrap w:val="0"/>
            <w:vAlign w:val="center"/>
          </w:tcPr>
          <w:p w14:paraId="70C8FF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28" w:type="dxa"/>
            <w:noWrap w:val="0"/>
            <w:vAlign w:val="center"/>
          </w:tcPr>
          <w:p w14:paraId="524F23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42742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E5DC5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08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7DD0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CFFE5B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29A60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D4ACA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11CE4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0CD3A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A1158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AD4F1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160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7A68C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5D63BB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577DB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F27C5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9EEE4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5A4F53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563D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CFCF8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6B8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000C4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59A05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F26F6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7C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4700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D1EE50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2024年进一步收集资料。</w:t>
            </w:r>
          </w:p>
        </w:tc>
        <w:tc>
          <w:tcPr>
            <w:tcW w:w="4253" w:type="dxa"/>
            <w:gridSpan w:val="4"/>
            <w:noWrap w:val="0"/>
            <w:vAlign w:val="center"/>
          </w:tcPr>
          <w:p w14:paraId="191EB4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根据《中共怀化市委办公室关于做好2024年度党史资料征集与编撰工作的通知》（怀办发电〔2024〕10号）文件</w:t>
            </w:r>
            <w:r>
              <w:rPr>
                <w:rFonts w:hint="eastAsia" w:ascii="仿宋" w:hAnsi="仿宋" w:eastAsia="仿宋" w:cs="仿宋"/>
                <w:color w:val="000000"/>
                <w:kern w:val="0"/>
                <w:sz w:val="20"/>
                <w:szCs w:val="20"/>
                <w:lang w:val="en-US" w:eastAsia="zh-CN"/>
              </w:rPr>
              <w:t>要求</w:t>
            </w:r>
            <w:r>
              <w:rPr>
                <w:rFonts w:hint="eastAsia" w:ascii="仿宋" w:hAnsi="仿宋" w:eastAsia="仿宋" w:cs="仿宋"/>
                <w:color w:val="000000"/>
                <w:kern w:val="0"/>
                <w:sz w:val="20"/>
                <w:szCs w:val="20"/>
              </w:rPr>
              <w:t>，各常委单位及相关部门撰写本部门大事纪，党史研究室留档存底，用于年度大事纪要汇编。</w:t>
            </w:r>
          </w:p>
        </w:tc>
      </w:tr>
      <w:tr w14:paraId="3DED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3F4B7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00BE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16041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8EC72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9386A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B50D5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1D60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FB3B0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7E8EF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9CC81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D5A3E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53ED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7277F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FC11A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6A35D0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798C3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B1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DCF3F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B39B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53112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CC07F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3A6389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≤6万元</w:t>
            </w:r>
          </w:p>
        </w:tc>
        <w:tc>
          <w:tcPr>
            <w:tcW w:w="1134" w:type="dxa"/>
            <w:noWrap w:val="0"/>
            <w:vAlign w:val="center"/>
          </w:tcPr>
          <w:p w14:paraId="6650FB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6万元</w:t>
            </w:r>
          </w:p>
        </w:tc>
        <w:tc>
          <w:tcPr>
            <w:tcW w:w="828" w:type="dxa"/>
            <w:shd w:val="clear" w:color="auto" w:fill="auto"/>
            <w:noWrap w:val="0"/>
            <w:vAlign w:val="center"/>
          </w:tcPr>
          <w:p w14:paraId="15C603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009A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8D77B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CEA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52E265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B1138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ABD2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25D3C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327AB3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9D4DB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56CC60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7C33E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6B4F6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756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61527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31EBA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0139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88CA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37ED7D5">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CD750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794A67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66F5E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444365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84A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6BD7F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91C0A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6D218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17219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0ACB85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完成资料收集</w:t>
            </w:r>
          </w:p>
        </w:tc>
        <w:tc>
          <w:tcPr>
            <w:tcW w:w="1209" w:type="dxa"/>
            <w:noWrap w:val="0"/>
            <w:vAlign w:val="center"/>
          </w:tcPr>
          <w:p w14:paraId="5A379B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71878C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50ABFF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FDA0E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F2375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CB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02526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4FD4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9D3BE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2E6C3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符合初稿汇编标准</w:t>
            </w:r>
          </w:p>
        </w:tc>
        <w:tc>
          <w:tcPr>
            <w:tcW w:w="1209" w:type="dxa"/>
            <w:noWrap w:val="0"/>
            <w:vAlign w:val="center"/>
          </w:tcPr>
          <w:p w14:paraId="00F72E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03B5A6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6CD0AB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5D850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34016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633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6A10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4E75D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3EC9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0A6AA2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29CC6E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5E0DC8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67DD3D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B4ECE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8EBD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4D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EE077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FBABE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7BCF7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098FC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4C476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06C17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6FC0E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78664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0720D7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B28A1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1EC5D3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4E2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11374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D366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8541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FF94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6A7BC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征集和编纂工作做到应征尽收、应编尽编</w:t>
            </w:r>
          </w:p>
        </w:tc>
        <w:tc>
          <w:tcPr>
            <w:tcW w:w="1209" w:type="dxa"/>
            <w:noWrap w:val="0"/>
            <w:vAlign w:val="center"/>
          </w:tcPr>
          <w:p w14:paraId="292CF8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1EAFE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DCD11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182200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B70A1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83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B2A44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65319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F4B1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6634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4721FF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6C137E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0E62E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76512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D0A5D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FE3C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6357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35973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70102F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7631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E9F91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为市委决策发挥好参谋资政作用，并实现存史、育人功能</w:t>
            </w:r>
          </w:p>
        </w:tc>
        <w:tc>
          <w:tcPr>
            <w:tcW w:w="1209" w:type="dxa"/>
            <w:noWrap w:val="0"/>
            <w:vAlign w:val="center"/>
          </w:tcPr>
          <w:p w14:paraId="679EAF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7C4CB0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47EA0F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32594B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12</w:t>
            </w:r>
          </w:p>
        </w:tc>
        <w:tc>
          <w:tcPr>
            <w:tcW w:w="1418" w:type="dxa"/>
            <w:noWrap w:val="0"/>
            <w:vAlign w:val="center"/>
          </w:tcPr>
          <w:p w14:paraId="2E033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3266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1AEFB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E3FE5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47C2C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1CD89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BCF4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F9562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36243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670C6E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525F98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7BAF8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F6D09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91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2CA1E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58CBE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B9F7A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w:t>
            </w:r>
          </w:p>
        </w:tc>
        <w:tc>
          <w:tcPr>
            <w:tcW w:w="1418" w:type="dxa"/>
            <w:noWrap w:val="0"/>
            <w:vAlign w:val="center"/>
          </w:tcPr>
          <w:p w14:paraId="378ADB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5B347E0">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774C7A9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F5FB41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431F0AF">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84B3A1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6496423">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C42B62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D777CF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869D74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29C8F1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707F44F">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17875A8">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8190A6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C92A7B4">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B4A7AF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3DC1DA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214E6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0EF280D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83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31A8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66C55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1B971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党史联络工作经费</w:t>
            </w:r>
          </w:p>
        </w:tc>
      </w:tr>
      <w:tr w14:paraId="2F9B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15740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B55A5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402C0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F8E4F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4FC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3A69C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EF7BE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A57CC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3ECFF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9294C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182A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B6518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88CE5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A1899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BFC9A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E3878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DA3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290F9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65971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D968B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28.50</w:t>
            </w:r>
          </w:p>
        </w:tc>
        <w:tc>
          <w:tcPr>
            <w:tcW w:w="1209" w:type="dxa"/>
            <w:noWrap w:val="0"/>
            <w:vAlign w:val="center"/>
          </w:tcPr>
          <w:p w14:paraId="60FBC5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w:t>
            </w:r>
          </w:p>
        </w:tc>
        <w:tc>
          <w:tcPr>
            <w:tcW w:w="1134" w:type="dxa"/>
            <w:noWrap w:val="0"/>
            <w:vAlign w:val="center"/>
          </w:tcPr>
          <w:p w14:paraId="7AE503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w:t>
            </w:r>
          </w:p>
        </w:tc>
        <w:tc>
          <w:tcPr>
            <w:tcW w:w="828" w:type="dxa"/>
            <w:noWrap w:val="0"/>
            <w:vAlign w:val="center"/>
          </w:tcPr>
          <w:p w14:paraId="306357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8614F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60003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0C05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BB9FE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79F00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shd w:val="clear" w:color="auto" w:fill="auto"/>
            <w:noWrap w:val="0"/>
            <w:vAlign w:val="center"/>
          </w:tcPr>
          <w:p w14:paraId="0D852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28.50</w:t>
            </w:r>
          </w:p>
        </w:tc>
        <w:tc>
          <w:tcPr>
            <w:tcW w:w="1209" w:type="dxa"/>
            <w:shd w:val="clear" w:color="auto" w:fill="auto"/>
            <w:noWrap w:val="0"/>
            <w:vAlign w:val="center"/>
          </w:tcPr>
          <w:p w14:paraId="0419F5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21</w:t>
            </w:r>
          </w:p>
        </w:tc>
        <w:tc>
          <w:tcPr>
            <w:tcW w:w="1134" w:type="dxa"/>
            <w:shd w:val="clear" w:color="auto" w:fill="auto"/>
            <w:noWrap w:val="0"/>
            <w:vAlign w:val="center"/>
          </w:tcPr>
          <w:p w14:paraId="64DDA8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21</w:t>
            </w:r>
          </w:p>
        </w:tc>
        <w:tc>
          <w:tcPr>
            <w:tcW w:w="828" w:type="dxa"/>
            <w:noWrap w:val="0"/>
            <w:vAlign w:val="center"/>
          </w:tcPr>
          <w:p w14:paraId="24BB54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1BD30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19BB2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8A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62833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C7A7FD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56A42B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07F1C2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0CADA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1EB28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5D2DF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837B9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2FA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4C84C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248766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1339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00B92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3BE0B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9B67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B8370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D358F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080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CA7FB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016C9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BAAC7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F91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7C2CE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A41007E">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党史联络工作不断加强，确保党史联络工作正常开展。</w:t>
            </w:r>
          </w:p>
        </w:tc>
        <w:tc>
          <w:tcPr>
            <w:tcW w:w="4253" w:type="dxa"/>
            <w:gridSpan w:val="4"/>
            <w:noWrap w:val="0"/>
            <w:vAlign w:val="center"/>
          </w:tcPr>
          <w:p w14:paraId="3F0083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先后召开2024年度怀化市中共党史联络组工作会议和全市史志暨党史联络工作会议，对全市党史联络重点工作进行安排和部署，持续加强对县市区党史联络组的工作指导。5月和12月市中共党史联络组分别赴江西、湖南郴州、广西全州、贵州黎平、遵义等地开展长征文化调研，形成《打造“红色集群”是推进长征国家文化公园怀化段高质量发展的关键之举——推动怀化长征文化传承保护与利用的调研报告》一文，对挖掘和利用好在怀的长征文化资源，切实推进长征国家文化公园建设，将“红色资源”转化为支撑怀化高质量发展的“红色财富”具有一定的促进意义。加强县级调研指导，市党史联络组先后赴洪江区、会同、洪江市、新晃、通道、麻阳、靖州、芷江等地调研当地的红色资源和新时代实践成果，针对县市区史志部门存在的困难向县市区委提出工作建议。注重上下联动、横向交流，积极开展与高校的交流合作，先后赴湖南医药学院、怀化学院开展调研，推动《怀化高等教育发展纪实》的编纂进程。</w:t>
            </w:r>
          </w:p>
        </w:tc>
      </w:tr>
      <w:tr w14:paraId="213B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3A53E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079F7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594F1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DF70C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FA83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A1B99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34C72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F50D4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7A225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861D5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0E4CA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29CD5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169377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5BB76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804BC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3CA11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E4A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continue"/>
            <w:noWrap w:val="0"/>
            <w:vAlign w:val="center"/>
          </w:tcPr>
          <w:p w14:paraId="4AAD44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A0D6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63BA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9287F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3158CF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≤21万元</w:t>
            </w:r>
          </w:p>
        </w:tc>
        <w:tc>
          <w:tcPr>
            <w:tcW w:w="1134" w:type="dxa"/>
            <w:noWrap w:val="0"/>
            <w:vAlign w:val="center"/>
          </w:tcPr>
          <w:p w14:paraId="305FEB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21万元</w:t>
            </w:r>
          </w:p>
        </w:tc>
        <w:tc>
          <w:tcPr>
            <w:tcW w:w="828" w:type="dxa"/>
            <w:shd w:val="clear" w:color="auto" w:fill="auto"/>
            <w:noWrap w:val="0"/>
            <w:vAlign w:val="center"/>
          </w:tcPr>
          <w:p w14:paraId="6BE080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84585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864E2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BCC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F59EB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CA6AA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1FAC3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663E2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26AFE6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2C5054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shd w:val="clear" w:color="auto" w:fill="auto"/>
            <w:noWrap w:val="0"/>
            <w:vAlign w:val="center"/>
          </w:tcPr>
          <w:p w14:paraId="6A6371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C9FCD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67799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AB8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EB1CB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E516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491C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B785A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6AFE73F">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F3DDC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82139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16DA7C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3DD554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D15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FEB6F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15C88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1BD1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BC0F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8A585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开展调研活动次数</w:t>
            </w:r>
          </w:p>
        </w:tc>
        <w:tc>
          <w:tcPr>
            <w:tcW w:w="1209" w:type="dxa"/>
            <w:noWrap w:val="0"/>
            <w:vAlign w:val="center"/>
          </w:tcPr>
          <w:p w14:paraId="1800A0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1134" w:type="dxa"/>
            <w:noWrap w:val="0"/>
            <w:vAlign w:val="center"/>
          </w:tcPr>
          <w:p w14:paraId="25FC36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highlight w:val="none"/>
                <w:lang w:val="en-US" w:eastAsia="zh-CN"/>
              </w:rPr>
              <w:t>12次</w:t>
            </w:r>
          </w:p>
        </w:tc>
        <w:tc>
          <w:tcPr>
            <w:tcW w:w="828" w:type="dxa"/>
            <w:shd w:val="clear" w:color="auto" w:fill="auto"/>
            <w:noWrap w:val="0"/>
            <w:vAlign w:val="center"/>
          </w:tcPr>
          <w:p w14:paraId="3909C8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1B933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F0713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FBC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FEA22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8DFA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1F71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E40D4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确保党史联络组工作正常开展</w:t>
            </w:r>
          </w:p>
        </w:tc>
        <w:tc>
          <w:tcPr>
            <w:tcW w:w="1209" w:type="dxa"/>
            <w:noWrap w:val="0"/>
            <w:vAlign w:val="center"/>
          </w:tcPr>
          <w:p w14:paraId="401AC3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7D3C1C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6AFB3E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ABFEB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CAAF0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2E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9DB2E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791B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97184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0E374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72FBFD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07C10C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4E351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8608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899FB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8AB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C7602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46C93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7CB5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D115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AD099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8237E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CBE8F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8F931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0F32DC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DAEEF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5CA31C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1FB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3A329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C8F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0976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F80F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09D51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帮助</w:t>
            </w:r>
            <w:r>
              <w:rPr>
                <w:rFonts w:hint="eastAsia" w:ascii="仿宋" w:hAnsi="仿宋" w:eastAsia="仿宋" w:cs="仿宋"/>
                <w:color w:val="000000"/>
                <w:kern w:val="0"/>
                <w:sz w:val="20"/>
                <w:szCs w:val="20"/>
              </w:rPr>
              <w:t>县市区解决人员经费等难题。指导县市区党史联络组做好成员调整工作，优化全市党史联络组成员结构，借鉴学习外地党史联络工作先进工作经验</w:t>
            </w:r>
          </w:p>
        </w:tc>
        <w:tc>
          <w:tcPr>
            <w:tcW w:w="1209" w:type="dxa"/>
            <w:noWrap w:val="0"/>
            <w:vAlign w:val="center"/>
          </w:tcPr>
          <w:p w14:paraId="355783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FB3EC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12512E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624A8D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B5EF7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54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C1C1F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AEF9A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1A395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F17D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23BFC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5B252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74A7A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41E5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872D0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63CF88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1DB6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C4889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63DDC6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A5BA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50A446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实现调研县市区全覆盖</w:t>
            </w:r>
          </w:p>
        </w:tc>
        <w:tc>
          <w:tcPr>
            <w:tcW w:w="1209" w:type="dxa"/>
            <w:noWrap w:val="0"/>
            <w:vAlign w:val="center"/>
          </w:tcPr>
          <w:p w14:paraId="5D3FD6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37838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107F9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7F9851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3292A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5607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2F46A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0A073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13E52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9809C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C36A9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AA252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6650CF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6DF0E3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573791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82903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E68C2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3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1C8FF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CD6EF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7F7A5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418" w:type="dxa"/>
            <w:noWrap w:val="0"/>
            <w:vAlign w:val="center"/>
          </w:tcPr>
          <w:p w14:paraId="1D7023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73BE96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16E8DDDD">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5D41ED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42DA59D">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BD53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14:paraId="1684C17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26B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87062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9D69E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D58CA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《湖南乡镇简志·怀化卷》</w:t>
            </w:r>
          </w:p>
        </w:tc>
      </w:tr>
      <w:tr w14:paraId="47CB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00C43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D0FE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01F46D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DBD88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653C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88FE0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8C5BF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74A27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1EF62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FC630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FA12B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BFBBC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C2155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3EBC9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72A8B2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264BC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DED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9A2B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2003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58DE2E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2CE15B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30.21</w:t>
            </w:r>
          </w:p>
        </w:tc>
        <w:tc>
          <w:tcPr>
            <w:tcW w:w="1134" w:type="dxa"/>
            <w:noWrap w:val="0"/>
            <w:vAlign w:val="center"/>
          </w:tcPr>
          <w:p w14:paraId="076497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6.22</w:t>
            </w:r>
          </w:p>
        </w:tc>
        <w:tc>
          <w:tcPr>
            <w:tcW w:w="828" w:type="dxa"/>
            <w:noWrap w:val="0"/>
            <w:vAlign w:val="center"/>
          </w:tcPr>
          <w:p w14:paraId="34C3E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B681D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20.59%</w:t>
            </w:r>
          </w:p>
        </w:tc>
        <w:tc>
          <w:tcPr>
            <w:tcW w:w="1418" w:type="dxa"/>
            <w:noWrap w:val="0"/>
            <w:vAlign w:val="center"/>
          </w:tcPr>
          <w:p w14:paraId="2AC46E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2.06</w:t>
            </w:r>
          </w:p>
        </w:tc>
      </w:tr>
      <w:tr w14:paraId="7E2D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3A80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4E045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shd w:val="clear" w:color="auto" w:fill="auto"/>
            <w:noWrap w:val="0"/>
            <w:vAlign w:val="center"/>
          </w:tcPr>
          <w:p w14:paraId="2C317E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209" w:type="dxa"/>
            <w:shd w:val="clear" w:color="auto" w:fill="auto"/>
            <w:noWrap w:val="0"/>
            <w:vAlign w:val="center"/>
          </w:tcPr>
          <w:p w14:paraId="639A14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30.21</w:t>
            </w:r>
          </w:p>
        </w:tc>
        <w:tc>
          <w:tcPr>
            <w:tcW w:w="1134" w:type="dxa"/>
            <w:shd w:val="clear" w:color="auto" w:fill="auto"/>
            <w:noWrap w:val="0"/>
            <w:vAlign w:val="center"/>
          </w:tcPr>
          <w:p w14:paraId="30270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6.22</w:t>
            </w:r>
          </w:p>
        </w:tc>
        <w:tc>
          <w:tcPr>
            <w:tcW w:w="828" w:type="dxa"/>
            <w:noWrap w:val="0"/>
            <w:vAlign w:val="center"/>
          </w:tcPr>
          <w:p w14:paraId="49753D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112F2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8D1E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36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7DC77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5286AA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9E3A8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FB2C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79A22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1B5A5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31876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F661E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A58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8586E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57F423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1A9B7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66C0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3826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E7CB8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BCD53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DAD51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BFE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AF334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86EBA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53D3C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14C9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60B995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C731526">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完成《湖南乡镇简志·怀化卷》公开出版、印刷、发行。</w:t>
            </w:r>
          </w:p>
        </w:tc>
        <w:tc>
          <w:tcPr>
            <w:tcW w:w="4253" w:type="dxa"/>
            <w:gridSpan w:val="4"/>
            <w:noWrap w:val="0"/>
            <w:vAlign w:val="center"/>
          </w:tcPr>
          <w:p w14:paraId="3F6740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《湖南乡镇简志·怀化卷》完成省志院终审后修改工作，进入出版印刷阶段。</w:t>
            </w:r>
          </w:p>
        </w:tc>
      </w:tr>
      <w:tr w14:paraId="736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CF79E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25D4A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4EFB1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DE85C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8EE1E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011DE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22A1B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69E68F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D0188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9D606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13C17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AFDAD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57E0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62FD9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84FDF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7593E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4FE9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929A0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651F6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0D28E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9C087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CE377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≤30.21万元</w:t>
            </w:r>
          </w:p>
        </w:tc>
        <w:tc>
          <w:tcPr>
            <w:tcW w:w="1134" w:type="dxa"/>
            <w:noWrap w:val="0"/>
            <w:vAlign w:val="center"/>
          </w:tcPr>
          <w:p w14:paraId="5EECF2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6.22万元</w:t>
            </w:r>
          </w:p>
        </w:tc>
        <w:tc>
          <w:tcPr>
            <w:tcW w:w="828" w:type="dxa"/>
            <w:shd w:val="clear" w:color="auto" w:fill="auto"/>
            <w:noWrap w:val="0"/>
            <w:vAlign w:val="center"/>
          </w:tcPr>
          <w:p w14:paraId="327FA8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7A16D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7175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4C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A650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903D6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899F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8BF43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1F9B9B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18B92F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79.41%</w:t>
            </w:r>
          </w:p>
        </w:tc>
        <w:tc>
          <w:tcPr>
            <w:tcW w:w="828" w:type="dxa"/>
            <w:shd w:val="clear" w:color="auto" w:fill="auto"/>
            <w:noWrap w:val="0"/>
            <w:vAlign w:val="center"/>
          </w:tcPr>
          <w:p w14:paraId="74C154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53CDE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41CF1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79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2DEDC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56E9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682B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1E1935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E7D18E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A49B7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1023B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79A8A1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383D64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20D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CF40F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DDDA1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8960A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2CB02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5A2CFA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完成书稿终审修改、完成出版印刷</w:t>
            </w:r>
          </w:p>
        </w:tc>
        <w:tc>
          <w:tcPr>
            <w:tcW w:w="1209" w:type="dxa"/>
            <w:noWrap w:val="0"/>
            <w:vAlign w:val="center"/>
          </w:tcPr>
          <w:p w14:paraId="45DDFA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AF5AC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80%</w:t>
            </w:r>
          </w:p>
        </w:tc>
        <w:tc>
          <w:tcPr>
            <w:tcW w:w="828" w:type="dxa"/>
            <w:shd w:val="clear" w:color="auto" w:fill="auto"/>
            <w:noWrap w:val="0"/>
            <w:vAlign w:val="center"/>
          </w:tcPr>
          <w:p w14:paraId="1B2560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66D34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p>
        </w:tc>
        <w:tc>
          <w:tcPr>
            <w:tcW w:w="1418" w:type="dxa"/>
            <w:noWrap w:val="0"/>
            <w:vAlign w:val="center"/>
          </w:tcPr>
          <w:p w14:paraId="5E9868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进入出版印刷阶段</w:t>
            </w:r>
          </w:p>
        </w:tc>
      </w:tr>
      <w:tr w14:paraId="742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2B2753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884A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F6390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E603F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w:t>
            </w:r>
            <w:r>
              <w:rPr>
                <w:rFonts w:hint="eastAsia" w:ascii="仿宋" w:hAnsi="仿宋" w:eastAsia="仿宋" w:cs="仿宋"/>
                <w:color w:val="000000"/>
                <w:kern w:val="0"/>
                <w:sz w:val="20"/>
                <w:szCs w:val="20"/>
                <w:lang w:val="en-US" w:eastAsia="zh-CN"/>
              </w:rPr>
              <w:t>志书</w:t>
            </w:r>
            <w:r>
              <w:rPr>
                <w:rFonts w:hint="eastAsia" w:ascii="仿宋" w:hAnsi="仿宋" w:eastAsia="仿宋" w:cs="仿宋"/>
                <w:color w:val="000000"/>
                <w:kern w:val="0"/>
                <w:sz w:val="20"/>
                <w:szCs w:val="20"/>
              </w:rPr>
              <w:t>出版标准</w:t>
            </w:r>
          </w:p>
        </w:tc>
        <w:tc>
          <w:tcPr>
            <w:tcW w:w="1209" w:type="dxa"/>
            <w:noWrap w:val="0"/>
            <w:vAlign w:val="center"/>
          </w:tcPr>
          <w:p w14:paraId="383D46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4466DF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0AA594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D257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68DFD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AC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3B207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5E34E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4BE1C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EB2D5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3CF272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13C692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13332C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6E192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629EE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F6B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536C7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EEB6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E8A78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72390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E515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8731B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B16C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993D6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4B382D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5FB75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0593F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5CB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7A7F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8F986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58753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2061C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5477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全面记载各乡镇建制和历史沿革、物产资源、社会经济等诸多方面，反映乡镇资源优势和经济特点，记录改革开放以来的历史成就</w:t>
            </w:r>
          </w:p>
        </w:tc>
        <w:tc>
          <w:tcPr>
            <w:tcW w:w="1209" w:type="dxa"/>
            <w:noWrap w:val="0"/>
            <w:vAlign w:val="center"/>
          </w:tcPr>
          <w:p w14:paraId="22B3E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E6425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0B65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6C0EB1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7EE60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17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98DF6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7C42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AA8B1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1370E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402248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734B9D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39C0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6CC614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31B76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8D0CA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48AA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2276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7BF7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9D79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900BA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为市委决策发挥好参谋资政作用，并实现存史、育人功能</w:t>
            </w:r>
          </w:p>
        </w:tc>
        <w:tc>
          <w:tcPr>
            <w:tcW w:w="1209" w:type="dxa"/>
            <w:noWrap w:val="0"/>
            <w:vAlign w:val="center"/>
          </w:tcPr>
          <w:p w14:paraId="11CE31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4B488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5468D1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2CA8F5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FE85B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tr w14:paraId="39C0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1ABC5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1B97D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A8152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C4F37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218C6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814F6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FA6D9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65C6D7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462ABF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0168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15EA2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BEF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5D6F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6707B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C9CF4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90.06</w:t>
            </w:r>
          </w:p>
        </w:tc>
        <w:tc>
          <w:tcPr>
            <w:tcW w:w="1418" w:type="dxa"/>
            <w:noWrap w:val="0"/>
            <w:vAlign w:val="center"/>
          </w:tcPr>
          <w:p w14:paraId="199261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101681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1C37E8E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61A32F7">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A64EB5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A5E963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2310D3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548F77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E2A99B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4446F0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71C010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A3673D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7E4A76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2C00392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A6DE03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D12F0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附件3-8</w:t>
      </w:r>
    </w:p>
    <w:p w14:paraId="180891B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6EED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93B7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B40EB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A729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《怀化市志(1978-2010)》</w:t>
            </w:r>
          </w:p>
        </w:tc>
      </w:tr>
      <w:tr w14:paraId="7517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54FD2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9B8C7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w:t>
            </w:r>
          </w:p>
        </w:tc>
        <w:tc>
          <w:tcPr>
            <w:tcW w:w="1134" w:type="dxa"/>
            <w:noWrap w:val="0"/>
            <w:vAlign w:val="center"/>
          </w:tcPr>
          <w:p w14:paraId="699363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67BC5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中共怀化市委党史研究室</w:t>
            </w:r>
          </w:p>
        </w:tc>
      </w:tr>
      <w:tr w14:paraId="5C77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F45D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142DC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13A31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1535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C83A0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F865B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0395F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C0808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5887A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D9D57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AB27E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AE5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1A3B1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D771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B5A30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158726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75.23</w:t>
            </w:r>
          </w:p>
        </w:tc>
        <w:tc>
          <w:tcPr>
            <w:tcW w:w="1134" w:type="dxa"/>
            <w:noWrap w:val="0"/>
            <w:vAlign w:val="center"/>
          </w:tcPr>
          <w:p w14:paraId="545B48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32.15</w:t>
            </w:r>
          </w:p>
        </w:tc>
        <w:tc>
          <w:tcPr>
            <w:tcW w:w="828" w:type="dxa"/>
            <w:noWrap w:val="0"/>
            <w:vAlign w:val="center"/>
          </w:tcPr>
          <w:p w14:paraId="6D7A48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39ADE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42.74%</w:t>
            </w:r>
          </w:p>
        </w:tc>
        <w:tc>
          <w:tcPr>
            <w:tcW w:w="1418" w:type="dxa"/>
            <w:noWrap w:val="0"/>
            <w:vAlign w:val="center"/>
          </w:tcPr>
          <w:p w14:paraId="10C0A5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4.27</w:t>
            </w:r>
          </w:p>
        </w:tc>
      </w:tr>
      <w:tr w14:paraId="58DE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1D078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836D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shd w:val="clear" w:color="auto" w:fill="auto"/>
            <w:noWrap w:val="0"/>
            <w:vAlign w:val="center"/>
          </w:tcPr>
          <w:p w14:paraId="73469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209" w:type="dxa"/>
            <w:shd w:val="clear" w:color="auto" w:fill="auto"/>
            <w:noWrap w:val="0"/>
            <w:vAlign w:val="center"/>
          </w:tcPr>
          <w:p w14:paraId="1C2B8D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75.23</w:t>
            </w:r>
          </w:p>
        </w:tc>
        <w:tc>
          <w:tcPr>
            <w:tcW w:w="1134" w:type="dxa"/>
            <w:shd w:val="clear" w:color="auto" w:fill="auto"/>
            <w:noWrap w:val="0"/>
            <w:vAlign w:val="center"/>
          </w:tcPr>
          <w:p w14:paraId="04A4D0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32.15</w:t>
            </w:r>
          </w:p>
        </w:tc>
        <w:tc>
          <w:tcPr>
            <w:tcW w:w="828" w:type="dxa"/>
            <w:noWrap w:val="0"/>
            <w:vAlign w:val="center"/>
          </w:tcPr>
          <w:p w14:paraId="33127B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006FB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9B25F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A6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A04DC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3F8F03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20B5E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4F631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50CA0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DF55D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370ED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C5BD1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676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C77DE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B61AD1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7B49F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954CD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68097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5BEE9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21F49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8B6B9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347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C3AF6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DEB12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777DE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A0B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12E52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EEB29CA">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完成公开出版、印刷、发行。</w:t>
            </w:r>
          </w:p>
        </w:tc>
        <w:tc>
          <w:tcPr>
            <w:tcW w:w="4253" w:type="dxa"/>
            <w:gridSpan w:val="4"/>
            <w:noWrap w:val="0"/>
            <w:vAlign w:val="center"/>
          </w:tcPr>
          <w:p w14:paraId="6E4686F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《怀化市志》在3月完成省志院初审后进行了第二次修改，目前已通过省志院终审，进入出版程序。</w:t>
            </w:r>
          </w:p>
          <w:p w14:paraId="1D145459">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与怀化市广播电视台合作，开拍影像志《志书里的怀化》，目前已初步完成了1-3集的制作任务，届时将与《怀化市志（1978-2010）》出版发行同步推出。</w:t>
            </w:r>
          </w:p>
        </w:tc>
      </w:tr>
      <w:tr w14:paraId="6309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84526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0BD7B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4A64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CDF84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46A53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B3903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63C735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3FCEF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4D781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0E457E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EA954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CEA3C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064B8B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0CA724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6A51F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9D9C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EAF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A62FE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FE7A4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D57D5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79886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4D2E65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≤75.23万元</w:t>
            </w:r>
          </w:p>
        </w:tc>
        <w:tc>
          <w:tcPr>
            <w:tcW w:w="1134" w:type="dxa"/>
            <w:noWrap w:val="0"/>
            <w:vAlign w:val="center"/>
          </w:tcPr>
          <w:p w14:paraId="70FE5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32.15万元</w:t>
            </w:r>
          </w:p>
        </w:tc>
        <w:tc>
          <w:tcPr>
            <w:tcW w:w="828" w:type="dxa"/>
            <w:shd w:val="clear" w:color="auto" w:fill="auto"/>
            <w:noWrap w:val="0"/>
            <w:vAlign w:val="center"/>
          </w:tcPr>
          <w:p w14:paraId="1AA70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9FE03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550E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C77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7D023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AA3F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65499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340E0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025614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59D1A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57.26%</w:t>
            </w:r>
          </w:p>
        </w:tc>
        <w:tc>
          <w:tcPr>
            <w:tcW w:w="828" w:type="dxa"/>
            <w:shd w:val="clear" w:color="auto" w:fill="auto"/>
            <w:noWrap w:val="0"/>
            <w:vAlign w:val="center"/>
          </w:tcPr>
          <w:p w14:paraId="2E859D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1B55D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172A7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52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AE115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FEB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0575C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1F4A2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363ED0F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5AD60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F6F67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103D8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noWrap w:val="0"/>
            <w:vAlign w:val="center"/>
          </w:tcPr>
          <w:p w14:paraId="0137E2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D9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1A58D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70523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676E0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5BB5C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14EA7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完成书稿终审修改、完成出版印刷</w:t>
            </w:r>
          </w:p>
        </w:tc>
        <w:tc>
          <w:tcPr>
            <w:tcW w:w="1209" w:type="dxa"/>
            <w:noWrap w:val="0"/>
            <w:vAlign w:val="center"/>
          </w:tcPr>
          <w:p w14:paraId="7F7DF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AA6D4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80%</w:t>
            </w:r>
          </w:p>
        </w:tc>
        <w:tc>
          <w:tcPr>
            <w:tcW w:w="828" w:type="dxa"/>
            <w:shd w:val="clear" w:color="auto" w:fill="auto"/>
            <w:noWrap w:val="0"/>
            <w:vAlign w:val="center"/>
          </w:tcPr>
          <w:p w14:paraId="60ACEA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253A3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p>
        </w:tc>
        <w:tc>
          <w:tcPr>
            <w:tcW w:w="1418" w:type="dxa"/>
            <w:noWrap w:val="0"/>
            <w:vAlign w:val="center"/>
          </w:tcPr>
          <w:p w14:paraId="2CD451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进入出版印刷阶段</w:t>
            </w:r>
          </w:p>
        </w:tc>
      </w:tr>
      <w:tr w14:paraId="68B9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611C9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9E79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28F8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F6635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符合志书出版标准</w:t>
            </w:r>
          </w:p>
        </w:tc>
        <w:tc>
          <w:tcPr>
            <w:tcW w:w="1209" w:type="dxa"/>
            <w:noWrap w:val="0"/>
            <w:vAlign w:val="center"/>
          </w:tcPr>
          <w:p w14:paraId="14806A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1134" w:type="dxa"/>
            <w:noWrap w:val="0"/>
            <w:vAlign w:val="center"/>
          </w:tcPr>
          <w:p w14:paraId="4BD82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达到要求</w:t>
            </w:r>
          </w:p>
        </w:tc>
        <w:tc>
          <w:tcPr>
            <w:tcW w:w="828" w:type="dxa"/>
            <w:shd w:val="clear" w:color="auto" w:fill="auto"/>
            <w:noWrap w:val="0"/>
            <w:vAlign w:val="center"/>
          </w:tcPr>
          <w:p w14:paraId="571EA1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91570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A7A16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FB7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9F4E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24E31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ECFC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B188D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49962D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noWrap w:val="0"/>
            <w:vAlign w:val="center"/>
          </w:tcPr>
          <w:p w14:paraId="3E5751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shd w:val="clear" w:color="auto" w:fill="auto"/>
            <w:noWrap w:val="0"/>
            <w:vAlign w:val="center"/>
          </w:tcPr>
          <w:p w14:paraId="3BD641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E897E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E43E9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E6D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6DD5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76B5B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CCB93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CBA3F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7C2DC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CD818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3F62E6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2CC26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rPr>
            </w:pPr>
          </w:p>
        </w:tc>
        <w:tc>
          <w:tcPr>
            <w:tcW w:w="828" w:type="dxa"/>
            <w:shd w:val="clear" w:color="auto" w:fill="auto"/>
            <w:noWrap w:val="0"/>
            <w:vAlign w:val="center"/>
          </w:tcPr>
          <w:p w14:paraId="70D8F4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D43E5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p>
        </w:tc>
        <w:tc>
          <w:tcPr>
            <w:tcW w:w="1418" w:type="dxa"/>
            <w:noWrap w:val="0"/>
            <w:vAlign w:val="center"/>
          </w:tcPr>
          <w:p w14:paraId="31D2A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p>
        </w:tc>
      </w:tr>
      <w:tr w14:paraId="583C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5EFEF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A42D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9DA9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9FE33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04C40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全面客观记录全市自然、政治、经济、文化和社会的历史和现状</w:t>
            </w:r>
          </w:p>
        </w:tc>
        <w:tc>
          <w:tcPr>
            <w:tcW w:w="1209" w:type="dxa"/>
            <w:noWrap w:val="0"/>
            <w:vAlign w:val="center"/>
          </w:tcPr>
          <w:p w14:paraId="26903A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29460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E6875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6C28C9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7B605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67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00735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04EC4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3FCB0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3B906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6434A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4C70E3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05188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54780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06671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7FB8CE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3980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B8A76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bookmarkStart w:id="0" w:name="_GoBack" w:colFirst="4" w:colLast="7"/>
          </w:p>
        </w:tc>
        <w:tc>
          <w:tcPr>
            <w:tcW w:w="1080" w:type="dxa"/>
            <w:vMerge w:val="continue"/>
            <w:noWrap w:val="0"/>
            <w:vAlign w:val="center"/>
          </w:tcPr>
          <w:p w14:paraId="596677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6812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067415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为市委决策发挥好参谋资政作用，并实现存史、育人功能</w:t>
            </w:r>
          </w:p>
        </w:tc>
        <w:tc>
          <w:tcPr>
            <w:tcW w:w="1209" w:type="dxa"/>
            <w:shd w:val="clear"/>
            <w:noWrap w:val="0"/>
            <w:vAlign w:val="center"/>
          </w:tcPr>
          <w:p w14:paraId="3F6C2F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noWrap w:val="0"/>
            <w:vAlign w:val="center"/>
          </w:tcPr>
          <w:p w14:paraId="45B694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4328BF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7F7FF3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83DCB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r>
      <w:bookmarkEnd w:id="0"/>
      <w:tr w14:paraId="243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7C5BA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0AFE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7B11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C0D58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15D1F0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291AC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78B56A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34" w:type="dxa"/>
            <w:noWrap w:val="0"/>
            <w:vAlign w:val="center"/>
          </w:tcPr>
          <w:p w14:paraId="55F6AE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425063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93B37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C0C6F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D7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E897A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D58D5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1BF999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90.27</w:t>
            </w:r>
          </w:p>
        </w:tc>
        <w:tc>
          <w:tcPr>
            <w:tcW w:w="1418" w:type="dxa"/>
            <w:noWrap w:val="0"/>
            <w:vAlign w:val="center"/>
          </w:tcPr>
          <w:p w14:paraId="7408CF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668278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唐珍华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2025.6.5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15115151166 </w:t>
      </w:r>
    </w:p>
    <w:p w14:paraId="5EF54B5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1" w:fontKey="{8BF1CDCB-BDB5-4DF9-995C-250310C8E8F3}"/>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562B0BA2-1680-4363-A821-5578016927CA}"/>
  </w:font>
  <w:font w:name="华文中宋">
    <w:panose1 w:val="02010600040101010101"/>
    <w:charset w:val="86"/>
    <w:family w:val="auto"/>
    <w:pitch w:val="default"/>
    <w:sig w:usb0="00000287" w:usb1="080F0000" w:usb2="00000000" w:usb3="00000000" w:csb0="0004009F" w:csb1="DFD70000"/>
    <w:embedRegular r:id="rId3" w:fontKey="{8B44170D-AB99-4098-9A2E-B48911BA862F}"/>
  </w:font>
  <w:font w:name="方正黑体_GBK">
    <w:altName w:val="微软雅黑"/>
    <w:panose1 w:val="02000000000000000000"/>
    <w:charset w:val="86"/>
    <w:family w:val="auto"/>
    <w:pitch w:val="default"/>
    <w:sig w:usb0="00000000" w:usb1="00000000" w:usb2="00000000" w:usb3="00000000" w:csb0="00040000" w:csb1="00000000"/>
    <w:embedRegular r:id="rId4" w:fontKey="{FA3EBDCF-3011-45D2-AA74-A87C661CD99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03C43DA8-C373-4EC7-8728-161BA64C713A}"/>
  </w:font>
  <w:font w:name="Times New Roman Regular">
    <w:altName w:val="Times New Roman"/>
    <w:panose1 w:val="02020603050405020304"/>
    <w:charset w:val="00"/>
    <w:family w:val="auto"/>
    <w:pitch w:val="default"/>
    <w:sig w:usb0="00000000" w:usb1="00000000" w:usb2="00000009" w:usb3="00000000" w:csb0="400001FF" w:csb1="FFFF0000"/>
    <w:embedRegular r:id="rId6" w:fontKey="{4878658D-CC1D-4D20-9FA2-73CBF3FB2175}"/>
  </w:font>
  <w:font w:name="仿宋_GB2312">
    <w:panose1 w:val="02010609030101010101"/>
    <w:charset w:val="86"/>
    <w:family w:val="auto"/>
    <w:pitch w:val="default"/>
    <w:sig w:usb0="00000001" w:usb1="080E0000" w:usb2="00000000" w:usb3="00000000" w:csb0="00040000" w:csb1="00000000"/>
    <w:embedRegular r:id="rId7" w:fontKey="{5C078401-6C8C-4F05-99A5-1C6EDEA544C9}"/>
  </w:font>
  <w:font w:name="方正小标宋简体">
    <w:panose1 w:val="02000000000000000000"/>
    <w:charset w:val="86"/>
    <w:family w:val="auto"/>
    <w:pitch w:val="default"/>
    <w:sig w:usb0="00000001" w:usb1="08000000" w:usb2="00000000" w:usb3="00000000" w:csb0="00040000" w:csb1="00000000"/>
    <w:embedRegular r:id="rId8" w:fontKey="{9A86A0C8-5770-4809-AEBE-9D8CEA431880}"/>
  </w:font>
  <w:font w:name="方正仿宋_GB2312">
    <w:panose1 w:val="02000000000000000000"/>
    <w:charset w:val="86"/>
    <w:family w:val="auto"/>
    <w:pitch w:val="default"/>
    <w:sig w:usb0="A00002BF" w:usb1="184F6CFA" w:usb2="00000012" w:usb3="00000000" w:csb0="00040001" w:csb1="00000000"/>
    <w:embedRegular r:id="rId9" w:fontKey="{1F04E070-8501-4807-B030-04E5A29844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1487061"/>
    <w:rsid w:val="018F6A3E"/>
    <w:rsid w:val="01AC5842"/>
    <w:rsid w:val="01CE3A0A"/>
    <w:rsid w:val="01EE19B6"/>
    <w:rsid w:val="034C410B"/>
    <w:rsid w:val="034F2928"/>
    <w:rsid w:val="035166A0"/>
    <w:rsid w:val="03C24D40"/>
    <w:rsid w:val="04910D1F"/>
    <w:rsid w:val="04E946B7"/>
    <w:rsid w:val="051E6A56"/>
    <w:rsid w:val="05300538"/>
    <w:rsid w:val="057D027C"/>
    <w:rsid w:val="059C797B"/>
    <w:rsid w:val="059E1945"/>
    <w:rsid w:val="05A807F9"/>
    <w:rsid w:val="05E95AA6"/>
    <w:rsid w:val="062E2CC9"/>
    <w:rsid w:val="06AA1B7A"/>
    <w:rsid w:val="075F6EB2"/>
    <w:rsid w:val="07754928"/>
    <w:rsid w:val="078132CC"/>
    <w:rsid w:val="07CF228A"/>
    <w:rsid w:val="07E31891"/>
    <w:rsid w:val="082C4FE6"/>
    <w:rsid w:val="085D1644"/>
    <w:rsid w:val="086C290A"/>
    <w:rsid w:val="087A0447"/>
    <w:rsid w:val="08850B9A"/>
    <w:rsid w:val="08933FA0"/>
    <w:rsid w:val="08AC5100"/>
    <w:rsid w:val="08AF79C5"/>
    <w:rsid w:val="08C711B3"/>
    <w:rsid w:val="08E04023"/>
    <w:rsid w:val="095C7B4D"/>
    <w:rsid w:val="09C83435"/>
    <w:rsid w:val="09E0252C"/>
    <w:rsid w:val="09EF451D"/>
    <w:rsid w:val="0A3B3C06"/>
    <w:rsid w:val="0A7A79C6"/>
    <w:rsid w:val="0AAB518D"/>
    <w:rsid w:val="0AF142C5"/>
    <w:rsid w:val="0B5E5DFE"/>
    <w:rsid w:val="0B9E269F"/>
    <w:rsid w:val="0BEF2EFA"/>
    <w:rsid w:val="0BF7590B"/>
    <w:rsid w:val="0C180A78"/>
    <w:rsid w:val="0C1A784C"/>
    <w:rsid w:val="0C41127C"/>
    <w:rsid w:val="0CA710DF"/>
    <w:rsid w:val="0CB60E73"/>
    <w:rsid w:val="0CF85DDF"/>
    <w:rsid w:val="0CFA1B57"/>
    <w:rsid w:val="0CFF0F1B"/>
    <w:rsid w:val="0D244E26"/>
    <w:rsid w:val="0D276746"/>
    <w:rsid w:val="0D4224E0"/>
    <w:rsid w:val="0D464D9C"/>
    <w:rsid w:val="0D6276FC"/>
    <w:rsid w:val="0D6C6ADC"/>
    <w:rsid w:val="0D894C89"/>
    <w:rsid w:val="0D9553DC"/>
    <w:rsid w:val="0DAB10A3"/>
    <w:rsid w:val="0DD52794"/>
    <w:rsid w:val="0E63372C"/>
    <w:rsid w:val="0E682AF0"/>
    <w:rsid w:val="0E7364E4"/>
    <w:rsid w:val="0E76345F"/>
    <w:rsid w:val="0E956870"/>
    <w:rsid w:val="0EDB7766"/>
    <w:rsid w:val="0EDC703A"/>
    <w:rsid w:val="0EE24651"/>
    <w:rsid w:val="0F1741C3"/>
    <w:rsid w:val="0F274759"/>
    <w:rsid w:val="0FDE1F27"/>
    <w:rsid w:val="0FE20542"/>
    <w:rsid w:val="0FE4089C"/>
    <w:rsid w:val="102B64CB"/>
    <w:rsid w:val="105F500C"/>
    <w:rsid w:val="10872AF6"/>
    <w:rsid w:val="108F25B6"/>
    <w:rsid w:val="10AA19B6"/>
    <w:rsid w:val="10C666A5"/>
    <w:rsid w:val="10EA5A3E"/>
    <w:rsid w:val="11531836"/>
    <w:rsid w:val="117874EE"/>
    <w:rsid w:val="119F2CCD"/>
    <w:rsid w:val="11B66E48"/>
    <w:rsid w:val="11FD5C45"/>
    <w:rsid w:val="12105979"/>
    <w:rsid w:val="1223366A"/>
    <w:rsid w:val="125A6BF4"/>
    <w:rsid w:val="125C0BBE"/>
    <w:rsid w:val="12651E51"/>
    <w:rsid w:val="12D06EB6"/>
    <w:rsid w:val="12DC3AAD"/>
    <w:rsid w:val="13482EF0"/>
    <w:rsid w:val="13545D39"/>
    <w:rsid w:val="13693592"/>
    <w:rsid w:val="139A7BF0"/>
    <w:rsid w:val="13B660AC"/>
    <w:rsid w:val="13BE4B4C"/>
    <w:rsid w:val="13DF1AA7"/>
    <w:rsid w:val="13E26EA1"/>
    <w:rsid w:val="143811B7"/>
    <w:rsid w:val="143877FD"/>
    <w:rsid w:val="144117E6"/>
    <w:rsid w:val="15323E58"/>
    <w:rsid w:val="1599318F"/>
    <w:rsid w:val="15AC59B8"/>
    <w:rsid w:val="15EA64E1"/>
    <w:rsid w:val="15F555B1"/>
    <w:rsid w:val="16027CCE"/>
    <w:rsid w:val="16503919"/>
    <w:rsid w:val="170D06D9"/>
    <w:rsid w:val="17125CEF"/>
    <w:rsid w:val="174D4F79"/>
    <w:rsid w:val="17501434"/>
    <w:rsid w:val="175E2CE2"/>
    <w:rsid w:val="17A36E22"/>
    <w:rsid w:val="17B943BD"/>
    <w:rsid w:val="17FCFFF6"/>
    <w:rsid w:val="181D2B9D"/>
    <w:rsid w:val="1856573C"/>
    <w:rsid w:val="188E5849"/>
    <w:rsid w:val="18B43502"/>
    <w:rsid w:val="18F02060"/>
    <w:rsid w:val="19271589"/>
    <w:rsid w:val="19614D0C"/>
    <w:rsid w:val="196F7429"/>
    <w:rsid w:val="19E805B2"/>
    <w:rsid w:val="1A44242A"/>
    <w:rsid w:val="1A7C004F"/>
    <w:rsid w:val="1A974E89"/>
    <w:rsid w:val="1AE6371B"/>
    <w:rsid w:val="1AFC4CEC"/>
    <w:rsid w:val="1B3A75C2"/>
    <w:rsid w:val="1B427B7E"/>
    <w:rsid w:val="1B811695"/>
    <w:rsid w:val="1B9C027D"/>
    <w:rsid w:val="1BAF6202"/>
    <w:rsid w:val="1BB92BDD"/>
    <w:rsid w:val="1C1833AB"/>
    <w:rsid w:val="1C252021"/>
    <w:rsid w:val="1CA70C88"/>
    <w:rsid w:val="1CA84A27"/>
    <w:rsid w:val="1CB02232"/>
    <w:rsid w:val="1CBF872E"/>
    <w:rsid w:val="1D083E1C"/>
    <w:rsid w:val="1D0936F0"/>
    <w:rsid w:val="1D3E11E9"/>
    <w:rsid w:val="1DA70F80"/>
    <w:rsid w:val="1DB0562C"/>
    <w:rsid w:val="1DC55869"/>
    <w:rsid w:val="1DCA7323"/>
    <w:rsid w:val="1DD957B9"/>
    <w:rsid w:val="1DFE521F"/>
    <w:rsid w:val="1E1F07B9"/>
    <w:rsid w:val="1E2A7DC2"/>
    <w:rsid w:val="1E396257"/>
    <w:rsid w:val="1E787F49"/>
    <w:rsid w:val="1EBB7A7D"/>
    <w:rsid w:val="1F9E2816"/>
    <w:rsid w:val="1FDD47CD"/>
    <w:rsid w:val="20130E79"/>
    <w:rsid w:val="20AB7B02"/>
    <w:rsid w:val="20E24984"/>
    <w:rsid w:val="21115269"/>
    <w:rsid w:val="211C7E96"/>
    <w:rsid w:val="21537630"/>
    <w:rsid w:val="21676C37"/>
    <w:rsid w:val="219263AA"/>
    <w:rsid w:val="219739C1"/>
    <w:rsid w:val="21BE0F4D"/>
    <w:rsid w:val="21D12523"/>
    <w:rsid w:val="220A7A83"/>
    <w:rsid w:val="220C0B15"/>
    <w:rsid w:val="2221328A"/>
    <w:rsid w:val="22341ABF"/>
    <w:rsid w:val="22C97BAA"/>
    <w:rsid w:val="22EC3898"/>
    <w:rsid w:val="22FE234B"/>
    <w:rsid w:val="23045086"/>
    <w:rsid w:val="23126E2B"/>
    <w:rsid w:val="233A0AA7"/>
    <w:rsid w:val="235B27CC"/>
    <w:rsid w:val="23823C30"/>
    <w:rsid w:val="23A6613D"/>
    <w:rsid w:val="23C34866"/>
    <w:rsid w:val="2409047A"/>
    <w:rsid w:val="241F1A4B"/>
    <w:rsid w:val="244B0A92"/>
    <w:rsid w:val="246F652F"/>
    <w:rsid w:val="247C0C4C"/>
    <w:rsid w:val="24822706"/>
    <w:rsid w:val="25B52667"/>
    <w:rsid w:val="25B71C5F"/>
    <w:rsid w:val="25CA014A"/>
    <w:rsid w:val="25D92BA6"/>
    <w:rsid w:val="25E87C00"/>
    <w:rsid w:val="26E03714"/>
    <w:rsid w:val="273A72C8"/>
    <w:rsid w:val="274C2B57"/>
    <w:rsid w:val="275F6D2E"/>
    <w:rsid w:val="277E6F02"/>
    <w:rsid w:val="278A3680"/>
    <w:rsid w:val="27AC7A9A"/>
    <w:rsid w:val="27B801ED"/>
    <w:rsid w:val="27FF5E1C"/>
    <w:rsid w:val="28094EEC"/>
    <w:rsid w:val="285C501C"/>
    <w:rsid w:val="28CD7CC8"/>
    <w:rsid w:val="28D95F1A"/>
    <w:rsid w:val="29177195"/>
    <w:rsid w:val="294A57BC"/>
    <w:rsid w:val="29990575"/>
    <w:rsid w:val="29EA2FC1"/>
    <w:rsid w:val="2A1060BE"/>
    <w:rsid w:val="2A2D4BBB"/>
    <w:rsid w:val="2A3A313B"/>
    <w:rsid w:val="2AB54EB7"/>
    <w:rsid w:val="2AD74E2E"/>
    <w:rsid w:val="2AD90BA6"/>
    <w:rsid w:val="2ADE440E"/>
    <w:rsid w:val="2AF27EBA"/>
    <w:rsid w:val="2AF6742D"/>
    <w:rsid w:val="2B4029D3"/>
    <w:rsid w:val="2B77216D"/>
    <w:rsid w:val="2BC453B2"/>
    <w:rsid w:val="2BFA7026"/>
    <w:rsid w:val="2C1B6F9C"/>
    <w:rsid w:val="2C2422F5"/>
    <w:rsid w:val="2C3D5164"/>
    <w:rsid w:val="2C422B6C"/>
    <w:rsid w:val="2C4C35F9"/>
    <w:rsid w:val="2C9A6113"/>
    <w:rsid w:val="2C9F197B"/>
    <w:rsid w:val="2CC118F2"/>
    <w:rsid w:val="2CD0422B"/>
    <w:rsid w:val="2CD77367"/>
    <w:rsid w:val="2D340315"/>
    <w:rsid w:val="2D3F757A"/>
    <w:rsid w:val="2D417546"/>
    <w:rsid w:val="2D4D13D7"/>
    <w:rsid w:val="2DA52FC1"/>
    <w:rsid w:val="2DEF06E0"/>
    <w:rsid w:val="2DEF7510"/>
    <w:rsid w:val="2E232138"/>
    <w:rsid w:val="2E3D31FA"/>
    <w:rsid w:val="2E4B3B69"/>
    <w:rsid w:val="2EAE5774"/>
    <w:rsid w:val="2EB931C8"/>
    <w:rsid w:val="2F49024D"/>
    <w:rsid w:val="2FE34514"/>
    <w:rsid w:val="2FEF6776"/>
    <w:rsid w:val="2FF63FA8"/>
    <w:rsid w:val="30542A7D"/>
    <w:rsid w:val="305A62E5"/>
    <w:rsid w:val="30A100CB"/>
    <w:rsid w:val="3102072B"/>
    <w:rsid w:val="312A2265"/>
    <w:rsid w:val="313E5C07"/>
    <w:rsid w:val="31A44011"/>
    <w:rsid w:val="323D68E4"/>
    <w:rsid w:val="32472899"/>
    <w:rsid w:val="326E6078"/>
    <w:rsid w:val="32987598"/>
    <w:rsid w:val="32EB591A"/>
    <w:rsid w:val="330864CC"/>
    <w:rsid w:val="333F3E43"/>
    <w:rsid w:val="33802506"/>
    <w:rsid w:val="33B91574"/>
    <w:rsid w:val="33E10ACB"/>
    <w:rsid w:val="341B222F"/>
    <w:rsid w:val="346C65E7"/>
    <w:rsid w:val="34A2025B"/>
    <w:rsid w:val="34BF4759"/>
    <w:rsid w:val="34FA3BF3"/>
    <w:rsid w:val="35185979"/>
    <w:rsid w:val="35305866"/>
    <w:rsid w:val="361C228F"/>
    <w:rsid w:val="364C7BEF"/>
    <w:rsid w:val="368A71F8"/>
    <w:rsid w:val="36E903C3"/>
    <w:rsid w:val="36F91E4E"/>
    <w:rsid w:val="36FC0F5D"/>
    <w:rsid w:val="372E5DD5"/>
    <w:rsid w:val="37335AE2"/>
    <w:rsid w:val="37476E97"/>
    <w:rsid w:val="375773F8"/>
    <w:rsid w:val="377E606A"/>
    <w:rsid w:val="377F4883"/>
    <w:rsid w:val="37936580"/>
    <w:rsid w:val="37AF33BA"/>
    <w:rsid w:val="37D930E8"/>
    <w:rsid w:val="37F45271"/>
    <w:rsid w:val="385B709E"/>
    <w:rsid w:val="386C12AB"/>
    <w:rsid w:val="388B2C2B"/>
    <w:rsid w:val="38983E4E"/>
    <w:rsid w:val="393E32BB"/>
    <w:rsid w:val="3A06303A"/>
    <w:rsid w:val="3A0948D8"/>
    <w:rsid w:val="3A4D6EBA"/>
    <w:rsid w:val="3A5244D1"/>
    <w:rsid w:val="3A5C0EAC"/>
    <w:rsid w:val="3A5C534F"/>
    <w:rsid w:val="3A5E4C24"/>
    <w:rsid w:val="3A6C5593"/>
    <w:rsid w:val="3A886145"/>
    <w:rsid w:val="3AAD7959"/>
    <w:rsid w:val="3ACC6031"/>
    <w:rsid w:val="3AE710BD"/>
    <w:rsid w:val="3AF235BE"/>
    <w:rsid w:val="3B984165"/>
    <w:rsid w:val="3BA448B8"/>
    <w:rsid w:val="3BA725FA"/>
    <w:rsid w:val="3BA945C4"/>
    <w:rsid w:val="3BFA6BCE"/>
    <w:rsid w:val="3BFE1CEB"/>
    <w:rsid w:val="3C0812EB"/>
    <w:rsid w:val="3C0D4B53"/>
    <w:rsid w:val="3C940DD1"/>
    <w:rsid w:val="3CB13731"/>
    <w:rsid w:val="3CC571DC"/>
    <w:rsid w:val="3D0F2205"/>
    <w:rsid w:val="3D736C38"/>
    <w:rsid w:val="3DC254CA"/>
    <w:rsid w:val="3DE74F30"/>
    <w:rsid w:val="3E077380"/>
    <w:rsid w:val="3E157CEF"/>
    <w:rsid w:val="3E1F291C"/>
    <w:rsid w:val="3E75078E"/>
    <w:rsid w:val="3E7F160D"/>
    <w:rsid w:val="3E852082"/>
    <w:rsid w:val="3E946E66"/>
    <w:rsid w:val="3E95498C"/>
    <w:rsid w:val="3E9F580B"/>
    <w:rsid w:val="3EFB02D6"/>
    <w:rsid w:val="3EFDDE87"/>
    <w:rsid w:val="3F247041"/>
    <w:rsid w:val="3F285800"/>
    <w:rsid w:val="3F4C5993"/>
    <w:rsid w:val="3F555E16"/>
    <w:rsid w:val="406E7B8B"/>
    <w:rsid w:val="408D05D6"/>
    <w:rsid w:val="410F0A26"/>
    <w:rsid w:val="411E6EBB"/>
    <w:rsid w:val="412B15D8"/>
    <w:rsid w:val="41760AA5"/>
    <w:rsid w:val="419B2857"/>
    <w:rsid w:val="41A575DC"/>
    <w:rsid w:val="41AE46E3"/>
    <w:rsid w:val="41D71DA8"/>
    <w:rsid w:val="420E5181"/>
    <w:rsid w:val="42307489"/>
    <w:rsid w:val="424741EF"/>
    <w:rsid w:val="424C5CAA"/>
    <w:rsid w:val="425132C0"/>
    <w:rsid w:val="426254CD"/>
    <w:rsid w:val="42986794"/>
    <w:rsid w:val="42AE0712"/>
    <w:rsid w:val="42EE0B0F"/>
    <w:rsid w:val="43106CD7"/>
    <w:rsid w:val="4348021F"/>
    <w:rsid w:val="435412BA"/>
    <w:rsid w:val="436A4639"/>
    <w:rsid w:val="43994F1E"/>
    <w:rsid w:val="43CA722C"/>
    <w:rsid w:val="43E51F12"/>
    <w:rsid w:val="442C3CA3"/>
    <w:rsid w:val="445C6678"/>
    <w:rsid w:val="448E25A9"/>
    <w:rsid w:val="44A678F3"/>
    <w:rsid w:val="45232CF2"/>
    <w:rsid w:val="45570BED"/>
    <w:rsid w:val="45601543"/>
    <w:rsid w:val="45725A27"/>
    <w:rsid w:val="45886FF9"/>
    <w:rsid w:val="45912351"/>
    <w:rsid w:val="464B3E8B"/>
    <w:rsid w:val="4654337F"/>
    <w:rsid w:val="46547D5A"/>
    <w:rsid w:val="46A14816"/>
    <w:rsid w:val="46AE6F33"/>
    <w:rsid w:val="46E75FA1"/>
    <w:rsid w:val="46F10BCE"/>
    <w:rsid w:val="46F96400"/>
    <w:rsid w:val="470E1780"/>
    <w:rsid w:val="471A6376"/>
    <w:rsid w:val="471F573B"/>
    <w:rsid w:val="47240CC7"/>
    <w:rsid w:val="473E2065"/>
    <w:rsid w:val="473F5DDD"/>
    <w:rsid w:val="47637D1D"/>
    <w:rsid w:val="476D64A6"/>
    <w:rsid w:val="47A53E92"/>
    <w:rsid w:val="47C06F1E"/>
    <w:rsid w:val="483671E0"/>
    <w:rsid w:val="487B2E45"/>
    <w:rsid w:val="48F74BC1"/>
    <w:rsid w:val="493A4AAE"/>
    <w:rsid w:val="49657005"/>
    <w:rsid w:val="49755AE6"/>
    <w:rsid w:val="49843F7B"/>
    <w:rsid w:val="498E6BA8"/>
    <w:rsid w:val="49B91E77"/>
    <w:rsid w:val="49D00794"/>
    <w:rsid w:val="4A227A1C"/>
    <w:rsid w:val="4A5B2F2E"/>
    <w:rsid w:val="4A6D664D"/>
    <w:rsid w:val="4A6F69D9"/>
    <w:rsid w:val="4A8A736F"/>
    <w:rsid w:val="4AA06B93"/>
    <w:rsid w:val="4AC02A09"/>
    <w:rsid w:val="4AF8077D"/>
    <w:rsid w:val="4B1872B1"/>
    <w:rsid w:val="4B196FCB"/>
    <w:rsid w:val="4BA3729E"/>
    <w:rsid w:val="4C066EC9"/>
    <w:rsid w:val="4C325F10"/>
    <w:rsid w:val="4C393F37"/>
    <w:rsid w:val="4C57732C"/>
    <w:rsid w:val="4C6611ED"/>
    <w:rsid w:val="4CCD4891"/>
    <w:rsid w:val="4CF431C6"/>
    <w:rsid w:val="4D5D3BD3"/>
    <w:rsid w:val="4D7560E1"/>
    <w:rsid w:val="4DA8648A"/>
    <w:rsid w:val="4DDB7414"/>
    <w:rsid w:val="4E134968"/>
    <w:rsid w:val="4E453CD9"/>
    <w:rsid w:val="4E4F40EB"/>
    <w:rsid w:val="4E724CEA"/>
    <w:rsid w:val="4E9A58F1"/>
    <w:rsid w:val="4EB7F892"/>
    <w:rsid w:val="4F1B712F"/>
    <w:rsid w:val="4F9A62A6"/>
    <w:rsid w:val="4FA57CEC"/>
    <w:rsid w:val="4FC60E49"/>
    <w:rsid w:val="4FC8602C"/>
    <w:rsid w:val="502B33A2"/>
    <w:rsid w:val="50785204"/>
    <w:rsid w:val="5086682B"/>
    <w:rsid w:val="509B22D6"/>
    <w:rsid w:val="50A218B6"/>
    <w:rsid w:val="50C01D3C"/>
    <w:rsid w:val="51595CED"/>
    <w:rsid w:val="517448D5"/>
    <w:rsid w:val="51A258E6"/>
    <w:rsid w:val="51AF590D"/>
    <w:rsid w:val="51CE66DB"/>
    <w:rsid w:val="51FA127E"/>
    <w:rsid w:val="52224331"/>
    <w:rsid w:val="52641CA4"/>
    <w:rsid w:val="52663400"/>
    <w:rsid w:val="52976ACD"/>
    <w:rsid w:val="52C33D66"/>
    <w:rsid w:val="533B7F90"/>
    <w:rsid w:val="533E33EC"/>
    <w:rsid w:val="53446C55"/>
    <w:rsid w:val="534D7CE1"/>
    <w:rsid w:val="535A6478"/>
    <w:rsid w:val="5362532D"/>
    <w:rsid w:val="53EB5322"/>
    <w:rsid w:val="53EC5BF6"/>
    <w:rsid w:val="542D76E9"/>
    <w:rsid w:val="543320A8"/>
    <w:rsid w:val="54352A41"/>
    <w:rsid w:val="543F11CA"/>
    <w:rsid w:val="546D5D37"/>
    <w:rsid w:val="547C5F7A"/>
    <w:rsid w:val="54C139E7"/>
    <w:rsid w:val="54D04518"/>
    <w:rsid w:val="54F9581D"/>
    <w:rsid w:val="552A0475"/>
    <w:rsid w:val="5560589C"/>
    <w:rsid w:val="55757355"/>
    <w:rsid w:val="55B41744"/>
    <w:rsid w:val="55CE0A58"/>
    <w:rsid w:val="55D87B28"/>
    <w:rsid w:val="55F12998"/>
    <w:rsid w:val="560501F2"/>
    <w:rsid w:val="560E354A"/>
    <w:rsid w:val="560E7DD9"/>
    <w:rsid w:val="564B3E56"/>
    <w:rsid w:val="56635263"/>
    <w:rsid w:val="56A8574D"/>
    <w:rsid w:val="56A93273"/>
    <w:rsid w:val="56B56E8F"/>
    <w:rsid w:val="56CA56C3"/>
    <w:rsid w:val="56D93B58"/>
    <w:rsid w:val="56DE76FC"/>
    <w:rsid w:val="56ED13B1"/>
    <w:rsid w:val="57875362"/>
    <w:rsid w:val="578D10CB"/>
    <w:rsid w:val="57A2219C"/>
    <w:rsid w:val="57F16C7F"/>
    <w:rsid w:val="5838665C"/>
    <w:rsid w:val="586B4C84"/>
    <w:rsid w:val="588B0E82"/>
    <w:rsid w:val="58C85C32"/>
    <w:rsid w:val="58D02D39"/>
    <w:rsid w:val="59462FFB"/>
    <w:rsid w:val="59624C9A"/>
    <w:rsid w:val="59B461B6"/>
    <w:rsid w:val="59BA32DE"/>
    <w:rsid w:val="5A092E5C"/>
    <w:rsid w:val="5A2450EA"/>
    <w:rsid w:val="5A5915AC"/>
    <w:rsid w:val="5A7D0C9E"/>
    <w:rsid w:val="5A94234B"/>
    <w:rsid w:val="5A9D4E9D"/>
    <w:rsid w:val="5ABBC979"/>
    <w:rsid w:val="5AE40D1D"/>
    <w:rsid w:val="5B5419FF"/>
    <w:rsid w:val="5B7B3430"/>
    <w:rsid w:val="5BC30933"/>
    <w:rsid w:val="5BCB6B9F"/>
    <w:rsid w:val="5BE34B31"/>
    <w:rsid w:val="5BF3746A"/>
    <w:rsid w:val="5BFC7B3B"/>
    <w:rsid w:val="5C367357"/>
    <w:rsid w:val="5CBA1D36"/>
    <w:rsid w:val="5D1E0517"/>
    <w:rsid w:val="5D1F2D0B"/>
    <w:rsid w:val="5D1F428F"/>
    <w:rsid w:val="5DA36C6E"/>
    <w:rsid w:val="5DBF512A"/>
    <w:rsid w:val="5E202886"/>
    <w:rsid w:val="5E385608"/>
    <w:rsid w:val="5E39312E"/>
    <w:rsid w:val="5E7509DD"/>
    <w:rsid w:val="5E77C7C6"/>
    <w:rsid w:val="5E7F4FE5"/>
    <w:rsid w:val="5E824AD5"/>
    <w:rsid w:val="5EF07C91"/>
    <w:rsid w:val="5EFD415C"/>
    <w:rsid w:val="5F4E4F58"/>
    <w:rsid w:val="5FE175D9"/>
    <w:rsid w:val="5FFFAAE0"/>
    <w:rsid w:val="60341DFF"/>
    <w:rsid w:val="603B318E"/>
    <w:rsid w:val="60576417"/>
    <w:rsid w:val="60824919"/>
    <w:rsid w:val="608C1C3B"/>
    <w:rsid w:val="60EB4BB4"/>
    <w:rsid w:val="60F82E2D"/>
    <w:rsid w:val="611063C8"/>
    <w:rsid w:val="6129748A"/>
    <w:rsid w:val="613D2F35"/>
    <w:rsid w:val="61FA4982"/>
    <w:rsid w:val="62031A89"/>
    <w:rsid w:val="62216AEC"/>
    <w:rsid w:val="622A5268"/>
    <w:rsid w:val="626A1B08"/>
    <w:rsid w:val="62782477"/>
    <w:rsid w:val="62A12A43"/>
    <w:rsid w:val="62E178BB"/>
    <w:rsid w:val="62E53885"/>
    <w:rsid w:val="62FA5F78"/>
    <w:rsid w:val="63310878"/>
    <w:rsid w:val="634B7B8C"/>
    <w:rsid w:val="634C56B2"/>
    <w:rsid w:val="63827325"/>
    <w:rsid w:val="63927568"/>
    <w:rsid w:val="63A92B04"/>
    <w:rsid w:val="63CE3EA9"/>
    <w:rsid w:val="63E01772"/>
    <w:rsid w:val="64462101"/>
    <w:rsid w:val="645A5BAC"/>
    <w:rsid w:val="649B41FB"/>
    <w:rsid w:val="654A79CF"/>
    <w:rsid w:val="65613696"/>
    <w:rsid w:val="656E5DB3"/>
    <w:rsid w:val="65A74E21"/>
    <w:rsid w:val="66347B2F"/>
    <w:rsid w:val="663761A5"/>
    <w:rsid w:val="663C1A0D"/>
    <w:rsid w:val="66430FEE"/>
    <w:rsid w:val="667FD72C"/>
    <w:rsid w:val="66A51361"/>
    <w:rsid w:val="66C35C8B"/>
    <w:rsid w:val="66D734E4"/>
    <w:rsid w:val="66DF6029"/>
    <w:rsid w:val="67065B78"/>
    <w:rsid w:val="67446DCC"/>
    <w:rsid w:val="678E0047"/>
    <w:rsid w:val="67916664"/>
    <w:rsid w:val="67D53EC8"/>
    <w:rsid w:val="67F81964"/>
    <w:rsid w:val="685F612F"/>
    <w:rsid w:val="68A85138"/>
    <w:rsid w:val="68BE670A"/>
    <w:rsid w:val="68D4417F"/>
    <w:rsid w:val="69643755"/>
    <w:rsid w:val="69AE49D0"/>
    <w:rsid w:val="69F66377"/>
    <w:rsid w:val="6A12486A"/>
    <w:rsid w:val="6A366774"/>
    <w:rsid w:val="6A50275D"/>
    <w:rsid w:val="6A627569"/>
    <w:rsid w:val="6A7E0847"/>
    <w:rsid w:val="6ABE64BE"/>
    <w:rsid w:val="6B106FC5"/>
    <w:rsid w:val="6B1A49A6"/>
    <w:rsid w:val="6B5F16C5"/>
    <w:rsid w:val="6B8579B3"/>
    <w:rsid w:val="6BA51E03"/>
    <w:rsid w:val="6BB42046"/>
    <w:rsid w:val="6BC54253"/>
    <w:rsid w:val="6BD36970"/>
    <w:rsid w:val="6BDF5315"/>
    <w:rsid w:val="6BE5577E"/>
    <w:rsid w:val="6BF6265F"/>
    <w:rsid w:val="6C3C4515"/>
    <w:rsid w:val="6C557385"/>
    <w:rsid w:val="6C57134F"/>
    <w:rsid w:val="6C75701C"/>
    <w:rsid w:val="6C7F05A3"/>
    <w:rsid w:val="6C8859AD"/>
    <w:rsid w:val="6C90660F"/>
    <w:rsid w:val="6C9360FF"/>
    <w:rsid w:val="6C9E256B"/>
    <w:rsid w:val="6CB56076"/>
    <w:rsid w:val="6CD3474E"/>
    <w:rsid w:val="6CDF30F3"/>
    <w:rsid w:val="6CF1106B"/>
    <w:rsid w:val="6CF3EA5A"/>
    <w:rsid w:val="6D0F39D8"/>
    <w:rsid w:val="6D2B458A"/>
    <w:rsid w:val="6D3E42BD"/>
    <w:rsid w:val="6D4B0788"/>
    <w:rsid w:val="6DAD31F1"/>
    <w:rsid w:val="6DD469CF"/>
    <w:rsid w:val="6DE035C6"/>
    <w:rsid w:val="6E1D3ED3"/>
    <w:rsid w:val="6E1F7C4B"/>
    <w:rsid w:val="6E761835"/>
    <w:rsid w:val="6EA12D56"/>
    <w:rsid w:val="6EC30F1E"/>
    <w:rsid w:val="6EC32CCC"/>
    <w:rsid w:val="6EDC3D8E"/>
    <w:rsid w:val="6EEA3F02"/>
    <w:rsid w:val="6F215C44"/>
    <w:rsid w:val="6F2319BD"/>
    <w:rsid w:val="6F686A05"/>
    <w:rsid w:val="6F775864"/>
    <w:rsid w:val="6F7A1E34"/>
    <w:rsid w:val="6F946416"/>
    <w:rsid w:val="6FB6638D"/>
    <w:rsid w:val="6FE86762"/>
    <w:rsid w:val="70195F7E"/>
    <w:rsid w:val="70207CAA"/>
    <w:rsid w:val="703B4AE4"/>
    <w:rsid w:val="7053007F"/>
    <w:rsid w:val="707254E5"/>
    <w:rsid w:val="70AB1C6A"/>
    <w:rsid w:val="70B86135"/>
    <w:rsid w:val="70DA42FD"/>
    <w:rsid w:val="70E4517B"/>
    <w:rsid w:val="716360A0"/>
    <w:rsid w:val="71752277"/>
    <w:rsid w:val="71BE3C1E"/>
    <w:rsid w:val="71E65233"/>
    <w:rsid w:val="72AB41A3"/>
    <w:rsid w:val="72DF3E4C"/>
    <w:rsid w:val="73504D4A"/>
    <w:rsid w:val="73C82B32"/>
    <w:rsid w:val="73CD0149"/>
    <w:rsid w:val="73E84F83"/>
    <w:rsid w:val="740022CC"/>
    <w:rsid w:val="74251D33"/>
    <w:rsid w:val="742D0BE7"/>
    <w:rsid w:val="742F2BB2"/>
    <w:rsid w:val="74365CEE"/>
    <w:rsid w:val="747F3DF9"/>
    <w:rsid w:val="74D3178F"/>
    <w:rsid w:val="74DF1CC8"/>
    <w:rsid w:val="751D2A0A"/>
    <w:rsid w:val="753C4E9B"/>
    <w:rsid w:val="75720FA8"/>
    <w:rsid w:val="75BF3AC1"/>
    <w:rsid w:val="7625426C"/>
    <w:rsid w:val="764E0B67"/>
    <w:rsid w:val="76870A83"/>
    <w:rsid w:val="768A0573"/>
    <w:rsid w:val="769B7804"/>
    <w:rsid w:val="76CC0B8C"/>
    <w:rsid w:val="77302EC9"/>
    <w:rsid w:val="77381D7D"/>
    <w:rsid w:val="777C610E"/>
    <w:rsid w:val="779FCBF0"/>
    <w:rsid w:val="77C83101"/>
    <w:rsid w:val="77CB2BF1"/>
    <w:rsid w:val="77F7E21B"/>
    <w:rsid w:val="781113A7"/>
    <w:rsid w:val="7823273E"/>
    <w:rsid w:val="783F5FCF"/>
    <w:rsid w:val="787B0173"/>
    <w:rsid w:val="78917997"/>
    <w:rsid w:val="78AF606F"/>
    <w:rsid w:val="78E73A5B"/>
    <w:rsid w:val="79102FB2"/>
    <w:rsid w:val="791D122B"/>
    <w:rsid w:val="791E6510"/>
    <w:rsid w:val="79226841"/>
    <w:rsid w:val="792D3559"/>
    <w:rsid w:val="799A0ACD"/>
    <w:rsid w:val="79BC4EE7"/>
    <w:rsid w:val="79E2F975"/>
    <w:rsid w:val="7A340F22"/>
    <w:rsid w:val="7A454EDD"/>
    <w:rsid w:val="7A4A24F3"/>
    <w:rsid w:val="7A910122"/>
    <w:rsid w:val="7A9F470C"/>
    <w:rsid w:val="7AA8721A"/>
    <w:rsid w:val="7AB636E5"/>
    <w:rsid w:val="7AB83901"/>
    <w:rsid w:val="7ACF47A6"/>
    <w:rsid w:val="7B3BDBF2"/>
    <w:rsid w:val="7B6E2211"/>
    <w:rsid w:val="7B7B492E"/>
    <w:rsid w:val="7B941A2A"/>
    <w:rsid w:val="7BBA7205"/>
    <w:rsid w:val="7C084414"/>
    <w:rsid w:val="7C0B7A60"/>
    <w:rsid w:val="7C176405"/>
    <w:rsid w:val="7C8D4A41"/>
    <w:rsid w:val="7CA659DB"/>
    <w:rsid w:val="7CAD6D69"/>
    <w:rsid w:val="7D0D15B6"/>
    <w:rsid w:val="7D44147C"/>
    <w:rsid w:val="7D567401"/>
    <w:rsid w:val="7DE42994"/>
    <w:rsid w:val="7E040C0B"/>
    <w:rsid w:val="7E172785"/>
    <w:rsid w:val="7E5B567E"/>
    <w:rsid w:val="7EA146AC"/>
    <w:rsid w:val="7EBDCBBF"/>
    <w:rsid w:val="7EC74CC1"/>
    <w:rsid w:val="7ED71E7C"/>
    <w:rsid w:val="7EE6408F"/>
    <w:rsid w:val="7F0F32BA"/>
    <w:rsid w:val="7F231565"/>
    <w:rsid w:val="7F3B69E2"/>
    <w:rsid w:val="7F3E014D"/>
    <w:rsid w:val="7F3EB32E"/>
    <w:rsid w:val="7F5F3F3B"/>
    <w:rsid w:val="7F5FE5E8"/>
    <w:rsid w:val="7F7FC8C5"/>
    <w:rsid w:val="7F9164CE"/>
    <w:rsid w:val="7FC00B62"/>
    <w:rsid w:val="7FEE1B73"/>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3">
    <w:name w:val="heading 4"/>
    <w:basedOn w:val="1"/>
    <w:next w:val="1"/>
    <w:qFormat/>
    <w:uiPriority w:val="0"/>
    <w:pPr>
      <w:keepNext/>
      <w:keepLines/>
      <w:spacing w:before="280" w:after="290" w:line="376" w:lineRule="auto"/>
      <w:ind w:firstLine="250" w:firstLineChars="250"/>
      <w:outlineLvl w:val="3"/>
    </w:pPr>
    <w:rPr>
      <w:rFonts w:hint="default" w:ascii="Cambria" w:hAnsi="Cambria" w:eastAsia="宋体" w:cs="Cambria"/>
      <w:b/>
      <w:sz w:val="28"/>
      <w:szCs w:val="28"/>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 First Indent 21"/>
    <w:basedOn w:val="4"/>
    <w:qFormat/>
    <w:uiPriority w:val="0"/>
    <w:pPr>
      <w:ind w:firstLine="420"/>
    </w:p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styleId="14">
    <w:name w:val="List Paragraph"/>
    <w:basedOn w:val="1"/>
    <w:qFormat/>
    <w:uiPriority w:val="99"/>
    <w:pPr>
      <w:widowControl w:val="0"/>
      <w:spacing w:line="240" w:lineRule="auto"/>
      <w:ind w:firstLine="420" w:firstLineChars="200"/>
      <w:jc w:val="both"/>
    </w:pPr>
    <w:rPr>
      <w:rFonts w:ascii="Calibri" w:hAnsi="Calibri" w:eastAsia="宋体" w:cs="Times New Roman"/>
      <w:sz w:val="21"/>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11486</Words>
  <Characters>12339</Characters>
  <Lines>0</Lines>
  <Paragraphs>0</Paragraphs>
  <TotalTime>0</TotalTime>
  <ScaleCrop>false</ScaleCrop>
  <LinksUpToDate>false</LinksUpToDate>
  <CharactersWithSpaces>12531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彭彭</cp:lastModifiedBy>
  <cp:lastPrinted>2025-04-10T10:25:00Z</cp:lastPrinted>
  <dcterms:modified xsi:type="dcterms:W3CDTF">2025-06-20T06:37:21Z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eyJoZGlkIjoiMzEwNTM5NzYwMDRjMzkwZTVkZjY2ODkwMGIxNGU0OTUiLCJ1c2VySWQiOiIzNDEyNTYwMjYifQ==</vt:lpwstr>
  </property>
</Properties>
</file>