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Ansi="黑体"/>
          <w:sz w:val="36"/>
          <w:szCs w:val="36"/>
        </w:rPr>
      </w:pPr>
      <w:r>
        <w:rPr>
          <w:rFonts w:hint="eastAsia" w:hAnsi="黑体"/>
          <w:sz w:val="36"/>
          <w:szCs w:val="36"/>
        </w:rPr>
        <w:t>附件1</w:t>
      </w:r>
    </w:p>
    <w:p>
      <w:pPr>
        <w:pStyle w:val="13"/>
        <w:jc w:val="center"/>
        <w:rPr>
          <w:rFonts w:ascii="Times New Roman" w:hAnsi="Times New Roman" w:cs="Times New Roman"/>
          <w:sz w:val="56"/>
          <w:szCs w:val="56"/>
        </w:rPr>
      </w:pPr>
    </w:p>
    <w:p>
      <w:pPr>
        <w:pStyle w:val="13"/>
        <w:jc w:val="center"/>
        <w:rPr>
          <w:rFonts w:ascii="Times New Roman" w:hAnsi="Times New Roman" w:cs="Times New Roman"/>
          <w:sz w:val="84"/>
          <w:szCs w:val="84"/>
        </w:rPr>
      </w:pPr>
    </w:p>
    <w:p>
      <w:pPr>
        <w:pStyle w:val="13"/>
        <w:jc w:val="center"/>
        <w:rPr>
          <w:rFonts w:ascii="Times New Roman" w:hAnsi="Times New Roman" w:cs="Times New Roman"/>
          <w:sz w:val="84"/>
          <w:szCs w:val="84"/>
        </w:rPr>
      </w:pP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怀化市委市政府机关老干部休养所</w:t>
      </w:r>
      <w:r>
        <w:rPr>
          <w:rFonts w:ascii="Times New Roman" w:hAnsi="Times New Roman" w:eastAsia="方正小标宋简体" w:cs="Times New Roman"/>
          <w:sz w:val="72"/>
          <w:szCs w:val="72"/>
        </w:rPr>
        <w:t>部门决算</w:t>
      </w:r>
    </w:p>
    <w:p>
      <w:pPr>
        <w:pStyle w:val="13"/>
        <w:jc w:val="center"/>
        <w:rPr>
          <w:rFonts w:ascii="Times New Roman" w:hAnsi="Times New Roman" w:eastAsia="方正小标宋_GBK" w:cs="Times New Roman"/>
          <w:sz w:val="56"/>
          <w:szCs w:val="56"/>
        </w:rPr>
      </w:pPr>
    </w:p>
    <w:p>
      <w:pPr>
        <w:pStyle w:val="13"/>
        <w:jc w:val="center"/>
        <w:rPr>
          <w:rFonts w:ascii="Times New Roman" w:hAnsi="Times New Roman" w:cs="Times New Roman"/>
          <w:sz w:val="56"/>
          <w:szCs w:val="56"/>
        </w:rPr>
      </w:pPr>
    </w:p>
    <w:p>
      <w:pPr>
        <w:pStyle w:val="13"/>
        <w:rPr>
          <w:rFonts w:ascii="Times New Roman" w:hAnsi="Times New Roman" w:cs="Times New Roman"/>
          <w:sz w:val="56"/>
          <w:szCs w:val="56"/>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3"/>
        <w:spacing w:line="600" w:lineRule="exact"/>
        <w:jc w:val="both"/>
        <w:rPr>
          <w:rFonts w:ascii="Times New Roman" w:hAnsi="Times New Roman" w:cs="Times New Roman"/>
          <w:b/>
          <w:sz w:val="36"/>
          <w:szCs w:val="28"/>
        </w:rPr>
      </w:pPr>
    </w:p>
    <w:p>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3"/>
        <w:spacing w:line="600" w:lineRule="exact"/>
        <w:jc w:val="center"/>
        <w:rPr>
          <w:rFonts w:ascii="Times New Roman" w:hAnsi="Times New Roman" w:cs="Times New Roman"/>
          <w:b/>
          <w:sz w:val="36"/>
          <w:szCs w:val="28"/>
        </w:rPr>
      </w:pPr>
    </w:p>
    <w:p>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怀化市委市政府机关老干部休养所</w:t>
      </w:r>
      <w:r>
        <w:rPr>
          <w:rFonts w:ascii="Times New Roman" w:hAnsi="Times New Roman" w:cs="Times New Roman"/>
          <w:bCs/>
          <w:sz w:val="32"/>
          <w:szCs w:val="32"/>
        </w:rPr>
        <w:t>概况</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3"/>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3"/>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怀化市委市政府机关老干部休养所</w:t>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部门（单位）概况</w:t>
      </w:r>
    </w:p>
    <w:p>
      <w:pPr>
        <w:pStyle w:val="4"/>
        <w:ind w:left="0" w:leftChars="0" w:firstLine="0" w:firstLineChars="0"/>
        <w:rPr>
          <w:rFonts w:ascii="Times New Roman" w:hAnsi="Times New Roman" w:cs="Times New Roman"/>
        </w:rPr>
      </w:pPr>
    </w:p>
    <w:p>
      <w:pPr>
        <w:pStyle w:val="14"/>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（1）认真宣传、贯彻执行党中央、国务院关于离退休干部的各项方针政策。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（2）负责做好离退休干部的政治学习、文件传阅、听重要报告、参加重要会议和政治活动等具体组织工作，落实好各项政治待遇。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（3）协助做好离退休干部的医疗保健工作，安排好老干部的体检、疗养和用车。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kern w:val="0"/>
          <w:sz w:val="32"/>
          <w:szCs w:val="32"/>
        </w:rPr>
        <w:t>（4）组织开</w:t>
      </w:r>
      <w:r>
        <w:rPr>
          <w:rFonts w:hint="eastAsia" w:ascii="Times New Roman" w:hAnsi="Times New Roman" w:eastAsia="仿宋_GB2312" w:cs="仿宋_GB2312"/>
          <w:bCs/>
          <w:color w:val="auto"/>
          <w:kern w:val="0"/>
          <w:sz w:val="32"/>
          <w:szCs w:val="32"/>
        </w:rPr>
        <w:t>展有益老干部身心健康的各项活动，发挥老干部在社会建设中的作用。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（5）生活上关心照顾好老干部，经常了解老干部的思想、身体、生活情况，坚持走访慰问等制度。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（6）认真接待好老干部的来电、来信、来访，及时反映他们的合理要求，尽力帮助他们排忧解难。</w:t>
      </w:r>
    </w:p>
    <w:p>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（7）会同有关部门办理老干部及遗孀丧葬事宜。</w:t>
      </w:r>
    </w:p>
    <w:p>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（一）内设机构设置。怀化市委市政府机关老干部休养所内设机构包括：办公室、活动组织部。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sz w:val="72"/>
          <w:szCs w:val="72"/>
        </w:rPr>
      </w:pPr>
      <w:r>
        <w:rPr>
          <w:rFonts w:hint="eastAsia" w:ascii="Times New Roman" w:hAnsi="Times New Roman" w:eastAsia="仿宋_GB2312" w:cs="仿宋_GB2312"/>
          <w:bCs/>
          <w:color w:val="auto"/>
          <w:kern w:val="0"/>
          <w:sz w:val="32"/>
          <w:szCs w:val="32"/>
        </w:rPr>
        <w:t>（二）决算单位构成。怀化市委市政府机关老干部休养所202</w:t>
      </w:r>
      <w:r>
        <w:rPr>
          <w:rFonts w:hint="eastAsia" w:ascii="Times New Roman" w:hAnsi="Times New Roman" w:eastAsia="仿宋_GB2312" w:cs="仿宋_GB2312"/>
          <w:bCs/>
          <w:color w:val="auto"/>
          <w:kern w:val="0"/>
          <w:sz w:val="32"/>
          <w:szCs w:val="32"/>
          <w:lang w:val="en-US" w:eastAsia="zh-CN"/>
        </w:rPr>
        <w:t>4</w:t>
      </w:r>
      <w:r>
        <w:rPr>
          <w:rFonts w:hint="eastAsia" w:ascii="Times New Roman" w:hAnsi="Times New Roman" w:eastAsia="仿宋_GB2312" w:cs="仿宋_GB2312"/>
          <w:bCs/>
          <w:color w:val="auto"/>
          <w:kern w:val="0"/>
          <w:sz w:val="32"/>
          <w:szCs w:val="32"/>
        </w:rPr>
        <w:t>年部门决算汇总公开单位构成包括：怀化市委市政府机关老干部休养所</w:t>
      </w:r>
      <w:r>
        <w:rPr>
          <w:rFonts w:hint="eastAsia" w:ascii="Times New Roman" w:hAnsi="Times New Roman" w:eastAsia="仿宋_GB2312" w:cs="仿宋_GB2312"/>
          <w:bCs/>
          <w:color w:val="auto"/>
          <w:kern w:val="0"/>
          <w:sz w:val="32"/>
          <w:szCs w:val="32"/>
          <w:lang w:eastAsia="zh-CN"/>
        </w:rPr>
        <w:t>。</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tbl>
      <w:tblPr>
        <w:tblStyle w:val="9"/>
        <w:tblW w:w="141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3"/>
        <w:gridCol w:w="683"/>
        <w:gridCol w:w="2155"/>
        <w:gridCol w:w="4028"/>
        <w:gridCol w:w="683"/>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1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686"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220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收入支出决算总表</w:t>
            </w:r>
          </w:p>
        </w:tc>
        <w:tc>
          <w:tcPr>
            <w:tcW w:w="4131"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686"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220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部门：怀化市委市政府机关老干部休养所</w: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nil"/>
              <w:left w:val="nil"/>
              <w:bottom w:val="nil"/>
              <w:right w:val="nil"/>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收入</w:t>
            </w:r>
          </w:p>
        </w:tc>
        <w:tc>
          <w:tcPr>
            <w:tcW w:w="0" w:type="auto"/>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金额</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一、一般公共预算财政拨款收入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427.97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二、政府性基金预算财政拨款收入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三、国有资本经营预算财政拨款收入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四、上级补助收入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五、事业收入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六、经营收入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七、附属单位上缴收入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八、其他收入</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427.97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使用非财政拨款结余（含专用结余）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结余分配</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年初结转和结余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年末结转和结余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427.97</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val="en-US" w:eastAsia="zh-CN" w:bidi="ar"/>
              </w:rPr>
              <w:t>427.97</w:t>
            </w:r>
          </w:p>
        </w:tc>
      </w:tr>
    </w:tbl>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kern w:val="0"/>
          <w:szCs w:val="21"/>
        </w:rPr>
        <w:t>怀化市委</w:t>
      </w:r>
      <w:r>
        <w:rPr>
          <w:rFonts w:hint="eastAsia" w:ascii="Times New Roman" w:hAnsi="Times New Roman" w:eastAsia="仿宋_GB2312" w:cs="Times New Roman"/>
          <w:color w:val="000000"/>
          <w:kern w:val="0"/>
          <w:szCs w:val="21"/>
          <w:lang w:eastAsia="zh-CN"/>
        </w:rPr>
        <w:t>市</w:t>
      </w:r>
      <w:r>
        <w:rPr>
          <w:rFonts w:hint="eastAsia" w:ascii="Times New Roman" w:hAnsi="Times New Roman" w:eastAsia="仿宋_GB2312" w:cs="Times New Roman"/>
          <w:color w:val="000000"/>
          <w:kern w:val="0"/>
          <w:szCs w:val="21"/>
        </w:rPr>
        <w:t>政府机关老干部休养所</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027"/>
        <w:gridCol w:w="3735"/>
        <w:gridCol w:w="1125"/>
        <w:gridCol w:w="1440"/>
        <w:gridCol w:w="1665"/>
        <w:gridCol w:w="1395"/>
        <w:gridCol w:w="1230"/>
        <w:gridCol w:w="1965"/>
        <w:gridCol w:w="1084"/>
      </w:tblGrid>
      <w:tr>
        <w:tblPrEx>
          <w:tblCellMar>
            <w:top w:w="0" w:type="dxa"/>
            <w:left w:w="0" w:type="dxa"/>
            <w:bottom w:w="0" w:type="dxa"/>
            <w:right w:w="0" w:type="dxa"/>
          </w:tblCellMar>
        </w:tblPrEx>
        <w:trPr>
          <w:trHeight w:val="450" w:hRule="atLeast"/>
          <w:jc w:val="center"/>
        </w:trPr>
        <w:tc>
          <w:tcPr>
            <w:tcW w:w="4762"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rPr>
            </w:pPr>
            <w:r>
              <w:rPr>
                <w:rFonts w:ascii="Times New Roman" w:hAnsi="Times New Roman" w:eastAsia="仿宋_GB2312" w:cs="Times New Roman"/>
                <w:b/>
                <w:bCs/>
              </w:rPr>
              <w:t>本年收入</w:t>
            </w:r>
          </w:p>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合计</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9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0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0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7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373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47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2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9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47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i w:val="0"/>
                <w:color w:val="000000"/>
                <w:kern w:val="0"/>
                <w:sz w:val="22"/>
                <w:szCs w:val="22"/>
                <w:u w:val="none"/>
                <w:lang w:val="en-US" w:eastAsia="zh-CN" w:bidi="ar"/>
              </w:rPr>
              <w:t>427.97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i w:val="0"/>
                <w:color w:val="000000"/>
                <w:kern w:val="0"/>
                <w:sz w:val="22"/>
                <w:szCs w:val="22"/>
                <w:u w:val="none"/>
                <w:lang w:val="en-US" w:eastAsia="zh-CN" w:bidi="ar"/>
              </w:rPr>
              <w:t>427.97</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201</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15.00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15.00</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20199</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其他一般公共服务支出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15.00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15.00</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2019999</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其他一般公共服务支出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15.00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15.00</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208</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社会保障和就业支出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408.12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408.12</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20805</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行政事业单位养老支出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408.12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408.12</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2080501</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行政单位离退休</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35.28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35.28</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2080503</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离退休人员管理机构</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284.91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284.91</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2080505</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10.72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10.72</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2080599</w:t>
            </w:r>
          </w:p>
        </w:tc>
        <w:tc>
          <w:tcPr>
            <w:tcW w:w="37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其他行政事业单位养老支出</w:t>
            </w:r>
          </w:p>
        </w:tc>
        <w:tc>
          <w:tcPr>
            <w:tcW w:w="112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77.21</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u w:val="none"/>
                <w:lang w:val="en-US" w:eastAsia="zh-CN" w:bidi="ar"/>
              </w:rPr>
              <w:t>77.21</w:t>
            </w:r>
          </w:p>
        </w:tc>
        <w:tc>
          <w:tcPr>
            <w:tcW w:w="16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3735"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12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4.43</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4.43</w:t>
            </w:r>
          </w:p>
        </w:tc>
        <w:tc>
          <w:tcPr>
            <w:tcW w:w="16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2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2210201</w:t>
            </w:r>
          </w:p>
        </w:tc>
        <w:tc>
          <w:tcPr>
            <w:tcW w:w="37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住房公积金</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0.43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u w:val="none"/>
                <w:lang w:val="en-US" w:eastAsia="zh-CN" w:bidi="ar"/>
              </w:rPr>
              <w:t>0.43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9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rPr>
        <w:t>怀化市委</w:t>
      </w:r>
      <w:r>
        <w:rPr>
          <w:rFonts w:hint="eastAsia" w:ascii="Times New Roman" w:hAnsi="Times New Roman" w:eastAsia="仿宋_GB2312" w:cs="Times New Roman"/>
          <w:color w:val="000000"/>
          <w:kern w:val="0"/>
          <w:szCs w:val="21"/>
          <w:lang w:eastAsia="zh-CN"/>
        </w:rPr>
        <w:t>市</w:t>
      </w:r>
      <w:r>
        <w:rPr>
          <w:rFonts w:hint="eastAsia" w:ascii="Times New Roman" w:hAnsi="Times New Roman" w:eastAsia="仿宋_GB2312" w:cs="Times New Roman"/>
          <w:color w:val="000000"/>
          <w:kern w:val="0"/>
          <w:szCs w:val="21"/>
        </w:rPr>
        <w:t>政府机关老干部休养所</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9"/>
        <w:tblW w:w="4996" w:type="pct"/>
        <w:jc w:val="center"/>
        <w:tblLayout w:type="autofit"/>
        <w:tblCellMar>
          <w:top w:w="0" w:type="dxa"/>
          <w:left w:w="108" w:type="dxa"/>
          <w:bottom w:w="0" w:type="dxa"/>
          <w:right w:w="108" w:type="dxa"/>
        </w:tblCellMar>
      </w:tblPr>
      <w:tblGrid>
        <w:gridCol w:w="1307"/>
        <w:gridCol w:w="3761"/>
        <w:gridCol w:w="1797"/>
        <w:gridCol w:w="1487"/>
        <w:gridCol w:w="1345"/>
        <w:gridCol w:w="1817"/>
        <w:gridCol w:w="1271"/>
        <w:gridCol w:w="1424"/>
      </w:tblGrid>
      <w:tr>
        <w:tblPrEx>
          <w:tblCellMar>
            <w:top w:w="0" w:type="dxa"/>
            <w:left w:w="108" w:type="dxa"/>
            <w:bottom w:w="0" w:type="dxa"/>
            <w:right w:w="108" w:type="dxa"/>
          </w:tblCellMar>
        </w:tblPrEx>
        <w:trPr>
          <w:trHeight w:val="595" w:hRule="atLeast"/>
          <w:jc w:val="center"/>
        </w:trPr>
        <w:tc>
          <w:tcPr>
            <w:tcW w:w="17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3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52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7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4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5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4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32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6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4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2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17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32"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23"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73"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47"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17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7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i w:val="0"/>
                <w:color w:val="000000"/>
                <w:kern w:val="0"/>
                <w:sz w:val="22"/>
                <w:szCs w:val="22"/>
                <w:u w:val="none"/>
                <w:lang w:val="en-US" w:eastAsia="zh-CN" w:bidi="ar"/>
              </w:rPr>
              <w:t>427.97</w:t>
            </w:r>
          </w:p>
        </w:tc>
        <w:tc>
          <w:tcPr>
            <w:tcW w:w="14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i w:val="0"/>
                <w:color w:val="000000"/>
                <w:kern w:val="0"/>
                <w:sz w:val="22"/>
                <w:szCs w:val="22"/>
                <w:u w:val="none"/>
                <w:lang w:val="en-US" w:eastAsia="zh-CN" w:bidi="ar"/>
              </w:rPr>
              <w:t>349.55</w:t>
            </w:r>
          </w:p>
        </w:tc>
        <w:tc>
          <w:tcPr>
            <w:tcW w:w="13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i w:val="0"/>
                <w:color w:val="000000"/>
                <w:kern w:val="0"/>
                <w:sz w:val="22"/>
                <w:szCs w:val="22"/>
                <w:u w:val="none"/>
                <w:lang w:val="en-US" w:eastAsia="zh-CN" w:bidi="ar"/>
              </w:rPr>
              <w:t>78.43</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201</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15.00</w:t>
            </w:r>
          </w:p>
        </w:tc>
        <w:tc>
          <w:tcPr>
            <w:tcW w:w="52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15.00</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20199</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其他一般公共服务支出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15.00</w:t>
            </w:r>
          </w:p>
        </w:tc>
        <w:tc>
          <w:tcPr>
            <w:tcW w:w="52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15.00</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2019999</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其他一般公共服务支出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15.00</w:t>
            </w:r>
          </w:p>
        </w:tc>
        <w:tc>
          <w:tcPr>
            <w:tcW w:w="52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15.00</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208</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408.12</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345.12</w:t>
            </w: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63.00</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20805</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408.12</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345.12</w:t>
            </w: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63.00</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2080501</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行政单位离退休</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35.28</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22.28</w:t>
            </w: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13.00</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2080503</w:t>
            </w:r>
          </w:p>
        </w:tc>
        <w:tc>
          <w:tcPr>
            <w:tcW w:w="132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离退休人员管理机构</w:t>
            </w:r>
          </w:p>
        </w:tc>
        <w:tc>
          <w:tcPr>
            <w:tcW w:w="63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284.91</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252.91</w:t>
            </w:r>
          </w:p>
        </w:tc>
        <w:tc>
          <w:tcPr>
            <w:tcW w:w="47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32.00</w:t>
            </w:r>
          </w:p>
        </w:tc>
        <w:tc>
          <w:tcPr>
            <w:tcW w:w="63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1322"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63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10.72</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10.72</w:t>
            </w:r>
          </w:p>
        </w:tc>
        <w:tc>
          <w:tcPr>
            <w:tcW w:w="473" w:type="pct"/>
            <w:tcBorders>
              <w:top w:val="single" w:color="auto" w:sz="4" w:space="0"/>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639"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01"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2080599</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其他行政事业单位养老支出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77.21</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59.21</w:t>
            </w: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18.00</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210</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卫生健康支出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4.43</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4.43</w:t>
            </w:r>
          </w:p>
        </w:tc>
        <w:tc>
          <w:tcPr>
            <w:tcW w:w="47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行政事业单位医疗</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4.43</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4.43</w:t>
            </w:r>
          </w:p>
        </w:tc>
        <w:tc>
          <w:tcPr>
            <w:tcW w:w="47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2101101</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行政单位医疗</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4.43</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4.43</w:t>
            </w:r>
          </w:p>
        </w:tc>
        <w:tc>
          <w:tcPr>
            <w:tcW w:w="47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221</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住房保障支出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0.43</w:t>
            </w:r>
          </w:p>
        </w:tc>
        <w:tc>
          <w:tcPr>
            <w:tcW w:w="52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0.43</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22102</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住房改革支出</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0.43</w:t>
            </w:r>
          </w:p>
        </w:tc>
        <w:tc>
          <w:tcPr>
            <w:tcW w:w="52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0.43</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46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2210201</w:t>
            </w:r>
          </w:p>
        </w:tc>
        <w:tc>
          <w:tcPr>
            <w:tcW w:w="1322"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住房公积金</w:t>
            </w:r>
          </w:p>
        </w:tc>
        <w:tc>
          <w:tcPr>
            <w:tcW w:w="63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0.43</w:t>
            </w:r>
          </w:p>
        </w:tc>
        <w:tc>
          <w:tcPr>
            <w:tcW w:w="52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4"/>
                <w:szCs w:val="24"/>
              </w:rPr>
            </w:pPr>
          </w:p>
        </w:tc>
        <w:tc>
          <w:tcPr>
            <w:tcW w:w="4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u w:val="none"/>
                <w:lang w:val="en-US" w:eastAsia="zh-CN" w:bidi="ar"/>
              </w:rPr>
              <w:t>0.43</w:t>
            </w:r>
          </w:p>
        </w:tc>
        <w:tc>
          <w:tcPr>
            <w:tcW w:w="63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0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pStyle w:val="7"/>
        <w:rPr>
          <w:rFonts w:ascii="Times New Roman" w:hAnsi="Times New Roman" w:eastAsia="黑体" w:cs="Times New Roman"/>
          <w:color w:val="000000"/>
          <w:kern w:val="0"/>
          <w:sz w:val="32"/>
          <w:szCs w:val="32"/>
          <w:lang w:bidi="ar"/>
        </w:rPr>
      </w:pPr>
    </w:p>
    <w:p>
      <w:pPr>
        <w:pStyle w:val="4"/>
        <w:rPr>
          <w:rFonts w:ascii="Times New Roman" w:hAnsi="Times New Roman" w:eastAsia="黑体" w:cs="Times New Roman"/>
          <w:color w:val="000000"/>
          <w:kern w:val="0"/>
          <w:sz w:val="32"/>
          <w:szCs w:val="32"/>
          <w:lang w:bidi="ar"/>
        </w:rPr>
      </w:pPr>
    </w:p>
    <w:p>
      <w:pPr>
        <w:rPr>
          <w:rFonts w:ascii="Times New Roman" w:hAnsi="Times New Roman" w:eastAsia="黑体" w:cs="Times New Roman"/>
          <w:color w:val="000000"/>
          <w:kern w:val="0"/>
          <w:sz w:val="32"/>
          <w:szCs w:val="32"/>
          <w:lang w:bidi="ar"/>
        </w:rPr>
      </w:pPr>
    </w:p>
    <w:p>
      <w:pPr>
        <w:pStyle w:val="7"/>
      </w:pPr>
    </w:p>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rPr>
        <w:t>怀化市委</w:t>
      </w:r>
      <w:r>
        <w:rPr>
          <w:rFonts w:hint="eastAsia" w:ascii="Times New Roman" w:hAnsi="Times New Roman" w:eastAsia="仿宋_GB2312" w:cs="Times New Roman"/>
          <w:color w:val="000000"/>
          <w:kern w:val="0"/>
          <w:szCs w:val="21"/>
          <w:lang w:eastAsia="zh-CN"/>
        </w:rPr>
        <w:t>市</w:t>
      </w:r>
      <w:r>
        <w:rPr>
          <w:rFonts w:hint="eastAsia" w:ascii="Times New Roman" w:hAnsi="Times New Roman" w:eastAsia="仿宋_GB2312" w:cs="Times New Roman"/>
          <w:color w:val="000000"/>
          <w:kern w:val="0"/>
          <w:szCs w:val="21"/>
        </w:rPr>
        <w:t>政府机关老干部休养所</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986"/>
        <w:gridCol w:w="2636"/>
        <w:gridCol w:w="616"/>
        <w:gridCol w:w="986"/>
        <w:gridCol w:w="1678"/>
        <w:gridCol w:w="1539"/>
        <w:gridCol w:w="1647"/>
      </w:tblGrid>
      <w:tr>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427.97</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9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15.00</w:t>
            </w:r>
          </w:p>
        </w:tc>
        <w:tc>
          <w:tcPr>
            <w:tcW w:w="1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9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9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29</w:t>
            </w:r>
          </w:p>
        </w:tc>
        <w:tc>
          <w:tcPr>
            <w:tcW w:w="9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w:t>
            </w:r>
          </w:p>
        </w:tc>
        <w:tc>
          <w:tcPr>
            <w:tcW w:w="9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w:t>
            </w:r>
          </w:p>
        </w:tc>
        <w:tc>
          <w:tcPr>
            <w:tcW w:w="9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32</w:t>
            </w:r>
          </w:p>
        </w:tc>
        <w:tc>
          <w:tcPr>
            <w:tcW w:w="9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33</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408.12</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408.12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34</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4.43</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35</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36</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37</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38</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39</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42</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43</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44</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0.43</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0.43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427.97</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427.97</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427.97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46</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47</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48</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49</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50</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rPr>
              <w:t>427.97</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rPr>
              <w:t>427.97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pStyle w:val="7"/>
        <w:rPr>
          <w:rFonts w:ascii="Times New Roman" w:hAnsi="Times New Roman" w:eastAsia="方正小标宋_GBK" w:cs="Times New Roman"/>
          <w:kern w:val="0"/>
          <w:sz w:val="36"/>
          <w:szCs w:val="36"/>
        </w:rPr>
      </w:pPr>
    </w:p>
    <w:p>
      <w:pPr>
        <w:pStyle w:val="4"/>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怀化市委</w:t>
      </w:r>
      <w:r>
        <w:rPr>
          <w:rFonts w:hint="eastAsia" w:ascii="Times New Roman" w:hAnsi="Times New Roman" w:eastAsia="仿宋_GB2312" w:cs="Times New Roman"/>
          <w:color w:val="000000"/>
          <w:kern w:val="0"/>
          <w:szCs w:val="21"/>
          <w:lang w:eastAsia="zh-CN"/>
        </w:rPr>
        <w:t>市</w:t>
      </w:r>
      <w:r>
        <w:rPr>
          <w:rFonts w:hint="eastAsia" w:ascii="Times New Roman" w:hAnsi="Times New Roman" w:eastAsia="仿宋_GB2312" w:cs="Times New Roman"/>
          <w:color w:val="000000"/>
          <w:kern w:val="0"/>
          <w:szCs w:val="21"/>
        </w:rPr>
        <w:t>政府机关老干部休养所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4569"/>
        <w:gridCol w:w="1958"/>
        <w:gridCol w:w="3492"/>
        <w:gridCol w:w="3000"/>
      </w:tblGrid>
      <w:tr>
        <w:tblPrEx>
          <w:tblCellMar>
            <w:top w:w="0" w:type="dxa"/>
            <w:left w:w="108" w:type="dxa"/>
            <w:bottom w:w="0" w:type="dxa"/>
            <w:right w:w="108" w:type="dxa"/>
          </w:tblCellMar>
        </w:tblPrEx>
        <w:trPr>
          <w:trHeight w:val="545" w:hRule="atLeast"/>
          <w:jc w:val="center"/>
        </w:trPr>
        <w:tc>
          <w:tcPr>
            <w:tcW w:w="576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50"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5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9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5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56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76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9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76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427.97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349.55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78.43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20199</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其他一般公共服务支出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2019999</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其他一般公共服务支出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408.12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345.12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408.12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345.12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2080501</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行政单位离退休</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35.28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22.28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2080503</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离退休人员管理机构</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284.91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252.91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10.72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2080599</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其他行政事业单位养老支出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77.21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59.21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4.43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4.43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4.43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4.43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行政单位医疗</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4.43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4.43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w:t>
            </w:r>
          </w:p>
        </w:tc>
        <w:tc>
          <w:tcPr>
            <w:tcW w:w="45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2210201</w:t>
            </w:r>
          </w:p>
        </w:tc>
        <w:tc>
          <w:tcPr>
            <w:tcW w:w="456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住房公积金</w:t>
            </w:r>
          </w:p>
        </w:tc>
        <w:tc>
          <w:tcPr>
            <w:tcW w:w="195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0.43</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怀化市委</w:t>
      </w:r>
      <w:r>
        <w:rPr>
          <w:rFonts w:hint="eastAsia" w:ascii="Times New Roman" w:hAnsi="Times New Roman" w:eastAsia="仿宋_GB2312" w:cs="Times New Roman"/>
          <w:color w:val="000000"/>
          <w:kern w:val="0"/>
          <w:szCs w:val="21"/>
          <w:lang w:eastAsia="zh-CN"/>
        </w:rPr>
        <w:t>市</w:t>
      </w:r>
      <w:r>
        <w:rPr>
          <w:rFonts w:hint="eastAsia" w:ascii="Times New Roman" w:hAnsi="Times New Roman" w:eastAsia="仿宋_GB2312" w:cs="Times New Roman"/>
          <w:color w:val="000000"/>
          <w:kern w:val="0"/>
          <w:szCs w:val="21"/>
        </w:rPr>
        <w:t>政府机关老干部休养所</w:t>
      </w: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777"/>
        <w:gridCol w:w="1039"/>
        <w:gridCol w:w="1116"/>
        <w:gridCol w:w="2018"/>
        <w:gridCol w:w="933"/>
        <w:gridCol w:w="1217"/>
        <w:gridCol w:w="3412"/>
        <w:gridCol w:w="1034"/>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41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100.16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20.42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35.56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2.36</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18.01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20.83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10.72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4.43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2.01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0.62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8.61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228.97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156.94</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0.40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69.39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1.65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5.47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0.96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2.73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5.75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03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1.28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7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03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1.83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41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8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03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329.13</w:t>
            </w:r>
          </w:p>
        </w:tc>
        <w:tc>
          <w:tcPr>
            <w:tcW w:w="869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103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20.42</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Cs w:val="21"/>
        </w:rPr>
        <w:t>怀化市委</w:t>
      </w:r>
      <w:r>
        <w:rPr>
          <w:rFonts w:hint="eastAsia" w:ascii="Times New Roman" w:hAnsi="Times New Roman" w:eastAsia="仿宋_GB2312" w:cs="Times New Roman"/>
          <w:color w:val="000000"/>
          <w:kern w:val="0"/>
          <w:szCs w:val="21"/>
          <w:lang w:eastAsia="zh-CN"/>
        </w:rPr>
        <w:t>市</w:t>
      </w:r>
      <w:r>
        <w:rPr>
          <w:rFonts w:hint="eastAsia" w:ascii="Times New Roman" w:hAnsi="Times New Roman" w:eastAsia="仿宋_GB2312" w:cs="Times New Roman"/>
          <w:color w:val="000000"/>
          <w:kern w:val="0"/>
          <w:szCs w:val="21"/>
        </w:rPr>
        <w:t>政府机关老干部休养所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Cs w:val="21"/>
        </w:rPr>
        <w:t>怀化市委</w:t>
      </w:r>
      <w:r>
        <w:rPr>
          <w:rFonts w:hint="eastAsia" w:ascii="Times New Roman" w:hAnsi="Times New Roman" w:eastAsia="仿宋_GB2312" w:cs="Times New Roman"/>
          <w:color w:val="000000"/>
          <w:kern w:val="0"/>
          <w:szCs w:val="21"/>
          <w:lang w:eastAsia="zh-CN"/>
        </w:rPr>
        <w:t>市</w:t>
      </w:r>
      <w:r>
        <w:rPr>
          <w:rFonts w:hint="eastAsia" w:ascii="Times New Roman" w:hAnsi="Times New Roman" w:eastAsia="仿宋_GB2312" w:cs="Times New Roman"/>
          <w:color w:val="000000"/>
          <w:kern w:val="0"/>
          <w:szCs w:val="21"/>
        </w:rPr>
        <w:t>政府机关老干部休养所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9"/>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pPr>
        <w:widowControl/>
        <w:jc w:val="center"/>
        <w:rPr>
          <w:rFonts w:ascii="Times New Roman" w:hAnsi="Times New Roman" w:eastAsia="方正小标宋_GBK" w:cs="Times New Roman"/>
          <w:color w:val="000000"/>
          <w:kern w:val="0"/>
          <w:sz w:val="36"/>
          <w:szCs w:val="36"/>
        </w:rPr>
      </w:pPr>
    </w:p>
    <w:p>
      <w:pPr>
        <w:pStyle w:val="7"/>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Cs w:val="21"/>
        </w:rPr>
        <w:t>怀化市委</w:t>
      </w:r>
      <w:r>
        <w:rPr>
          <w:rFonts w:hint="eastAsia" w:ascii="Times New Roman" w:hAnsi="Times New Roman" w:eastAsia="仿宋_GB2312" w:cs="Times New Roman"/>
          <w:color w:val="000000"/>
          <w:kern w:val="0"/>
          <w:szCs w:val="21"/>
          <w:lang w:eastAsia="zh-CN"/>
        </w:rPr>
        <w:t>市</w:t>
      </w:r>
      <w:r>
        <w:rPr>
          <w:rFonts w:hint="eastAsia" w:ascii="Times New Roman" w:hAnsi="Times New Roman" w:eastAsia="仿宋_GB2312" w:cs="Times New Roman"/>
          <w:color w:val="000000"/>
          <w:kern w:val="0"/>
          <w:szCs w:val="21"/>
        </w:rPr>
        <w:t>政府机关老干部休养所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7.56</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7.56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7.56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7.56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7.56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7.56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427.97</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23.88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5.28</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highlight w:val="none"/>
        </w:rPr>
        <w:t>主要是因为</w:t>
      </w:r>
      <w:r>
        <w:rPr>
          <w:rFonts w:hint="eastAsia" w:ascii="Times New Roman" w:hAnsi="Times New Roman" w:eastAsia="仿宋_GB2312"/>
          <w:color w:val="auto"/>
          <w:sz w:val="32"/>
          <w:szCs w:val="32"/>
          <w:highlight w:val="none"/>
          <w:lang w:eastAsia="zh-CN"/>
        </w:rPr>
        <w:t>厉行节约，缩减开支。</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427.97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427.97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427.97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349.55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81.68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78.43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18.32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427.97</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23.88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5.28</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highlight w:val="none"/>
        </w:rPr>
        <w:t>主要是因为</w:t>
      </w:r>
      <w:r>
        <w:rPr>
          <w:rFonts w:hint="eastAsia" w:ascii="Times New Roman" w:hAnsi="Times New Roman" w:eastAsia="仿宋_GB2312"/>
          <w:color w:val="auto"/>
          <w:sz w:val="32"/>
          <w:szCs w:val="32"/>
          <w:highlight w:val="none"/>
          <w:lang w:eastAsia="zh-CN"/>
        </w:rPr>
        <w:t>厉行节约，缩减开支。</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427.97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23.88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5.28</w:t>
      </w:r>
      <w:r>
        <w:rPr>
          <w:rFonts w:ascii="Times New Roman" w:hAnsi="Times New Roman" w:eastAsia="仿宋_GB2312" w:cs="Times New Roman"/>
          <w:sz w:val="32"/>
          <w:szCs w:val="32"/>
        </w:rPr>
        <w:t>%，主要是因为</w:t>
      </w:r>
      <w:r>
        <w:rPr>
          <w:rFonts w:hint="eastAsia" w:ascii="Times New Roman" w:hAnsi="Times New Roman" w:eastAsia="仿宋_GB2312"/>
          <w:color w:val="auto"/>
          <w:sz w:val="32"/>
          <w:szCs w:val="32"/>
          <w:highlight w:val="none"/>
          <w:lang w:eastAsia="zh-CN"/>
        </w:rPr>
        <w:t>厉行节约，缩减开支。</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427.97</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15.00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408.12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95.36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val="en-US" w:eastAsia="zh-CN"/>
        </w:rPr>
        <w:t>4.43万元，占1.04%。</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383.50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427.97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111.59</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万元，决算数大于年初预算数</w:t>
      </w:r>
      <w:r>
        <w:rPr>
          <w:rFonts w:hint="eastAsia" w:ascii="Times New Roman" w:hAnsi="Times New Roman" w:eastAsia="仿宋_GB2312" w:cs="Times New Roman"/>
          <w:sz w:val="32"/>
          <w:szCs w:val="32"/>
          <w:lang w:eastAsia="zh-CN"/>
        </w:rPr>
        <w:t>。由于预算书为</w:t>
      </w:r>
      <w:r>
        <w:rPr>
          <w:rFonts w:hint="eastAsia" w:ascii="Times New Roman" w:hAnsi="Times New Roman" w:eastAsia="仿宋_GB2312" w:cs="Times New Roman"/>
          <w:sz w:val="32"/>
          <w:szCs w:val="32"/>
          <w:lang w:val="en-US" w:eastAsia="zh-CN"/>
        </w:rPr>
        <w:t>0，无法计算百分比。此项目为调整款项，按财政拨款资金实际下达拨款数实施。</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行政单位离退休</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38.47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35.28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91.71</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离休老干部</w:t>
      </w:r>
      <w:r>
        <w:rPr>
          <w:rFonts w:hint="eastAsia" w:ascii="Times New Roman" w:hAnsi="Times New Roman" w:eastAsia="仿宋_GB2312"/>
          <w:color w:val="auto"/>
          <w:sz w:val="32"/>
          <w:szCs w:val="32"/>
          <w:lang w:val="en-US" w:eastAsia="zh-CN"/>
        </w:rPr>
        <w:t>人员减少，对应经费开支减少。</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离退休人员管理机构</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265.82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284.91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107.18</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本年</w:t>
      </w:r>
      <w:r>
        <w:rPr>
          <w:rFonts w:hint="eastAsia" w:ascii="Times New Roman" w:hAnsi="Times New Roman" w:eastAsia="仿宋_GB2312" w:cs="Times New Roman"/>
          <w:sz w:val="32"/>
          <w:szCs w:val="32"/>
          <w:lang w:val="en-US" w:eastAsia="zh-CN"/>
        </w:rPr>
        <w:t>新增部队转入人员1名，增加工资费用支出。</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10.36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10.72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103.47</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本年</w:t>
      </w:r>
      <w:r>
        <w:rPr>
          <w:rFonts w:hint="eastAsia" w:ascii="Times New Roman" w:hAnsi="Times New Roman" w:eastAsia="仿宋_GB2312" w:cs="Times New Roman"/>
          <w:sz w:val="32"/>
          <w:szCs w:val="32"/>
          <w:lang w:val="en-US" w:eastAsia="zh-CN"/>
        </w:rPr>
        <w:t>新增部队转入人员1名，养老保险缴费支出对应增加。</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64.50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77.21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119.70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离休老干部</w:t>
      </w:r>
      <w:r>
        <w:rPr>
          <w:rFonts w:hint="eastAsia" w:ascii="仿宋" w:hAnsi="仿宋" w:eastAsia="仿宋" w:cs="仿宋"/>
          <w:i w:val="0"/>
          <w:iCs w:val="0"/>
          <w:caps w:val="0"/>
          <w:color w:val="auto"/>
          <w:spacing w:val="0"/>
          <w:sz w:val="32"/>
          <w:szCs w:val="32"/>
          <w:shd w:val="clear" w:fill="FFFFFF"/>
        </w:rPr>
        <w:t>春节一次性生活补助未纳入预算</w:t>
      </w:r>
      <w:r>
        <w:rPr>
          <w:rFonts w:hint="eastAsia" w:ascii="仿宋" w:hAnsi="仿宋" w:eastAsia="仿宋" w:cs="仿宋"/>
          <w:i w:val="0"/>
          <w:iCs w:val="0"/>
          <w:caps w:val="0"/>
          <w:color w:val="auto"/>
          <w:spacing w:val="0"/>
          <w:sz w:val="32"/>
          <w:szCs w:val="32"/>
          <w:shd w:val="clear" w:fill="FFFFFF"/>
          <w:lang w:eastAsia="zh-CN"/>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4.34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4.43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102.07</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本年</w:t>
      </w:r>
      <w:r>
        <w:rPr>
          <w:rFonts w:hint="eastAsia" w:ascii="Times New Roman" w:hAnsi="Times New Roman" w:eastAsia="仿宋_GB2312" w:cs="Times New Roman"/>
          <w:sz w:val="32"/>
          <w:szCs w:val="32"/>
          <w:lang w:val="en-US" w:eastAsia="zh-CN"/>
        </w:rPr>
        <w:t>新增部队转入人员1名，医疗保险缴费支出对应增加。</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349.55</w:t>
      </w:r>
      <w:r>
        <w:rPr>
          <w:rFonts w:ascii="Times New Roman" w:hAnsi="Times New Roman" w:eastAsia="仿宋_GB2312" w:cs="Times New Roman"/>
          <w:sz w:val="32"/>
          <w:szCs w:val="32"/>
        </w:rPr>
        <w:t>万元，其中：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329.13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val="en-US" w:eastAsia="zh-CN"/>
        </w:rPr>
        <w:t>35.56万元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val="en-US" w:eastAsia="zh-CN"/>
        </w:rPr>
        <w:t>18.01万元</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val="en-US" w:eastAsia="zh-CN"/>
        </w:rPr>
        <w:t>20.83万元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机关事业单位基本养老保险缴费</w:t>
      </w:r>
      <w:r>
        <w:rPr>
          <w:rFonts w:hint="eastAsia" w:ascii="Times New Roman" w:hAnsi="Times New Roman" w:eastAsia="仿宋_GB2312" w:cs="Times New Roman"/>
          <w:sz w:val="32"/>
          <w:szCs w:val="32"/>
          <w:lang w:val="en-US" w:eastAsia="zh-CN"/>
        </w:rPr>
        <w:t>10.72万元、职工基本医疗保险缴费4.43万元、其他社会保障缴费2.01万元、住房公积金8.61万元、离休费156.94万元、抚恤金0.4万元、生活补助69.39万元、 奖励金0.96万元、其他对个人和家庭的补助1.28万元</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20.42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5.84</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2.36万元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差旅</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0.62万元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劳务</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1.65万元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工会经</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5.47万元、福利费2.73万元、其他交通费用5.75万元、 其他商品和服务支出1.83万元</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7.56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7.56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%；与上年相比减少万元，降低</w:t>
      </w:r>
      <w:r>
        <w:rPr>
          <w:rFonts w:hint="eastAsia" w:ascii="Times New Roman" w:hAnsi="Times New Roman" w:eastAsia="仿宋_GB2312" w:cs="Times New Roman"/>
          <w:sz w:val="32"/>
          <w:szCs w:val="32"/>
          <w:lang w:val="en-US" w:eastAsia="zh-CN"/>
        </w:rPr>
        <w:t>19.49</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7.56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7.56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1.83</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19.49</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7.56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7.56</w:t>
      </w:r>
      <w:r>
        <w:rPr>
          <w:rFonts w:ascii="Times New Roman" w:hAnsi="Times New Roman" w:eastAsia="仿宋_GB2312" w:cs="Times New Roman"/>
          <w:sz w:val="32"/>
          <w:szCs w:val="32"/>
        </w:rPr>
        <w:t>万元，</w:t>
      </w:r>
    </w:p>
    <w:p>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olor w:val="auto"/>
          <w:sz w:val="32"/>
          <w:szCs w:val="32"/>
        </w:rPr>
        <w:t>日常老干部用车及公务用车支出</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1.83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19.49</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辆。</w:t>
      </w:r>
      <w:r>
        <w:rPr>
          <w:rFonts w:ascii="Times New Roman" w:hAnsi="Times New Roman" w:eastAsia="楷体_GB2312" w:cs="Times New Roman"/>
          <w:b/>
          <w:bCs/>
          <w:i/>
          <w:color w:val="auto"/>
          <w:sz w:val="32"/>
          <w:szCs w:val="32"/>
        </w:rPr>
        <w:t>（三公经费支出口径应在专业名词解释中予以说明）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由于本年度决算数为</w:t>
      </w:r>
      <w:r>
        <w:rPr>
          <w:rFonts w:hint="eastAsia" w:ascii="Times New Roman" w:hAnsi="Times New Roman" w:eastAsia="仿宋_GB2312" w:cs="Times New Roman"/>
          <w:sz w:val="32"/>
          <w:szCs w:val="32"/>
          <w:lang w:val="en-US" w:eastAsia="zh-CN"/>
        </w:rPr>
        <w:t>0无法计算百分比</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楷体" w:cs="Times New Roman"/>
          <w:b/>
          <w:bCs/>
          <w:i/>
          <w:color w:val="auto"/>
          <w:sz w:val="32"/>
          <w:szCs w:val="32"/>
        </w:rPr>
      </w:pPr>
      <w:r>
        <w:rPr>
          <w:rFonts w:hint="eastAsia" w:ascii="Times New Roman" w:hAnsi="Times New Roman" w:eastAsia="仿宋_GB2312"/>
          <w:color w:val="auto"/>
          <w:sz w:val="32"/>
          <w:szCs w:val="32"/>
        </w:rPr>
        <w:t>本单位无政府性基金收支。</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20.42</w:t>
      </w:r>
      <w:r>
        <w:rPr>
          <w:rFonts w:ascii="Times New Roman" w:hAnsi="Times New Roman" w:eastAsia="仿宋_GB2312" w:cs="Times New Roman"/>
          <w:sz w:val="32"/>
          <w:szCs w:val="32"/>
        </w:rPr>
        <w:t>万元，比年初预算数（或者上年决算数）减少</w:t>
      </w:r>
      <w:r>
        <w:rPr>
          <w:rFonts w:hint="eastAsia" w:ascii="Times New Roman" w:hAnsi="Times New Roman" w:eastAsia="仿宋_GB2312" w:cs="Times New Roman"/>
          <w:sz w:val="32"/>
          <w:szCs w:val="32"/>
          <w:lang w:val="en-US" w:eastAsia="zh-CN"/>
        </w:rPr>
        <w:t>1.64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7.43</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厉行节约，缩减开支</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w:t>
      </w:r>
      <w:bookmarkStart w:id="3" w:name="_GoBack"/>
      <w:bookmarkEnd w:id="3"/>
      <w:r>
        <w:rPr>
          <w:rFonts w:ascii="Times New Roman" w:hAnsi="Times New Roman" w:cs="Times New Roman"/>
          <w:bCs/>
          <w:sz w:val="32"/>
          <w:szCs w:val="32"/>
        </w:rPr>
        <w:t>况说明</w:t>
      </w:r>
    </w:p>
    <w:p>
      <w:pPr>
        <w:pStyle w:val="13"/>
        <w:overflowPunct w:val="0"/>
        <w:autoSpaceDE/>
        <w:autoSpaceDN/>
        <w:spacing w:line="600" w:lineRule="exact"/>
        <w:ind w:left="638" w:leftChars="304" w:firstLine="0" w:firstLineChars="0"/>
        <w:jc w:val="both"/>
        <w:rPr>
          <w:rFonts w:ascii="Times New Roman" w:hAnsi="Times New Roman" w:cs="Times New Roman"/>
          <w:bCs/>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cs="Times New Roman"/>
          <w:bCs/>
          <w:color w:val="auto"/>
          <w:sz w:val="32"/>
          <w:szCs w:val="32"/>
        </w:rPr>
        <w:t>十一、关于政府采购支出说明</w:t>
      </w:r>
    </w:p>
    <w:p>
      <w:pPr>
        <w:pStyle w:val="13"/>
        <w:overflowPunct w:val="0"/>
        <w:autoSpaceDE/>
        <w:autoSpaceDN/>
        <w:spacing w:line="600" w:lineRule="exact"/>
        <w:ind w:firstLine="640" w:firstLineChars="200"/>
        <w:jc w:val="both"/>
        <w:rPr>
          <w:rFonts w:ascii="Times New Roman" w:hAnsi="Times New Roman" w:eastAsia="楷体" w:cs="Times New Roman"/>
          <w:b/>
          <w:bCs/>
          <w:i/>
          <w:color w:val="0000FF"/>
          <w:sz w:val="32"/>
          <w:szCs w:val="32"/>
        </w:rPr>
      </w:pPr>
      <w:r>
        <w:rPr>
          <w:rFonts w:ascii="Times New Roman" w:hAnsi="Times New Roman" w:eastAsia="仿宋_GB2312" w:cs="Times New Roman"/>
          <w:color w:val="auto"/>
          <w:sz w:val="32"/>
          <w:szCs w:val="32"/>
        </w:rPr>
        <w:t>本部门2024年度政府采购支出总额</w:t>
      </w:r>
      <w:r>
        <w:rPr>
          <w:rFonts w:hint="eastAsia" w:ascii="Times New Roman" w:hAnsi="Times New Roman" w:eastAsia="仿宋_GB2312" w:cs="Times New Roman"/>
          <w:color w:val="auto"/>
          <w:sz w:val="32"/>
          <w:szCs w:val="32"/>
          <w:lang w:val="en-US" w:eastAsia="zh-CN"/>
        </w:rPr>
        <w:t>34.52</w:t>
      </w:r>
      <w:r>
        <w:rPr>
          <w:rFonts w:ascii="Times New Roman" w:hAnsi="Times New Roman" w:eastAsia="仿宋_GB2312" w:cs="Times New Roman"/>
          <w:color w:val="auto"/>
          <w:sz w:val="32"/>
          <w:szCs w:val="32"/>
        </w:rPr>
        <w:t>万元，其中：政府采购货物支出</w:t>
      </w:r>
      <w:r>
        <w:rPr>
          <w:rFonts w:hint="eastAsia" w:ascii="Times New Roman" w:hAnsi="Times New Roman" w:eastAsia="仿宋_GB2312" w:cs="Times New Roman"/>
          <w:color w:val="auto"/>
          <w:sz w:val="32"/>
          <w:szCs w:val="32"/>
          <w:lang w:val="en-US" w:eastAsia="zh-CN"/>
        </w:rPr>
        <w:t>15.26</w:t>
      </w:r>
      <w:r>
        <w:rPr>
          <w:rFonts w:ascii="Times New Roman" w:hAnsi="Times New Roman" w:eastAsia="仿宋_GB2312" w:cs="Times New Roman"/>
          <w:color w:val="auto"/>
          <w:sz w:val="32"/>
          <w:szCs w:val="32"/>
        </w:rPr>
        <w:t>万元、政府采购工程支出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万元、政府采购服务支出</w:t>
      </w:r>
      <w:r>
        <w:rPr>
          <w:rFonts w:hint="eastAsia" w:ascii="Times New Roman" w:hAnsi="Times New Roman" w:eastAsia="仿宋_GB2312" w:cs="Times New Roman"/>
          <w:color w:val="auto"/>
          <w:sz w:val="32"/>
          <w:szCs w:val="32"/>
          <w:lang w:val="en-US" w:eastAsia="zh-CN"/>
        </w:rPr>
        <w:t>19.26</w:t>
      </w:r>
      <w:r>
        <w:rPr>
          <w:rFonts w:ascii="Times New Roman" w:hAnsi="Times New Roman" w:eastAsia="仿宋_GB2312" w:cs="Times New Roman"/>
          <w:color w:val="auto"/>
          <w:sz w:val="32"/>
          <w:szCs w:val="32"/>
        </w:rPr>
        <w:t>万元。授予中小企业合同金额</w:t>
      </w:r>
      <w:r>
        <w:rPr>
          <w:rFonts w:hint="eastAsia" w:ascii="Times New Roman" w:hAnsi="Times New Roman" w:eastAsia="仿宋_GB2312" w:cs="Times New Roman"/>
          <w:color w:val="auto"/>
          <w:sz w:val="32"/>
          <w:szCs w:val="32"/>
          <w:lang w:val="en-US" w:eastAsia="zh-CN"/>
        </w:rPr>
        <w:t>29.07</w:t>
      </w:r>
      <w:r>
        <w:rPr>
          <w:rFonts w:ascii="Times New Roman" w:hAnsi="Times New Roman" w:eastAsia="仿宋_GB2312" w:cs="Times New Roman"/>
          <w:color w:val="auto"/>
          <w:sz w:val="32"/>
          <w:szCs w:val="32"/>
        </w:rPr>
        <w:t>万元，占政府采购支出总额的</w:t>
      </w:r>
      <w:r>
        <w:rPr>
          <w:rFonts w:hint="eastAsia" w:ascii="Times New Roman" w:hAnsi="Times New Roman" w:eastAsia="仿宋_GB2312" w:cs="Times New Roman"/>
          <w:color w:val="auto"/>
          <w:sz w:val="32"/>
          <w:szCs w:val="32"/>
          <w:lang w:val="en-US" w:eastAsia="zh-CN"/>
        </w:rPr>
        <w:t>84.21</w:t>
      </w:r>
      <w:r>
        <w:rPr>
          <w:rFonts w:ascii="Times New Roman" w:hAnsi="Times New Roman" w:eastAsia="仿宋_GB2312" w:cs="Times New Roman"/>
          <w:color w:val="auto"/>
          <w:sz w:val="32"/>
          <w:szCs w:val="32"/>
        </w:rPr>
        <w:t>%，其中：授予小微企业合同金额</w:t>
      </w:r>
      <w:r>
        <w:rPr>
          <w:rFonts w:hint="eastAsia" w:ascii="Times New Roman" w:hAnsi="Times New Roman" w:eastAsia="仿宋_GB2312" w:cs="Times New Roman"/>
          <w:color w:val="auto"/>
          <w:sz w:val="32"/>
          <w:szCs w:val="32"/>
          <w:lang w:val="en-US" w:eastAsia="zh-CN"/>
        </w:rPr>
        <w:t>3.29</w:t>
      </w:r>
      <w:r>
        <w:rPr>
          <w:rFonts w:ascii="Times New Roman" w:hAnsi="Times New Roman" w:eastAsia="仿宋_GB2312" w:cs="Times New Roman"/>
          <w:color w:val="auto"/>
          <w:sz w:val="32"/>
          <w:szCs w:val="32"/>
        </w:rPr>
        <w:t>万元，占授予中小企业合同金额的</w:t>
      </w:r>
      <w:r>
        <w:rPr>
          <w:rFonts w:hint="eastAsia" w:ascii="Times New Roman" w:hAnsi="Times New Roman" w:eastAsia="仿宋_GB2312" w:cs="Times New Roman"/>
          <w:color w:val="auto"/>
          <w:sz w:val="32"/>
          <w:szCs w:val="32"/>
          <w:lang w:val="en-US" w:eastAsia="zh-CN"/>
        </w:rPr>
        <w:t>11.32</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79.6</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83.7</w:t>
      </w:r>
      <w:r>
        <w:rPr>
          <w:rFonts w:ascii="Times New Roman" w:hAnsi="Times New Roman" w:eastAsia="仿宋_GB2312" w:cs="Times New Roman"/>
          <w:color w:val="auto"/>
          <w:sz w:val="32"/>
          <w:szCs w:val="32"/>
        </w:rPr>
        <w:t>%。</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78</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78</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ascii="Times New Roman" w:hAnsi="Times New Roman" w:eastAsia="仿宋_GB2312" w:cs="Times New Roman"/>
          <w:kern w:val="0"/>
          <w:sz w:val="32"/>
          <w:szCs w:val="32"/>
          <w:lang w:val="en-US" w:eastAsia="zh-CN" w:bidi="ar-SA"/>
        </w:rPr>
      </w:pPr>
      <w:r>
        <w:rPr>
          <w:rFonts w:ascii="Times New Roman" w:hAnsi="Times New Roman" w:eastAsia="楷体_GB2312" w:cs="Times New Roman"/>
          <w:b/>
          <w:bCs/>
          <w:kern w:val="2"/>
          <w:sz w:val="32"/>
          <w:szCs w:val="32"/>
          <w:lang w:val="en-US" w:eastAsia="zh-CN" w:bidi="ar-SA"/>
        </w:rPr>
        <w:t>（二）绩效评价结果。一是绩效自评结果。</w:t>
      </w:r>
      <w:r>
        <w:rPr>
          <w:rFonts w:ascii="Times New Roman" w:hAnsi="Times New Roman" w:eastAsia="仿宋_GB2312" w:cs="Times New Roman"/>
          <w:kern w:val="0"/>
          <w:sz w:val="32"/>
          <w:szCs w:val="32"/>
          <w:lang w:val="en-US" w:eastAsia="zh-CN" w:bidi="ar-SA"/>
        </w:rPr>
        <w:t>2024年度本部门（单位）整体支出全年预算数</w:t>
      </w:r>
      <w:r>
        <w:rPr>
          <w:rFonts w:hint="eastAsia" w:ascii="Times New Roman" w:hAnsi="Times New Roman" w:eastAsia="仿宋_GB2312" w:cs="Times New Roman"/>
          <w:kern w:val="0"/>
          <w:sz w:val="32"/>
          <w:szCs w:val="32"/>
          <w:lang w:val="en-US" w:eastAsia="zh-CN" w:bidi="ar-SA"/>
        </w:rPr>
        <w:t>427.97</w:t>
      </w:r>
      <w:r>
        <w:rPr>
          <w:rFonts w:ascii="Times New Roman" w:hAnsi="Times New Roman" w:eastAsia="仿宋_GB2312" w:cs="Times New Roman"/>
          <w:kern w:val="0"/>
          <w:sz w:val="32"/>
          <w:szCs w:val="32"/>
          <w:lang w:val="en-US" w:eastAsia="zh-CN" w:bidi="ar-SA"/>
        </w:rPr>
        <w:t>万元，执行数</w:t>
      </w:r>
      <w:r>
        <w:rPr>
          <w:rFonts w:hint="eastAsia" w:ascii="Times New Roman" w:hAnsi="Times New Roman" w:eastAsia="仿宋_GB2312" w:cs="Times New Roman"/>
          <w:kern w:val="0"/>
          <w:sz w:val="32"/>
          <w:szCs w:val="32"/>
          <w:lang w:val="en-US" w:eastAsia="zh-CN" w:bidi="ar-SA"/>
        </w:rPr>
        <w:t>427.97</w:t>
      </w:r>
      <w:r>
        <w:rPr>
          <w:rFonts w:ascii="Times New Roman" w:hAnsi="Times New Roman" w:eastAsia="仿宋_GB2312" w:cs="Times New Roman"/>
          <w:kern w:val="0"/>
          <w:sz w:val="32"/>
          <w:szCs w:val="32"/>
          <w:lang w:val="en-US" w:eastAsia="zh-CN" w:bidi="ar-SA"/>
        </w:rPr>
        <w:t>万元，完成预算的</w:t>
      </w:r>
      <w:r>
        <w:rPr>
          <w:rFonts w:hint="eastAsia" w:ascii="Times New Roman" w:hAnsi="Times New Roman" w:eastAsia="仿宋_GB2312" w:cs="Times New Roman"/>
          <w:kern w:val="0"/>
          <w:sz w:val="32"/>
          <w:szCs w:val="32"/>
          <w:lang w:val="en-US" w:eastAsia="zh-CN" w:bidi="ar-SA"/>
        </w:rPr>
        <w:t>100.00</w:t>
      </w:r>
      <w:r>
        <w:rPr>
          <w:rFonts w:ascii="Times New Roman" w:hAnsi="Times New Roman" w:eastAsia="仿宋_GB2312" w:cs="Times New Roman"/>
          <w:kern w:val="0"/>
          <w:sz w:val="32"/>
          <w:szCs w:val="32"/>
          <w:lang w:val="en-US" w:eastAsia="zh-CN" w:bidi="ar-SA"/>
        </w:rPr>
        <w:t>%，绩效自评得分</w:t>
      </w:r>
      <w:r>
        <w:rPr>
          <w:rFonts w:hint="eastAsia" w:ascii="Times New Roman" w:hAnsi="Times New Roman" w:eastAsia="仿宋_GB2312" w:cs="Times New Roman"/>
          <w:kern w:val="0"/>
          <w:sz w:val="32"/>
          <w:szCs w:val="32"/>
          <w:lang w:val="en-US" w:eastAsia="zh-CN" w:bidi="ar-SA"/>
        </w:rPr>
        <w:t>96</w:t>
      </w:r>
      <w:r>
        <w:rPr>
          <w:rFonts w:ascii="Times New Roman" w:hAnsi="Times New Roman" w:eastAsia="仿宋_GB2312" w:cs="Times New Roman"/>
          <w:kern w:val="0"/>
          <w:sz w:val="32"/>
          <w:szCs w:val="32"/>
          <w:lang w:val="en-US" w:eastAsia="zh-CN" w:bidi="ar-SA"/>
        </w:rPr>
        <w:t>分，评价等级为“</w:t>
      </w:r>
      <w:r>
        <w:rPr>
          <w:rFonts w:hint="eastAsia" w:ascii="Times New Roman" w:hAnsi="Times New Roman" w:eastAsia="仿宋_GB2312" w:cs="Times New Roman"/>
          <w:kern w:val="0"/>
          <w:sz w:val="32"/>
          <w:szCs w:val="32"/>
          <w:lang w:val="en-US" w:eastAsia="zh-CN" w:bidi="ar-SA"/>
        </w:rPr>
        <w:t>优</w:t>
      </w:r>
      <w:r>
        <w:rPr>
          <w:rFonts w:ascii="Times New Roman" w:hAnsi="Times New Roman" w:eastAsia="仿宋_GB2312" w:cs="Times New Roman"/>
          <w:kern w:val="0"/>
          <w:sz w:val="32"/>
          <w:szCs w:val="32"/>
          <w:lang w:val="en-US" w:eastAsia="zh-CN" w:bidi="ar-SA"/>
        </w:rPr>
        <w:t>”。绩效目标完成情况：</w:t>
      </w:r>
      <w:r>
        <w:rPr>
          <w:rFonts w:hint="default" w:ascii="Times New Roman" w:hAnsi="Times New Roman" w:eastAsia="仿宋_GB2312" w:cs="Times New Roman"/>
          <w:kern w:val="0"/>
          <w:sz w:val="32"/>
          <w:szCs w:val="32"/>
          <w:lang w:val="en-US" w:eastAsia="zh-CN" w:bidi="ar-SA"/>
        </w:rPr>
        <w:t>一是开展老干部力所能及的活动</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平均每周开展各种形式的活动6次，最多时达到9次；二是组织了6次参观考察活动，引导老同志创作了50余首点赞新时代、讴歌新怀化的诗词作品</w:t>
      </w:r>
      <w:r>
        <w:rPr>
          <w:rFonts w:hint="eastAsia" w:ascii="Times New Roman" w:hAnsi="Times New Roman" w:eastAsia="仿宋_GB2312" w:cs="Times New Roman"/>
          <w:kern w:val="0"/>
          <w:sz w:val="32"/>
          <w:szCs w:val="32"/>
          <w:lang w:val="en-US" w:eastAsia="zh-CN" w:bidi="ar-SA"/>
        </w:rPr>
        <w:t>；三是</w:t>
      </w:r>
      <w:r>
        <w:rPr>
          <w:rFonts w:hint="default" w:ascii="Times New Roman" w:hAnsi="Times New Roman" w:eastAsia="仿宋_GB2312" w:cs="Times New Roman"/>
          <w:kern w:val="0"/>
          <w:sz w:val="32"/>
          <w:szCs w:val="32"/>
          <w:lang w:val="en-US" w:eastAsia="zh-CN" w:bidi="ar-SA"/>
        </w:rPr>
        <w:t>开展“庆祝新中国成立75周年”文化作品征集活动，收集作品50个，制作《时光印记》个人画册</w:t>
      </w:r>
      <w:r>
        <w:rPr>
          <w:rFonts w:hint="eastAsia" w:ascii="Times New Roman" w:hAnsi="Times New Roman" w:eastAsia="仿宋_GB2312" w:cs="Times New Roman"/>
          <w:kern w:val="0"/>
          <w:sz w:val="32"/>
          <w:szCs w:val="32"/>
          <w:lang w:val="en-US" w:eastAsia="zh-CN" w:bidi="ar-SA"/>
        </w:rPr>
        <w:t>；四</w:t>
      </w:r>
      <w:r>
        <w:rPr>
          <w:rFonts w:hint="default" w:ascii="Times New Roman" w:hAnsi="Times New Roman" w:eastAsia="仿宋_GB2312" w:cs="Times New Roman"/>
          <w:kern w:val="0"/>
          <w:sz w:val="32"/>
          <w:szCs w:val="32"/>
          <w:lang w:val="en-US" w:eastAsia="zh-CN" w:bidi="ar-SA"/>
        </w:rPr>
        <w:t>是对长期住院老干部每周探视走访，每半年赠送1次慰问金</w:t>
      </w:r>
      <w:r>
        <w:rPr>
          <w:rFonts w:hint="eastAsia"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kern w:val="0"/>
          <w:sz w:val="32"/>
          <w:szCs w:val="32"/>
          <w:lang w:val="en-US" w:eastAsia="zh-CN" w:bidi="ar-SA"/>
        </w:rPr>
        <w:t>是上门为老干部家中进行磨刀服务50多件次，为老干部购物、买药、维修电气设备等100余人次</w:t>
      </w:r>
      <w:r>
        <w:rPr>
          <w:rFonts w:hint="eastAsia" w:ascii="Times New Roman" w:hAnsi="Times New Roman" w:eastAsia="仿宋_GB2312" w:cs="Times New Roman"/>
          <w:kern w:val="0"/>
          <w:sz w:val="32"/>
          <w:szCs w:val="32"/>
          <w:lang w:val="en-US" w:eastAsia="zh-CN" w:bidi="ar-SA"/>
        </w:rPr>
        <w:t>；六</w:t>
      </w:r>
      <w:r>
        <w:rPr>
          <w:rFonts w:hint="default" w:ascii="Times New Roman" w:hAnsi="Times New Roman" w:eastAsia="仿宋_GB2312" w:cs="Times New Roman"/>
          <w:kern w:val="0"/>
          <w:sz w:val="32"/>
          <w:szCs w:val="32"/>
          <w:lang w:val="en-US" w:eastAsia="zh-CN" w:bidi="ar-SA"/>
        </w:rPr>
        <w:t>是在8个节日期间走访慰问了全部老干部，全年走访慰问离退休老干部及遗孀106人次，易地走访百岁老干部祝寿1次。</w:t>
      </w:r>
      <w:r>
        <w:rPr>
          <w:rFonts w:ascii="Times New Roman" w:hAnsi="Times New Roman" w:eastAsia="仿宋_GB2312" w:cs="Times New Roman"/>
          <w:kern w:val="0"/>
          <w:sz w:val="32"/>
          <w:szCs w:val="32"/>
          <w:lang w:val="en-US" w:eastAsia="zh-CN" w:bidi="ar-SA"/>
        </w:rPr>
        <w:t>发现的主要问题及原因：</w:t>
      </w:r>
      <w:r>
        <w:rPr>
          <w:rFonts w:hint="default" w:ascii="Times New Roman" w:hAnsi="Times New Roman" w:eastAsia="仿宋_GB2312" w:cs="Times New Roman"/>
          <w:kern w:val="0"/>
          <w:sz w:val="32"/>
          <w:szCs w:val="32"/>
          <w:lang w:val="en-US" w:eastAsia="zh-CN" w:bidi="ar-SA"/>
        </w:rPr>
        <w:t>绩效评价目标体系设置精细化程度仍需提高。在2024年度预算绩效目标编制工作中，对各部室的绩效目标和绩效指标的设定未紧扣各自职能，有的指标设置科学量化度不高，绩效目标编制质量仍需提高。</w:t>
      </w:r>
      <w:r>
        <w:rPr>
          <w:rFonts w:ascii="Times New Roman" w:hAnsi="Times New Roman" w:eastAsia="仿宋_GB2312" w:cs="Times New Roman"/>
          <w:kern w:val="0"/>
          <w:sz w:val="32"/>
          <w:szCs w:val="32"/>
          <w:lang w:val="en-US" w:eastAsia="zh-CN" w:bidi="ar-SA"/>
        </w:rPr>
        <w:t>下一步改进措施：</w:t>
      </w:r>
      <w:r>
        <w:rPr>
          <w:rFonts w:hint="eastAsia" w:ascii="Times New Roman" w:hAnsi="Times New Roman" w:eastAsia="仿宋_GB2312" w:cs="Times New Roman"/>
          <w:kern w:val="0"/>
          <w:sz w:val="32"/>
          <w:szCs w:val="32"/>
          <w:lang w:val="en-US" w:eastAsia="zh-CN" w:bidi="ar-SA"/>
        </w:rPr>
        <w:t>一是</w:t>
      </w:r>
      <w:r>
        <w:rPr>
          <w:rFonts w:hint="default" w:ascii="Times New Roman" w:hAnsi="Times New Roman" w:eastAsia="仿宋_GB2312" w:cs="Times New Roman"/>
          <w:kern w:val="0"/>
          <w:sz w:val="32"/>
          <w:szCs w:val="32"/>
          <w:lang w:val="en-US" w:eastAsia="zh-CN" w:bidi="ar-SA"/>
        </w:rPr>
        <w:t>定期做好预算支出财务分析，做好部门整体支出预算评价工作，进一步提高预算基本支出的财务保障水平，强化机关经费管理的刚性约束，项目支出按照预算和工作进度执行，进一步规范各项支出</w:t>
      </w:r>
      <w:r>
        <w:rPr>
          <w:rFonts w:hint="eastAsia" w:ascii="Times New Roman" w:hAnsi="Times New Roman" w:eastAsia="仿宋_GB2312" w:cs="Times New Roman"/>
          <w:kern w:val="0"/>
          <w:sz w:val="32"/>
          <w:szCs w:val="32"/>
          <w:lang w:val="en-US" w:eastAsia="zh-CN" w:bidi="ar-SA"/>
        </w:rPr>
        <w:t>；二是</w:t>
      </w:r>
      <w:r>
        <w:rPr>
          <w:rFonts w:hint="default" w:ascii="Times New Roman" w:hAnsi="Times New Roman" w:eastAsia="仿宋_GB2312" w:cs="Times New Roman"/>
          <w:kern w:val="0"/>
          <w:sz w:val="32"/>
          <w:szCs w:val="32"/>
          <w:lang w:val="en-US" w:eastAsia="zh-CN" w:bidi="ar-SA"/>
        </w:rPr>
        <w:t>今后严格按照预算绩效管理要求，坚持定性与定量相结合，突出重点，便于检验、评价、考核。可以量化的三级指标，都要予以量化；确实难以量化的，要提炼出能够反映目标任务和预期成效的结果性描述。</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2024年我单位整体支出绩效自评得分9</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分，评价等级为优，依据这一结果，我单位在年初绩效目标设定、资金管理，制度建设、项目管理等方面进行补充和完善，力求实现财政资金支出效益最大化。</w:t>
      </w: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一、财政拨款收入：指财政当年拨付的资金。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三、经营收入：指事业单位在专业业务活动及其辅助活动之外开展非独立核算经营活动取得的收入。如：中国财政杂志社广告收入等。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四、其他收入：指除上述“财政拨款收入”、“事业收入”、“经营收入”等以外的收入。主要是按规定动用的售房收入、存款利息收入等。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六、年初结转和结余：指以前年度尚未完成、结转到本年按有关规定继续使用的资金。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七、结余分配：指事业单位按规定提取的职工福利基金、事业基金和缴纳的所得税，以及建设单位按规定应交回的基本建设竣工项目结余资金。</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八、年末结转和结余：指本年度或以前年度预算安排、因客观条件发生变化无法按原计划实施，需要延迟到以后年度按有关规定继续使用的资金。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九、基本支出：指为保障机构正常运转、完成日常工作任务而发生的人员支出和公用支出。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十、项目支出：指在基本支出之外为完成特定行政任务和事业发展目标所发生的支出。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十一、经营支出：指事业单位在专业业务活动及其辅助活动之外开展非独立核算经营活动发生的支出。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_GB2312"/>
          <w:sz w:val="32"/>
          <w:szCs w:val="32"/>
          <w:lang w:eastAsia="zh-CN"/>
        </w:rPr>
        <w:t>。</w:t>
      </w:r>
    </w:p>
    <w:p>
      <w:pPr>
        <w:pStyle w:val="13"/>
        <w:spacing w:line="600" w:lineRule="exact"/>
        <w:ind w:firstLine="640" w:firstLineChars="200"/>
        <w:rPr>
          <w:rFonts w:ascii="Times New Roman" w:hAnsi="Times New Roman" w:eastAsia="楷体_GB2312" w:cs="Times New Roman"/>
          <w:b/>
          <w:bCs/>
          <w:i/>
          <w:color w:val="auto"/>
          <w:sz w:val="32"/>
          <w:szCs w:val="32"/>
        </w:rPr>
      </w:pPr>
      <w:r>
        <w:rPr>
          <w:rFonts w:ascii="Times New Roman" w:hAnsi="Times New Roman" w:eastAsia="楷体_GB2312" w:cs="Times New Roman"/>
          <w:b/>
          <w:bCs/>
          <w:i/>
          <w:color w:val="auto"/>
          <w:sz w:val="32"/>
          <w:szCs w:val="32"/>
        </w:rPr>
        <w:t>（名词解释应包含本部门专有名词，如省财政厅应有对“财政事务”科目的解释，可参考中央相关部门的名词解释）</w:t>
      </w: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pPr>
        <w:pStyle w:val="13"/>
        <w:spacing w:line="600" w:lineRule="exact"/>
        <w:ind w:firstLine="640" w:firstLineChars="200"/>
        <w:rPr>
          <w:rFonts w:ascii="Times New Roman" w:hAnsi="Times New Roman" w:eastAsia="仿宋_GB2312" w:cs="Times New Roman"/>
          <w:sz w:val="32"/>
          <w:szCs w:val="3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FE6ABBC"/>
    <w:rsid w:val="17F3FAFA"/>
    <w:rsid w:val="1D97DEFF"/>
    <w:rsid w:val="1DFF72E5"/>
    <w:rsid w:val="1EFC6F07"/>
    <w:rsid w:val="236B52BB"/>
    <w:rsid w:val="2AA506A1"/>
    <w:rsid w:val="2E673DDE"/>
    <w:rsid w:val="2FDF85B8"/>
    <w:rsid w:val="2FF5137D"/>
    <w:rsid w:val="2FFFEE04"/>
    <w:rsid w:val="34DF85B0"/>
    <w:rsid w:val="3B8F36BC"/>
    <w:rsid w:val="491FF225"/>
    <w:rsid w:val="4FFD214C"/>
    <w:rsid w:val="4FFFF161"/>
    <w:rsid w:val="5777D4F5"/>
    <w:rsid w:val="59DD8326"/>
    <w:rsid w:val="5DEF592A"/>
    <w:rsid w:val="5E6F1090"/>
    <w:rsid w:val="5FC6BB1E"/>
    <w:rsid w:val="5FEF8362"/>
    <w:rsid w:val="5FF720F1"/>
    <w:rsid w:val="66FF06FE"/>
    <w:rsid w:val="67FF5C0B"/>
    <w:rsid w:val="6DEC7F91"/>
    <w:rsid w:val="6EFC0924"/>
    <w:rsid w:val="6FB74722"/>
    <w:rsid w:val="6FEF8B7E"/>
    <w:rsid w:val="6FFFC23F"/>
    <w:rsid w:val="71A6591B"/>
    <w:rsid w:val="737D59BA"/>
    <w:rsid w:val="77C37683"/>
    <w:rsid w:val="79D19834"/>
    <w:rsid w:val="79EC8C96"/>
    <w:rsid w:val="79FF515B"/>
    <w:rsid w:val="7A643493"/>
    <w:rsid w:val="7BEFFF9D"/>
    <w:rsid w:val="7E9DF9F2"/>
    <w:rsid w:val="7E9E1962"/>
    <w:rsid w:val="7E9F11B4"/>
    <w:rsid w:val="7EDFB1D9"/>
    <w:rsid w:val="7F37EC1E"/>
    <w:rsid w:val="7F7DCD9D"/>
    <w:rsid w:val="7F970A6F"/>
    <w:rsid w:val="7FB7283B"/>
    <w:rsid w:val="7FC1FFF3"/>
    <w:rsid w:val="7FC69637"/>
    <w:rsid w:val="7FDF8620"/>
    <w:rsid w:val="7FE8C8F7"/>
    <w:rsid w:val="7FFB242F"/>
    <w:rsid w:val="7FFDB408"/>
    <w:rsid w:val="7FFE4EEB"/>
    <w:rsid w:val="7FFF613F"/>
    <w:rsid w:val="95FB2B98"/>
    <w:rsid w:val="9A639BC2"/>
    <w:rsid w:val="9FF7D786"/>
    <w:rsid w:val="ABBFB23D"/>
    <w:rsid w:val="BE7E2941"/>
    <w:rsid w:val="BFFFD310"/>
    <w:rsid w:val="C3B4DA5A"/>
    <w:rsid w:val="CBFF70E0"/>
    <w:rsid w:val="CFF50B82"/>
    <w:rsid w:val="CFFFAD89"/>
    <w:rsid w:val="D3D48273"/>
    <w:rsid w:val="DFFE359E"/>
    <w:rsid w:val="DFFE4FFD"/>
    <w:rsid w:val="EEABED75"/>
    <w:rsid w:val="EFECA874"/>
    <w:rsid w:val="EFF3A8B9"/>
    <w:rsid w:val="F56FDF51"/>
    <w:rsid w:val="F6B69F17"/>
    <w:rsid w:val="F77F1D61"/>
    <w:rsid w:val="F7FED3A9"/>
    <w:rsid w:val="F8C9DB26"/>
    <w:rsid w:val="F97E8EAE"/>
    <w:rsid w:val="FB36E1A6"/>
    <w:rsid w:val="FB3BE134"/>
    <w:rsid w:val="FC7BCA02"/>
    <w:rsid w:val="FCFF4275"/>
    <w:rsid w:val="FD58674B"/>
    <w:rsid w:val="FD7FEEEA"/>
    <w:rsid w:val="FDFFB577"/>
    <w:rsid w:val="FEEA50FE"/>
    <w:rsid w:val="FF7D47A9"/>
    <w:rsid w:val="FFCF21CB"/>
    <w:rsid w:val="FFF3800A"/>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2"/>
    <w:unhideWhenUsed/>
    <w:qFormat/>
    <w:uiPriority w:val="99"/>
    <w:pPr>
      <w:tabs>
        <w:tab w:val="center" w:pos="4153"/>
        <w:tab w:val="right" w:pos="8306"/>
      </w:tabs>
      <w:snapToGrid w:val="0"/>
      <w:jc w:val="left"/>
    </w:pPr>
    <w:rPr>
      <w:sz w:val="18"/>
      <w:szCs w:val="18"/>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4"/>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2"/>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8589</Words>
  <Characters>10527</Characters>
  <Lines>69</Lines>
  <Paragraphs>19</Paragraphs>
  <TotalTime>11</TotalTime>
  <ScaleCrop>false</ScaleCrop>
  <LinksUpToDate>false</LinksUpToDate>
  <CharactersWithSpaces>11675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2025-08-20T10:17:00Z</dcterms:created>
  <dc:creator>李航 null</dc:creator>
  <cp:lastModifiedBy>XCB</cp:lastModifiedBy>
  <cp:lastPrinted>2024-08-10T18:20:00Z</cp:lastPrinted>
  <dcterms:modified xsi:type="dcterms:W3CDTF">2025-09-26T15:26:42Z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BB7B6AA21D207914D6FDA268992A22D6</vt:lpwstr>
  </property>
  <property fmtid="{D5CDD505-2E9C-101B-9397-08002B2CF9AE}" pid="4" name="KSOTemplateDocerSaveRecord">
    <vt:lpwstr>eyJoZGlkIjoiN2Y1ZWU5ODgyMzgzMTY1YzdjN2Q3MmVmZDE0Y2JjNzMifQ==</vt:lpwstr>
  </property>
</Properties>
</file>