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8267C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jc w:val="both"/>
        <w:textAlignment w:val="auto"/>
        <w:rPr>
          <w:rFonts w:hint="eastAsia" w:ascii="方正小标宋_GBK" w:hAnsi="方正小标宋_GBK" w:eastAsia="方正小标宋_GBK" w:cs="方正小标宋_GBK"/>
          <w:b/>
          <w:bCs/>
          <w:i w:val="0"/>
          <w:iCs w:val="0"/>
          <w:caps w:val="0"/>
          <w:color w:val="000000"/>
          <w:spacing w:val="0"/>
          <w:sz w:val="48"/>
          <w:szCs w:val="48"/>
          <w:shd w:val="clear" w:fill="FFFFFF"/>
          <w:lang w:val="en-US" w:eastAsia="zh-CN"/>
        </w:rPr>
      </w:pPr>
    </w:p>
    <w:p w14:paraId="39B85C0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方正小标宋_GBK" w:hAnsi="方正小标宋_GBK" w:eastAsia="方正小标宋_GBK" w:cs="方正小标宋_GBK"/>
          <w:b w:val="0"/>
          <w:bCs w:val="0"/>
          <w:i w:val="0"/>
          <w:iCs w:val="0"/>
          <w:caps w:val="0"/>
          <w:color w:val="000000"/>
          <w:spacing w:val="0"/>
          <w:sz w:val="48"/>
          <w:szCs w:val="48"/>
          <w:shd w:val="clear" w:fill="FFFFFF"/>
          <w:lang w:val="en-US" w:eastAsia="zh-CN"/>
        </w:rPr>
      </w:pPr>
      <w:r>
        <w:rPr>
          <w:rFonts w:hint="eastAsia" w:ascii="方正小标宋_GBK" w:hAnsi="方正小标宋_GBK" w:eastAsia="方正小标宋_GBK" w:cs="方正小标宋_GBK"/>
          <w:b w:val="0"/>
          <w:bCs w:val="0"/>
          <w:i w:val="0"/>
          <w:iCs w:val="0"/>
          <w:caps w:val="0"/>
          <w:color w:val="000000"/>
          <w:spacing w:val="0"/>
          <w:sz w:val="48"/>
          <w:szCs w:val="48"/>
          <w:shd w:val="clear" w:fill="FFFFFF"/>
          <w:lang w:val="en-US" w:eastAsia="zh-CN"/>
        </w:rPr>
        <w:t>2025年度中共怀化市委政策研究室整体支出绩效自评报告</w:t>
      </w:r>
    </w:p>
    <w:p w14:paraId="3E3B1CC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2B7FAFD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4B0DCC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5E70F76">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5C1E2F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3E6368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309CC05">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BF0A29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F69D87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777667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521E725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1A66343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20702B9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3831E5E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val="0"/>
          <w:bCs w:val="0"/>
          <w:color w:val="auto"/>
          <w:sz w:val="32"/>
          <w:szCs w:val="32"/>
          <w:highlight w:val="none"/>
          <w:lang w:val="en-US" w:eastAsia="zh-CN"/>
        </w:rPr>
      </w:pPr>
    </w:p>
    <w:p w14:paraId="401CF5A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eastAsia" w:ascii="方正黑体_GBK" w:hAnsi="方正黑体_GBK" w:eastAsia="方正黑体_GBK" w:cs="方正黑体_GBK"/>
          <w:b w:val="0"/>
          <w:bCs w:val="0"/>
          <w:color w:val="auto"/>
          <w:sz w:val="32"/>
          <w:szCs w:val="32"/>
          <w:highlight w:val="none"/>
          <w:lang w:val="en-US" w:eastAsia="zh-CN"/>
        </w:rPr>
        <w:t xml:space="preserve">   单位名称（盖章）：中共怀化市委政策研究室</w:t>
      </w:r>
    </w:p>
    <w:p w14:paraId="15726DA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51E68EA9">
      <w:pPr>
        <w:pStyle w:val="5"/>
        <w:rPr>
          <w:rFonts w:hint="default" w:ascii="方正黑体_GBK" w:hAnsi="方正黑体_GBK" w:eastAsia="方正黑体_GBK" w:cs="方正黑体_GBK"/>
          <w:b/>
          <w:bCs/>
          <w:color w:val="auto"/>
          <w:sz w:val="32"/>
          <w:szCs w:val="32"/>
          <w:highlight w:val="none"/>
          <w:lang w:val="en-US" w:eastAsia="zh-CN"/>
        </w:rPr>
      </w:pPr>
    </w:p>
    <w:p w14:paraId="022CFDD7">
      <w:pPr>
        <w:pStyle w:val="5"/>
        <w:rPr>
          <w:rFonts w:hint="default" w:ascii="方正黑体_GBK" w:hAnsi="方正黑体_GBK" w:eastAsia="方正黑体_GBK" w:cs="方正黑体_GBK"/>
          <w:b/>
          <w:bCs/>
          <w:color w:val="auto"/>
          <w:sz w:val="32"/>
          <w:szCs w:val="32"/>
          <w:highlight w:val="none"/>
          <w:lang w:val="en-US" w:eastAsia="zh-CN"/>
        </w:rPr>
      </w:pPr>
    </w:p>
    <w:p w14:paraId="632814F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598BA08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4383711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机构设置情况</w:t>
      </w:r>
    </w:p>
    <w:p w14:paraId="5A56DE1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中共怀化市委政策研究室作为一级部门预算单位，下设7个内设科室：办公室、综合</w:t>
      </w:r>
      <w:r>
        <w:rPr>
          <w:rFonts w:hint="default" w:ascii="Times New Roman Regular" w:hAnsi="Times New Roman Regular" w:eastAsia="仿宋_GB2312" w:cs="Times New Roman Regular"/>
          <w:color w:val="auto"/>
          <w:sz w:val="32"/>
          <w:szCs w:val="32"/>
          <w:highlight w:val="none"/>
          <w:lang w:eastAsia="zh-CN"/>
        </w:rPr>
        <w:t>研究</w:t>
      </w:r>
      <w:r>
        <w:rPr>
          <w:rFonts w:hint="eastAsia" w:ascii="Times New Roman Regular" w:hAnsi="Times New Roman Regular" w:eastAsia="仿宋_GB2312" w:cs="Times New Roman Regular"/>
          <w:color w:val="auto"/>
          <w:sz w:val="32"/>
          <w:szCs w:val="32"/>
          <w:highlight w:val="none"/>
          <w:lang w:val="en-US" w:eastAsia="zh-CN"/>
        </w:rPr>
        <w:t>科、</w:t>
      </w:r>
      <w:r>
        <w:rPr>
          <w:rFonts w:hint="default" w:ascii="Times New Roman Regular" w:hAnsi="Times New Roman Regular" w:eastAsia="仿宋_GB2312" w:cs="Times New Roman Regular"/>
          <w:color w:val="auto"/>
          <w:sz w:val="32"/>
          <w:szCs w:val="32"/>
          <w:highlight w:val="none"/>
          <w:lang w:eastAsia="zh-CN"/>
        </w:rPr>
        <w:t>城乡研究</w:t>
      </w:r>
      <w:r>
        <w:rPr>
          <w:rFonts w:hint="eastAsia" w:ascii="Times New Roman Regular" w:hAnsi="Times New Roman Regular" w:eastAsia="仿宋_GB2312" w:cs="Times New Roman Regular"/>
          <w:color w:val="auto"/>
          <w:sz w:val="32"/>
          <w:szCs w:val="32"/>
          <w:highlight w:val="none"/>
          <w:lang w:val="en-US" w:eastAsia="zh-CN"/>
        </w:rPr>
        <w:t>科、党群</w:t>
      </w:r>
      <w:r>
        <w:rPr>
          <w:rFonts w:hint="default" w:ascii="Times New Roman Regular" w:hAnsi="Times New Roman Regular" w:eastAsia="仿宋_GB2312" w:cs="Times New Roman Regular"/>
          <w:color w:val="auto"/>
          <w:sz w:val="32"/>
          <w:szCs w:val="32"/>
          <w:highlight w:val="none"/>
          <w:lang w:eastAsia="zh-CN"/>
        </w:rPr>
        <w:t>研究</w:t>
      </w:r>
      <w:r>
        <w:rPr>
          <w:rFonts w:hint="eastAsia" w:ascii="Times New Roman Regular" w:hAnsi="Times New Roman Regular" w:eastAsia="仿宋_GB2312" w:cs="Times New Roman Regular"/>
          <w:color w:val="auto"/>
          <w:sz w:val="32"/>
          <w:szCs w:val="32"/>
          <w:highlight w:val="none"/>
          <w:lang w:val="en-US" w:eastAsia="zh-CN"/>
        </w:rPr>
        <w:t>科、</w:t>
      </w:r>
      <w:r>
        <w:rPr>
          <w:rFonts w:hint="default" w:ascii="Times New Roman Regular" w:hAnsi="Times New Roman Regular" w:eastAsia="仿宋_GB2312" w:cs="Times New Roman Regular"/>
          <w:color w:val="auto"/>
          <w:sz w:val="32"/>
          <w:szCs w:val="32"/>
          <w:highlight w:val="none"/>
          <w:lang w:eastAsia="zh-CN"/>
        </w:rPr>
        <w:t>社会研究科、</w:t>
      </w:r>
      <w:r>
        <w:rPr>
          <w:rFonts w:hint="eastAsia" w:ascii="Times New Roman Regular" w:hAnsi="Times New Roman Regular" w:eastAsia="仿宋_GB2312" w:cs="Times New Roman Regular"/>
          <w:color w:val="auto"/>
          <w:sz w:val="32"/>
          <w:szCs w:val="32"/>
          <w:highlight w:val="none"/>
          <w:lang w:val="en-US" w:eastAsia="zh-CN"/>
        </w:rPr>
        <w:t>改革协调科、改革督察科。 </w:t>
      </w:r>
    </w:p>
    <w:p w14:paraId="387B9C5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r>
        <w:rPr>
          <w:rFonts w:hint="default" w:ascii="Times New Roman Regular" w:hAnsi="Times New Roman Regular" w:eastAsia="仿宋_GB2312" w:cs="Times New Roman Regular"/>
          <w:color w:val="auto"/>
          <w:sz w:val="32"/>
          <w:szCs w:val="32"/>
          <w:highlight w:val="none"/>
          <w:lang w:val="en-US" w:eastAsia="zh-CN"/>
        </w:rPr>
        <w:t>人员编制情况</w:t>
      </w:r>
    </w:p>
    <w:p w14:paraId="0C3AC16F">
      <w:pPr>
        <w:keepNext w:val="0"/>
        <w:keepLines w:val="0"/>
        <w:pageBreakBefore w:val="0"/>
        <w:widowControl w:val="0"/>
        <w:kinsoku/>
        <w:wordWrap/>
        <w:overflowPunct/>
        <w:topLinePunct w:val="0"/>
        <w:autoSpaceDE/>
        <w:autoSpaceDN/>
        <w:bidi w:val="0"/>
        <w:adjustRightInd/>
        <w:snapToGrid w:val="0"/>
        <w:spacing w:line="520" w:lineRule="exact"/>
        <w:ind w:right="-101" w:rightChars="-48" w:firstLine="614" w:firstLineChars="200"/>
        <w:textAlignment w:val="auto"/>
        <w:rPr>
          <w:rFonts w:hint="default" w:ascii="Times New Roman Regular" w:hAnsi="Times New Roman Regular" w:eastAsia="仿宋_GB2312" w:cs="Times New Roman Regular"/>
          <w:color w:val="auto"/>
          <w:w w:val="96"/>
          <w:sz w:val="32"/>
          <w:szCs w:val="32"/>
          <w:highlight w:val="none"/>
          <w:lang w:val="en-US" w:eastAsia="zh-CN"/>
        </w:rPr>
      </w:pPr>
      <w:r>
        <w:rPr>
          <w:rFonts w:hint="eastAsia" w:ascii="Times New Roman Regular" w:hAnsi="Times New Roman Regular" w:eastAsia="仿宋_GB2312" w:cs="Times New Roman Regular"/>
          <w:color w:val="auto"/>
          <w:w w:val="96"/>
          <w:sz w:val="32"/>
          <w:szCs w:val="32"/>
          <w:highlight w:val="none"/>
          <w:lang w:val="en-US" w:eastAsia="zh-CN"/>
        </w:rPr>
        <w:t>2025年末，我单位共有编制21人，年末实有在职人数21人。</w:t>
      </w:r>
    </w:p>
    <w:p w14:paraId="63B96A5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w:t>
      </w:r>
      <w:r>
        <w:rPr>
          <w:rFonts w:hint="default" w:ascii="Times New Roman Regular" w:hAnsi="Times New Roman Regular" w:eastAsia="仿宋_GB2312" w:cs="Times New Roman Regular"/>
          <w:color w:val="auto"/>
          <w:sz w:val="32"/>
          <w:szCs w:val="32"/>
          <w:highlight w:val="none"/>
          <w:lang w:val="en-US" w:eastAsia="zh-CN"/>
        </w:rPr>
        <w:t>主要职能职责</w:t>
      </w:r>
    </w:p>
    <w:p w14:paraId="301B699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r>
        <w:rPr>
          <w:rFonts w:hint="default" w:ascii="Times New Roman Regular" w:hAnsi="Times New Roman Regular" w:eastAsia="仿宋_GB2312" w:cs="Times New Roman Regular"/>
          <w:color w:val="auto"/>
          <w:sz w:val="32"/>
          <w:szCs w:val="32"/>
          <w:highlight w:val="none"/>
          <w:lang w:val="en-US" w:eastAsia="zh-CN"/>
        </w:rPr>
        <w:t>围绕贯彻落实党的路线方针政策，起草、参与起草和修改市委领导同志的报告、讲话和其他文稿；起草、参与起草修改市委的重要文稿。</w:t>
      </w:r>
    </w:p>
    <w:p w14:paraId="07CBDFF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r>
        <w:rPr>
          <w:rFonts w:hint="default" w:ascii="Times New Roman Regular" w:hAnsi="Times New Roman Regular" w:eastAsia="仿宋_GB2312" w:cs="Times New Roman Regular"/>
          <w:color w:val="auto"/>
          <w:sz w:val="32"/>
          <w:szCs w:val="32"/>
          <w:highlight w:val="none"/>
          <w:lang w:val="en-US" w:eastAsia="zh-CN"/>
        </w:rPr>
        <w:t>围绕“五位一体”总体布局、“四个全面”战略布局开展重大课题调研，提出意见和建议，供市委参考，并进行决策后的跟踪调查，为促进政策落实和完善决策服务。</w:t>
      </w:r>
    </w:p>
    <w:p w14:paraId="24D342B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w:t>
      </w:r>
      <w:r>
        <w:rPr>
          <w:rFonts w:hint="default" w:ascii="Times New Roman Regular" w:hAnsi="Times New Roman Regular" w:eastAsia="仿宋_GB2312" w:cs="Times New Roman Regular"/>
          <w:color w:val="auto"/>
          <w:sz w:val="32"/>
          <w:szCs w:val="32"/>
          <w:highlight w:val="none"/>
          <w:lang w:val="en-US" w:eastAsia="zh-CN"/>
        </w:rPr>
        <w:t>收集整理国内外、省内外、市内外重要信息资料，对经济、政治、社会、文化、生态文明等方面的重要问题进行分析和预测，及时将有关资料和研究结果提供给市委领导参阅。</w:t>
      </w:r>
    </w:p>
    <w:p w14:paraId="22435E2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w:t>
      </w:r>
      <w:r>
        <w:rPr>
          <w:rFonts w:hint="default" w:ascii="Times New Roman Regular" w:hAnsi="Times New Roman Regular" w:eastAsia="仿宋_GB2312" w:cs="Times New Roman Regular"/>
          <w:color w:val="auto"/>
          <w:sz w:val="32"/>
          <w:szCs w:val="32"/>
          <w:highlight w:val="none"/>
          <w:lang w:val="en-US" w:eastAsia="zh-CN"/>
        </w:rPr>
        <w:t>围绕市委中心工作做好有关调查研究的组织、协调和联络工作；协助市委做好对民主党派、工商联调查研究的协调联络工作。</w:t>
      </w:r>
    </w:p>
    <w:p w14:paraId="46C0262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向市委全面深化改革委员会提出年度工作要点、年度改革进展和评估报告。</w:t>
      </w:r>
    </w:p>
    <w:p w14:paraId="0D00BF0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（6）</w:t>
      </w:r>
      <w:r>
        <w:rPr>
          <w:rFonts w:hint="default" w:ascii="Times New Roman Regular" w:hAnsi="Times New Roman Regular" w:eastAsia="仿宋_GB2312" w:cs="Times New Roman Regular"/>
          <w:color w:val="auto"/>
          <w:sz w:val="32"/>
          <w:szCs w:val="32"/>
          <w:highlight w:val="none"/>
          <w:lang w:val="en-US" w:eastAsia="zh-CN"/>
        </w:rPr>
        <w:t>收集汇总改革信息资料，组织开展全面深化改革重大问题的政策研究和政策咨询，为市委全面深化改革委员会提供决策参谋服务。</w:t>
      </w:r>
    </w:p>
    <w:p w14:paraId="6E1A195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（7）</w:t>
      </w:r>
      <w:r>
        <w:rPr>
          <w:rFonts w:hint="default" w:ascii="Times New Roman Regular" w:hAnsi="Times New Roman Regular" w:eastAsia="仿宋_GB2312" w:cs="Times New Roman Regular"/>
          <w:color w:val="auto"/>
          <w:sz w:val="32"/>
          <w:szCs w:val="32"/>
          <w:highlight w:val="none"/>
          <w:lang w:val="en-US" w:eastAsia="zh-CN"/>
        </w:rPr>
        <w:t>统筹协调有关方面提出改革方案和措施；研究处理有关方面向市委全面深化改革委员会提出的重要改革事项及相关请示，接受各地各部门深化改革的有关决定和重要改革方案向市委全面深化改革委员会的备案，研究评估后向省委全面深化改革委员会提出建议。</w:t>
      </w:r>
    </w:p>
    <w:p w14:paraId="2D58163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（8）</w:t>
      </w:r>
      <w:r>
        <w:rPr>
          <w:rFonts w:hint="default" w:ascii="Times New Roman Regular" w:hAnsi="Times New Roman Regular" w:eastAsia="仿宋_GB2312" w:cs="Times New Roman Regular"/>
          <w:color w:val="auto"/>
          <w:sz w:val="32"/>
          <w:szCs w:val="32"/>
          <w:highlight w:val="none"/>
          <w:lang w:val="en-US" w:eastAsia="zh-CN"/>
        </w:rPr>
        <w:t>负责对各专项小组和各地各部门全面深化改革工作</w:t>
      </w:r>
      <w:r>
        <w:rPr>
          <w:rFonts w:hint="default" w:ascii="Times New Roman Regular" w:hAnsi="Times New Roman Regular" w:eastAsia="仿宋_GB2312" w:cs="Times New Roman Regular"/>
          <w:color w:val="auto"/>
          <w:spacing w:val="-11"/>
          <w:w w:val="97"/>
          <w:sz w:val="32"/>
          <w:szCs w:val="32"/>
          <w:highlight w:val="none"/>
          <w:lang w:val="en-US" w:eastAsia="zh-CN"/>
        </w:rPr>
        <w:t>的统筹、协调、督促、检查；统筹指导各地各部门开展改革试点。</w:t>
      </w:r>
    </w:p>
    <w:p w14:paraId="6DA8D45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（9）</w:t>
      </w:r>
      <w:r>
        <w:rPr>
          <w:rFonts w:hint="default" w:ascii="Times New Roman Regular" w:hAnsi="Times New Roman Regular" w:eastAsia="仿宋_GB2312" w:cs="Times New Roman Regular"/>
          <w:color w:val="auto"/>
          <w:sz w:val="32"/>
          <w:szCs w:val="32"/>
          <w:highlight w:val="none"/>
          <w:lang w:val="en-US" w:eastAsia="zh-CN"/>
        </w:rPr>
        <w:t>协调开展市委全面深化改革委员会的决定事项、工作部署要求及重要改革举措落实情况督察；负责年度改革绩效评估。</w:t>
      </w:r>
    </w:p>
    <w:p w14:paraId="7E10829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（10）</w:t>
      </w:r>
      <w:r>
        <w:rPr>
          <w:rFonts w:hint="default" w:ascii="Times New Roman Regular" w:hAnsi="Times New Roman Regular" w:eastAsia="仿宋_GB2312" w:cs="Times New Roman Regular"/>
          <w:color w:val="auto"/>
          <w:sz w:val="32"/>
          <w:szCs w:val="32"/>
          <w:highlight w:val="none"/>
          <w:lang w:val="en-US" w:eastAsia="zh-CN"/>
        </w:rPr>
        <w:t>负责市委全面深化改革委员会的会议组织、内刊编印等工作，总结宣传改革先进经验和典型案例。</w:t>
      </w:r>
    </w:p>
    <w:p w14:paraId="15FBA5B0">
      <w:pPr>
        <w:keepNext w:val="0"/>
        <w:keepLines w:val="0"/>
        <w:pageBreakBefore w:val="0"/>
        <w:widowControl w:val="0"/>
        <w:kinsoku/>
        <w:wordWrap/>
        <w:overflowPunct/>
        <w:topLinePunct w:val="0"/>
        <w:autoSpaceDE/>
        <w:autoSpaceDN/>
        <w:bidi w:val="0"/>
        <w:adjustRightInd/>
        <w:snapToGrid w:val="0"/>
        <w:spacing w:line="520" w:lineRule="exact"/>
        <w:ind w:firstLine="576" w:firstLineChars="200"/>
        <w:textAlignment w:val="auto"/>
        <w:rPr>
          <w:rFonts w:hint="eastAsia" w:ascii="Times New Roman Regular" w:hAnsi="Times New Roman Regular" w:eastAsia="仿宋_GB2312" w:cs="Times New Roman Regular"/>
          <w:color w:val="auto"/>
          <w:spacing w:val="-11"/>
          <w:w w:val="97"/>
          <w:sz w:val="32"/>
          <w:szCs w:val="32"/>
          <w:highlight w:val="none"/>
          <w:lang w:val="en-US" w:eastAsia="zh-CN"/>
        </w:rPr>
      </w:pPr>
      <w:r>
        <w:rPr>
          <w:rFonts w:hint="eastAsia" w:ascii="Times New Roman Regular" w:hAnsi="Times New Roman Regular" w:eastAsia="仿宋_GB2312" w:cs="Times New Roman Regular"/>
          <w:color w:val="auto"/>
          <w:spacing w:val="-11"/>
          <w:w w:val="97"/>
          <w:sz w:val="32"/>
          <w:szCs w:val="32"/>
          <w:highlight w:val="none"/>
          <w:lang w:val="en-US" w:eastAsia="zh-CN"/>
        </w:rPr>
        <w:t>（11）</w:t>
      </w:r>
      <w:r>
        <w:rPr>
          <w:rFonts w:hint="default" w:ascii="Times New Roman Regular" w:hAnsi="Times New Roman Regular" w:eastAsia="仿宋_GB2312" w:cs="Times New Roman Regular"/>
          <w:color w:val="auto"/>
          <w:spacing w:val="-11"/>
          <w:w w:val="97"/>
          <w:sz w:val="32"/>
          <w:szCs w:val="32"/>
          <w:highlight w:val="none"/>
          <w:lang w:val="en-US" w:eastAsia="zh-CN"/>
        </w:rPr>
        <w:t>完成市委</w:t>
      </w:r>
      <w:r>
        <w:rPr>
          <w:rFonts w:hint="eastAsia" w:ascii="Times New Roman Regular" w:hAnsi="Times New Roman Regular" w:eastAsia="仿宋_GB2312" w:cs="Times New Roman Regular"/>
          <w:color w:val="auto"/>
          <w:spacing w:val="-11"/>
          <w:w w:val="97"/>
          <w:sz w:val="32"/>
          <w:szCs w:val="32"/>
          <w:highlight w:val="none"/>
          <w:lang w:val="en-US" w:eastAsia="zh-CN"/>
        </w:rPr>
        <w:t>和</w:t>
      </w:r>
      <w:r>
        <w:rPr>
          <w:rFonts w:hint="default" w:ascii="Times New Roman Regular" w:hAnsi="Times New Roman Regular" w:eastAsia="仿宋_GB2312" w:cs="Times New Roman Regular"/>
          <w:color w:val="auto"/>
          <w:spacing w:val="-11"/>
          <w:w w:val="97"/>
          <w:sz w:val="32"/>
          <w:szCs w:val="32"/>
          <w:highlight w:val="none"/>
          <w:lang w:val="en-US" w:eastAsia="zh-CN"/>
        </w:rPr>
        <w:t>市委全面深化改革委员会交办的其他事项</w:t>
      </w:r>
      <w:r>
        <w:rPr>
          <w:rFonts w:hint="eastAsia" w:ascii="Times New Roman Regular" w:hAnsi="Times New Roman Regular" w:eastAsia="仿宋_GB2312" w:cs="Times New Roman Regular"/>
          <w:color w:val="auto"/>
          <w:spacing w:val="-11"/>
          <w:w w:val="97"/>
          <w:sz w:val="32"/>
          <w:szCs w:val="32"/>
          <w:highlight w:val="none"/>
          <w:lang w:val="en-US" w:eastAsia="zh-CN"/>
        </w:rPr>
        <w:t>。</w:t>
      </w:r>
    </w:p>
    <w:p w14:paraId="314CD8E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w:t>
      </w:r>
      <w:r>
        <w:rPr>
          <w:rFonts w:hint="default" w:ascii="Times New Roman Regular" w:hAnsi="Times New Roman Regular" w:eastAsia="仿宋_GB2312" w:cs="Times New Roman Regular"/>
          <w:color w:val="auto"/>
          <w:sz w:val="32"/>
          <w:szCs w:val="32"/>
          <w:highlight w:val="none"/>
          <w:lang w:val="en-US" w:eastAsia="zh-CN"/>
        </w:rPr>
        <w:t>绩效目标设定情况</w:t>
      </w:r>
    </w:p>
    <w:p w14:paraId="536C7A8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严格落实省、市绩效管理工作的有关规定，进一步规范财政资金的管理，强化财政支出绩效理念，提升部门责任意识，提高资金使用效益。</w:t>
      </w:r>
    </w:p>
    <w:p w14:paraId="290348BD">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部门（单位）整体支出规模、使用方向和主要内容、涉及范围等。</w:t>
      </w:r>
    </w:p>
    <w:p w14:paraId="281B1AC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2025年度决算总收入495.23万元。2025年度决算总支出495.23万元，其中：基本支出404.44万元，占总支出的81.67%；项目支出90.79万元，占总支出的18.33%。</w:t>
      </w:r>
    </w:p>
    <w:p w14:paraId="2AE1FB5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部门整体支出主要使用方向如下：</w:t>
      </w:r>
    </w:p>
    <w:p w14:paraId="631C35C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工资福利支出340.32万元，主要用于基本工资、津贴补贴、奖金、伙食补助费、机关事业单位基本养老保险缴费、职工基本医疗保险缴费、住房公积金等支出。</w:t>
      </w:r>
    </w:p>
    <w:p w14:paraId="7389A43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商品和服务支出146.34万元，主要用于办公费、印刷费、邮电费、差旅费、会议费、培训费、公务接待费、劳务费、委托业务费、工会经费、福利费、公务用车运行维护费、其他交通费用、其他商品和服务支出等支出。</w:t>
      </w:r>
    </w:p>
    <w:p w14:paraId="43583CB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对个人和家庭的补助5.57万元，主要用于抚恤金、生活补助、其他对个人和家庭的补助等支出。</w:t>
      </w:r>
    </w:p>
    <w:p w14:paraId="3306A92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资本性支出</w:t>
      </w:r>
      <w:r>
        <w:rPr>
          <w:rFonts w:hint="eastAsia" w:ascii="Times New Roman Regular" w:hAnsi="Times New Roman Regular" w:eastAsia="仿宋_GB2312" w:cs="Times New Roman Regular"/>
          <w:color w:val="auto"/>
          <w:sz w:val="32"/>
          <w:szCs w:val="32"/>
          <w:highlight w:val="none"/>
          <w:lang w:val="en-US" w:eastAsia="zh-CN"/>
        </w:rPr>
        <w:t>3.00万元，主要用于办公设备购置费用。</w:t>
      </w:r>
    </w:p>
    <w:p w14:paraId="00A5671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737FDAC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6C63E81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基本支出主要用于保障机构正常运转、完成日常工作任务所必需的支出。基本支出总支出404.44万元，主要包括：工资福利支出340.32万元、商品和服务支出58.56万元、对个人和家庭的补助5.57万元。较上年相比增加60.95万元，增加17.7%，主要原因是2025年度人员增加，相应人员经费和公用经费增加。</w:t>
      </w:r>
    </w:p>
    <w:p w14:paraId="73C1B9D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三公”经费支出0.89万元。“三公经费”总体支出比上年减少1.37万元，减少60.80%，主要原因是2025年度本单位按照财政要求，压减三公经费开支。其中，公务用车运行维护费0.64万元，较上年减少1.11万元，减少63.50%，主要是2025年度本单位按照财政要求，压减三公经费开支；公务接待费0.25万元，较上年减少0.27万元，减少51.70%，主要是本年度公务接待批次减少，费用减少。</w:t>
      </w:r>
    </w:p>
    <w:p w14:paraId="09BDDB3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762AC20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1、根据《怀化市财政局关于批复下达2025年市直部门预算的通知》，2025年项目支出预算安排110万元，实际到位110万元，到位率100%。</w:t>
      </w:r>
    </w:p>
    <w:p w14:paraId="4776345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2、《新怀化》经费年初总预算50万元，预算执行49.49万元，执行率98.98%；财经办及改革办专项经费年初总预算60万元，预算执行41.29万元，执行率68.82%。</w:t>
      </w:r>
    </w:p>
    <w:p w14:paraId="58929E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3、项目资金管理情况分析，主要包括管理制度、办法的制订及执行情况。</w:t>
      </w:r>
    </w:p>
    <w:p w14:paraId="79B8B3C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为加强专项项目管理，提高专项资金的使用效率，我单位根据怀化市市本级专项资金管理办法就重点专项项目制定了《财务管理制度》、《专项资金管理办法》。专项资金的分配、使用、管理严格按制度执行，大额资金支出实行“三重一大”集体决策机制，项目招标、评审、结算按政府采购管理办法等相关要求进行，确保资金使用公开、公正、科学、高效，专款专用、不被挤占、挪用、借用或随意调整。  </w:t>
      </w:r>
    </w:p>
    <w:p w14:paraId="310B718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3CAD7BF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（一）项目组织情况分析，主要包括项目招投标、调整、竣工验收等情况。</w:t>
      </w:r>
    </w:p>
    <w:p w14:paraId="2009ED7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政府采购限额标准以上的采购项目，通过集体决策确定采购方式组织项目实施；项目验收方面，成立项目领导小组，项目领导小组对项目的进度和质量进行跟踪、检查、监督、验收。项目完工后，验收人员按质量要求对各项指标进行检查验收，签署验收意见，确保项目达到预期效益目标，加强统筹协调，强化监督管理，严把项目质量关。</w:t>
      </w:r>
    </w:p>
    <w:p w14:paraId="704E440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w:t>
      </w:r>
      <w:r>
        <w:rPr>
          <w:rFonts w:hint="default" w:ascii="Times New Roman Regular" w:hAnsi="Times New Roman Regular" w:eastAsia="仿宋_GB2312" w:cs="Times New Roman Regular"/>
          <w:color w:val="auto"/>
          <w:sz w:val="32"/>
          <w:szCs w:val="32"/>
          <w:highlight w:val="none"/>
          <w:lang w:val="en-US" w:eastAsia="zh-CN"/>
        </w:rPr>
        <w:t>项目管理情况分析，主要包括项目管理制度建设、日常检查监督管理等情况。</w:t>
      </w:r>
    </w:p>
    <w:p w14:paraId="4B6AA98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为确保各专项项目实施，各部室严格按照相关质量控制体系、标准制定业务管理制度及业务管理实施方案，并建立业务绩效考核管理办法，对各专项项目实施监测、检查和验收。</w:t>
      </w:r>
    </w:p>
    <w:p w14:paraId="6DC2773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75CC68F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单位严格按照财务管理制度，认真落实内部控制管理实施细则，理顺资产管理体制，加强资产管理制度建设、落实现行资产管理的流程和工作机制、管理方式等。加强人、财、物的规范管理，做到财物账实相符。合理配备并节约、有效使用资产，提高资产使用效率，保障资产的安全和完整</w:t>
      </w:r>
      <w:r>
        <w:rPr>
          <w:rFonts w:hint="default" w:ascii="Times New Roman Regular" w:hAnsi="Times New Roman Regular" w:eastAsia="仿宋_GB2312" w:cs="Times New Roman Regular"/>
          <w:color w:val="auto"/>
          <w:sz w:val="32"/>
          <w:szCs w:val="32"/>
          <w:highlight w:val="none"/>
          <w:lang w:val="en-US" w:eastAsia="zh-CN"/>
        </w:rPr>
        <w:t>。</w:t>
      </w:r>
    </w:p>
    <w:p w14:paraId="48AAF27F">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630" w:leftChars="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政府性基金预算支出情况</w:t>
      </w:r>
    </w:p>
    <w:p w14:paraId="7B0ECFB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本单位无政府性基金预算支出</w:t>
      </w:r>
    </w:p>
    <w:p w14:paraId="39FC85C2">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63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国有资本经营预算支出情况</w:t>
      </w:r>
    </w:p>
    <w:p w14:paraId="735B1E0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本单位无国有资本经营预算支出</w:t>
      </w:r>
    </w:p>
    <w:p w14:paraId="40A2D23C">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63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社会保险基金预算支出情况</w:t>
      </w:r>
    </w:p>
    <w:p w14:paraId="6CAADEE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本单位无社会保险基金预算支出</w:t>
      </w:r>
    </w:p>
    <w:p w14:paraId="146EE26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36044DE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（一）综合评价结论。反映自评得分及评价等级。</w:t>
      </w:r>
    </w:p>
    <w:p w14:paraId="5806339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通过绩效自评工作的开展，我单位将评价结果作为各项目改进管理和安排以后年度预算的重要依据，针对自评中存在的问题及时进行调整管理方式，加强财务管理，切实提高财政资金的使用效益。根据自评表得分为99.85分，评价等级为优</w:t>
      </w:r>
      <w:r>
        <w:rPr>
          <w:rFonts w:hint="default" w:ascii="Times New Roman Regular" w:hAnsi="Times New Roman Regular" w:eastAsia="仿宋_GB2312" w:cs="Times New Roman Regular"/>
          <w:color w:val="auto"/>
          <w:sz w:val="32"/>
          <w:szCs w:val="32"/>
          <w:highlight w:val="none"/>
          <w:lang w:val="en-US" w:eastAsia="zh-CN"/>
        </w:rPr>
        <w:t>。</w:t>
      </w:r>
    </w:p>
    <w:p w14:paraId="257D4B0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1.综合评价分析</w:t>
      </w:r>
    </w:p>
    <w:p w14:paraId="437EBEF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绩效目标设定方面：我单位严格按照绩效目标制定的相关规定，</w:t>
      </w:r>
      <w:r>
        <w:rPr>
          <w:rFonts w:hint="default" w:ascii="Times New Roman Regular" w:hAnsi="Times New Roman Regular" w:eastAsia="仿宋_GB2312" w:cs="Times New Roman Regular"/>
          <w:color w:val="auto"/>
          <w:sz w:val="32"/>
          <w:szCs w:val="32"/>
          <w:highlight w:val="none"/>
          <w:lang w:val="en-US" w:eastAsia="zh-CN"/>
        </w:rPr>
        <w:t>围绕部门职责、行业发展规划</w:t>
      </w:r>
      <w:r>
        <w:rPr>
          <w:rFonts w:hint="eastAsia" w:ascii="Times New Roman Regular" w:hAnsi="Times New Roman Regular" w:eastAsia="仿宋_GB2312" w:cs="Times New Roman Regular"/>
          <w:color w:val="auto"/>
          <w:sz w:val="32"/>
          <w:szCs w:val="32"/>
          <w:highlight w:val="none"/>
          <w:lang w:val="en-US" w:eastAsia="zh-CN"/>
        </w:rPr>
        <w:t>，完整、合理地制定整体绩效目标，绩效指标基本做到细化量化。</w:t>
      </w:r>
    </w:p>
    <w:p w14:paraId="335C52F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预算配置方面：我单位年度预算与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一体化信息系统、政府采购系统等重点项目任务完成目标。</w:t>
      </w:r>
    </w:p>
    <w:p w14:paraId="48CA7CE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预算执行</w:t>
      </w:r>
      <w:r>
        <w:rPr>
          <w:rFonts w:hint="eastAsia" w:ascii="Times New Roman Regular" w:hAnsi="Times New Roman Regular" w:eastAsia="仿宋_GB2312" w:cs="Times New Roman Regular"/>
          <w:color w:val="auto"/>
          <w:sz w:val="32"/>
          <w:szCs w:val="32"/>
          <w:highlight w:val="none"/>
          <w:lang w:val="en-US" w:eastAsia="zh-CN"/>
        </w:rPr>
        <w:t>方面：严格执行批复的各项支出预算，不擅自扩大支出范围、提高开支标准，严格按照预算批复的支出用途使用资金。采取有效措施，加快预算执行进度，全年预算执行率达到100%。</w:t>
      </w:r>
    </w:p>
    <w:p w14:paraId="114D5E7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预算管理</w:t>
      </w:r>
      <w:r>
        <w:rPr>
          <w:rFonts w:hint="eastAsia" w:ascii="Times New Roman Regular" w:hAnsi="Times New Roman Regular" w:eastAsia="仿宋_GB2312" w:cs="Times New Roman Regular"/>
          <w:color w:val="auto"/>
          <w:sz w:val="32"/>
          <w:szCs w:val="32"/>
          <w:highlight w:val="none"/>
          <w:lang w:val="en-US" w:eastAsia="zh-CN"/>
        </w:rPr>
        <w:t>方面：我单位按照预算法要求进行“一上”申报，在“一下”的基础上进行修改进行“二上”申报，形成以单位领导支持、财务部门牵头、其他部门密切配合的工作格局，保证预算编制质量；部门预算经批复后，跟踪预算执行进度，及时组织收入，科学合理安排支出，降低预算支出的波动幅度；严格执行项目支出预算，积极组织项目实施；加强对预算执行过程的控制和结果的反馈，对预算执行差异及时分析成因和影响，并及时向领导和相关科室进行反馈，以采取措施纠正执行偏差，促进预算目标的全面完成。</w:t>
      </w:r>
    </w:p>
    <w:p w14:paraId="3FFEC2F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资产管理</w:t>
      </w:r>
      <w:r>
        <w:rPr>
          <w:rFonts w:hint="eastAsia" w:ascii="Times New Roman Regular" w:hAnsi="Times New Roman Regular" w:eastAsia="仿宋_GB2312" w:cs="Times New Roman Regular"/>
          <w:color w:val="auto"/>
          <w:sz w:val="32"/>
          <w:szCs w:val="32"/>
          <w:highlight w:val="none"/>
          <w:lang w:val="en-US" w:eastAsia="zh-CN"/>
        </w:rPr>
        <w:t>方面：我单位严格执行资产配置、使用、处置管理办法，做到购置有预算，实物有专人管理，处置按流程，定期盘点清理资产，掌握固定资产的使用情况，确保设备完好提高利用率。资产账务管理合规、账实相符、处置规范。</w:t>
      </w:r>
    </w:p>
    <w:p w14:paraId="309383A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职责履行</w:t>
      </w:r>
      <w:r>
        <w:rPr>
          <w:rFonts w:hint="eastAsia" w:ascii="Times New Roman Regular" w:hAnsi="Times New Roman Regular" w:eastAsia="仿宋_GB2312" w:cs="Times New Roman Regular"/>
          <w:color w:val="auto"/>
          <w:sz w:val="32"/>
          <w:szCs w:val="32"/>
          <w:highlight w:val="none"/>
          <w:lang w:val="en-US" w:eastAsia="zh-CN"/>
        </w:rPr>
        <w:t>方面：我单位2025年严格落实各项工作，按照市局下达的任务及本单位的目标任务，积极推进了各项工作平稳、有序的开展。</w:t>
      </w:r>
    </w:p>
    <w:p w14:paraId="6DD4C61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2.目标完成情况及</w:t>
      </w:r>
      <w:r>
        <w:rPr>
          <w:rFonts w:hint="default" w:ascii="Times New Roman Regular" w:hAnsi="Times New Roman Regular" w:eastAsia="仿宋_GB2312" w:cs="Times New Roman Regular"/>
          <w:color w:val="auto"/>
          <w:sz w:val="32"/>
          <w:szCs w:val="32"/>
          <w:highlight w:val="none"/>
          <w:lang w:val="en-US" w:eastAsia="zh-CN"/>
        </w:rPr>
        <w:t>指标分析</w:t>
      </w:r>
    </w:p>
    <w:p w14:paraId="7639415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我部门2025年一般公共预算资金总体目标完成较好，具体如下：</w:t>
      </w:r>
    </w:p>
    <w:p w14:paraId="665E7C0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目标1：</w:t>
      </w:r>
      <w:r>
        <w:rPr>
          <w:rFonts w:hint="default" w:ascii="Times New Roman Regular" w:hAnsi="Times New Roman Regular" w:eastAsia="仿宋_GB2312" w:cs="Times New Roman Regular"/>
          <w:color w:val="auto"/>
          <w:sz w:val="32"/>
          <w:szCs w:val="32"/>
          <w:highlight w:val="none"/>
          <w:lang w:val="en-US" w:eastAsia="zh-CN"/>
        </w:rPr>
        <w:t>成立由室主任任组长、其他领导班子成员任副组长的学习教育工作专班，制定实施工作方案，坚持高标准严要求一体推进学查改，组织召开全体党员干部警示教育会，聚焦“五个进一步到位”重要要求、“落实习近平总书记对湖南工作重要指示批示精神”“四个方面”突出问题等方面开展“地毯式”自查，领导班子共查摆问题12条（其中立行立改问题2条、纳入集中整治台账问题10条），3次进行动态更新，完善调查研究等4个方面制度机制，扎实推动问题整改到位并全部销</w:t>
      </w:r>
      <w:r>
        <w:rPr>
          <w:rFonts w:hint="default" w:ascii="Times New Roman Regular" w:hAnsi="Times New Roman Regular" w:eastAsia="仿宋_GB2312" w:cs="Times New Roman Regular"/>
          <w:color w:val="auto"/>
          <w:spacing w:val="-11"/>
          <w:sz w:val="32"/>
          <w:szCs w:val="32"/>
          <w:highlight w:val="none"/>
          <w:lang w:val="en-US" w:eastAsia="zh-CN"/>
        </w:rPr>
        <w:t>号，带动处级、科级干部分别查摆和整改个人问题23条、42条</w:t>
      </w:r>
      <w:r>
        <w:rPr>
          <w:rFonts w:hint="eastAsia" w:ascii="Times New Roman Regular" w:hAnsi="Times New Roman Regular" w:eastAsia="仿宋_GB2312" w:cs="Times New Roman Regular"/>
          <w:color w:val="auto"/>
          <w:spacing w:val="-11"/>
          <w:sz w:val="32"/>
          <w:szCs w:val="32"/>
          <w:highlight w:val="none"/>
          <w:lang w:val="en-US" w:eastAsia="zh-CN"/>
        </w:rPr>
        <w:t>；</w:t>
      </w:r>
    </w:p>
    <w:p w14:paraId="1219FBB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目标2：</w:t>
      </w:r>
      <w:r>
        <w:rPr>
          <w:rFonts w:hint="default" w:ascii="Times New Roman Regular" w:hAnsi="Times New Roman Regular" w:eastAsia="仿宋_GB2312" w:cs="Times New Roman Regular"/>
          <w:color w:val="auto"/>
          <w:sz w:val="32"/>
          <w:szCs w:val="32"/>
          <w:highlight w:val="none"/>
          <w:lang w:val="en-US" w:eastAsia="zh-CN"/>
        </w:rPr>
        <w:t>认真落实“四下基层”制度，深化“走找想促”活动，全年解决群众急难愁盼问题20个、征集建议11条，特别是在“十五五”规划《建议》起草过程中，对《建议》稿增写、改写、精简文字98处，覆盖各方面意见和建议228条，最大限度凝聚各阶层智慧和力量</w:t>
      </w:r>
      <w:r>
        <w:rPr>
          <w:rFonts w:hint="eastAsia" w:ascii="Times New Roman Regular" w:hAnsi="Times New Roman Regular" w:eastAsia="仿宋_GB2312" w:cs="Times New Roman Regular"/>
          <w:color w:val="auto"/>
          <w:sz w:val="32"/>
          <w:szCs w:val="32"/>
          <w:highlight w:val="none"/>
          <w:lang w:val="en-US" w:eastAsia="zh-CN"/>
        </w:rPr>
        <w:t>；</w:t>
      </w:r>
    </w:p>
    <w:p w14:paraId="7DDD297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目标3：</w:t>
      </w:r>
      <w:r>
        <w:rPr>
          <w:rFonts w:hint="default" w:ascii="Times New Roman Regular" w:hAnsi="Times New Roman Regular" w:eastAsia="仿宋_GB2312" w:cs="Times New Roman Regular"/>
          <w:color w:val="auto"/>
          <w:sz w:val="32"/>
          <w:szCs w:val="32"/>
          <w:highlight w:val="none"/>
          <w:lang w:val="en-US" w:eastAsia="zh-CN"/>
        </w:rPr>
        <w:t>组织召开市委深改委会议4次，谋划形成、重点把关改革方案14个、改革推进情况汇报8个，直接参与承包地 “三权分置”、柔性执法等6个重点改革方案起草。认真做好中央改革办来怀督察、市委主要领导全面深化改革专题调研等相关工作。完善“要点+台账+交办+调度+考核”全链条改革闭环推进机制，开展改革进度调度3次，召开改革任务推进会议2次，滚动实施第一批、第二批重点推进改革事项22项，统筹推进“7个聚焦”62项年度改革任务</w:t>
      </w:r>
      <w:r>
        <w:rPr>
          <w:rFonts w:hint="eastAsia" w:ascii="Times New Roman Regular" w:hAnsi="Times New Roman Regular" w:eastAsia="仿宋_GB2312" w:cs="Times New Roman Regular"/>
          <w:color w:val="auto"/>
          <w:sz w:val="32"/>
          <w:szCs w:val="32"/>
          <w:highlight w:val="none"/>
          <w:lang w:val="en-US" w:eastAsia="zh-CN"/>
        </w:rPr>
        <w:t>；</w:t>
      </w:r>
    </w:p>
    <w:p w14:paraId="40BC561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目标4：</w:t>
      </w:r>
      <w:r>
        <w:rPr>
          <w:rFonts w:hint="default" w:ascii="Times New Roman Regular" w:hAnsi="Times New Roman Regular" w:eastAsia="仿宋_GB2312" w:cs="Times New Roman Regular"/>
          <w:color w:val="auto"/>
          <w:sz w:val="32"/>
          <w:szCs w:val="32"/>
          <w:highlight w:val="none"/>
          <w:lang w:val="en-US" w:eastAsia="zh-CN"/>
        </w:rPr>
        <w:t>坚持党刊姓党根本原则，切实担负</w:t>
      </w:r>
      <w:r>
        <w:rPr>
          <w:rFonts w:hint="eastAsia" w:ascii="Times New Roman Regular" w:hAnsi="Times New Roman Regular" w:eastAsia="仿宋_GB2312" w:cs="Times New Roman Regular"/>
          <w:color w:val="auto"/>
          <w:sz w:val="32"/>
          <w:szCs w:val="32"/>
          <w:highlight w:val="none"/>
          <w:lang w:val="en-US" w:eastAsia="zh-CN"/>
        </w:rPr>
        <w:t>起</w:t>
      </w:r>
      <w:bookmarkStart w:id="0" w:name="_GoBack"/>
      <w:bookmarkEnd w:id="0"/>
      <w:r>
        <w:rPr>
          <w:rFonts w:hint="default" w:ascii="Times New Roman Regular" w:hAnsi="Times New Roman Regular" w:eastAsia="仿宋_GB2312" w:cs="Times New Roman Regular"/>
          <w:color w:val="auto"/>
          <w:sz w:val="32"/>
          <w:szCs w:val="32"/>
          <w:highlight w:val="none"/>
          <w:lang w:val="en-US" w:eastAsia="zh-CN"/>
        </w:rPr>
        <w:t>党的政策主张的传播者重要责任和使命，充分发挥党刊在理论传播、政策宣传、工作经验交流等方面的重要作用，从严把好文稿质量关，高质量编印《新怀化》12期，没有出现表述性错误、文字错误、政治错误、违反公序良俗等情况，有力提升地方党刊传播力、引导力、影响力、公信力。</w:t>
      </w:r>
    </w:p>
    <w:p w14:paraId="25C5102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（1）产出指标分析</w:t>
      </w:r>
    </w:p>
    <w:p w14:paraId="00D9D47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召开支委会12次</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党支部学习13次</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党员大会8次</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组织生活会1次，开展</w:t>
      </w:r>
      <w:r>
        <w:rPr>
          <w:rFonts w:hint="eastAsia" w:ascii="Times New Roman Regular" w:hAnsi="Times New Roman Regular" w:eastAsia="仿宋_GB2312" w:cs="Times New Roman Regular"/>
          <w:color w:val="auto"/>
          <w:sz w:val="32"/>
          <w:szCs w:val="32"/>
          <w:highlight w:val="none"/>
          <w:lang w:val="en-US" w:eastAsia="zh-CN"/>
        </w:rPr>
        <w:t>“一月一课一片一实践”</w:t>
      </w:r>
      <w:r>
        <w:rPr>
          <w:rFonts w:hint="default" w:ascii="Times New Roman Regular" w:hAnsi="Times New Roman Regular" w:eastAsia="仿宋_GB2312" w:cs="Times New Roman Regular"/>
          <w:color w:val="auto"/>
          <w:sz w:val="32"/>
          <w:szCs w:val="32"/>
          <w:highlight w:val="none"/>
          <w:lang w:val="en-US" w:eastAsia="zh-CN"/>
        </w:rPr>
        <w:t>主题党日活动12次，室主任以《以“永远在路上”的坚定执着 驰而不息推进中央八项规定精神落地生根》为主题上党课1次，其他同志上专题党课和微党课21次，进一步增强了党员队伍凝聚力、向心力、战斗力。</w:t>
      </w:r>
      <w:r>
        <w:rPr>
          <w:rFonts w:hint="eastAsia" w:ascii="Times New Roman Regular" w:hAnsi="Times New Roman Regular" w:eastAsia="仿宋_GB2312" w:cs="Times New Roman Regular"/>
          <w:color w:val="auto"/>
          <w:sz w:val="32"/>
          <w:szCs w:val="32"/>
          <w:highlight w:val="none"/>
          <w:lang w:val="en-US" w:eastAsia="zh-CN"/>
        </w:rPr>
        <w:t>完成年初目标。</w:t>
      </w:r>
    </w:p>
    <w:p w14:paraId="2E9D58D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（2）效益指标分析</w:t>
      </w:r>
    </w:p>
    <w:p w14:paraId="7654C8C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w:t>
      </w:r>
      <w:r>
        <w:rPr>
          <w:rFonts w:hint="default" w:ascii="Times New Roman Regular" w:hAnsi="Times New Roman Regular" w:eastAsia="仿宋_GB2312" w:cs="Times New Roman Regular"/>
          <w:color w:val="auto"/>
          <w:sz w:val="32"/>
          <w:szCs w:val="32"/>
          <w:highlight w:val="none"/>
          <w:lang w:val="en-US" w:eastAsia="zh-CN"/>
        </w:rPr>
        <w:t>全面落实新时代党的组织路线，坚持凭德才和实干实绩选拔任用干部，严格执行《党政领导干部选拔任用工作条例》，认真落实“三个区分开来”，进一步健全容错纠错机制，为敢于担当作为者撑腰鼓劲，引导全室党员干部树立和践行正确政绩观，不断激发干事创业的内生动力。</w:t>
      </w:r>
      <w:r>
        <w:rPr>
          <w:rFonts w:hint="eastAsia" w:ascii="Times New Roman Regular" w:hAnsi="Times New Roman Regular" w:eastAsia="仿宋_GB2312" w:cs="Times New Roman Regular"/>
          <w:color w:val="auto"/>
          <w:sz w:val="32"/>
          <w:szCs w:val="32"/>
          <w:highlight w:val="none"/>
          <w:lang w:val="en-US" w:eastAsia="zh-CN"/>
        </w:rPr>
        <w:t>完成年初目标。</w:t>
      </w:r>
    </w:p>
    <w:p w14:paraId="7C1FEFB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（3）满意度指标分析</w:t>
      </w:r>
    </w:p>
    <w:p w14:paraId="589CC70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社会公众及服务对象满意度90%以上，完成年初目标。</w:t>
      </w:r>
      <w:r>
        <w:rPr>
          <w:rFonts w:hint="eastAsia" w:ascii="仿宋_GB2312" w:eastAsia="仿宋_GB2312" w:cs="仿宋_GB2312"/>
          <w:i w:val="0"/>
          <w:iCs w:val="0"/>
          <w:caps w:val="0"/>
          <w:color w:val="000000"/>
          <w:spacing w:val="0"/>
          <w:sz w:val="32"/>
          <w:szCs w:val="32"/>
          <w:shd w:val="clear" w:fill="FFFFFF"/>
          <w:lang w:val="en-US" w:eastAsia="zh-CN"/>
        </w:rPr>
        <w:t xml:space="preserve"> </w:t>
      </w:r>
    </w:p>
    <w:p w14:paraId="4ADB74F6">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04F35DE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一是年初绩效评价指标体系不完善，绩效目标设立不够明确、细化和量化。</w:t>
      </w:r>
    </w:p>
    <w:p w14:paraId="33EC434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二是部分项目执行与预算支出指标差距较大。部分项目在预算时未能充分预料和考虑到来年的政策变化，导致实际支出与预算有差</w:t>
      </w:r>
      <w:r>
        <w:rPr>
          <w:rFonts w:hint="default" w:ascii="Times New Roman Regular" w:hAnsi="Times New Roman Regular" w:eastAsia="仿宋_GB2312" w:cs="Times New Roman Regular"/>
          <w:color w:val="auto"/>
          <w:sz w:val="32"/>
          <w:szCs w:val="32"/>
          <w:highlight w:val="none"/>
          <w:lang w:val="en-US" w:eastAsia="zh-CN"/>
        </w:rPr>
        <w:t>。</w:t>
      </w:r>
    </w:p>
    <w:p w14:paraId="67F03E94">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下一步改进措施</w:t>
      </w:r>
    </w:p>
    <w:p w14:paraId="74841B9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一是加强预算绩效管理工作。提升项目在资金支出绩效管理意识，科学合理地对财政支出进行管理。</w:t>
      </w:r>
    </w:p>
    <w:p w14:paraId="0DBCE65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二是抓好项目绩效目标申报，提高项目绩效目标申报质量，项目绩效目标做到明确、细化、量化。</w:t>
      </w:r>
    </w:p>
    <w:p w14:paraId="60BBFCD2">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绩效自评结果拟应用和公开情况</w:t>
      </w:r>
    </w:p>
    <w:p w14:paraId="1B6DE6A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通过绩效自评结果，对指标完成好的工作要在下一年度继续巩固和加强，对未完成的指标要深入剖析原因，找出症结，在以后工作中完善和改进；利用绩效自评结果，促进我</w:t>
      </w:r>
      <w:r>
        <w:rPr>
          <w:rFonts w:hint="eastAsia" w:ascii="Times New Roman Regular" w:hAnsi="Times New Roman Regular" w:eastAsia="仿宋_GB2312" w:cs="Times New Roman Regular"/>
          <w:color w:val="auto"/>
          <w:sz w:val="32"/>
          <w:szCs w:val="32"/>
          <w:highlight w:val="none"/>
          <w:lang w:val="en-US" w:eastAsia="zh-CN"/>
        </w:rPr>
        <w:t>单位</w:t>
      </w:r>
      <w:r>
        <w:rPr>
          <w:rFonts w:hint="default" w:ascii="Times New Roman Regular" w:hAnsi="Times New Roman Regular" w:eastAsia="仿宋_GB2312" w:cs="Times New Roman Regular"/>
          <w:color w:val="auto"/>
          <w:sz w:val="32"/>
          <w:szCs w:val="32"/>
          <w:highlight w:val="none"/>
          <w:lang w:val="en-US" w:eastAsia="zh-CN"/>
        </w:rPr>
        <w:t>各部</w:t>
      </w:r>
      <w:r>
        <w:rPr>
          <w:rFonts w:hint="eastAsia" w:ascii="Times New Roman Regular" w:hAnsi="Times New Roman Regular" w:eastAsia="仿宋_GB2312" w:cs="Times New Roman Regular"/>
          <w:color w:val="auto"/>
          <w:sz w:val="32"/>
          <w:szCs w:val="32"/>
          <w:highlight w:val="none"/>
          <w:lang w:val="en-US" w:eastAsia="zh-CN"/>
        </w:rPr>
        <w:t>门</w:t>
      </w:r>
      <w:r>
        <w:rPr>
          <w:rFonts w:hint="default" w:ascii="Times New Roman Regular" w:hAnsi="Times New Roman Regular" w:eastAsia="仿宋_GB2312" w:cs="Times New Roman Regular"/>
          <w:color w:val="auto"/>
          <w:sz w:val="32"/>
          <w:szCs w:val="32"/>
          <w:highlight w:val="none"/>
          <w:lang w:val="en-US" w:eastAsia="zh-CN"/>
        </w:rPr>
        <w:t>增强责任和</w:t>
      </w:r>
      <w:r>
        <w:rPr>
          <w:rFonts w:hint="eastAsia" w:ascii="Times New Roman Regular" w:hAnsi="Times New Roman Regular" w:eastAsia="仿宋_GB2312" w:cs="Times New Roman Regular"/>
          <w:color w:val="auto"/>
          <w:sz w:val="32"/>
          <w:szCs w:val="32"/>
          <w:highlight w:val="none"/>
          <w:lang w:val="en-US" w:eastAsia="zh-CN"/>
        </w:rPr>
        <w:t>社会</w:t>
      </w:r>
      <w:r>
        <w:rPr>
          <w:rFonts w:hint="default" w:ascii="Times New Roman Regular" w:hAnsi="Times New Roman Regular" w:eastAsia="仿宋_GB2312" w:cs="Times New Roman Regular"/>
          <w:color w:val="auto"/>
          <w:sz w:val="32"/>
          <w:szCs w:val="32"/>
          <w:highlight w:val="none"/>
          <w:lang w:val="en-US" w:eastAsia="zh-CN"/>
        </w:rPr>
        <w:t>观念，提高财政资金支出决策水平和管理水平。</w:t>
      </w:r>
    </w:p>
    <w:p w14:paraId="1679237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拟用于作为下一年度预算编制的参考依据，绩效自评结果按照财政要求及时公开</w:t>
      </w:r>
      <w:r>
        <w:rPr>
          <w:rFonts w:hint="eastAsia" w:ascii="Times New Roman Regular" w:hAnsi="Times New Roman Regular" w:eastAsia="仿宋_GB2312" w:cs="Times New Roman Regular"/>
          <w:color w:val="auto"/>
          <w:sz w:val="32"/>
          <w:szCs w:val="32"/>
          <w:highlight w:val="none"/>
          <w:lang w:val="en-US" w:eastAsia="zh-CN"/>
        </w:rPr>
        <w:t>。</w:t>
      </w:r>
    </w:p>
    <w:p w14:paraId="31EB2DD3">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其他需要说明的情况</w:t>
      </w:r>
    </w:p>
    <w:p w14:paraId="67B06B36">
      <w:pPr>
        <w:pStyle w:val="5"/>
        <w:numPr>
          <w:ilvl w:val="0"/>
          <w:numId w:val="0"/>
        </w:numPr>
        <w:ind w:leftChars="0" w:firstLine="640" w:firstLineChars="200"/>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无</w:t>
      </w:r>
    </w:p>
    <w:p w14:paraId="3A79D457">
      <w:pPr>
        <w:pStyle w:val="5"/>
        <w:numPr>
          <w:ilvl w:val="0"/>
          <w:numId w:val="0"/>
        </w:numPr>
        <w:rPr>
          <w:rFonts w:hint="default" w:ascii="Times New Roman Regular" w:hAnsi="Times New Roman Regular" w:eastAsia="仿宋_GB2312" w:cs="Times New Roman Regular"/>
          <w:color w:val="auto"/>
          <w:sz w:val="32"/>
          <w:szCs w:val="32"/>
          <w:highlight w:val="none"/>
          <w:lang w:val="en-US" w:eastAsia="zh-CN"/>
        </w:rPr>
      </w:pPr>
    </w:p>
    <w:p w14:paraId="209F5D75">
      <w:pPr>
        <w:pStyle w:val="5"/>
        <w:numPr>
          <w:ilvl w:val="0"/>
          <w:numId w:val="0"/>
        </w:numPr>
        <w:rPr>
          <w:rFonts w:hint="default" w:ascii="Times New Roman Regular" w:hAnsi="Times New Roman Regular" w:eastAsia="仿宋_GB2312" w:cs="Times New Roman Regular"/>
          <w:color w:val="auto"/>
          <w:sz w:val="32"/>
          <w:szCs w:val="32"/>
          <w:highlight w:val="none"/>
          <w:lang w:val="en-US" w:eastAsia="zh-CN"/>
        </w:rPr>
      </w:pPr>
    </w:p>
    <w:p w14:paraId="49D24FA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整体支出报告需要以下附件：</w:t>
      </w:r>
    </w:p>
    <w:p w14:paraId="3CA5684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14:paraId="55BD0B9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14:paraId="1E6E4A1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3.项目支出绩效自评表（每个一级项目支出一张表）</w:t>
      </w:r>
    </w:p>
    <w:p w14:paraId="2C019A6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524B9F6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78C64D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050396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41F2016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042490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66456D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129751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9937CD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7FA83A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36498C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4A85480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4C1EC7C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EFA363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7662E8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DADEC7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附件1</w:t>
      </w:r>
    </w:p>
    <w:p w14:paraId="1F4A6FCA">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38914C5D">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                                       </w:t>
      </w:r>
    </w:p>
    <w:tbl>
      <w:tblPr>
        <w:tblStyle w:val="9"/>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688B4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vMerge w:val="restart"/>
            <w:noWrap w:val="0"/>
            <w:vAlign w:val="center"/>
          </w:tcPr>
          <w:p w14:paraId="3267C31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07708FB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35630D8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31149C3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02225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63E7E386">
            <w:pPr>
              <w:widowControl/>
              <w:jc w:val="left"/>
              <w:rPr>
                <w:rFonts w:hint="eastAsia" w:ascii="仿宋" w:hAnsi="仿宋" w:eastAsia="仿宋" w:cs="仿宋"/>
                <w:b w:val="0"/>
                <w:bCs w:val="0"/>
                <w:kern w:val="0"/>
                <w:sz w:val="20"/>
                <w:szCs w:val="20"/>
              </w:rPr>
            </w:pPr>
          </w:p>
        </w:tc>
        <w:tc>
          <w:tcPr>
            <w:tcW w:w="2038" w:type="dxa"/>
            <w:gridSpan w:val="2"/>
            <w:noWrap w:val="0"/>
            <w:vAlign w:val="center"/>
          </w:tcPr>
          <w:p w14:paraId="6CE00D6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22</w:t>
            </w:r>
            <w:r>
              <w:rPr>
                <w:rFonts w:hint="eastAsia" w:ascii="仿宋" w:hAnsi="仿宋" w:eastAsia="仿宋" w:cs="仿宋"/>
                <w:b w:val="0"/>
                <w:bCs w:val="0"/>
                <w:kern w:val="0"/>
                <w:sz w:val="20"/>
                <w:szCs w:val="20"/>
              </w:rPr>
              <w:t>　</w:t>
            </w:r>
          </w:p>
        </w:tc>
        <w:tc>
          <w:tcPr>
            <w:tcW w:w="2240" w:type="dxa"/>
            <w:gridSpan w:val="2"/>
            <w:noWrap w:val="0"/>
            <w:vAlign w:val="center"/>
          </w:tcPr>
          <w:p w14:paraId="0D1E613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21</w:t>
            </w:r>
            <w:r>
              <w:rPr>
                <w:rFonts w:hint="eastAsia" w:ascii="仿宋" w:hAnsi="仿宋" w:eastAsia="仿宋" w:cs="仿宋"/>
                <w:b w:val="0"/>
                <w:bCs w:val="0"/>
                <w:kern w:val="0"/>
                <w:sz w:val="20"/>
                <w:szCs w:val="20"/>
              </w:rPr>
              <w:t>　</w:t>
            </w:r>
          </w:p>
        </w:tc>
        <w:tc>
          <w:tcPr>
            <w:tcW w:w="1832" w:type="dxa"/>
            <w:gridSpan w:val="2"/>
            <w:noWrap w:val="0"/>
            <w:vAlign w:val="center"/>
          </w:tcPr>
          <w:p w14:paraId="3FCEC00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95.45%</w:t>
            </w:r>
            <w:r>
              <w:rPr>
                <w:rFonts w:hint="eastAsia" w:ascii="仿宋" w:hAnsi="仿宋" w:eastAsia="仿宋" w:cs="仿宋"/>
                <w:b w:val="0"/>
                <w:bCs w:val="0"/>
                <w:kern w:val="0"/>
                <w:sz w:val="20"/>
                <w:szCs w:val="20"/>
              </w:rPr>
              <w:t>　</w:t>
            </w:r>
          </w:p>
        </w:tc>
      </w:tr>
      <w:tr w14:paraId="52A41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FFF6C0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7E56282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5EBD81F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0DC18D9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78E9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12ACB1C">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shd w:val="clear" w:color="auto" w:fill="auto"/>
            <w:noWrap w:val="0"/>
            <w:vAlign w:val="center"/>
          </w:tcPr>
          <w:p w14:paraId="30558168">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2.26</w:t>
            </w:r>
          </w:p>
        </w:tc>
        <w:tc>
          <w:tcPr>
            <w:tcW w:w="2240" w:type="dxa"/>
            <w:gridSpan w:val="2"/>
            <w:noWrap w:val="0"/>
            <w:vAlign w:val="center"/>
          </w:tcPr>
          <w:p w14:paraId="3507904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3.30</w:t>
            </w:r>
            <w:r>
              <w:rPr>
                <w:rFonts w:hint="eastAsia" w:ascii="仿宋" w:hAnsi="仿宋" w:eastAsia="仿宋" w:cs="仿宋"/>
                <w:b w:val="0"/>
                <w:bCs w:val="0"/>
                <w:kern w:val="0"/>
                <w:sz w:val="20"/>
                <w:szCs w:val="20"/>
              </w:rPr>
              <w:t>　</w:t>
            </w:r>
          </w:p>
        </w:tc>
        <w:tc>
          <w:tcPr>
            <w:tcW w:w="1832" w:type="dxa"/>
            <w:gridSpan w:val="2"/>
            <w:noWrap w:val="0"/>
            <w:vAlign w:val="center"/>
          </w:tcPr>
          <w:p w14:paraId="4F2D81B5">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0.89</w:t>
            </w:r>
          </w:p>
        </w:tc>
      </w:tr>
      <w:tr w14:paraId="16890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CD31F59">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2038" w:type="dxa"/>
            <w:gridSpan w:val="2"/>
            <w:shd w:val="clear" w:color="auto" w:fill="auto"/>
            <w:noWrap w:val="0"/>
            <w:vAlign w:val="center"/>
          </w:tcPr>
          <w:p w14:paraId="43405593">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1.74</w:t>
            </w:r>
            <w:r>
              <w:rPr>
                <w:rFonts w:hint="eastAsia" w:ascii="仿宋" w:hAnsi="仿宋" w:eastAsia="仿宋" w:cs="仿宋"/>
                <w:b w:val="0"/>
                <w:bCs w:val="0"/>
                <w:kern w:val="0"/>
                <w:sz w:val="20"/>
                <w:szCs w:val="20"/>
              </w:rPr>
              <w:t>　</w:t>
            </w:r>
          </w:p>
        </w:tc>
        <w:tc>
          <w:tcPr>
            <w:tcW w:w="2240" w:type="dxa"/>
            <w:gridSpan w:val="2"/>
            <w:noWrap w:val="0"/>
            <w:vAlign w:val="center"/>
          </w:tcPr>
          <w:p w14:paraId="1CC36A2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2.40</w:t>
            </w:r>
            <w:r>
              <w:rPr>
                <w:rFonts w:hint="eastAsia" w:ascii="仿宋" w:hAnsi="仿宋" w:eastAsia="仿宋" w:cs="仿宋"/>
                <w:b w:val="0"/>
                <w:bCs w:val="0"/>
                <w:kern w:val="0"/>
                <w:sz w:val="20"/>
                <w:szCs w:val="20"/>
              </w:rPr>
              <w:t>　</w:t>
            </w:r>
          </w:p>
        </w:tc>
        <w:tc>
          <w:tcPr>
            <w:tcW w:w="1832" w:type="dxa"/>
            <w:gridSpan w:val="2"/>
            <w:noWrap w:val="0"/>
            <w:vAlign w:val="center"/>
          </w:tcPr>
          <w:p w14:paraId="2F752BC1">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0.64</w:t>
            </w:r>
          </w:p>
        </w:tc>
      </w:tr>
      <w:tr w14:paraId="1B8D2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563F6C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shd w:val="clear" w:color="auto" w:fill="auto"/>
            <w:noWrap w:val="0"/>
            <w:vAlign w:val="center"/>
          </w:tcPr>
          <w:p w14:paraId="10DDB2F9">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2240" w:type="dxa"/>
            <w:gridSpan w:val="2"/>
            <w:noWrap w:val="0"/>
            <w:vAlign w:val="center"/>
          </w:tcPr>
          <w:p w14:paraId="418D533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1832" w:type="dxa"/>
            <w:gridSpan w:val="2"/>
            <w:noWrap w:val="0"/>
            <w:vAlign w:val="center"/>
          </w:tcPr>
          <w:p w14:paraId="1ED0EFE3">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0.00</w:t>
            </w:r>
          </w:p>
        </w:tc>
      </w:tr>
      <w:tr w14:paraId="28745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3BE685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shd w:val="clear" w:color="auto" w:fill="auto"/>
            <w:noWrap w:val="0"/>
            <w:vAlign w:val="center"/>
          </w:tcPr>
          <w:p w14:paraId="213E1B96">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1.74</w:t>
            </w:r>
            <w:r>
              <w:rPr>
                <w:rFonts w:hint="eastAsia" w:ascii="仿宋" w:hAnsi="仿宋" w:eastAsia="仿宋" w:cs="仿宋"/>
                <w:b w:val="0"/>
                <w:bCs w:val="0"/>
                <w:kern w:val="0"/>
                <w:sz w:val="20"/>
                <w:szCs w:val="20"/>
              </w:rPr>
              <w:t>　</w:t>
            </w:r>
          </w:p>
        </w:tc>
        <w:tc>
          <w:tcPr>
            <w:tcW w:w="2240" w:type="dxa"/>
            <w:gridSpan w:val="2"/>
            <w:noWrap w:val="0"/>
            <w:vAlign w:val="center"/>
          </w:tcPr>
          <w:p w14:paraId="3BA9669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2.40</w:t>
            </w:r>
            <w:r>
              <w:rPr>
                <w:rFonts w:hint="eastAsia" w:ascii="仿宋" w:hAnsi="仿宋" w:eastAsia="仿宋" w:cs="仿宋"/>
                <w:b w:val="0"/>
                <w:bCs w:val="0"/>
                <w:kern w:val="0"/>
                <w:sz w:val="20"/>
                <w:szCs w:val="20"/>
              </w:rPr>
              <w:t>　</w:t>
            </w:r>
          </w:p>
        </w:tc>
        <w:tc>
          <w:tcPr>
            <w:tcW w:w="1832" w:type="dxa"/>
            <w:gridSpan w:val="2"/>
            <w:noWrap w:val="0"/>
            <w:vAlign w:val="center"/>
          </w:tcPr>
          <w:p w14:paraId="75140C5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0.64</w:t>
            </w:r>
            <w:r>
              <w:rPr>
                <w:rFonts w:hint="eastAsia" w:ascii="仿宋" w:hAnsi="仿宋" w:eastAsia="仿宋" w:cs="仿宋"/>
                <w:b w:val="0"/>
                <w:bCs w:val="0"/>
                <w:kern w:val="0"/>
                <w:sz w:val="20"/>
                <w:szCs w:val="20"/>
              </w:rPr>
              <w:t>　</w:t>
            </w:r>
          </w:p>
        </w:tc>
      </w:tr>
      <w:tr w14:paraId="5152E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F2132ED">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2038" w:type="dxa"/>
            <w:gridSpan w:val="2"/>
            <w:shd w:val="clear" w:color="auto" w:fill="auto"/>
            <w:noWrap w:val="0"/>
            <w:vAlign w:val="center"/>
          </w:tcPr>
          <w:p w14:paraId="53730BF7">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2240" w:type="dxa"/>
            <w:gridSpan w:val="2"/>
            <w:noWrap w:val="0"/>
            <w:vAlign w:val="center"/>
          </w:tcPr>
          <w:p w14:paraId="42FA3140">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0.00</w:t>
            </w:r>
          </w:p>
        </w:tc>
        <w:tc>
          <w:tcPr>
            <w:tcW w:w="1832" w:type="dxa"/>
            <w:gridSpan w:val="2"/>
            <w:noWrap w:val="0"/>
            <w:vAlign w:val="center"/>
          </w:tcPr>
          <w:p w14:paraId="585ECF1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r>
      <w:tr w14:paraId="7724E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3354" w:type="dxa"/>
            <w:noWrap w:val="0"/>
            <w:vAlign w:val="center"/>
          </w:tcPr>
          <w:p w14:paraId="6DC72C85">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2038" w:type="dxa"/>
            <w:gridSpan w:val="2"/>
            <w:shd w:val="clear" w:color="auto" w:fill="auto"/>
            <w:noWrap w:val="0"/>
            <w:vAlign w:val="center"/>
          </w:tcPr>
          <w:p w14:paraId="659E8206">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0.52</w:t>
            </w:r>
            <w:r>
              <w:rPr>
                <w:rFonts w:hint="eastAsia" w:ascii="仿宋" w:hAnsi="仿宋" w:eastAsia="仿宋" w:cs="仿宋"/>
                <w:b w:val="0"/>
                <w:bCs w:val="0"/>
                <w:kern w:val="0"/>
                <w:sz w:val="20"/>
                <w:szCs w:val="20"/>
              </w:rPr>
              <w:t>　</w:t>
            </w:r>
          </w:p>
        </w:tc>
        <w:tc>
          <w:tcPr>
            <w:tcW w:w="2240" w:type="dxa"/>
            <w:gridSpan w:val="2"/>
            <w:noWrap w:val="0"/>
            <w:vAlign w:val="center"/>
          </w:tcPr>
          <w:p w14:paraId="33375AB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0.90</w:t>
            </w:r>
            <w:r>
              <w:rPr>
                <w:rFonts w:hint="eastAsia" w:ascii="仿宋" w:hAnsi="仿宋" w:eastAsia="仿宋" w:cs="仿宋"/>
                <w:b w:val="0"/>
                <w:bCs w:val="0"/>
                <w:kern w:val="0"/>
                <w:sz w:val="20"/>
                <w:szCs w:val="20"/>
              </w:rPr>
              <w:t>　</w:t>
            </w:r>
          </w:p>
        </w:tc>
        <w:tc>
          <w:tcPr>
            <w:tcW w:w="1832" w:type="dxa"/>
            <w:gridSpan w:val="2"/>
            <w:noWrap w:val="0"/>
            <w:vAlign w:val="center"/>
          </w:tcPr>
          <w:p w14:paraId="71B845CE">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0.25</w:t>
            </w:r>
          </w:p>
        </w:tc>
      </w:tr>
      <w:tr w14:paraId="404BD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BC467D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shd w:val="clear" w:color="auto" w:fill="auto"/>
            <w:noWrap w:val="0"/>
            <w:vAlign w:val="center"/>
          </w:tcPr>
          <w:p w14:paraId="2C8DC76E">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116.96</w:t>
            </w:r>
            <w:r>
              <w:rPr>
                <w:rFonts w:hint="eastAsia" w:ascii="仿宋" w:hAnsi="仿宋" w:eastAsia="仿宋" w:cs="仿宋"/>
                <w:b w:val="0"/>
                <w:bCs w:val="0"/>
                <w:kern w:val="0"/>
                <w:sz w:val="20"/>
                <w:szCs w:val="20"/>
              </w:rPr>
              <w:t>　</w:t>
            </w:r>
          </w:p>
        </w:tc>
        <w:tc>
          <w:tcPr>
            <w:tcW w:w="2240" w:type="dxa"/>
            <w:gridSpan w:val="2"/>
            <w:noWrap w:val="0"/>
            <w:vAlign w:val="center"/>
          </w:tcPr>
          <w:p w14:paraId="0A6A002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110</w:t>
            </w:r>
            <w:r>
              <w:rPr>
                <w:rFonts w:hint="eastAsia" w:ascii="仿宋" w:hAnsi="仿宋" w:eastAsia="仿宋" w:cs="仿宋"/>
                <w:b w:val="0"/>
                <w:bCs w:val="0"/>
                <w:kern w:val="0"/>
                <w:sz w:val="20"/>
                <w:szCs w:val="20"/>
              </w:rPr>
              <w:t>　</w:t>
            </w:r>
          </w:p>
        </w:tc>
        <w:tc>
          <w:tcPr>
            <w:tcW w:w="1832" w:type="dxa"/>
            <w:gridSpan w:val="2"/>
            <w:noWrap w:val="0"/>
            <w:vAlign w:val="center"/>
          </w:tcPr>
          <w:p w14:paraId="46DD187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90.79</w:t>
            </w:r>
            <w:r>
              <w:rPr>
                <w:rFonts w:hint="eastAsia" w:ascii="仿宋" w:hAnsi="仿宋" w:eastAsia="仿宋" w:cs="仿宋"/>
                <w:b w:val="0"/>
                <w:bCs w:val="0"/>
                <w:kern w:val="0"/>
                <w:sz w:val="20"/>
                <w:szCs w:val="20"/>
              </w:rPr>
              <w:t>　</w:t>
            </w:r>
          </w:p>
        </w:tc>
      </w:tr>
      <w:tr w14:paraId="2A78E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AB8EC99">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2038" w:type="dxa"/>
            <w:gridSpan w:val="2"/>
            <w:shd w:val="clear" w:color="auto" w:fill="auto"/>
            <w:noWrap w:val="0"/>
            <w:vAlign w:val="center"/>
          </w:tcPr>
          <w:p w14:paraId="58A3760B">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　</w:t>
            </w:r>
          </w:p>
        </w:tc>
        <w:tc>
          <w:tcPr>
            <w:tcW w:w="2240" w:type="dxa"/>
            <w:gridSpan w:val="2"/>
            <w:noWrap w:val="0"/>
            <w:vAlign w:val="center"/>
          </w:tcPr>
          <w:p w14:paraId="364FBD7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684C68F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2AB0E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F59D5CF">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2038" w:type="dxa"/>
            <w:gridSpan w:val="2"/>
            <w:shd w:val="clear" w:color="auto" w:fill="auto"/>
            <w:noWrap w:val="0"/>
            <w:vAlign w:val="center"/>
          </w:tcPr>
          <w:p w14:paraId="2E14CE26">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116.96</w:t>
            </w:r>
            <w:r>
              <w:rPr>
                <w:rFonts w:hint="eastAsia" w:ascii="仿宋" w:hAnsi="仿宋" w:eastAsia="仿宋" w:cs="仿宋"/>
                <w:b w:val="0"/>
                <w:bCs w:val="0"/>
                <w:kern w:val="0"/>
                <w:sz w:val="20"/>
                <w:szCs w:val="20"/>
              </w:rPr>
              <w:t>　</w:t>
            </w:r>
          </w:p>
        </w:tc>
        <w:tc>
          <w:tcPr>
            <w:tcW w:w="2240" w:type="dxa"/>
            <w:gridSpan w:val="2"/>
            <w:noWrap w:val="0"/>
            <w:vAlign w:val="center"/>
          </w:tcPr>
          <w:p w14:paraId="2942CFC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110</w:t>
            </w:r>
            <w:r>
              <w:rPr>
                <w:rFonts w:hint="eastAsia" w:ascii="仿宋" w:hAnsi="仿宋" w:eastAsia="仿宋" w:cs="仿宋"/>
                <w:b w:val="0"/>
                <w:bCs w:val="0"/>
                <w:kern w:val="0"/>
                <w:sz w:val="20"/>
                <w:szCs w:val="20"/>
              </w:rPr>
              <w:t>　</w:t>
            </w:r>
          </w:p>
        </w:tc>
        <w:tc>
          <w:tcPr>
            <w:tcW w:w="1832" w:type="dxa"/>
            <w:gridSpan w:val="2"/>
            <w:noWrap w:val="0"/>
            <w:vAlign w:val="center"/>
          </w:tcPr>
          <w:p w14:paraId="08BA8C9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90.79</w:t>
            </w:r>
            <w:r>
              <w:rPr>
                <w:rFonts w:hint="eastAsia" w:ascii="仿宋" w:hAnsi="仿宋" w:eastAsia="仿宋" w:cs="仿宋"/>
                <w:b w:val="0"/>
                <w:bCs w:val="0"/>
                <w:kern w:val="0"/>
                <w:sz w:val="20"/>
                <w:szCs w:val="20"/>
              </w:rPr>
              <w:t>　</w:t>
            </w:r>
          </w:p>
        </w:tc>
      </w:tr>
      <w:tr w14:paraId="5FBD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73D44DA0">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w:t>
            </w:r>
            <w:r>
              <w:rPr>
                <w:rFonts w:hint="eastAsia" w:ascii="仿宋" w:hAnsi="仿宋" w:eastAsia="仿宋" w:cs="仿宋"/>
                <w:b w:val="0"/>
                <w:bCs w:val="0"/>
                <w:kern w:val="0"/>
                <w:sz w:val="20"/>
                <w:szCs w:val="20"/>
                <w:lang w:eastAsia="zh-CN"/>
              </w:rPr>
              <w:t>本级</w:t>
            </w:r>
            <w:r>
              <w:rPr>
                <w:rFonts w:hint="eastAsia" w:ascii="仿宋" w:hAnsi="仿宋" w:eastAsia="仿宋" w:cs="仿宋"/>
                <w:b w:val="0"/>
                <w:bCs w:val="0"/>
                <w:kern w:val="0"/>
                <w:sz w:val="20"/>
                <w:szCs w:val="20"/>
              </w:rPr>
              <w:t>专项资金</w:t>
            </w:r>
          </w:p>
          <w:p w14:paraId="1D795843">
            <w:pPr>
              <w:widowControl/>
              <w:ind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（一个专项一行）</w:t>
            </w:r>
          </w:p>
        </w:tc>
        <w:tc>
          <w:tcPr>
            <w:tcW w:w="2038" w:type="dxa"/>
            <w:gridSpan w:val="2"/>
            <w:shd w:val="clear" w:color="auto" w:fill="auto"/>
            <w:noWrap w:val="0"/>
            <w:vAlign w:val="center"/>
          </w:tcPr>
          <w:p w14:paraId="47CAAB3C">
            <w:pPr>
              <w:widowControl/>
              <w:jc w:val="center"/>
              <w:rPr>
                <w:rFonts w:hint="eastAsia" w:ascii="仿宋" w:hAnsi="仿宋" w:eastAsia="仿宋" w:cs="仿宋"/>
                <w:b w:val="0"/>
                <w:bCs w:val="0"/>
                <w:kern w:val="0"/>
                <w:sz w:val="20"/>
                <w:szCs w:val="20"/>
                <w:lang w:val="en-US" w:eastAsia="zh-CN" w:bidi="ar-SA"/>
              </w:rPr>
            </w:pPr>
          </w:p>
        </w:tc>
        <w:tc>
          <w:tcPr>
            <w:tcW w:w="2240" w:type="dxa"/>
            <w:gridSpan w:val="2"/>
            <w:noWrap w:val="0"/>
            <w:vAlign w:val="center"/>
          </w:tcPr>
          <w:p w14:paraId="73E413C5">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3A045CC5">
            <w:pPr>
              <w:widowControl/>
              <w:jc w:val="center"/>
              <w:rPr>
                <w:rFonts w:hint="eastAsia" w:ascii="仿宋" w:hAnsi="仿宋" w:eastAsia="仿宋" w:cs="仿宋"/>
                <w:b w:val="0"/>
                <w:bCs w:val="0"/>
                <w:kern w:val="0"/>
                <w:sz w:val="20"/>
                <w:szCs w:val="20"/>
              </w:rPr>
            </w:pPr>
          </w:p>
        </w:tc>
      </w:tr>
      <w:tr w14:paraId="6ACE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4F43378">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shd w:val="clear" w:color="auto" w:fill="auto"/>
            <w:noWrap w:val="0"/>
            <w:vAlign w:val="center"/>
          </w:tcPr>
          <w:p w14:paraId="5F3FEFB2">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　</w:t>
            </w:r>
          </w:p>
        </w:tc>
        <w:tc>
          <w:tcPr>
            <w:tcW w:w="2240" w:type="dxa"/>
            <w:gridSpan w:val="2"/>
            <w:noWrap w:val="0"/>
            <w:vAlign w:val="center"/>
          </w:tcPr>
          <w:p w14:paraId="04E9375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4A65682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4BBEC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0E1CA48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038" w:type="dxa"/>
            <w:gridSpan w:val="2"/>
            <w:shd w:val="clear" w:color="auto" w:fill="auto"/>
            <w:noWrap w:val="0"/>
            <w:vAlign w:val="center"/>
          </w:tcPr>
          <w:p w14:paraId="63DF92EF">
            <w:pPr>
              <w:widowControl/>
              <w:jc w:val="center"/>
              <w:rPr>
                <w:rFonts w:hint="eastAsia" w:ascii="仿宋" w:hAnsi="仿宋" w:eastAsia="仿宋" w:cs="仿宋"/>
                <w:b w:val="0"/>
                <w:bCs w:val="0"/>
                <w:kern w:val="0"/>
                <w:sz w:val="20"/>
                <w:szCs w:val="20"/>
                <w:lang w:val="en-US" w:eastAsia="zh-CN" w:bidi="ar-SA"/>
              </w:rPr>
            </w:pPr>
          </w:p>
        </w:tc>
        <w:tc>
          <w:tcPr>
            <w:tcW w:w="2240" w:type="dxa"/>
            <w:gridSpan w:val="2"/>
            <w:noWrap w:val="0"/>
            <w:vAlign w:val="center"/>
          </w:tcPr>
          <w:p w14:paraId="246E4D5F">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08AA0FD9">
            <w:pPr>
              <w:widowControl/>
              <w:jc w:val="center"/>
              <w:rPr>
                <w:rFonts w:hint="eastAsia" w:ascii="仿宋" w:hAnsi="仿宋" w:eastAsia="仿宋" w:cs="仿宋"/>
                <w:b w:val="0"/>
                <w:bCs w:val="0"/>
                <w:kern w:val="0"/>
                <w:sz w:val="20"/>
                <w:szCs w:val="20"/>
              </w:rPr>
            </w:pPr>
          </w:p>
        </w:tc>
      </w:tr>
      <w:tr w14:paraId="71622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D15A16B">
            <w:pPr>
              <w:widowControl/>
              <w:jc w:val="left"/>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shd w:val="clear" w:color="auto" w:fill="auto"/>
            <w:noWrap w:val="0"/>
            <w:vAlign w:val="center"/>
          </w:tcPr>
          <w:p w14:paraId="0555504E">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47.21</w:t>
            </w:r>
            <w:r>
              <w:rPr>
                <w:rFonts w:hint="eastAsia" w:ascii="仿宋" w:hAnsi="仿宋" w:eastAsia="仿宋" w:cs="仿宋"/>
                <w:b w:val="0"/>
                <w:bCs w:val="0"/>
                <w:kern w:val="0"/>
                <w:sz w:val="20"/>
                <w:szCs w:val="20"/>
              </w:rPr>
              <w:t>　</w:t>
            </w:r>
          </w:p>
        </w:tc>
        <w:tc>
          <w:tcPr>
            <w:tcW w:w="2240" w:type="dxa"/>
            <w:gridSpan w:val="2"/>
            <w:noWrap w:val="0"/>
            <w:vAlign w:val="center"/>
          </w:tcPr>
          <w:p w14:paraId="4A9203F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82.68</w:t>
            </w:r>
            <w:r>
              <w:rPr>
                <w:rFonts w:hint="eastAsia" w:ascii="仿宋" w:hAnsi="仿宋" w:eastAsia="仿宋" w:cs="仿宋"/>
                <w:b w:val="0"/>
                <w:bCs w:val="0"/>
                <w:kern w:val="0"/>
                <w:sz w:val="20"/>
                <w:szCs w:val="20"/>
              </w:rPr>
              <w:t>　</w:t>
            </w:r>
          </w:p>
        </w:tc>
        <w:tc>
          <w:tcPr>
            <w:tcW w:w="1832" w:type="dxa"/>
            <w:gridSpan w:val="2"/>
            <w:noWrap w:val="0"/>
            <w:vAlign w:val="center"/>
          </w:tcPr>
          <w:p w14:paraId="419ECC0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58.56</w:t>
            </w:r>
            <w:r>
              <w:rPr>
                <w:rFonts w:hint="eastAsia" w:ascii="仿宋" w:hAnsi="仿宋" w:eastAsia="仿宋" w:cs="仿宋"/>
                <w:b w:val="0"/>
                <w:bCs w:val="0"/>
                <w:kern w:val="0"/>
                <w:sz w:val="20"/>
                <w:szCs w:val="20"/>
              </w:rPr>
              <w:t>　</w:t>
            </w:r>
          </w:p>
        </w:tc>
      </w:tr>
      <w:tr w14:paraId="550AE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4BE69E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shd w:val="clear" w:color="auto" w:fill="auto"/>
            <w:noWrap w:val="0"/>
            <w:vAlign w:val="center"/>
          </w:tcPr>
          <w:p w14:paraId="61E8FD0A">
            <w:pPr>
              <w:widowControl/>
              <w:jc w:val="center"/>
              <w:rPr>
                <w:rFonts w:hint="eastAsia" w:ascii="仿宋" w:hAnsi="仿宋" w:eastAsia="仿宋" w:cs="仿宋"/>
                <w:b w:val="0"/>
                <w:bCs w:val="0"/>
                <w:color w:val="000000" w:themeColor="text1"/>
                <w:kern w:val="0"/>
                <w:sz w:val="20"/>
                <w:szCs w:val="20"/>
                <w:lang w:val="en-US" w:eastAsia="zh-CN" w:bidi="ar-SA"/>
                <w14:textFill>
                  <w14:solidFill>
                    <w14:schemeClr w14:val="tx1"/>
                  </w14:solidFill>
                </w14:textFill>
              </w:rPr>
            </w:pPr>
            <w:r>
              <w:rPr>
                <w:rFonts w:hint="eastAsia" w:ascii="仿宋" w:hAnsi="仿宋" w:eastAsia="仿宋" w:cs="仿宋"/>
                <w:b w:val="0"/>
                <w:bCs w:val="0"/>
                <w:color w:val="auto"/>
                <w:kern w:val="0"/>
                <w:sz w:val="20"/>
                <w:szCs w:val="20"/>
                <w:lang w:val="en-US" w:eastAsia="zh-CN"/>
              </w:rPr>
              <w:t>0.13</w:t>
            </w:r>
            <w:r>
              <w:rPr>
                <w:rFonts w:hint="eastAsia" w:ascii="仿宋" w:hAnsi="仿宋" w:eastAsia="仿宋" w:cs="仿宋"/>
                <w:b w:val="0"/>
                <w:bCs w:val="0"/>
                <w:color w:val="auto"/>
                <w:kern w:val="0"/>
                <w:sz w:val="20"/>
                <w:szCs w:val="20"/>
              </w:rPr>
              <w:t>　</w:t>
            </w:r>
          </w:p>
        </w:tc>
        <w:tc>
          <w:tcPr>
            <w:tcW w:w="2240" w:type="dxa"/>
            <w:gridSpan w:val="2"/>
            <w:noWrap w:val="0"/>
            <w:vAlign w:val="center"/>
          </w:tcPr>
          <w:p w14:paraId="7C308351">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3.70</w:t>
            </w:r>
            <w:r>
              <w:rPr>
                <w:rFonts w:hint="eastAsia" w:ascii="仿宋" w:hAnsi="仿宋" w:eastAsia="仿宋" w:cs="仿宋"/>
                <w:b w:val="0"/>
                <w:bCs w:val="0"/>
                <w:color w:val="auto"/>
                <w:kern w:val="0"/>
                <w:sz w:val="20"/>
                <w:szCs w:val="20"/>
              </w:rPr>
              <w:t>　</w:t>
            </w:r>
          </w:p>
        </w:tc>
        <w:tc>
          <w:tcPr>
            <w:tcW w:w="1832" w:type="dxa"/>
            <w:gridSpan w:val="2"/>
            <w:noWrap w:val="0"/>
            <w:vAlign w:val="center"/>
          </w:tcPr>
          <w:p w14:paraId="42CB699D">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2.50</w:t>
            </w:r>
            <w:r>
              <w:rPr>
                <w:rFonts w:hint="eastAsia" w:ascii="仿宋" w:hAnsi="仿宋" w:eastAsia="仿宋" w:cs="仿宋"/>
                <w:b w:val="0"/>
                <w:bCs w:val="0"/>
                <w:color w:val="auto"/>
                <w:kern w:val="0"/>
                <w:sz w:val="20"/>
                <w:szCs w:val="20"/>
              </w:rPr>
              <w:t>　</w:t>
            </w:r>
          </w:p>
        </w:tc>
      </w:tr>
      <w:tr w14:paraId="579D4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noWrap w:val="0"/>
            <w:vAlign w:val="center"/>
          </w:tcPr>
          <w:p w14:paraId="7E7C94B0">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shd w:val="clear" w:color="auto" w:fill="auto"/>
            <w:noWrap w:val="0"/>
            <w:vAlign w:val="center"/>
          </w:tcPr>
          <w:p w14:paraId="088B72D4">
            <w:pPr>
              <w:widowControl/>
              <w:jc w:val="center"/>
              <w:rPr>
                <w:rFonts w:hint="eastAsia" w:ascii="仿宋" w:hAnsi="仿宋" w:eastAsia="仿宋" w:cs="仿宋"/>
                <w:b w:val="0"/>
                <w:bCs w:val="0"/>
                <w:color w:val="000000" w:themeColor="text1"/>
                <w:kern w:val="0"/>
                <w:sz w:val="20"/>
                <w:szCs w:val="20"/>
                <w:lang w:val="en-US" w:eastAsia="zh-CN" w:bidi="ar-SA"/>
                <w14:textFill>
                  <w14:solidFill>
                    <w14:schemeClr w14:val="tx1"/>
                  </w14:solidFill>
                </w14:textFill>
              </w:rPr>
            </w:pPr>
            <w:r>
              <w:rPr>
                <w:rFonts w:hint="eastAsia" w:ascii="仿宋" w:hAnsi="仿宋" w:eastAsia="仿宋" w:cs="仿宋"/>
                <w:b w:val="0"/>
                <w:bCs w:val="0"/>
                <w:color w:val="auto"/>
                <w:kern w:val="0"/>
                <w:sz w:val="20"/>
                <w:szCs w:val="20"/>
                <w:lang w:val="en-US" w:eastAsia="zh-CN"/>
              </w:rPr>
              <w:t>8.79</w:t>
            </w:r>
            <w:r>
              <w:rPr>
                <w:rFonts w:hint="eastAsia" w:ascii="仿宋" w:hAnsi="仿宋" w:eastAsia="仿宋" w:cs="仿宋"/>
                <w:b w:val="0"/>
                <w:bCs w:val="0"/>
                <w:color w:val="auto"/>
                <w:kern w:val="0"/>
                <w:sz w:val="20"/>
                <w:szCs w:val="20"/>
              </w:rPr>
              <w:t>　</w:t>
            </w:r>
          </w:p>
        </w:tc>
        <w:tc>
          <w:tcPr>
            <w:tcW w:w="2240" w:type="dxa"/>
            <w:gridSpan w:val="2"/>
            <w:noWrap w:val="0"/>
            <w:vAlign w:val="center"/>
          </w:tcPr>
          <w:p w14:paraId="7E6DD405">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0.00</w:t>
            </w:r>
            <w:r>
              <w:rPr>
                <w:rFonts w:hint="eastAsia" w:ascii="仿宋" w:hAnsi="仿宋" w:eastAsia="仿宋" w:cs="仿宋"/>
                <w:b w:val="0"/>
                <w:bCs w:val="0"/>
                <w:color w:val="auto"/>
                <w:kern w:val="0"/>
                <w:sz w:val="20"/>
                <w:szCs w:val="20"/>
              </w:rPr>
              <w:t>　</w:t>
            </w:r>
          </w:p>
        </w:tc>
        <w:tc>
          <w:tcPr>
            <w:tcW w:w="1832" w:type="dxa"/>
            <w:gridSpan w:val="2"/>
            <w:noWrap w:val="0"/>
            <w:vAlign w:val="center"/>
          </w:tcPr>
          <w:p w14:paraId="2716588E">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3.66</w:t>
            </w:r>
            <w:r>
              <w:rPr>
                <w:rFonts w:hint="eastAsia" w:ascii="仿宋" w:hAnsi="仿宋" w:eastAsia="仿宋" w:cs="仿宋"/>
                <w:b w:val="0"/>
                <w:bCs w:val="0"/>
                <w:color w:val="auto"/>
                <w:kern w:val="0"/>
                <w:sz w:val="20"/>
                <w:szCs w:val="20"/>
              </w:rPr>
              <w:t>　</w:t>
            </w:r>
          </w:p>
        </w:tc>
      </w:tr>
      <w:tr w14:paraId="24622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1EEA4B7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shd w:val="clear" w:color="auto" w:fill="auto"/>
            <w:noWrap w:val="0"/>
            <w:vAlign w:val="center"/>
          </w:tcPr>
          <w:p w14:paraId="3AD853C8">
            <w:pPr>
              <w:widowControl/>
              <w:jc w:val="center"/>
              <w:rPr>
                <w:rFonts w:hint="eastAsia" w:ascii="仿宋" w:hAnsi="仿宋" w:eastAsia="仿宋" w:cs="仿宋"/>
                <w:b w:val="0"/>
                <w:bCs w:val="0"/>
                <w:color w:val="000000" w:themeColor="text1"/>
                <w:kern w:val="0"/>
                <w:sz w:val="20"/>
                <w:szCs w:val="20"/>
                <w:lang w:val="en-US" w:eastAsia="zh-CN" w:bidi="ar-SA"/>
                <w14:textFill>
                  <w14:solidFill>
                    <w14:schemeClr w14:val="tx1"/>
                  </w14:solidFill>
                </w14:textFill>
              </w:rPr>
            </w:pPr>
            <w:r>
              <w:rPr>
                <w:rFonts w:hint="eastAsia" w:ascii="仿宋" w:hAnsi="仿宋" w:eastAsia="仿宋" w:cs="仿宋"/>
                <w:b w:val="0"/>
                <w:bCs w:val="0"/>
                <w:color w:val="auto"/>
                <w:kern w:val="0"/>
                <w:sz w:val="20"/>
                <w:szCs w:val="20"/>
                <w:lang w:val="en-US" w:eastAsia="zh-CN"/>
              </w:rPr>
              <w:t>0.00</w:t>
            </w:r>
            <w:r>
              <w:rPr>
                <w:rFonts w:hint="eastAsia" w:ascii="仿宋" w:hAnsi="仿宋" w:eastAsia="仿宋" w:cs="仿宋"/>
                <w:b w:val="0"/>
                <w:bCs w:val="0"/>
                <w:color w:val="auto"/>
                <w:kern w:val="0"/>
                <w:sz w:val="20"/>
                <w:szCs w:val="20"/>
              </w:rPr>
              <w:t>　</w:t>
            </w:r>
          </w:p>
        </w:tc>
        <w:tc>
          <w:tcPr>
            <w:tcW w:w="2240" w:type="dxa"/>
            <w:gridSpan w:val="2"/>
            <w:noWrap w:val="0"/>
            <w:vAlign w:val="center"/>
          </w:tcPr>
          <w:p w14:paraId="521707B4">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0.00</w:t>
            </w:r>
            <w:r>
              <w:rPr>
                <w:rFonts w:hint="eastAsia" w:ascii="仿宋" w:hAnsi="仿宋" w:eastAsia="仿宋" w:cs="仿宋"/>
                <w:b w:val="0"/>
                <w:bCs w:val="0"/>
                <w:color w:val="auto"/>
                <w:kern w:val="0"/>
                <w:sz w:val="20"/>
                <w:szCs w:val="20"/>
              </w:rPr>
              <w:t>　</w:t>
            </w:r>
          </w:p>
        </w:tc>
        <w:tc>
          <w:tcPr>
            <w:tcW w:w="1832" w:type="dxa"/>
            <w:gridSpan w:val="2"/>
            <w:noWrap w:val="0"/>
            <w:vAlign w:val="center"/>
          </w:tcPr>
          <w:p w14:paraId="3C589C18">
            <w:pPr>
              <w:widowControl/>
              <w:jc w:val="center"/>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0.00</w:t>
            </w:r>
          </w:p>
        </w:tc>
      </w:tr>
      <w:tr w14:paraId="26679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B0386B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6CC3736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27CE6AF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56.84</w:t>
            </w:r>
            <w:r>
              <w:rPr>
                <w:rFonts w:hint="eastAsia" w:ascii="仿宋" w:hAnsi="仿宋" w:eastAsia="仿宋" w:cs="仿宋"/>
                <w:b w:val="0"/>
                <w:bCs w:val="0"/>
                <w:kern w:val="0"/>
                <w:sz w:val="20"/>
                <w:szCs w:val="20"/>
              </w:rPr>
              <w:t>　</w:t>
            </w:r>
          </w:p>
        </w:tc>
        <w:tc>
          <w:tcPr>
            <w:tcW w:w="1832" w:type="dxa"/>
            <w:gridSpan w:val="2"/>
            <w:noWrap w:val="0"/>
            <w:vAlign w:val="center"/>
          </w:tcPr>
          <w:p w14:paraId="32C21EC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56.84</w:t>
            </w:r>
            <w:r>
              <w:rPr>
                <w:rFonts w:hint="eastAsia" w:ascii="仿宋" w:hAnsi="仿宋" w:eastAsia="仿宋" w:cs="仿宋"/>
                <w:b w:val="0"/>
                <w:bCs w:val="0"/>
                <w:kern w:val="0"/>
                <w:sz w:val="20"/>
                <w:szCs w:val="20"/>
              </w:rPr>
              <w:t>　</w:t>
            </w:r>
          </w:p>
        </w:tc>
      </w:tr>
      <w:tr w14:paraId="2CC36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noWrap w:val="0"/>
            <w:vAlign w:val="center"/>
          </w:tcPr>
          <w:p w14:paraId="6B662250">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73B86E9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3ED85D3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363.96</w:t>
            </w:r>
            <w:r>
              <w:rPr>
                <w:rFonts w:hint="eastAsia" w:ascii="仿宋" w:hAnsi="仿宋" w:eastAsia="仿宋" w:cs="仿宋"/>
                <w:b w:val="0"/>
                <w:bCs w:val="0"/>
                <w:kern w:val="0"/>
                <w:sz w:val="20"/>
                <w:szCs w:val="20"/>
              </w:rPr>
              <w:t>　</w:t>
            </w:r>
          </w:p>
        </w:tc>
        <w:tc>
          <w:tcPr>
            <w:tcW w:w="1832" w:type="dxa"/>
            <w:gridSpan w:val="2"/>
            <w:noWrap w:val="0"/>
            <w:vAlign w:val="center"/>
          </w:tcPr>
          <w:p w14:paraId="616829F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404.44</w:t>
            </w:r>
            <w:r>
              <w:rPr>
                <w:rFonts w:hint="eastAsia" w:ascii="仿宋" w:hAnsi="仿宋" w:eastAsia="仿宋" w:cs="仿宋"/>
                <w:b w:val="0"/>
                <w:bCs w:val="0"/>
                <w:kern w:val="0"/>
                <w:sz w:val="20"/>
                <w:szCs w:val="20"/>
              </w:rPr>
              <w:t>　</w:t>
            </w:r>
          </w:p>
        </w:tc>
      </w:tr>
      <w:tr w14:paraId="1FAF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3CF5FF29">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2024年完工情况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38BCB30C">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118064FD">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04E021B9">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4808B89E">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5970BE0A">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58460F17">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4E79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4" w:hRule="atLeast"/>
          <w:jc w:val="center"/>
        </w:trPr>
        <w:tc>
          <w:tcPr>
            <w:tcW w:w="3354" w:type="dxa"/>
            <w:vMerge w:val="continue"/>
            <w:noWrap w:val="0"/>
            <w:vAlign w:val="center"/>
          </w:tcPr>
          <w:p w14:paraId="47580163">
            <w:pPr>
              <w:widowControl/>
              <w:jc w:val="left"/>
              <w:rPr>
                <w:rFonts w:hint="eastAsia" w:ascii="仿宋" w:hAnsi="仿宋" w:eastAsia="仿宋" w:cs="仿宋"/>
                <w:b w:val="0"/>
                <w:bCs w:val="0"/>
                <w:kern w:val="0"/>
                <w:sz w:val="20"/>
                <w:szCs w:val="20"/>
              </w:rPr>
            </w:pPr>
          </w:p>
        </w:tc>
        <w:tc>
          <w:tcPr>
            <w:tcW w:w="1189" w:type="dxa"/>
            <w:noWrap w:val="0"/>
            <w:vAlign w:val="center"/>
          </w:tcPr>
          <w:p w14:paraId="05ED71B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849" w:type="dxa"/>
            <w:noWrap w:val="0"/>
            <w:vAlign w:val="center"/>
          </w:tcPr>
          <w:p w14:paraId="13527CD1">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129" w:type="dxa"/>
            <w:noWrap w:val="0"/>
            <w:vAlign w:val="center"/>
          </w:tcPr>
          <w:p w14:paraId="2338DFD9">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111" w:type="dxa"/>
            <w:noWrap w:val="0"/>
            <w:vAlign w:val="center"/>
          </w:tcPr>
          <w:p w14:paraId="267B69A3">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969" w:type="dxa"/>
            <w:noWrap w:val="0"/>
            <w:vAlign w:val="center"/>
          </w:tcPr>
          <w:p w14:paraId="3D931598">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863" w:type="dxa"/>
            <w:noWrap w:val="0"/>
            <w:vAlign w:val="center"/>
          </w:tcPr>
          <w:p w14:paraId="2938B314">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r>
      <w:tr w14:paraId="0122A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345B360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5A8D77BD">
            <w:pPr>
              <w:widowControl/>
              <w:jc w:val="center"/>
              <w:rPr>
                <w:rFonts w:hint="eastAsia" w:ascii="仿宋" w:hAnsi="仿宋" w:eastAsia="仿宋" w:cs="仿宋"/>
                <w:b w:val="0"/>
                <w:bCs w:val="0"/>
                <w:kern w:val="0"/>
                <w:sz w:val="20"/>
                <w:szCs w:val="20"/>
              </w:rPr>
            </w:pPr>
            <w:r>
              <w:rPr>
                <w:rFonts w:hint="eastAsia" w:ascii="Times New Roman" w:hAnsi="Times New Roman" w:eastAsia="仿宋_GB2312" w:cs="Times New Roman"/>
                <w:sz w:val="20"/>
                <w:szCs w:val="20"/>
                <w:lang w:val="en-US" w:eastAsia="zh-CN"/>
              </w:rPr>
              <w:t>按照相关要求，压减经费开支</w:t>
            </w:r>
            <w:r>
              <w:rPr>
                <w:rFonts w:hint="eastAsia" w:ascii="仿宋" w:hAnsi="仿宋" w:eastAsia="仿宋" w:cs="仿宋"/>
                <w:b w:val="0"/>
                <w:bCs w:val="0"/>
                <w:kern w:val="0"/>
                <w:sz w:val="20"/>
                <w:szCs w:val="20"/>
              </w:rPr>
              <w:t>　</w:t>
            </w:r>
          </w:p>
        </w:tc>
      </w:tr>
    </w:tbl>
    <w:p w14:paraId="3A3DFA06">
      <w:pPr>
        <w:pStyle w:val="12"/>
        <w:keepNext/>
        <w:keepLines/>
        <w:pageBreakBefore w:val="0"/>
        <w:widowControl w:val="0"/>
        <w:kinsoku/>
        <w:wordWrap/>
        <w:overflowPunct/>
        <w:topLinePunct w:val="0"/>
        <w:autoSpaceDE/>
        <w:autoSpaceDN/>
        <w:bidi w:val="0"/>
        <w:adjustRightInd/>
        <w:snapToGrid/>
        <w:spacing w:line="28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6466691E">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赵莹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2026.6.16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13974516181 </w:t>
      </w:r>
    </w:p>
    <w:p w14:paraId="01562AF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t>附件2</w:t>
      </w:r>
    </w:p>
    <w:p w14:paraId="663F77D1">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9"/>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9"/>
        <w:gridCol w:w="1108"/>
        <w:gridCol w:w="1064"/>
        <w:gridCol w:w="982"/>
        <w:gridCol w:w="90"/>
        <w:gridCol w:w="1162"/>
        <w:gridCol w:w="1106"/>
        <w:gridCol w:w="692"/>
        <w:gridCol w:w="816"/>
        <w:gridCol w:w="1123"/>
      </w:tblGrid>
      <w:tr w14:paraId="1035B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9" w:type="dxa"/>
            <w:noWrap w:val="0"/>
            <w:vAlign w:val="center"/>
          </w:tcPr>
          <w:p w14:paraId="1EF467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143" w:type="dxa"/>
            <w:gridSpan w:val="9"/>
            <w:noWrap w:val="0"/>
            <w:vAlign w:val="center"/>
          </w:tcPr>
          <w:p w14:paraId="3571EA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rPr>
              <w:t>中共怀化市委政策研究室</w:t>
            </w:r>
            <w:r>
              <w:rPr>
                <w:rFonts w:hint="eastAsia" w:ascii="仿宋" w:hAnsi="仿宋" w:eastAsia="仿宋" w:cs="仿宋"/>
                <w:color w:val="000000"/>
                <w:kern w:val="0"/>
                <w:sz w:val="20"/>
                <w:szCs w:val="20"/>
              </w:rPr>
              <w:t>　</w:t>
            </w:r>
          </w:p>
        </w:tc>
      </w:tr>
      <w:tr w14:paraId="52ACF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9" w:type="dxa"/>
            <w:vMerge w:val="restart"/>
            <w:noWrap w:val="0"/>
            <w:vAlign w:val="center"/>
          </w:tcPr>
          <w:p w14:paraId="1D4175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37D346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72" w:type="dxa"/>
            <w:gridSpan w:val="2"/>
            <w:noWrap w:val="0"/>
            <w:vAlign w:val="center"/>
          </w:tcPr>
          <w:p w14:paraId="72BCAD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p>
        </w:tc>
        <w:tc>
          <w:tcPr>
            <w:tcW w:w="982" w:type="dxa"/>
            <w:noWrap w:val="0"/>
            <w:vAlign w:val="center"/>
          </w:tcPr>
          <w:p w14:paraId="37E6C2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314DD6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252" w:type="dxa"/>
            <w:gridSpan w:val="2"/>
            <w:noWrap w:val="0"/>
            <w:vAlign w:val="center"/>
          </w:tcPr>
          <w:p w14:paraId="439EE9F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1106" w:type="dxa"/>
            <w:noWrap w:val="0"/>
            <w:vAlign w:val="center"/>
          </w:tcPr>
          <w:p w14:paraId="631ACB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1F1AF74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92" w:type="dxa"/>
            <w:noWrap w:val="0"/>
            <w:vAlign w:val="center"/>
          </w:tcPr>
          <w:p w14:paraId="5282CD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16" w:type="dxa"/>
            <w:noWrap w:val="0"/>
            <w:vAlign w:val="center"/>
          </w:tcPr>
          <w:p w14:paraId="1523F8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23" w:type="dxa"/>
            <w:noWrap w:val="0"/>
            <w:vAlign w:val="center"/>
          </w:tcPr>
          <w:p w14:paraId="578209A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3B27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noWrap w:val="0"/>
            <w:vAlign w:val="center"/>
          </w:tcPr>
          <w:p w14:paraId="4463B4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2172" w:type="dxa"/>
            <w:gridSpan w:val="2"/>
            <w:noWrap w:val="0"/>
            <w:vAlign w:val="center"/>
          </w:tcPr>
          <w:p w14:paraId="1A034F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982" w:type="dxa"/>
            <w:noWrap w:val="0"/>
            <w:vAlign w:val="center"/>
          </w:tcPr>
          <w:p w14:paraId="494164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473.96</w:t>
            </w:r>
          </w:p>
        </w:tc>
        <w:tc>
          <w:tcPr>
            <w:tcW w:w="1252" w:type="dxa"/>
            <w:gridSpan w:val="2"/>
            <w:noWrap w:val="0"/>
            <w:vAlign w:val="center"/>
          </w:tcPr>
          <w:p w14:paraId="008E1A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502.88</w:t>
            </w:r>
          </w:p>
        </w:tc>
        <w:tc>
          <w:tcPr>
            <w:tcW w:w="1106" w:type="dxa"/>
            <w:noWrap w:val="0"/>
            <w:vAlign w:val="center"/>
          </w:tcPr>
          <w:p w14:paraId="700348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495.23</w:t>
            </w:r>
          </w:p>
        </w:tc>
        <w:tc>
          <w:tcPr>
            <w:tcW w:w="692" w:type="dxa"/>
            <w:noWrap w:val="0"/>
            <w:vAlign w:val="center"/>
          </w:tcPr>
          <w:p w14:paraId="00C81B2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816" w:type="dxa"/>
            <w:noWrap w:val="0"/>
            <w:vAlign w:val="center"/>
          </w:tcPr>
          <w:p w14:paraId="6728C4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98.48%</w:t>
            </w:r>
          </w:p>
        </w:tc>
        <w:tc>
          <w:tcPr>
            <w:tcW w:w="1123" w:type="dxa"/>
            <w:noWrap w:val="0"/>
            <w:vAlign w:val="center"/>
          </w:tcPr>
          <w:p w14:paraId="43AED2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9.85</w:t>
            </w:r>
          </w:p>
        </w:tc>
      </w:tr>
      <w:tr w14:paraId="30A5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noWrap w:val="0"/>
            <w:vAlign w:val="center"/>
          </w:tcPr>
          <w:p w14:paraId="152BB0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6" w:type="dxa"/>
            <w:gridSpan w:val="5"/>
            <w:noWrap w:val="0"/>
            <w:vAlign w:val="center"/>
          </w:tcPr>
          <w:p w14:paraId="1FDC2F7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737" w:type="dxa"/>
            <w:gridSpan w:val="4"/>
            <w:noWrap w:val="0"/>
            <w:vAlign w:val="center"/>
          </w:tcPr>
          <w:p w14:paraId="0633A1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6301A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noWrap w:val="0"/>
            <w:vAlign w:val="center"/>
          </w:tcPr>
          <w:p w14:paraId="7F62C3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6" w:type="dxa"/>
            <w:gridSpan w:val="5"/>
            <w:noWrap w:val="0"/>
            <w:vAlign w:val="center"/>
          </w:tcPr>
          <w:p w14:paraId="68BC4A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sz w:val="20"/>
                <w:szCs w:val="20"/>
                <w:lang w:val="en-US" w:eastAsia="zh-CN"/>
              </w:rPr>
              <w:t>495.23</w:t>
            </w:r>
          </w:p>
        </w:tc>
        <w:tc>
          <w:tcPr>
            <w:tcW w:w="3737" w:type="dxa"/>
            <w:gridSpan w:val="4"/>
            <w:noWrap w:val="0"/>
            <w:vAlign w:val="center"/>
          </w:tcPr>
          <w:p w14:paraId="6883DC6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404.44</w:t>
            </w:r>
          </w:p>
        </w:tc>
      </w:tr>
      <w:tr w14:paraId="62934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noWrap w:val="0"/>
            <w:vAlign w:val="center"/>
          </w:tcPr>
          <w:p w14:paraId="7EAA59B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6" w:type="dxa"/>
            <w:gridSpan w:val="5"/>
            <w:noWrap w:val="0"/>
            <w:vAlign w:val="center"/>
          </w:tcPr>
          <w:p w14:paraId="569ACDB9">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政府性基金拨款：</w:t>
            </w:r>
          </w:p>
        </w:tc>
        <w:tc>
          <w:tcPr>
            <w:tcW w:w="3737" w:type="dxa"/>
            <w:gridSpan w:val="4"/>
            <w:noWrap w:val="0"/>
            <w:vAlign w:val="center"/>
          </w:tcPr>
          <w:p w14:paraId="303191E9">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90.79</w:t>
            </w:r>
          </w:p>
        </w:tc>
      </w:tr>
      <w:tr w14:paraId="5E6F0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9" w:type="dxa"/>
            <w:vMerge w:val="continue"/>
            <w:noWrap w:val="0"/>
            <w:vAlign w:val="center"/>
          </w:tcPr>
          <w:p w14:paraId="058FC2A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6" w:type="dxa"/>
            <w:gridSpan w:val="5"/>
            <w:noWrap w:val="0"/>
            <w:vAlign w:val="center"/>
          </w:tcPr>
          <w:p w14:paraId="08F6BF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p>
        </w:tc>
        <w:tc>
          <w:tcPr>
            <w:tcW w:w="3737" w:type="dxa"/>
            <w:gridSpan w:val="4"/>
            <w:noWrap w:val="0"/>
            <w:vAlign w:val="center"/>
          </w:tcPr>
          <w:p w14:paraId="1D7D825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3A34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19" w:type="dxa"/>
            <w:vMerge w:val="continue"/>
            <w:noWrap w:val="0"/>
            <w:vAlign w:val="center"/>
          </w:tcPr>
          <w:p w14:paraId="66CED97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6" w:type="dxa"/>
            <w:gridSpan w:val="5"/>
            <w:noWrap w:val="0"/>
            <w:vAlign w:val="center"/>
          </w:tcPr>
          <w:p w14:paraId="040CB241">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3737" w:type="dxa"/>
            <w:gridSpan w:val="4"/>
            <w:noWrap w:val="0"/>
            <w:vAlign w:val="center"/>
          </w:tcPr>
          <w:p w14:paraId="321CC5E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1B52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9" w:type="dxa"/>
            <w:vMerge w:val="restart"/>
            <w:noWrap w:val="0"/>
            <w:vAlign w:val="center"/>
          </w:tcPr>
          <w:p w14:paraId="6B5B3A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406" w:type="dxa"/>
            <w:gridSpan w:val="5"/>
            <w:noWrap w:val="0"/>
            <w:vAlign w:val="center"/>
          </w:tcPr>
          <w:p w14:paraId="5D2454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737" w:type="dxa"/>
            <w:gridSpan w:val="4"/>
            <w:noWrap w:val="0"/>
            <w:vAlign w:val="center"/>
          </w:tcPr>
          <w:p w14:paraId="71AB89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6C3E0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19" w:type="dxa"/>
            <w:vMerge w:val="continue"/>
            <w:noWrap w:val="0"/>
            <w:vAlign w:val="center"/>
          </w:tcPr>
          <w:p w14:paraId="4BA4256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06" w:type="dxa"/>
            <w:gridSpan w:val="5"/>
            <w:noWrap w:val="0"/>
            <w:vAlign w:val="center"/>
          </w:tcPr>
          <w:p w14:paraId="3F595A09">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按时优质完成市委文稿起草和理论调研工作任务，完成《新怀化》编辑出版、财经办、改革办的年度工作任务。</w:t>
            </w:r>
          </w:p>
        </w:tc>
        <w:tc>
          <w:tcPr>
            <w:tcW w:w="3737" w:type="dxa"/>
            <w:gridSpan w:val="4"/>
            <w:noWrap w:val="0"/>
            <w:vAlign w:val="center"/>
          </w:tcPr>
          <w:p w14:paraId="3720A86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2025年，在市委的坚强领导下，我们坚持以习近平新时代中国特色社会主义思想为指导，深入学习贯彻党的二十大和二十届历次全会精神以及习近平总书记关于湖南工作的重要讲话和指示批示精神，认真落实省委十二届八次、九次全会和市委六届九次、十次全会部署，充分发挥市委“思想库”“参谋部”“智囊团”的职能作用，以参政设谋为重点，积极主动靠前服务，有力有效推进各项工作。</w:t>
            </w:r>
          </w:p>
        </w:tc>
      </w:tr>
      <w:tr w14:paraId="7846D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19" w:type="dxa"/>
            <w:vMerge w:val="restart"/>
            <w:noWrap w:val="0"/>
            <w:vAlign w:val="center"/>
          </w:tcPr>
          <w:p w14:paraId="46C00C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0F36FB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E2B6F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2C7732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108" w:type="dxa"/>
            <w:noWrap w:val="0"/>
            <w:vAlign w:val="center"/>
          </w:tcPr>
          <w:p w14:paraId="576FB6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64" w:type="dxa"/>
            <w:noWrap w:val="0"/>
            <w:vAlign w:val="center"/>
          </w:tcPr>
          <w:p w14:paraId="0CB160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072" w:type="dxa"/>
            <w:gridSpan w:val="2"/>
            <w:noWrap w:val="0"/>
            <w:vAlign w:val="center"/>
          </w:tcPr>
          <w:p w14:paraId="5845B6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62" w:type="dxa"/>
            <w:noWrap w:val="0"/>
            <w:vAlign w:val="center"/>
          </w:tcPr>
          <w:p w14:paraId="182688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73206D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06" w:type="dxa"/>
            <w:noWrap w:val="0"/>
            <w:vAlign w:val="center"/>
          </w:tcPr>
          <w:p w14:paraId="6DB56A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1D9B2B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92" w:type="dxa"/>
            <w:noWrap w:val="0"/>
            <w:vAlign w:val="center"/>
          </w:tcPr>
          <w:p w14:paraId="74DBE9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6" w:type="dxa"/>
            <w:noWrap w:val="0"/>
            <w:vAlign w:val="center"/>
          </w:tcPr>
          <w:p w14:paraId="5A3F18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23" w:type="dxa"/>
            <w:noWrap w:val="0"/>
            <w:vAlign w:val="top"/>
          </w:tcPr>
          <w:p w14:paraId="649AE0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18605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1C7074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2BF4D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19" w:type="dxa"/>
            <w:vMerge w:val="continue"/>
            <w:noWrap w:val="0"/>
            <w:vAlign w:val="center"/>
          </w:tcPr>
          <w:p w14:paraId="7A0B85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restart"/>
            <w:noWrap w:val="0"/>
            <w:vAlign w:val="center"/>
          </w:tcPr>
          <w:p w14:paraId="37C882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64" w:type="dxa"/>
            <w:noWrap w:val="0"/>
            <w:vAlign w:val="center"/>
          </w:tcPr>
          <w:p w14:paraId="11F353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072" w:type="dxa"/>
            <w:gridSpan w:val="2"/>
            <w:noWrap w:val="0"/>
            <w:vAlign w:val="center"/>
          </w:tcPr>
          <w:p w14:paraId="3030A40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部门整体支出成本</w:t>
            </w:r>
          </w:p>
        </w:tc>
        <w:tc>
          <w:tcPr>
            <w:tcW w:w="1162" w:type="dxa"/>
            <w:noWrap w:val="0"/>
            <w:vAlign w:val="center"/>
          </w:tcPr>
          <w:p w14:paraId="723326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≤502.88万元</w:t>
            </w:r>
          </w:p>
        </w:tc>
        <w:tc>
          <w:tcPr>
            <w:tcW w:w="1106" w:type="dxa"/>
            <w:noWrap w:val="0"/>
            <w:vAlign w:val="center"/>
          </w:tcPr>
          <w:p w14:paraId="09E757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495.23万元</w:t>
            </w:r>
          </w:p>
        </w:tc>
        <w:tc>
          <w:tcPr>
            <w:tcW w:w="692" w:type="dxa"/>
            <w:noWrap w:val="0"/>
            <w:vAlign w:val="center"/>
          </w:tcPr>
          <w:p w14:paraId="7313971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16" w:type="dxa"/>
            <w:noWrap w:val="0"/>
            <w:vAlign w:val="center"/>
          </w:tcPr>
          <w:p w14:paraId="0489ACF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23" w:type="dxa"/>
            <w:noWrap w:val="0"/>
            <w:vAlign w:val="center"/>
          </w:tcPr>
          <w:p w14:paraId="24946B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C4DD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9" w:type="dxa"/>
            <w:vMerge w:val="continue"/>
            <w:noWrap w:val="0"/>
            <w:vAlign w:val="center"/>
          </w:tcPr>
          <w:p w14:paraId="166629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6BA8C3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2C82823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072" w:type="dxa"/>
            <w:gridSpan w:val="2"/>
            <w:noWrap w:val="0"/>
            <w:vAlign w:val="center"/>
          </w:tcPr>
          <w:p w14:paraId="392D149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162" w:type="dxa"/>
            <w:noWrap w:val="0"/>
            <w:vAlign w:val="center"/>
          </w:tcPr>
          <w:p w14:paraId="57882D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06" w:type="dxa"/>
            <w:noWrap w:val="0"/>
            <w:vAlign w:val="center"/>
          </w:tcPr>
          <w:p w14:paraId="693A1E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0%</w:t>
            </w:r>
          </w:p>
        </w:tc>
        <w:tc>
          <w:tcPr>
            <w:tcW w:w="692" w:type="dxa"/>
            <w:noWrap w:val="0"/>
            <w:vAlign w:val="center"/>
          </w:tcPr>
          <w:p w14:paraId="31A550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78E5B87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23" w:type="dxa"/>
            <w:noWrap w:val="0"/>
            <w:vAlign w:val="center"/>
          </w:tcPr>
          <w:p w14:paraId="100668D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1A75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9" w:type="dxa"/>
            <w:vMerge w:val="continue"/>
            <w:noWrap w:val="0"/>
            <w:vAlign w:val="center"/>
          </w:tcPr>
          <w:p w14:paraId="247C0F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2BFB03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797358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生态成本指标</w:t>
            </w:r>
          </w:p>
        </w:tc>
        <w:tc>
          <w:tcPr>
            <w:tcW w:w="1072" w:type="dxa"/>
            <w:gridSpan w:val="2"/>
            <w:noWrap w:val="0"/>
            <w:vAlign w:val="center"/>
          </w:tcPr>
          <w:p w14:paraId="17C2CD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生态环境成本节约率</w:t>
            </w:r>
          </w:p>
        </w:tc>
        <w:tc>
          <w:tcPr>
            <w:tcW w:w="1162" w:type="dxa"/>
            <w:noWrap w:val="0"/>
            <w:vAlign w:val="center"/>
          </w:tcPr>
          <w:p w14:paraId="0D048BC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06" w:type="dxa"/>
            <w:noWrap w:val="0"/>
            <w:vAlign w:val="center"/>
          </w:tcPr>
          <w:p w14:paraId="09ACEA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 xml:space="preserve">  0%</w:t>
            </w:r>
          </w:p>
        </w:tc>
        <w:tc>
          <w:tcPr>
            <w:tcW w:w="692" w:type="dxa"/>
            <w:noWrap w:val="0"/>
            <w:vAlign w:val="center"/>
          </w:tcPr>
          <w:p w14:paraId="3FF7A7D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344500C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23" w:type="dxa"/>
            <w:noWrap w:val="0"/>
            <w:vAlign w:val="center"/>
          </w:tcPr>
          <w:p w14:paraId="6C6820A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24D0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9" w:type="dxa"/>
            <w:vMerge w:val="continue"/>
            <w:noWrap w:val="0"/>
            <w:vAlign w:val="center"/>
          </w:tcPr>
          <w:p w14:paraId="40593B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restart"/>
            <w:noWrap w:val="0"/>
            <w:vAlign w:val="center"/>
          </w:tcPr>
          <w:p w14:paraId="493E08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8647E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6D2699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49270B7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2" w:type="dxa"/>
            <w:gridSpan w:val="2"/>
            <w:noWrap w:val="0"/>
            <w:vAlign w:val="center"/>
          </w:tcPr>
          <w:p w14:paraId="29DE138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编印《新怀化》期数</w:t>
            </w:r>
          </w:p>
        </w:tc>
        <w:tc>
          <w:tcPr>
            <w:tcW w:w="1162" w:type="dxa"/>
            <w:noWrap w:val="0"/>
            <w:vAlign w:val="center"/>
          </w:tcPr>
          <w:p w14:paraId="7C61F1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12期</w:t>
            </w:r>
          </w:p>
        </w:tc>
        <w:tc>
          <w:tcPr>
            <w:tcW w:w="1106" w:type="dxa"/>
            <w:noWrap w:val="0"/>
            <w:vAlign w:val="center"/>
          </w:tcPr>
          <w:p w14:paraId="3C3400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12期</w:t>
            </w:r>
          </w:p>
        </w:tc>
        <w:tc>
          <w:tcPr>
            <w:tcW w:w="692" w:type="dxa"/>
            <w:noWrap w:val="0"/>
            <w:vAlign w:val="center"/>
          </w:tcPr>
          <w:p w14:paraId="60F8A90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16" w:type="dxa"/>
            <w:noWrap w:val="0"/>
            <w:vAlign w:val="center"/>
          </w:tcPr>
          <w:p w14:paraId="7F4865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23" w:type="dxa"/>
            <w:noWrap w:val="0"/>
            <w:vAlign w:val="center"/>
          </w:tcPr>
          <w:p w14:paraId="467254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0DC6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9" w:type="dxa"/>
            <w:vMerge w:val="continue"/>
            <w:noWrap w:val="0"/>
            <w:vAlign w:val="center"/>
          </w:tcPr>
          <w:p w14:paraId="0A70F7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102AD1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4" w:type="dxa"/>
            <w:noWrap w:val="0"/>
            <w:vAlign w:val="center"/>
          </w:tcPr>
          <w:p w14:paraId="48FBA3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2BBFEF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2" w:type="dxa"/>
            <w:gridSpan w:val="2"/>
            <w:noWrap w:val="0"/>
            <w:vAlign w:val="center"/>
          </w:tcPr>
          <w:p w14:paraId="5C17A29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资金使用合规性</w:t>
            </w:r>
          </w:p>
        </w:tc>
        <w:tc>
          <w:tcPr>
            <w:tcW w:w="1162" w:type="dxa"/>
            <w:noWrap w:val="0"/>
            <w:vAlign w:val="center"/>
          </w:tcPr>
          <w:p w14:paraId="4F4437C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06" w:type="dxa"/>
            <w:noWrap w:val="0"/>
            <w:vAlign w:val="center"/>
          </w:tcPr>
          <w:p w14:paraId="7520B0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92" w:type="dxa"/>
            <w:noWrap w:val="0"/>
            <w:vAlign w:val="center"/>
          </w:tcPr>
          <w:p w14:paraId="192FC1A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16" w:type="dxa"/>
            <w:noWrap w:val="0"/>
            <w:vAlign w:val="center"/>
          </w:tcPr>
          <w:p w14:paraId="26096C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23" w:type="dxa"/>
            <w:noWrap w:val="0"/>
            <w:vAlign w:val="center"/>
          </w:tcPr>
          <w:p w14:paraId="3D774B1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3C5E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9" w:type="dxa"/>
            <w:vMerge w:val="continue"/>
            <w:noWrap w:val="0"/>
            <w:vAlign w:val="center"/>
          </w:tcPr>
          <w:p w14:paraId="36ECDC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51CA3F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4" w:type="dxa"/>
            <w:noWrap w:val="0"/>
            <w:vAlign w:val="center"/>
          </w:tcPr>
          <w:p w14:paraId="7BCCAB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6B1FA3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72" w:type="dxa"/>
            <w:gridSpan w:val="2"/>
            <w:noWrap w:val="0"/>
            <w:vAlign w:val="center"/>
          </w:tcPr>
          <w:p w14:paraId="6F87E86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工作完成时间</w:t>
            </w:r>
          </w:p>
        </w:tc>
        <w:tc>
          <w:tcPr>
            <w:tcW w:w="1162" w:type="dxa"/>
            <w:noWrap w:val="0"/>
            <w:vAlign w:val="center"/>
          </w:tcPr>
          <w:p w14:paraId="3A4089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w:t>
            </w:r>
            <w:r>
              <w:rPr>
                <w:rFonts w:hint="eastAsia" w:ascii="仿宋" w:hAnsi="仿宋" w:eastAsia="仿宋" w:cs="仿宋"/>
                <w:color w:val="000000"/>
                <w:kern w:val="0"/>
                <w:sz w:val="20"/>
                <w:szCs w:val="20"/>
                <w:lang w:val="en-US" w:eastAsia="zh-CN"/>
              </w:rPr>
              <w:t>5</w:t>
            </w:r>
            <w:r>
              <w:rPr>
                <w:rFonts w:hint="eastAsia" w:ascii="仿宋" w:hAnsi="仿宋" w:eastAsia="仿宋" w:cs="仿宋"/>
                <w:color w:val="000000"/>
                <w:kern w:val="0"/>
                <w:sz w:val="20"/>
                <w:szCs w:val="20"/>
              </w:rPr>
              <w:t>年12月之前完成</w:t>
            </w:r>
          </w:p>
        </w:tc>
        <w:tc>
          <w:tcPr>
            <w:tcW w:w="1106" w:type="dxa"/>
            <w:noWrap w:val="0"/>
            <w:vAlign w:val="center"/>
          </w:tcPr>
          <w:p w14:paraId="3DE52C8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w:t>
            </w:r>
            <w:r>
              <w:rPr>
                <w:rFonts w:hint="eastAsia" w:ascii="仿宋" w:hAnsi="仿宋" w:eastAsia="仿宋" w:cs="仿宋"/>
                <w:color w:val="000000"/>
                <w:kern w:val="0"/>
                <w:sz w:val="20"/>
                <w:szCs w:val="20"/>
                <w:lang w:val="en-US" w:eastAsia="zh-CN"/>
              </w:rPr>
              <w:t>5</w:t>
            </w:r>
            <w:r>
              <w:rPr>
                <w:rFonts w:hint="eastAsia" w:ascii="仿宋" w:hAnsi="仿宋" w:eastAsia="仿宋" w:cs="仿宋"/>
                <w:color w:val="000000"/>
                <w:kern w:val="0"/>
                <w:sz w:val="20"/>
                <w:szCs w:val="20"/>
              </w:rPr>
              <w:t>年12月之前完成</w:t>
            </w:r>
          </w:p>
        </w:tc>
        <w:tc>
          <w:tcPr>
            <w:tcW w:w="692" w:type="dxa"/>
            <w:noWrap w:val="0"/>
            <w:vAlign w:val="center"/>
          </w:tcPr>
          <w:p w14:paraId="4FA5634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16" w:type="dxa"/>
            <w:noWrap w:val="0"/>
            <w:vAlign w:val="center"/>
          </w:tcPr>
          <w:p w14:paraId="6BE06A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23" w:type="dxa"/>
            <w:noWrap w:val="0"/>
            <w:vAlign w:val="center"/>
          </w:tcPr>
          <w:p w14:paraId="43D5B6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A7A4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19" w:type="dxa"/>
            <w:vMerge w:val="continue"/>
            <w:noWrap w:val="0"/>
            <w:vAlign w:val="center"/>
          </w:tcPr>
          <w:p w14:paraId="77A8C3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restart"/>
            <w:noWrap w:val="0"/>
            <w:vAlign w:val="center"/>
          </w:tcPr>
          <w:p w14:paraId="7C44A8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0AD7769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0A5C9FE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AAA3C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2" w:type="dxa"/>
            <w:gridSpan w:val="2"/>
            <w:noWrap w:val="0"/>
            <w:vAlign w:val="center"/>
          </w:tcPr>
          <w:p w14:paraId="6F45F0A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全面履行督查考核职责，推动经济持续健康发展</w:t>
            </w:r>
          </w:p>
        </w:tc>
        <w:tc>
          <w:tcPr>
            <w:tcW w:w="1162" w:type="dxa"/>
            <w:noWrap w:val="0"/>
            <w:vAlign w:val="center"/>
          </w:tcPr>
          <w:p w14:paraId="59AD30C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06" w:type="dxa"/>
            <w:noWrap w:val="0"/>
            <w:vAlign w:val="center"/>
          </w:tcPr>
          <w:p w14:paraId="05A9E37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92" w:type="dxa"/>
            <w:noWrap w:val="0"/>
            <w:vAlign w:val="center"/>
          </w:tcPr>
          <w:p w14:paraId="5AC688A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16" w:type="dxa"/>
            <w:noWrap w:val="0"/>
            <w:vAlign w:val="center"/>
          </w:tcPr>
          <w:p w14:paraId="1D35676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23" w:type="dxa"/>
            <w:noWrap w:val="0"/>
            <w:vAlign w:val="center"/>
          </w:tcPr>
          <w:p w14:paraId="7B3EC15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11C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19" w:type="dxa"/>
            <w:vMerge w:val="continue"/>
            <w:noWrap w:val="0"/>
            <w:vAlign w:val="center"/>
          </w:tcPr>
          <w:p w14:paraId="38D065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7BB2C7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4" w:type="dxa"/>
            <w:noWrap w:val="0"/>
            <w:vAlign w:val="center"/>
          </w:tcPr>
          <w:p w14:paraId="3614F7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6CE7AF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2" w:type="dxa"/>
            <w:gridSpan w:val="2"/>
            <w:noWrap w:val="0"/>
            <w:vAlign w:val="center"/>
          </w:tcPr>
          <w:p w14:paraId="55B433E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完成全面建成小康社会、美丽乡村等有关工作任务</w:t>
            </w:r>
          </w:p>
        </w:tc>
        <w:tc>
          <w:tcPr>
            <w:tcW w:w="1162" w:type="dxa"/>
            <w:noWrap w:val="0"/>
            <w:vAlign w:val="center"/>
          </w:tcPr>
          <w:p w14:paraId="5ACB732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06" w:type="dxa"/>
            <w:noWrap w:val="0"/>
            <w:vAlign w:val="center"/>
          </w:tcPr>
          <w:p w14:paraId="074545F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92" w:type="dxa"/>
            <w:noWrap w:val="0"/>
            <w:vAlign w:val="center"/>
          </w:tcPr>
          <w:p w14:paraId="585EFE8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16" w:type="dxa"/>
            <w:noWrap w:val="0"/>
            <w:vAlign w:val="center"/>
          </w:tcPr>
          <w:p w14:paraId="1FE0B1D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23" w:type="dxa"/>
            <w:noWrap w:val="0"/>
            <w:vAlign w:val="center"/>
          </w:tcPr>
          <w:p w14:paraId="18BF68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9AE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19" w:type="dxa"/>
            <w:vMerge w:val="continue"/>
            <w:noWrap w:val="0"/>
            <w:vAlign w:val="center"/>
          </w:tcPr>
          <w:p w14:paraId="28CA3C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584185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4" w:type="dxa"/>
            <w:noWrap w:val="0"/>
            <w:vAlign w:val="center"/>
          </w:tcPr>
          <w:p w14:paraId="6EF5C1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7A11ADD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72" w:type="dxa"/>
            <w:gridSpan w:val="2"/>
            <w:noWrap w:val="0"/>
            <w:vAlign w:val="center"/>
          </w:tcPr>
          <w:p w14:paraId="7452733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生态效益情况</w:t>
            </w:r>
          </w:p>
        </w:tc>
        <w:tc>
          <w:tcPr>
            <w:tcW w:w="1162" w:type="dxa"/>
            <w:noWrap w:val="0"/>
            <w:vAlign w:val="center"/>
          </w:tcPr>
          <w:p w14:paraId="4B4E97E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06" w:type="dxa"/>
            <w:noWrap w:val="0"/>
            <w:vAlign w:val="center"/>
          </w:tcPr>
          <w:p w14:paraId="6FC1BFD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92" w:type="dxa"/>
            <w:noWrap w:val="0"/>
            <w:vAlign w:val="center"/>
          </w:tcPr>
          <w:p w14:paraId="4CD9DAD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16" w:type="dxa"/>
            <w:noWrap w:val="0"/>
            <w:vAlign w:val="center"/>
          </w:tcPr>
          <w:p w14:paraId="5394BEF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23" w:type="dxa"/>
            <w:noWrap w:val="0"/>
            <w:vAlign w:val="center"/>
          </w:tcPr>
          <w:p w14:paraId="0534B77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EA7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19" w:type="dxa"/>
            <w:vMerge w:val="continue"/>
            <w:noWrap w:val="0"/>
            <w:vAlign w:val="center"/>
          </w:tcPr>
          <w:p w14:paraId="475B0E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08" w:type="dxa"/>
            <w:vMerge w:val="continue"/>
            <w:noWrap w:val="0"/>
            <w:vAlign w:val="center"/>
          </w:tcPr>
          <w:p w14:paraId="6F43E43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64" w:type="dxa"/>
            <w:noWrap w:val="0"/>
            <w:vAlign w:val="center"/>
          </w:tcPr>
          <w:p w14:paraId="18746B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072" w:type="dxa"/>
            <w:gridSpan w:val="2"/>
            <w:noWrap w:val="0"/>
            <w:vAlign w:val="center"/>
          </w:tcPr>
          <w:p w14:paraId="14B554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推动深化全市改革工作</w:t>
            </w:r>
          </w:p>
        </w:tc>
        <w:tc>
          <w:tcPr>
            <w:tcW w:w="1162" w:type="dxa"/>
            <w:noWrap w:val="0"/>
            <w:vAlign w:val="center"/>
          </w:tcPr>
          <w:p w14:paraId="66A12F2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06" w:type="dxa"/>
            <w:noWrap w:val="0"/>
            <w:vAlign w:val="center"/>
          </w:tcPr>
          <w:p w14:paraId="0B7E686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92" w:type="dxa"/>
            <w:noWrap w:val="0"/>
            <w:vAlign w:val="center"/>
          </w:tcPr>
          <w:p w14:paraId="31AB2C7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16" w:type="dxa"/>
            <w:noWrap w:val="0"/>
            <w:vAlign w:val="center"/>
          </w:tcPr>
          <w:p w14:paraId="1A275C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23" w:type="dxa"/>
            <w:noWrap w:val="0"/>
            <w:vAlign w:val="center"/>
          </w:tcPr>
          <w:p w14:paraId="6C3C23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4144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19" w:type="dxa"/>
            <w:vMerge w:val="continue"/>
            <w:noWrap w:val="0"/>
            <w:vAlign w:val="center"/>
          </w:tcPr>
          <w:p w14:paraId="179CC0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08" w:type="dxa"/>
            <w:noWrap w:val="0"/>
            <w:vAlign w:val="center"/>
          </w:tcPr>
          <w:p w14:paraId="3619712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0A7FBE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43A32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64" w:type="dxa"/>
            <w:noWrap w:val="0"/>
            <w:vAlign w:val="center"/>
          </w:tcPr>
          <w:p w14:paraId="4F1161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072" w:type="dxa"/>
            <w:gridSpan w:val="2"/>
            <w:noWrap w:val="0"/>
            <w:vAlign w:val="center"/>
          </w:tcPr>
          <w:p w14:paraId="277EDFC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使用人员满意度</w:t>
            </w:r>
          </w:p>
        </w:tc>
        <w:tc>
          <w:tcPr>
            <w:tcW w:w="1162" w:type="dxa"/>
            <w:noWrap w:val="0"/>
            <w:vAlign w:val="center"/>
          </w:tcPr>
          <w:p w14:paraId="1C2D0ADC">
            <w:pPr>
              <w:keepNext w:val="0"/>
              <w:keepLines w:val="0"/>
              <w:pageBreakBefore w:val="0"/>
              <w:widowControl/>
              <w:tabs>
                <w:tab w:val="left" w:pos="417"/>
              </w:tabs>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ab/>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90%</w:t>
            </w:r>
          </w:p>
        </w:tc>
        <w:tc>
          <w:tcPr>
            <w:tcW w:w="1106" w:type="dxa"/>
            <w:noWrap w:val="0"/>
            <w:vAlign w:val="center"/>
          </w:tcPr>
          <w:p w14:paraId="2CBE77C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90%</w:t>
            </w:r>
            <w:r>
              <w:rPr>
                <w:rFonts w:hint="eastAsia" w:ascii="仿宋" w:hAnsi="仿宋" w:eastAsia="仿宋" w:cs="仿宋"/>
                <w:color w:val="000000"/>
                <w:kern w:val="0"/>
                <w:sz w:val="20"/>
                <w:szCs w:val="20"/>
              </w:rPr>
              <w:t>　</w:t>
            </w:r>
          </w:p>
        </w:tc>
        <w:tc>
          <w:tcPr>
            <w:tcW w:w="692" w:type="dxa"/>
            <w:noWrap w:val="0"/>
            <w:vAlign w:val="center"/>
          </w:tcPr>
          <w:p w14:paraId="46BD71B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16" w:type="dxa"/>
            <w:noWrap w:val="0"/>
            <w:vAlign w:val="center"/>
          </w:tcPr>
          <w:p w14:paraId="4EC2344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23" w:type="dxa"/>
            <w:noWrap w:val="0"/>
            <w:vAlign w:val="center"/>
          </w:tcPr>
          <w:p w14:paraId="0565B90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5B57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31" w:type="dxa"/>
            <w:gridSpan w:val="7"/>
            <w:noWrap w:val="0"/>
            <w:vAlign w:val="center"/>
          </w:tcPr>
          <w:p w14:paraId="39D814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92" w:type="dxa"/>
            <w:noWrap w:val="0"/>
            <w:vAlign w:val="center"/>
          </w:tcPr>
          <w:p w14:paraId="1A1D1D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6" w:type="dxa"/>
            <w:noWrap w:val="0"/>
            <w:vAlign w:val="center"/>
          </w:tcPr>
          <w:p w14:paraId="53A1434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99.85</w:t>
            </w:r>
          </w:p>
        </w:tc>
        <w:tc>
          <w:tcPr>
            <w:tcW w:w="1123" w:type="dxa"/>
            <w:noWrap w:val="0"/>
            <w:vAlign w:val="center"/>
          </w:tcPr>
          <w:p w14:paraId="02C647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A1F85A2">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赵莹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2026.6.16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13974516181 </w:t>
      </w:r>
    </w:p>
    <w:p w14:paraId="1E657B7F">
      <w:pPr>
        <w:rPr>
          <w:rFonts w:hint="default"/>
          <w:lang w:val="en-US" w:eastAsia="zh-CN"/>
        </w:rPr>
      </w:pPr>
      <w:r>
        <w:rPr>
          <w:rFonts w:hint="default"/>
          <w:lang w:val="en-US" w:eastAsia="zh-CN"/>
        </w:rPr>
        <w:br w:type="page"/>
      </w:r>
    </w:p>
    <w:p w14:paraId="4A939FA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w:t>
      </w:r>
    </w:p>
    <w:p w14:paraId="02F4DB25">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9"/>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737AE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5D951C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19A128D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769DB1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《新怀化》经费　</w:t>
            </w:r>
          </w:p>
        </w:tc>
      </w:tr>
      <w:tr w14:paraId="6605B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1039EE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439772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中共怀化市委政策研究室</w:t>
            </w:r>
          </w:p>
        </w:tc>
        <w:tc>
          <w:tcPr>
            <w:tcW w:w="1134" w:type="dxa"/>
            <w:noWrap w:val="0"/>
            <w:vAlign w:val="center"/>
          </w:tcPr>
          <w:p w14:paraId="0BFA50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4DB4D0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中共怀化市委政策研究室</w:t>
            </w:r>
          </w:p>
        </w:tc>
      </w:tr>
      <w:tr w14:paraId="2B8D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1270BB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6C55B09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04B2697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396F969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7C506F2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89D52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4D7623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80C24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2E900D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108059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388683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4883A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BBB03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1B912C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379878E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50</w:t>
            </w:r>
          </w:p>
        </w:tc>
        <w:tc>
          <w:tcPr>
            <w:tcW w:w="1209" w:type="dxa"/>
            <w:noWrap w:val="0"/>
            <w:vAlign w:val="center"/>
          </w:tcPr>
          <w:p w14:paraId="4558E54F">
            <w:pPr>
              <w:keepNext w:val="0"/>
              <w:keepLines w:val="0"/>
              <w:pageBreakBefore w:val="0"/>
              <w:widowControl/>
              <w:kinsoku/>
              <w:wordWrap/>
              <w:overflowPunct/>
              <w:topLinePunct w:val="0"/>
              <w:autoSpaceDE/>
              <w:autoSpaceDN/>
              <w:bidi w:val="0"/>
              <w:adjustRightInd/>
              <w:snapToGrid/>
              <w:spacing w:line="280" w:lineRule="exact"/>
              <w:ind w:firstLine="400" w:firstLineChars="2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50</w:t>
            </w:r>
          </w:p>
        </w:tc>
        <w:tc>
          <w:tcPr>
            <w:tcW w:w="1134" w:type="dxa"/>
            <w:noWrap w:val="0"/>
            <w:vAlign w:val="center"/>
          </w:tcPr>
          <w:p w14:paraId="048E648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49.49</w:t>
            </w:r>
          </w:p>
        </w:tc>
        <w:tc>
          <w:tcPr>
            <w:tcW w:w="828" w:type="dxa"/>
            <w:noWrap w:val="0"/>
            <w:vAlign w:val="center"/>
          </w:tcPr>
          <w:p w14:paraId="1A8177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1B55B2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98.98%</w:t>
            </w:r>
          </w:p>
        </w:tc>
        <w:tc>
          <w:tcPr>
            <w:tcW w:w="1418" w:type="dxa"/>
            <w:noWrap w:val="0"/>
            <w:vAlign w:val="center"/>
          </w:tcPr>
          <w:p w14:paraId="57FF40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9.90</w:t>
            </w:r>
          </w:p>
        </w:tc>
      </w:tr>
      <w:tr w14:paraId="1D57F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8A7DB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7B2370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297B778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50</w:t>
            </w:r>
          </w:p>
        </w:tc>
        <w:tc>
          <w:tcPr>
            <w:tcW w:w="1209" w:type="dxa"/>
            <w:noWrap w:val="0"/>
            <w:vAlign w:val="center"/>
          </w:tcPr>
          <w:p w14:paraId="65409447">
            <w:pPr>
              <w:keepNext w:val="0"/>
              <w:keepLines w:val="0"/>
              <w:pageBreakBefore w:val="0"/>
              <w:widowControl/>
              <w:kinsoku/>
              <w:wordWrap/>
              <w:overflowPunct/>
              <w:topLinePunct w:val="0"/>
              <w:autoSpaceDE/>
              <w:autoSpaceDN/>
              <w:bidi w:val="0"/>
              <w:adjustRightInd/>
              <w:snapToGrid/>
              <w:spacing w:line="280" w:lineRule="exact"/>
              <w:ind w:firstLine="400" w:firstLineChars="2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50</w:t>
            </w:r>
          </w:p>
        </w:tc>
        <w:tc>
          <w:tcPr>
            <w:tcW w:w="1134" w:type="dxa"/>
            <w:noWrap w:val="0"/>
            <w:vAlign w:val="center"/>
          </w:tcPr>
          <w:p w14:paraId="565FCA8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49.49</w:t>
            </w:r>
          </w:p>
        </w:tc>
        <w:tc>
          <w:tcPr>
            <w:tcW w:w="828" w:type="dxa"/>
            <w:noWrap w:val="0"/>
            <w:vAlign w:val="center"/>
          </w:tcPr>
          <w:p w14:paraId="7E007F7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528E04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98.98%</w:t>
            </w:r>
          </w:p>
        </w:tc>
        <w:tc>
          <w:tcPr>
            <w:tcW w:w="1418" w:type="dxa"/>
            <w:noWrap w:val="0"/>
            <w:vAlign w:val="center"/>
          </w:tcPr>
          <w:p w14:paraId="3A6073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9.90</w:t>
            </w:r>
          </w:p>
        </w:tc>
      </w:tr>
      <w:tr w14:paraId="36BB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5E3A28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7A55441">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19AE28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657138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1B0F92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37F2000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48E636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5C881D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8F03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61A8317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75883ED">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76D5D1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6D35D30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577E455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7EE5E9C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7A8DD40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D0BA5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45CF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4A9EB4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78021C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06FE17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61D0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40DE1D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118ACEF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发行单月刊彩版《新怀化》12期，每期约3000本免费送往全国各地。　　</w:t>
            </w:r>
          </w:p>
        </w:tc>
        <w:tc>
          <w:tcPr>
            <w:tcW w:w="4253" w:type="dxa"/>
            <w:gridSpan w:val="4"/>
            <w:noWrap w:val="0"/>
            <w:vAlign w:val="center"/>
          </w:tcPr>
          <w:p w14:paraId="361F202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发行单月刊彩版《新怀化》12期，每期约3000本免费送往全国各地。</w:t>
            </w:r>
          </w:p>
        </w:tc>
      </w:tr>
      <w:tr w14:paraId="5F62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2746E3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F5C15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052EEC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6F02A17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1BF34D6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62BAB6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0AB1DC5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18BAF2D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DD0214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5C5C023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5773E01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53691F6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1860956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7BBFCB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5C3D6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07BB72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36A10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67AEBF0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A0D0D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314314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1C0598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项目成本控制</w:t>
            </w:r>
          </w:p>
        </w:tc>
        <w:tc>
          <w:tcPr>
            <w:tcW w:w="1209" w:type="dxa"/>
            <w:noWrap w:val="0"/>
            <w:vAlign w:val="center"/>
          </w:tcPr>
          <w:p w14:paraId="20D502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≤50万元</w:t>
            </w:r>
          </w:p>
        </w:tc>
        <w:tc>
          <w:tcPr>
            <w:tcW w:w="1134" w:type="dxa"/>
            <w:noWrap w:val="0"/>
            <w:vAlign w:val="center"/>
          </w:tcPr>
          <w:p w14:paraId="5CF8641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49.49万元</w:t>
            </w:r>
          </w:p>
        </w:tc>
        <w:tc>
          <w:tcPr>
            <w:tcW w:w="828" w:type="dxa"/>
            <w:noWrap w:val="0"/>
            <w:vAlign w:val="center"/>
          </w:tcPr>
          <w:p w14:paraId="3218D6E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5DEB6E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5B668BC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6EA61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3AD409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0BF1A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641A82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0E30F42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1D02149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noWrap w:val="0"/>
            <w:vAlign w:val="center"/>
          </w:tcPr>
          <w:p w14:paraId="52B6F2C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 xml:space="preserve">  0%</w:t>
            </w:r>
          </w:p>
        </w:tc>
        <w:tc>
          <w:tcPr>
            <w:tcW w:w="828" w:type="dxa"/>
            <w:noWrap w:val="0"/>
            <w:vAlign w:val="center"/>
          </w:tcPr>
          <w:p w14:paraId="635CAB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5E79AF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38146B2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9451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7DE520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58919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5DD0826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7192B19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04A59C6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noWrap w:val="0"/>
            <w:vAlign w:val="center"/>
          </w:tcPr>
          <w:p w14:paraId="390E829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 xml:space="preserve">  0%</w:t>
            </w:r>
          </w:p>
        </w:tc>
        <w:tc>
          <w:tcPr>
            <w:tcW w:w="828" w:type="dxa"/>
            <w:noWrap w:val="0"/>
            <w:vAlign w:val="center"/>
          </w:tcPr>
          <w:p w14:paraId="4D02A3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206E2F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091A16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6BC17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30EBFAB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A4AD5D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B2C92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6DB7BF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6F56793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编印《新怀化》期数</w:t>
            </w:r>
          </w:p>
        </w:tc>
        <w:tc>
          <w:tcPr>
            <w:tcW w:w="1209" w:type="dxa"/>
            <w:noWrap w:val="0"/>
            <w:vAlign w:val="center"/>
          </w:tcPr>
          <w:p w14:paraId="1D47456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12期</w:t>
            </w:r>
          </w:p>
        </w:tc>
        <w:tc>
          <w:tcPr>
            <w:tcW w:w="1134" w:type="dxa"/>
            <w:noWrap w:val="0"/>
            <w:vAlign w:val="center"/>
          </w:tcPr>
          <w:p w14:paraId="2D1803B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12期</w:t>
            </w:r>
          </w:p>
        </w:tc>
        <w:tc>
          <w:tcPr>
            <w:tcW w:w="828" w:type="dxa"/>
            <w:noWrap w:val="0"/>
            <w:vAlign w:val="center"/>
          </w:tcPr>
          <w:p w14:paraId="6EA07A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7FE413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7AF328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4EF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7233A6B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7BA23B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AEB33A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266594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资金使用合规性</w:t>
            </w:r>
          </w:p>
        </w:tc>
        <w:tc>
          <w:tcPr>
            <w:tcW w:w="1209" w:type="dxa"/>
            <w:noWrap w:val="0"/>
            <w:vAlign w:val="center"/>
          </w:tcPr>
          <w:p w14:paraId="6688CCD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4A9C5A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828" w:type="dxa"/>
            <w:noWrap w:val="0"/>
            <w:vAlign w:val="center"/>
          </w:tcPr>
          <w:p w14:paraId="3E978C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0C4A1B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F48F8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9FF5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610D98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AA8CE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BFBB8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7805056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工作完成时间</w:t>
            </w:r>
          </w:p>
        </w:tc>
        <w:tc>
          <w:tcPr>
            <w:tcW w:w="1209" w:type="dxa"/>
            <w:noWrap w:val="0"/>
            <w:vAlign w:val="center"/>
          </w:tcPr>
          <w:p w14:paraId="45B5864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w:t>
            </w:r>
            <w:r>
              <w:rPr>
                <w:rFonts w:hint="eastAsia" w:ascii="仿宋" w:hAnsi="仿宋" w:eastAsia="仿宋" w:cs="仿宋"/>
                <w:color w:val="000000"/>
                <w:kern w:val="0"/>
                <w:sz w:val="20"/>
                <w:szCs w:val="20"/>
                <w:lang w:val="en-US" w:eastAsia="zh-CN"/>
              </w:rPr>
              <w:t>5</w:t>
            </w:r>
            <w:r>
              <w:rPr>
                <w:rFonts w:hint="eastAsia" w:ascii="仿宋" w:hAnsi="仿宋" w:eastAsia="仿宋" w:cs="仿宋"/>
                <w:color w:val="000000"/>
                <w:kern w:val="0"/>
                <w:sz w:val="20"/>
                <w:szCs w:val="20"/>
              </w:rPr>
              <w:t>年12月之前完成</w:t>
            </w:r>
          </w:p>
        </w:tc>
        <w:tc>
          <w:tcPr>
            <w:tcW w:w="1134" w:type="dxa"/>
            <w:noWrap w:val="0"/>
            <w:vAlign w:val="center"/>
          </w:tcPr>
          <w:p w14:paraId="6F40153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202</w:t>
            </w:r>
            <w:r>
              <w:rPr>
                <w:rFonts w:hint="eastAsia" w:ascii="仿宋" w:hAnsi="仿宋" w:eastAsia="仿宋" w:cs="仿宋"/>
                <w:color w:val="000000"/>
                <w:kern w:val="0"/>
                <w:sz w:val="20"/>
                <w:szCs w:val="20"/>
                <w:lang w:val="en-US" w:eastAsia="zh-CN"/>
              </w:rPr>
              <w:t>5</w:t>
            </w:r>
            <w:r>
              <w:rPr>
                <w:rFonts w:hint="eastAsia" w:ascii="仿宋" w:hAnsi="仿宋" w:eastAsia="仿宋" w:cs="仿宋"/>
                <w:color w:val="000000"/>
                <w:kern w:val="0"/>
                <w:sz w:val="20"/>
                <w:szCs w:val="20"/>
              </w:rPr>
              <w:t>年12月之前完成</w:t>
            </w:r>
          </w:p>
        </w:tc>
        <w:tc>
          <w:tcPr>
            <w:tcW w:w="828" w:type="dxa"/>
            <w:noWrap w:val="0"/>
            <w:vAlign w:val="center"/>
          </w:tcPr>
          <w:p w14:paraId="3836976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4FD2D4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107D60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A44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56982F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68B132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705233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F280A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42306F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3BEB57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发挥专项资金使用效益</w:t>
            </w:r>
          </w:p>
        </w:tc>
        <w:tc>
          <w:tcPr>
            <w:tcW w:w="1209" w:type="dxa"/>
            <w:noWrap w:val="0"/>
            <w:vAlign w:val="center"/>
          </w:tcPr>
          <w:p w14:paraId="03735C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4280CA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noWrap w:val="0"/>
            <w:vAlign w:val="center"/>
          </w:tcPr>
          <w:p w14:paraId="6D94B2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0C942BF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46D3037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73F3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04F0F3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2E2B06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3E2EE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0EC47F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400ED0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提升地方党刊传播力、引导力、影响力、公信力</w:t>
            </w:r>
          </w:p>
        </w:tc>
        <w:tc>
          <w:tcPr>
            <w:tcW w:w="1209" w:type="dxa"/>
            <w:noWrap w:val="0"/>
            <w:vAlign w:val="center"/>
          </w:tcPr>
          <w:p w14:paraId="0D4626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3D697A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noWrap w:val="0"/>
            <w:vAlign w:val="center"/>
          </w:tcPr>
          <w:p w14:paraId="65B6BA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172FF5D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7585EB6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0E99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515E903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CF4B94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A33E16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4F6232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272C32A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生态效益情况</w:t>
            </w:r>
          </w:p>
        </w:tc>
        <w:tc>
          <w:tcPr>
            <w:tcW w:w="1209" w:type="dxa"/>
            <w:noWrap w:val="0"/>
            <w:vAlign w:val="center"/>
          </w:tcPr>
          <w:p w14:paraId="66BC09D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2730FE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828" w:type="dxa"/>
            <w:noWrap w:val="0"/>
            <w:vAlign w:val="center"/>
          </w:tcPr>
          <w:p w14:paraId="7BE97F8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4E597A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4C1901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E1A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2C5267B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14105C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824A51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473FC5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持续保障政策主张传播</w:t>
            </w:r>
          </w:p>
        </w:tc>
        <w:tc>
          <w:tcPr>
            <w:tcW w:w="1209" w:type="dxa"/>
            <w:noWrap w:val="0"/>
            <w:vAlign w:val="center"/>
          </w:tcPr>
          <w:p w14:paraId="712570E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34" w:type="dxa"/>
            <w:noWrap w:val="0"/>
            <w:vAlign w:val="center"/>
          </w:tcPr>
          <w:p w14:paraId="7357C7D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828" w:type="dxa"/>
            <w:noWrap w:val="0"/>
            <w:vAlign w:val="center"/>
          </w:tcPr>
          <w:p w14:paraId="474005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097D488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09681E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E272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3A0A470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ABB0A6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BFEB1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38B068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2A001A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5D42D2D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群众满意度</w:t>
            </w:r>
          </w:p>
        </w:tc>
        <w:tc>
          <w:tcPr>
            <w:tcW w:w="1209" w:type="dxa"/>
            <w:noWrap w:val="0"/>
            <w:vAlign w:val="center"/>
          </w:tcPr>
          <w:p w14:paraId="499CE7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≥95%</w:t>
            </w:r>
          </w:p>
        </w:tc>
        <w:tc>
          <w:tcPr>
            <w:tcW w:w="1134" w:type="dxa"/>
            <w:noWrap w:val="0"/>
            <w:vAlign w:val="center"/>
          </w:tcPr>
          <w:p w14:paraId="4CFD6F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95%</w:t>
            </w:r>
          </w:p>
        </w:tc>
        <w:tc>
          <w:tcPr>
            <w:tcW w:w="828" w:type="dxa"/>
            <w:noWrap w:val="0"/>
            <w:vAlign w:val="center"/>
          </w:tcPr>
          <w:p w14:paraId="6D9716D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579CD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0860D0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1A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3AF215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318E4DF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06771C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99.90</w:t>
            </w:r>
          </w:p>
        </w:tc>
        <w:tc>
          <w:tcPr>
            <w:tcW w:w="1418" w:type="dxa"/>
            <w:noWrap w:val="0"/>
            <w:vAlign w:val="center"/>
          </w:tcPr>
          <w:p w14:paraId="668D35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41333B85">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赵莹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2026.6.16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13974516181 </w:t>
      </w:r>
    </w:p>
    <w:p w14:paraId="5585A448">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3951A740">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239FE588">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043F61F4">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628685AF">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44BBB546">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2235B514">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1A84581E">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4274D543">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256A93D3">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5D6BFDA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2D5A7D01">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4C272D55">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1F367B11">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185E8DE8">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52597796">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7DE0B28C">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4F03D4E1">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7DC0E774">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455C95D7">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27FD2FCD">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Times New Roman" w:hAnsi="Times New Roman" w:eastAsia="仿宋_GB2312" w:cs="Times New Roman"/>
          <w:snapToGrid/>
          <w:color w:val="000000"/>
          <w:kern w:val="0"/>
          <w:sz w:val="24"/>
          <w:szCs w:val="24"/>
          <w:lang w:val="en-US" w:eastAsia="zh-CN" w:bidi="ar-SA"/>
        </w:rPr>
      </w:pPr>
    </w:p>
    <w:p w14:paraId="4976D522">
      <w:pPr>
        <w:pStyle w:val="2"/>
        <w:rPr>
          <w:rFonts w:hint="eastAsia" w:ascii="Times New Roman" w:hAnsi="Times New Roman" w:eastAsia="仿宋_GB2312" w:cs="Times New Roman"/>
          <w:snapToGrid/>
          <w:color w:val="000000"/>
          <w:kern w:val="0"/>
          <w:sz w:val="24"/>
          <w:szCs w:val="24"/>
          <w:lang w:val="en-US" w:eastAsia="zh-CN" w:bidi="ar-SA"/>
        </w:rPr>
      </w:pPr>
    </w:p>
    <w:p w14:paraId="6F466319">
      <w:pPr>
        <w:pStyle w:val="2"/>
        <w:rPr>
          <w:rFonts w:hint="eastAsia" w:ascii="Times New Roman" w:hAnsi="Times New Roman" w:eastAsia="仿宋_GB2312" w:cs="Times New Roman"/>
          <w:snapToGrid/>
          <w:color w:val="000000"/>
          <w:kern w:val="0"/>
          <w:sz w:val="24"/>
          <w:szCs w:val="24"/>
          <w:lang w:val="en-US" w:eastAsia="zh-CN" w:bidi="ar-SA"/>
        </w:rPr>
      </w:pPr>
    </w:p>
    <w:p w14:paraId="5705BBAB">
      <w:pPr>
        <w:pStyle w:val="2"/>
        <w:rPr>
          <w:rFonts w:hint="eastAsia" w:ascii="Times New Roman" w:hAnsi="Times New Roman" w:eastAsia="仿宋_GB2312" w:cs="Times New Roman"/>
          <w:snapToGrid/>
          <w:color w:val="000000"/>
          <w:kern w:val="0"/>
          <w:sz w:val="24"/>
          <w:szCs w:val="24"/>
          <w:lang w:val="en-US" w:eastAsia="zh-CN" w:bidi="ar-SA"/>
        </w:rPr>
      </w:pPr>
    </w:p>
    <w:p w14:paraId="3D7CEE7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附件3-2</w:t>
      </w:r>
    </w:p>
    <w:p w14:paraId="7F0746FC">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9"/>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3074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730C2F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481E6AE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56E2857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财经办及改革办专项经费</w:t>
            </w:r>
          </w:p>
        </w:tc>
      </w:tr>
      <w:tr w14:paraId="45CD1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321AC6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1C72B24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中共怀化市委政策研究室</w:t>
            </w:r>
          </w:p>
        </w:tc>
        <w:tc>
          <w:tcPr>
            <w:tcW w:w="1134" w:type="dxa"/>
            <w:noWrap w:val="0"/>
            <w:vAlign w:val="center"/>
          </w:tcPr>
          <w:p w14:paraId="2B3D13F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7D3042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中共怀化市委政策研究室</w:t>
            </w:r>
          </w:p>
        </w:tc>
      </w:tr>
      <w:tr w14:paraId="4B5AB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1035FD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41AF51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66E5320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2C365B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16C972F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066D2EE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24FEB6F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319BFA7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189ACA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5D93152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185C6E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8B0A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noWrap w:val="0"/>
            <w:vAlign w:val="center"/>
          </w:tcPr>
          <w:p w14:paraId="126939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6DD57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7CA9E7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60</w:t>
            </w:r>
          </w:p>
        </w:tc>
        <w:tc>
          <w:tcPr>
            <w:tcW w:w="1209" w:type="dxa"/>
            <w:noWrap w:val="0"/>
            <w:vAlign w:val="center"/>
          </w:tcPr>
          <w:p w14:paraId="11157C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60</w:t>
            </w:r>
          </w:p>
        </w:tc>
        <w:tc>
          <w:tcPr>
            <w:tcW w:w="1134" w:type="dxa"/>
            <w:noWrap w:val="0"/>
            <w:vAlign w:val="center"/>
          </w:tcPr>
          <w:p w14:paraId="5F6F57C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41.29</w:t>
            </w:r>
          </w:p>
        </w:tc>
        <w:tc>
          <w:tcPr>
            <w:tcW w:w="828" w:type="dxa"/>
            <w:noWrap w:val="0"/>
            <w:vAlign w:val="center"/>
          </w:tcPr>
          <w:p w14:paraId="64AC8B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1E2EAF5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68.82%</w:t>
            </w:r>
          </w:p>
        </w:tc>
        <w:tc>
          <w:tcPr>
            <w:tcW w:w="1418" w:type="dxa"/>
            <w:noWrap w:val="0"/>
            <w:vAlign w:val="center"/>
          </w:tcPr>
          <w:p w14:paraId="39B4FD5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6.88</w:t>
            </w:r>
          </w:p>
        </w:tc>
      </w:tr>
      <w:tr w14:paraId="78D98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18B2D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F0938D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212787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60</w:t>
            </w:r>
          </w:p>
        </w:tc>
        <w:tc>
          <w:tcPr>
            <w:tcW w:w="1209" w:type="dxa"/>
            <w:noWrap w:val="0"/>
            <w:vAlign w:val="center"/>
          </w:tcPr>
          <w:p w14:paraId="233A708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60</w:t>
            </w:r>
          </w:p>
        </w:tc>
        <w:tc>
          <w:tcPr>
            <w:tcW w:w="1134" w:type="dxa"/>
            <w:noWrap w:val="0"/>
            <w:vAlign w:val="center"/>
          </w:tcPr>
          <w:p w14:paraId="2FB3DA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41.29</w:t>
            </w:r>
          </w:p>
        </w:tc>
        <w:tc>
          <w:tcPr>
            <w:tcW w:w="828" w:type="dxa"/>
            <w:noWrap w:val="0"/>
            <w:vAlign w:val="center"/>
          </w:tcPr>
          <w:p w14:paraId="2123514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4C06762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68.82%</w:t>
            </w:r>
          </w:p>
        </w:tc>
        <w:tc>
          <w:tcPr>
            <w:tcW w:w="1418" w:type="dxa"/>
            <w:noWrap w:val="0"/>
            <w:vAlign w:val="center"/>
          </w:tcPr>
          <w:p w14:paraId="27F5CF3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6.88</w:t>
            </w:r>
          </w:p>
        </w:tc>
      </w:tr>
      <w:tr w14:paraId="6FBD9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6F505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640F9BB">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7C4FB84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5FBCE2D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63AE3E5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4B7E27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0F4399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2C77C99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CAB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738A4B6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623181F">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440CFB5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3BC1E2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7A002B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675042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7D6A93F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7E31C03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4EA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0" w:hRule="atLeast"/>
          <w:jc w:val="center"/>
        </w:trPr>
        <w:tc>
          <w:tcPr>
            <w:tcW w:w="1080" w:type="dxa"/>
            <w:vMerge w:val="restart"/>
            <w:noWrap w:val="0"/>
            <w:vAlign w:val="center"/>
          </w:tcPr>
          <w:p w14:paraId="5C5C04D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3924773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62A329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55D96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0D2C02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469385A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用于财经办工作以及改革办工作。　　</w:t>
            </w:r>
          </w:p>
        </w:tc>
        <w:tc>
          <w:tcPr>
            <w:tcW w:w="4253" w:type="dxa"/>
            <w:gridSpan w:val="4"/>
            <w:noWrap w:val="0"/>
            <w:vAlign w:val="center"/>
          </w:tcPr>
          <w:p w14:paraId="3BC876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用于财经办工作以及改革办工作。</w:t>
            </w:r>
          </w:p>
        </w:tc>
      </w:tr>
      <w:tr w14:paraId="41D8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0" w:hRule="atLeast"/>
          <w:jc w:val="center"/>
        </w:trPr>
        <w:tc>
          <w:tcPr>
            <w:tcW w:w="1080" w:type="dxa"/>
            <w:vMerge w:val="restart"/>
            <w:noWrap w:val="0"/>
            <w:vAlign w:val="center"/>
          </w:tcPr>
          <w:p w14:paraId="164E050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D630F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73D026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874EA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4E5439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4421AFB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3E3EA8C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005256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62A76E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74C10DC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2FE2D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33C5C0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49DE44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4C7209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435C23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25E239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5756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080" w:type="dxa"/>
            <w:vMerge w:val="continue"/>
            <w:noWrap w:val="0"/>
            <w:vAlign w:val="center"/>
          </w:tcPr>
          <w:p w14:paraId="02436A2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D8404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30497F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1C0095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财经办及改革办专项经费</w:t>
            </w:r>
          </w:p>
        </w:tc>
        <w:tc>
          <w:tcPr>
            <w:tcW w:w="1209" w:type="dxa"/>
            <w:noWrap w:val="0"/>
            <w:vAlign w:val="center"/>
          </w:tcPr>
          <w:p w14:paraId="34A44F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≤60万元</w:t>
            </w:r>
          </w:p>
        </w:tc>
        <w:tc>
          <w:tcPr>
            <w:tcW w:w="1134" w:type="dxa"/>
            <w:noWrap w:val="0"/>
            <w:vAlign w:val="center"/>
          </w:tcPr>
          <w:p w14:paraId="06F6F06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41.29万元</w:t>
            </w:r>
          </w:p>
        </w:tc>
        <w:tc>
          <w:tcPr>
            <w:tcW w:w="828" w:type="dxa"/>
            <w:noWrap w:val="0"/>
            <w:vAlign w:val="center"/>
          </w:tcPr>
          <w:p w14:paraId="7138639B">
            <w:pPr>
              <w:keepNext w:val="0"/>
              <w:keepLines w:val="0"/>
              <w:pageBreakBefore w:val="0"/>
              <w:widowControl/>
              <w:tabs>
                <w:tab w:val="left" w:pos="375"/>
              </w:tabs>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5504269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732313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5C3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197535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8B90C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7E9F47A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322E517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15B212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noWrap w:val="0"/>
            <w:vAlign w:val="center"/>
          </w:tcPr>
          <w:p w14:paraId="742D37A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 xml:space="preserve">  0%</w:t>
            </w:r>
          </w:p>
        </w:tc>
        <w:tc>
          <w:tcPr>
            <w:tcW w:w="828" w:type="dxa"/>
            <w:noWrap w:val="0"/>
            <w:vAlign w:val="center"/>
          </w:tcPr>
          <w:p w14:paraId="396D22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C3A50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811D3B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1AC1F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3C9047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8E203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D3049F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080BB22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65FB61D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1134" w:type="dxa"/>
            <w:noWrap w:val="0"/>
            <w:vAlign w:val="center"/>
          </w:tcPr>
          <w:p w14:paraId="19A56B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 xml:space="preserve">  0%</w:t>
            </w:r>
          </w:p>
        </w:tc>
        <w:tc>
          <w:tcPr>
            <w:tcW w:w="828" w:type="dxa"/>
            <w:noWrap w:val="0"/>
            <w:vAlign w:val="center"/>
          </w:tcPr>
          <w:p w14:paraId="0100D53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78439D6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15F2502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0B73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0DB371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AA18F6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1F4954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844D47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29AB2F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相关政策、建议被采纳次数</w:t>
            </w:r>
          </w:p>
        </w:tc>
        <w:tc>
          <w:tcPr>
            <w:tcW w:w="1209" w:type="dxa"/>
            <w:noWrap w:val="0"/>
            <w:vAlign w:val="center"/>
          </w:tcPr>
          <w:p w14:paraId="67D84D0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1次</w:t>
            </w:r>
          </w:p>
        </w:tc>
        <w:tc>
          <w:tcPr>
            <w:tcW w:w="1134" w:type="dxa"/>
            <w:noWrap w:val="0"/>
            <w:vAlign w:val="center"/>
          </w:tcPr>
          <w:p w14:paraId="0C95DF5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1次</w:t>
            </w:r>
          </w:p>
        </w:tc>
        <w:tc>
          <w:tcPr>
            <w:tcW w:w="828" w:type="dxa"/>
            <w:noWrap w:val="0"/>
            <w:vAlign w:val="center"/>
          </w:tcPr>
          <w:p w14:paraId="1B52315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1F481E3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17C448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2294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68776F5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D79A9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65DBD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4CE3F2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改革工作会议举办达标率</w:t>
            </w:r>
          </w:p>
        </w:tc>
        <w:tc>
          <w:tcPr>
            <w:tcW w:w="1209" w:type="dxa"/>
            <w:noWrap w:val="0"/>
            <w:vAlign w:val="center"/>
          </w:tcPr>
          <w:p w14:paraId="06EC589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5722D46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2D97E9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01E1A3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A1C4F4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9FF7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1" w:hRule="atLeast"/>
          <w:jc w:val="center"/>
        </w:trPr>
        <w:tc>
          <w:tcPr>
            <w:tcW w:w="1080" w:type="dxa"/>
            <w:vMerge w:val="continue"/>
            <w:noWrap w:val="0"/>
            <w:vAlign w:val="center"/>
          </w:tcPr>
          <w:p w14:paraId="40EE1F0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B64A2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1A2D5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3784358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209" w:type="dxa"/>
            <w:noWrap w:val="0"/>
            <w:vAlign w:val="center"/>
          </w:tcPr>
          <w:p w14:paraId="7170DF5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w:t>
            </w:r>
            <w:r>
              <w:rPr>
                <w:rFonts w:hint="eastAsia" w:ascii="仿宋" w:hAnsi="仿宋" w:eastAsia="仿宋" w:cs="仿宋"/>
                <w:color w:val="000000"/>
                <w:kern w:val="0"/>
                <w:sz w:val="20"/>
                <w:szCs w:val="20"/>
                <w:lang w:val="en-US" w:eastAsia="zh-CN"/>
              </w:rPr>
              <w:t>5</w:t>
            </w:r>
            <w:r>
              <w:rPr>
                <w:rFonts w:hint="eastAsia" w:ascii="仿宋" w:hAnsi="仿宋" w:eastAsia="仿宋" w:cs="仿宋"/>
                <w:color w:val="000000"/>
                <w:kern w:val="0"/>
                <w:sz w:val="20"/>
                <w:szCs w:val="20"/>
              </w:rPr>
              <w:t>年12月前完成</w:t>
            </w:r>
          </w:p>
        </w:tc>
        <w:tc>
          <w:tcPr>
            <w:tcW w:w="1134" w:type="dxa"/>
            <w:noWrap w:val="0"/>
            <w:vAlign w:val="center"/>
          </w:tcPr>
          <w:p w14:paraId="5E3A2BC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w:t>
            </w:r>
            <w:r>
              <w:rPr>
                <w:rFonts w:hint="eastAsia" w:ascii="仿宋" w:hAnsi="仿宋" w:eastAsia="仿宋" w:cs="仿宋"/>
                <w:color w:val="000000"/>
                <w:kern w:val="0"/>
                <w:sz w:val="20"/>
                <w:szCs w:val="20"/>
                <w:lang w:val="en-US" w:eastAsia="zh-CN"/>
              </w:rPr>
              <w:t>5</w:t>
            </w:r>
            <w:r>
              <w:rPr>
                <w:rFonts w:hint="eastAsia" w:ascii="仿宋" w:hAnsi="仿宋" w:eastAsia="仿宋" w:cs="仿宋"/>
                <w:color w:val="000000"/>
                <w:kern w:val="0"/>
                <w:sz w:val="20"/>
                <w:szCs w:val="20"/>
              </w:rPr>
              <w:t>年12月前完成</w:t>
            </w:r>
          </w:p>
        </w:tc>
        <w:tc>
          <w:tcPr>
            <w:tcW w:w="828" w:type="dxa"/>
            <w:noWrap w:val="0"/>
            <w:vAlign w:val="center"/>
          </w:tcPr>
          <w:p w14:paraId="16B65F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ABB9F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1EA886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A8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2CC25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72CD5F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416C22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33BDC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2D282E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446BC76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开展经济运行分析，服务经济发展</w:t>
            </w:r>
          </w:p>
        </w:tc>
        <w:tc>
          <w:tcPr>
            <w:tcW w:w="1209" w:type="dxa"/>
            <w:noWrap w:val="0"/>
            <w:vAlign w:val="center"/>
          </w:tcPr>
          <w:p w14:paraId="3ACD0E6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655A1D3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6A9FE7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3F87700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6EA605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D0BF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935E69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0F0407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48C636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FB4BDE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74BBDE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加快推进财税综合信息平台建设</w:t>
            </w:r>
          </w:p>
        </w:tc>
        <w:tc>
          <w:tcPr>
            <w:tcW w:w="1209" w:type="dxa"/>
            <w:noWrap w:val="0"/>
            <w:vAlign w:val="center"/>
          </w:tcPr>
          <w:p w14:paraId="302369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3D3A96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5D95328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46FBBC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2D5190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A556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3F0421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C8263C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98B77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494B14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53136CE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生态效益情况</w:t>
            </w:r>
          </w:p>
        </w:tc>
        <w:tc>
          <w:tcPr>
            <w:tcW w:w="1209" w:type="dxa"/>
            <w:noWrap w:val="0"/>
            <w:vAlign w:val="center"/>
          </w:tcPr>
          <w:p w14:paraId="605369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7E5BAF3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7470E91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7591A87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60A9B5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A531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7298B4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0167642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B0105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5FE526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深化财税综合治理</w:t>
            </w:r>
          </w:p>
        </w:tc>
        <w:tc>
          <w:tcPr>
            <w:tcW w:w="1209" w:type="dxa"/>
            <w:noWrap w:val="0"/>
            <w:vAlign w:val="center"/>
          </w:tcPr>
          <w:p w14:paraId="45645FB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603C63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521CCF8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BB632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E068BC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79EC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0769E1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81778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26716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1081B9C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242D05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38BCD2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使用人员满意度</w:t>
            </w:r>
          </w:p>
        </w:tc>
        <w:tc>
          <w:tcPr>
            <w:tcW w:w="1209" w:type="dxa"/>
            <w:noWrap w:val="0"/>
            <w:vAlign w:val="center"/>
          </w:tcPr>
          <w:p w14:paraId="73EE1B4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1134" w:type="dxa"/>
            <w:noWrap w:val="0"/>
            <w:vAlign w:val="center"/>
          </w:tcPr>
          <w:p w14:paraId="067745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0951D8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1E5B57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1B359D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94FC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6B24C8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10152C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26D81B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96.88</w:t>
            </w:r>
          </w:p>
        </w:tc>
        <w:tc>
          <w:tcPr>
            <w:tcW w:w="1418" w:type="dxa"/>
            <w:noWrap w:val="0"/>
            <w:vAlign w:val="center"/>
          </w:tcPr>
          <w:p w14:paraId="4A0C7B5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5CB57C6A">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赵莹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2026.6.16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13974516181 </w:t>
      </w:r>
    </w:p>
    <w:p w14:paraId="2E21F500">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26F18A5C">
      <w:pPr>
        <w:pStyle w:val="2"/>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77C9253C">
      <w:pPr>
        <w:pStyle w:val="2"/>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2D44D1D1">
      <w:pPr>
        <w:pStyle w:val="2"/>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24C28664">
      <w:pPr>
        <w:pStyle w:val="2"/>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42A77911">
      <w:pPr>
        <w:pStyle w:val="2"/>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0D720031">
      <w:pPr>
        <w:pStyle w:val="2"/>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331B80C9">
      <w:pPr>
        <w:pStyle w:val="2"/>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46D68629">
      <w:pPr>
        <w:pStyle w:val="2"/>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425179AC">
      <w:pPr>
        <w:pStyle w:val="2"/>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1CBADD10">
      <w:pPr>
        <w:pStyle w:val="2"/>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04BB20E3">
      <w:pPr>
        <w:pStyle w:val="2"/>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614AD1BB">
      <w:pPr>
        <w:pStyle w:val="2"/>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48F39E01">
      <w:pPr>
        <w:pStyle w:val="2"/>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662145EA">
      <w:pPr>
        <w:pStyle w:val="2"/>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p w14:paraId="0D2799F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auto"/>
    <w:pitch w:val="default"/>
    <w:sig w:usb0="00000000" w:usb1="00000000"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文泉驿微米黑">
    <w:panose1 w:val="020B0606030804020204"/>
    <w:charset w:val="86"/>
    <w:family w:val="auto"/>
    <w:pitch w:val="default"/>
    <w:sig w:usb0="E10002EF" w:usb1="6BDFFCFB" w:usb2="00800036" w:usb3="00000000" w:csb0="603E019F" w:csb1="DFD7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54CEA">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DE025B">
                          <w:pPr>
                            <w:pStyle w:val="6"/>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EDE025B">
                    <w:pPr>
                      <w:pStyle w:val="6"/>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CB6639"/>
    <w:multiLevelType w:val="singleLevel"/>
    <w:tmpl w:val="9ACB6639"/>
    <w:lvl w:ilvl="0" w:tentative="0">
      <w:start w:val="5"/>
      <w:numFmt w:val="chineseCounting"/>
      <w:suff w:val="nothing"/>
      <w:lvlText w:val="%1、"/>
      <w:lvlJc w:val="left"/>
      <w:pPr>
        <w:ind w:left="630"/>
      </w:pPr>
      <w:rPr>
        <w:rFonts w:hint="eastAsia"/>
      </w:rPr>
    </w:lvl>
  </w:abstractNum>
  <w:abstractNum w:abstractNumId="1">
    <w:nsid w:val="E20A4574"/>
    <w:multiLevelType w:val="singleLevel"/>
    <w:tmpl w:val="E20A4574"/>
    <w:lvl w:ilvl="0" w:tentative="0">
      <w:start w:val="10"/>
      <w:numFmt w:val="chineseCounting"/>
      <w:suff w:val="nothing"/>
      <w:lvlText w:val="%1、"/>
      <w:lvlJc w:val="left"/>
      <w:rPr>
        <w:rFonts w:hint="eastAsia"/>
      </w:rPr>
    </w:lvl>
  </w:abstractNum>
  <w:abstractNum w:abstractNumId="2">
    <w:nsid w:val="5B1FC313"/>
    <w:multiLevelType w:val="singleLevel"/>
    <w:tmpl w:val="5B1FC313"/>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jYmJkZTgyZjQzZTk3ZTUzMWNlNWIzZDJmYjY5OGMifQ=="/>
    <w:docVar w:name="KSO_WPS_MARK_KEY" w:val="9920a277-c0c3-43b4-93d3-1636fe398e0b"/>
  </w:docVars>
  <w:rsids>
    <w:rsidRoot w:val="753C4E9B"/>
    <w:rsid w:val="00100BA1"/>
    <w:rsid w:val="004479E5"/>
    <w:rsid w:val="007756C4"/>
    <w:rsid w:val="009E5347"/>
    <w:rsid w:val="00A3295D"/>
    <w:rsid w:val="00EA233A"/>
    <w:rsid w:val="010F1DA1"/>
    <w:rsid w:val="012A4E2C"/>
    <w:rsid w:val="01973B44"/>
    <w:rsid w:val="01987FE8"/>
    <w:rsid w:val="01ED0EB7"/>
    <w:rsid w:val="01FF0067"/>
    <w:rsid w:val="021A6C4F"/>
    <w:rsid w:val="02385327"/>
    <w:rsid w:val="029702A0"/>
    <w:rsid w:val="02A1111E"/>
    <w:rsid w:val="02E01C47"/>
    <w:rsid w:val="02E5725D"/>
    <w:rsid w:val="030D0562"/>
    <w:rsid w:val="030F42DA"/>
    <w:rsid w:val="03716D43"/>
    <w:rsid w:val="03764359"/>
    <w:rsid w:val="041D47D5"/>
    <w:rsid w:val="043D09D3"/>
    <w:rsid w:val="05191440"/>
    <w:rsid w:val="052F448C"/>
    <w:rsid w:val="05410997"/>
    <w:rsid w:val="057E5747"/>
    <w:rsid w:val="05900FD6"/>
    <w:rsid w:val="05D2339D"/>
    <w:rsid w:val="05E95AA6"/>
    <w:rsid w:val="05F23A3F"/>
    <w:rsid w:val="06020126"/>
    <w:rsid w:val="06113EC5"/>
    <w:rsid w:val="062E0F1B"/>
    <w:rsid w:val="06400C4E"/>
    <w:rsid w:val="067F3525"/>
    <w:rsid w:val="06840B3B"/>
    <w:rsid w:val="06CE625A"/>
    <w:rsid w:val="06D01FD2"/>
    <w:rsid w:val="06E25698"/>
    <w:rsid w:val="070E48A8"/>
    <w:rsid w:val="07100621"/>
    <w:rsid w:val="07267E44"/>
    <w:rsid w:val="077C1812"/>
    <w:rsid w:val="07911761"/>
    <w:rsid w:val="07A82607"/>
    <w:rsid w:val="08054A1E"/>
    <w:rsid w:val="08907C6B"/>
    <w:rsid w:val="089D4136"/>
    <w:rsid w:val="090441B5"/>
    <w:rsid w:val="09510A7C"/>
    <w:rsid w:val="095F3199"/>
    <w:rsid w:val="09A6526C"/>
    <w:rsid w:val="09EB2C7F"/>
    <w:rsid w:val="09FE0C04"/>
    <w:rsid w:val="0A146178"/>
    <w:rsid w:val="0A7964DD"/>
    <w:rsid w:val="0A8C090D"/>
    <w:rsid w:val="0AA95014"/>
    <w:rsid w:val="0ADB2CF4"/>
    <w:rsid w:val="0B330D82"/>
    <w:rsid w:val="0B6251C3"/>
    <w:rsid w:val="0BB35A1E"/>
    <w:rsid w:val="0BCD088E"/>
    <w:rsid w:val="0BD04822"/>
    <w:rsid w:val="0BFA364D"/>
    <w:rsid w:val="0C006EB6"/>
    <w:rsid w:val="0C0F70F9"/>
    <w:rsid w:val="0C1350F2"/>
    <w:rsid w:val="0C180A78"/>
    <w:rsid w:val="0C210BDA"/>
    <w:rsid w:val="0C4A6383"/>
    <w:rsid w:val="0C547201"/>
    <w:rsid w:val="0C5E1E2E"/>
    <w:rsid w:val="0C676F35"/>
    <w:rsid w:val="0C6E02C3"/>
    <w:rsid w:val="0C970E9C"/>
    <w:rsid w:val="0CD43E9E"/>
    <w:rsid w:val="0D1D75F3"/>
    <w:rsid w:val="0D276746"/>
    <w:rsid w:val="0D464D9C"/>
    <w:rsid w:val="0D5B011C"/>
    <w:rsid w:val="0D814026"/>
    <w:rsid w:val="0D841421"/>
    <w:rsid w:val="0DD52794"/>
    <w:rsid w:val="0DF30354"/>
    <w:rsid w:val="0E5E6115"/>
    <w:rsid w:val="0E71409B"/>
    <w:rsid w:val="0E956870"/>
    <w:rsid w:val="0EA37FCC"/>
    <w:rsid w:val="0EA63619"/>
    <w:rsid w:val="0EB421D9"/>
    <w:rsid w:val="0EB65F51"/>
    <w:rsid w:val="0EBE2CDE"/>
    <w:rsid w:val="0EC3241C"/>
    <w:rsid w:val="0EF44384"/>
    <w:rsid w:val="0F2E3D3A"/>
    <w:rsid w:val="0F694D72"/>
    <w:rsid w:val="0FF30ADF"/>
    <w:rsid w:val="10060813"/>
    <w:rsid w:val="10120F66"/>
    <w:rsid w:val="1077526D"/>
    <w:rsid w:val="108D4A90"/>
    <w:rsid w:val="10A818CA"/>
    <w:rsid w:val="10C666A5"/>
    <w:rsid w:val="10D0497D"/>
    <w:rsid w:val="10EE19D3"/>
    <w:rsid w:val="11166833"/>
    <w:rsid w:val="113849FC"/>
    <w:rsid w:val="114E2471"/>
    <w:rsid w:val="11D30BC8"/>
    <w:rsid w:val="11F76665"/>
    <w:rsid w:val="12130FC5"/>
    <w:rsid w:val="1223366A"/>
    <w:rsid w:val="12280F14"/>
    <w:rsid w:val="12706417"/>
    <w:rsid w:val="128679E9"/>
    <w:rsid w:val="129739A4"/>
    <w:rsid w:val="1299596E"/>
    <w:rsid w:val="12AA7B7B"/>
    <w:rsid w:val="12B46304"/>
    <w:rsid w:val="12E27315"/>
    <w:rsid w:val="13144FF5"/>
    <w:rsid w:val="135C548B"/>
    <w:rsid w:val="13653AA2"/>
    <w:rsid w:val="136C3083"/>
    <w:rsid w:val="13A24CF6"/>
    <w:rsid w:val="13B011C1"/>
    <w:rsid w:val="13C95BEE"/>
    <w:rsid w:val="13D749A0"/>
    <w:rsid w:val="13E56991"/>
    <w:rsid w:val="13F217DA"/>
    <w:rsid w:val="13FA68E0"/>
    <w:rsid w:val="1404150D"/>
    <w:rsid w:val="143877FD"/>
    <w:rsid w:val="148443FC"/>
    <w:rsid w:val="14997EA7"/>
    <w:rsid w:val="14A16D5C"/>
    <w:rsid w:val="14AD74AF"/>
    <w:rsid w:val="14C111AC"/>
    <w:rsid w:val="14D47131"/>
    <w:rsid w:val="14EB7FD7"/>
    <w:rsid w:val="15877D00"/>
    <w:rsid w:val="159F14ED"/>
    <w:rsid w:val="15C56A7A"/>
    <w:rsid w:val="16726C02"/>
    <w:rsid w:val="168B1A72"/>
    <w:rsid w:val="16974786"/>
    <w:rsid w:val="16F21AF1"/>
    <w:rsid w:val="16FA2753"/>
    <w:rsid w:val="17546308"/>
    <w:rsid w:val="179E3A27"/>
    <w:rsid w:val="17FCFFF6"/>
    <w:rsid w:val="18702CCD"/>
    <w:rsid w:val="18A1732B"/>
    <w:rsid w:val="18B502E6"/>
    <w:rsid w:val="18CE20EA"/>
    <w:rsid w:val="192B46DC"/>
    <w:rsid w:val="19483C4A"/>
    <w:rsid w:val="199B021E"/>
    <w:rsid w:val="19B117EF"/>
    <w:rsid w:val="19C31523"/>
    <w:rsid w:val="19E805B2"/>
    <w:rsid w:val="19EE2A43"/>
    <w:rsid w:val="1A4408B5"/>
    <w:rsid w:val="1A475CB0"/>
    <w:rsid w:val="1A9058A9"/>
    <w:rsid w:val="1AB33345"/>
    <w:rsid w:val="1AC45552"/>
    <w:rsid w:val="1AC9700C"/>
    <w:rsid w:val="1AD05CA5"/>
    <w:rsid w:val="1AF71484"/>
    <w:rsid w:val="1AFF658A"/>
    <w:rsid w:val="1B19589E"/>
    <w:rsid w:val="1B300E3A"/>
    <w:rsid w:val="1B3C3125"/>
    <w:rsid w:val="1B642891"/>
    <w:rsid w:val="1BB43819"/>
    <w:rsid w:val="1BE93A56"/>
    <w:rsid w:val="1C5F3784"/>
    <w:rsid w:val="1CBF872E"/>
    <w:rsid w:val="1D181B85"/>
    <w:rsid w:val="1D743260"/>
    <w:rsid w:val="1D927B8A"/>
    <w:rsid w:val="1DD41F50"/>
    <w:rsid w:val="1DD51824"/>
    <w:rsid w:val="1DE859FC"/>
    <w:rsid w:val="1E0740D4"/>
    <w:rsid w:val="1E3B1FCF"/>
    <w:rsid w:val="1E492D06"/>
    <w:rsid w:val="1E5D0198"/>
    <w:rsid w:val="1E8C282B"/>
    <w:rsid w:val="1EC91389"/>
    <w:rsid w:val="1F120F82"/>
    <w:rsid w:val="1F2E38E2"/>
    <w:rsid w:val="1F3E1D77"/>
    <w:rsid w:val="1F3F5AEF"/>
    <w:rsid w:val="1F737547"/>
    <w:rsid w:val="1F884DA0"/>
    <w:rsid w:val="20016901"/>
    <w:rsid w:val="206770AC"/>
    <w:rsid w:val="20D858B3"/>
    <w:rsid w:val="20E73D48"/>
    <w:rsid w:val="21515666"/>
    <w:rsid w:val="21667363"/>
    <w:rsid w:val="217557F8"/>
    <w:rsid w:val="21893052"/>
    <w:rsid w:val="22370D00"/>
    <w:rsid w:val="224B1552"/>
    <w:rsid w:val="22877591"/>
    <w:rsid w:val="228E32C0"/>
    <w:rsid w:val="22B45EAC"/>
    <w:rsid w:val="22FE234B"/>
    <w:rsid w:val="23144B9D"/>
    <w:rsid w:val="23270D74"/>
    <w:rsid w:val="232B2612"/>
    <w:rsid w:val="23305E7B"/>
    <w:rsid w:val="23675615"/>
    <w:rsid w:val="23931F66"/>
    <w:rsid w:val="24390D5F"/>
    <w:rsid w:val="24417C14"/>
    <w:rsid w:val="244F40DF"/>
    <w:rsid w:val="24A7216D"/>
    <w:rsid w:val="2527505B"/>
    <w:rsid w:val="25331C52"/>
    <w:rsid w:val="2536529E"/>
    <w:rsid w:val="253E5089"/>
    <w:rsid w:val="25665B84"/>
    <w:rsid w:val="25822292"/>
    <w:rsid w:val="25C24D84"/>
    <w:rsid w:val="26284BE7"/>
    <w:rsid w:val="26526108"/>
    <w:rsid w:val="26834513"/>
    <w:rsid w:val="26A30712"/>
    <w:rsid w:val="26FD2518"/>
    <w:rsid w:val="27135897"/>
    <w:rsid w:val="27181100"/>
    <w:rsid w:val="272A2BE1"/>
    <w:rsid w:val="272C0707"/>
    <w:rsid w:val="27361586"/>
    <w:rsid w:val="273B094A"/>
    <w:rsid w:val="2753038A"/>
    <w:rsid w:val="275A34C6"/>
    <w:rsid w:val="277E6F02"/>
    <w:rsid w:val="27822A1D"/>
    <w:rsid w:val="279B3ADF"/>
    <w:rsid w:val="27AA532B"/>
    <w:rsid w:val="27E965F8"/>
    <w:rsid w:val="27FF3F53"/>
    <w:rsid w:val="283C0E1E"/>
    <w:rsid w:val="285048C9"/>
    <w:rsid w:val="285C6DCA"/>
    <w:rsid w:val="2874680A"/>
    <w:rsid w:val="28893937"/>
    <w:rsid w:val="289522DC"/>
    <w:rsid w:val="28956780"/>
    <w:rsid w:val="28AD6508"/>
    <w:rsid w:val="28D15A0A"/>
    <w:rsid w:val="28E62B38"/>
    <w:rsid w:val="290A2CCA"/>
    <w:rsid w:val="29990575"/>
    <w:rsid w:val="29E53FA6"/>
    <w:rsid w:val="29FD45DD"/>
    <w:rsid w:val="2A0B0AA8"/>
    <w:rsid w:val="2A1011D5"/>
    <w:rsid w:val="2A261D85"/>
    <w:rsid w:val="2A331DAD"/>
    <w:rsid w:val="2A900FAD"/>
    <w:rsid w:val="2AAA4765"/>
    <w:rsid w:val="2AF6742D"/>
    <w:rsid w:val="2B146082"/>
    <w:rsid w:val="2B3C2EE3"/>
    <w:rsid w:val="2B536BAA"/>
    <w:rsid w:val="2B8925CC"/>
    <w:rsid w:val="2B9B22FF"/>
    <w:rsid w:val="2BA07916"/>
    <w:rsid w:val="2C31056E"/>
    <w:rsid w:val="2C626979"/>
    <w:rsid w:val="2C93685B"/>
    <w:rsid w:val="2CA156F3"/>
    <w:rsid w:val="2CE657FC"/>
    <w:rsid w:val="2CF20571"/>
    <w:rsid w:val="2D016192"/>
    <w:rsid w:val="2D0314F6"/>
    <w:rsid w:val="2D7050C6"/>
    <w:rsid w:val="2DD12008"/>
    <w:rsid w:val="2E440A2C"/>
    <w:rsid w:val="2E5A3DAC"/>
    <w:rsid w:val="2E70537D"/>
    <w:rsid w:val="2E951288"/>
    <w:rsid w:val="2EA15E7F"/>
    <w:rsid w:val="2EEA3285"/>
    <w:rsid w:val="2EF7784D"/>
    <w:rsid w:val="2F0B19D5"/>
    <w:rsid w:val="2F11754B"/>
    <w:rsid w:val="2F407445"/>
    <w:rsid w:val="2F4A02C4"/>
    <w:rsid w:val="2F5702EB"/>
    <w:rsid w:val="2F5858C3"/>
    <w:rsid w:val="2F7D2448"/>
    <w:rsid w:val="2FC43093"/>
    <w:rsid w:val="2FC7536F"/>
    <w:rsid w:val="300A1801"/>
    <w:rsid w:val="303D3985"/>
    <w:rsid w:val="309061AB"/>
    <w:rsid w:val="3095731D"/>
    <w:rsid w:val="30E3452C"/>
    <w:rsid w:val="30F71ED2"/>
    <w:rsid w:val="310B3EA9"/>
    <w:rsid w:val="311F12DD"/>
    <w:rsid w:val="312A2265"/>
    <w:rsid w:val="316577FF"/>
    <w:rsid w:val="31886E82"/>
    <w:rsid w:val="31B934DF"/>
    <w:rsid w:val="31C51E84"/>
    <w:rsid w:val="31ED4F37"/>
    <w:rsid w:val="3203475A"/>
    <w:rsid w:val="32171FB4"/>
    <w:rsid w:val="324E00CB"/>
    <w:rsid w:val="32546D64"/>
    <w:rsid w:val="32933D30"/>
    <w:rsid w:val="32C24615"/>
    <w:rsid w:val="32C263C3"/>
    <w:rsid w:val="32C75788"/>
    <w:rsid w:val="32E97DF4"/>
    <w:rsid w:val="333F3E43"/>
    <w:rsid w:val="337E053C"/>
    <w:rsid w:val="33A53D1B"/>
    <w:rsid w:val="33B2468A"/>
    <w:rsid w:val="34034EE6"/>
    <w:rsid w:val="34592D57"/>
    <w:rsid w:val="34D0301A"/>
    <w:rsid w:val="34D76ADF"/>
    <w:rsid w:val="34F32864"/>
    <w:rsid w:val="355F7EFA"/>
    <w:rsid w:val="3575596F"/>
    <w:rsid w:val="357A4D33"/>
    <w:rsid w:val="358856A2"/>
    <w:rsid w:val="35A10512"/>
    <w:rsid w:val="35B30245"/>
    <w:rsid w:val="35C16E06"/>
    <w:rsid w:val="35FE3BB6"/>
    <w:rsid w:val="36010FB1"/>
    <w:rsid w:val="3632560E"/>
    <w:rsid w:val="365867F6"/>
    <w:rsid w:val="36633A19"/>
    <w:rsid w:val="369736C3"/>
    <w:rsid w:val="369D33CF"/>
    <w:rsid w:val="36BE6EA2"/>
    <w:rsid w:val="36D641EB"/>
    <w:rsid w:val="36E3011C"/>
    <w:rsid w:val="36FC0F5D"/>
    <w:rsid w:val="36FC6348"/>
    <w:rsid w:val="37074CED"/>
    <w:rsid w:val="37133692"/>
    <w:rsid w:val="3757357E"/>
    <w:rsid w:val="375773F8"/>
    <w:rsid w:val="37647A49"/>
    <w:rsid w:val="37856E75"/>
    <w:rsid w:val="3787198A"/>
    <w:rsid w:val="37A34A15"/>
    <w:rsid w:val="37CE75B8"/>
    <w:rsid w:val="381E409C"/>
    <w:rsid w:val="383438BF"/>
    <w:rsid w:val="38697005"/>
    <w:rsid w:val="38740160"/>
    <w:rsid w:val="38767A34"/>
    <w:rsid w:val="38787C50"/>
    <w:rsid w:val="38BF587F"/>
    <w:rsid w:val="3911775D"/>
    <w:rsid w:val="39227BBC"/>
    <w:rsid w:val="393E32BB"/>
    <w:rsid w:val="393F076E"/>
    <w:rsid w:val="39974106"/>
    <w:rsid w:val="39BA6046"/>
    <w:rsid w:val="39C944DB"/>
    <w:rsid w:val="3A125E82"/>
    <w:rsid w:val="3A15327D"/>
    <w:rsid w:val="3A3A5C00"/>
    <w:rsid w:val="3A8C79E3"/>
    <w:rsid w:val="3A8D5509"/>
    <w:rsid w:val="3A995C5C"/>
    <w:rsid w:val="3AA52853"/>
    <w:rsid w:val="3AC161F9"/>
    <w:rsid w:val="3ADE3FB6"/>
    <w:rsid w:val="3AE8273F"/>
    <w:rsid w:val="3AF31810"/>
    <w:rsid w:val="3B1D688D"/>
    <w:rsid w:val="3B2E2848"/>
    <w:rsid w:val="3B585B17"/>
    <w:rsid w:val="3BD86C58"/>
    <w:rsid w:val="3BDB4052"/>
    <w:rsid w:val="3BE15B0C"/>
    <w:rsid w:val="3C7C75E3"/>
    <w:rsid w:val="3CC46833"/>
    <w:rsid w:val="3CCB2319"/>
    <w:rsid w:val="3CED228F"/>
    <w:rsid w:val="3D09356D"/>
    <w:rsid w:val="3D121CF5"/>
    <w:rsid w:val="3D204412"/>
    <w:rsid w:val="3D673DEF"/>
    <w:rsid w:val="3D9E6724"/>
    <w:rsid w:val="3DE2791A"/>
    <w:rsid w:val="3DEA67CE"/>
    <w:rsid w:val="3E75253C"/>
    <w:rsid w:val="3E832EAB"/>
    <w:rsid w:val="3EFB6EE5"/>
    <w:rsid w:val="3EFDDE87"/>
    <w:rsid w:val="3F316DAB"/>
    <w:rsid w:val="3F5605BF"/>
    <w:rsid w:val="3F696545"/>
    <w:rsid w:val="3F9B06C8"/>
    <w:rsid w:val="3FC25C55"/>
    <w:rsid w:val="3FC4377B"/>
    <w:rsid w:val="3FC512A1"/>
    <w:rsid w:val="3FD85478"/>
    <w:rsid w:val="3FEB51AC"/>
    <w:rsid w:val="409A0980"/>
    <w:rsid w:val="409B6FCA"/>
    <w:rsid w:val="40B41A41"/>
    <w:rsid w:val="40E439A9"/>
    <w:rsid w:val="40F55BB6"/>
    <w:rsid w:val="4162149D"/>
    <w:rsid w:val="418036D2"/>
    <w:rsid w:val="41911D83"/>
    <w:rsid w:val="419B2857"/>
    <w:rsid w:val="41AF045B"/>
    <w:rsid w:val="41C23CEA"/>
    <w:rsid w:val="41D13F2D"/>
    <w:rsid w:val="41D71DA8"/>
    <w:rsid w:val="41E06866"/>
    <w:rsid w:val="41E33C60"/>
    <w:rsid w:val="41E579D9"/>
    <w:rsid w:val="42340929"/>
    <w:rsid w:val="429A6A15"/>
    <w:rsid w:val="42AC04F6"/>
    <w:rsid w:val="42E44134"/>
    <w:rsid w:val="42ED123B"/>
    <w:rsid w:val="42F223AD"/>
    <w:rsid w:val="430B346F"/>
    <w:rsid w:val="435C3CCA"/>
    <w:rsid w:val="436F7EA2"/>
    <w:rsid w:val="43761230"/>
    <w:rsid w:val="442E5667"/>
    <w:rsid w:val="44476729"/>
    <w:rsid w:val="44935E12"/>
    <w:rsid w:val="44B244EA"/>
    <w:rsid w:val="45091C30"/>
    <w:rsid w:val="454964D0"/>
    <w:rsid w:val="459D5F2E"/>
    <w:rsid w:val="45CF2E79"/>
    <w:rsid w:val="45F96148"/>
    <w:rsid w:val="4614088C"/>
    <w:rsid w:val="46250CEB"/>
    <w:rsid w:val="46274A64"/>
    <w:rsid w:val="462C02CC"/>
    <w:rsid w:val="46340F2E"/>
    <w:rsid w:val="464E1E8A"/>
    <w:rsid w:val="46523C6D"/>
    <w:rsid w:val="46BD2CD2"/>
    <w:rsid w:val="46E22739"/>
    <w:rsid w:val="46F10BCE"/>
    <w:rsid w:val="470E352E"/>
    <w:rsid w:val="47176886"/>
    <w:rsid w:val="471825FE"/>
    <w:rsid w:val="472B0583"/>
    <w:rsid w:val="477C2B8D"/>
    <w:rsid w:val="47D26C51"/>
    <w:rsid w:val="47D46525"/>
    <w:rsid w:val="48276F9D"/>
    <w:rsid w:val="48DC7D87"/>
    <w:rsid w:val="493C6A78"/>
    <w:rsid w:val="495D254A"/>
    <w:rsid w:val="49935F6C"/>
    <w:rsid w:val="49940662"/>
    <w:rsid w:val="49E862B8"/>
    <w:rsid w:val="4AA448D5"/>
    <w:rsid w:val="4AD351BA"/>
    <w:rsid w:val="4ADB406F"/>
    <w:rsid w:val="4B7C13AE"/>
    <w:rsid w:val="4B810772"/>
    <w:rsid w:val="4C2757BD"/>
    <w:rsid w:val="4C3C0B3D"/>
    <w:rsid w:val="4C6611ED"/>
    <w:rsid w:val="4CCE3E8B"/>
    <w:rsid w:val="4D1473C4"/>
    <w:rsid w:val="4D1878AA"/>
    <w:rsid w:val="4D225F85"/>
    <w:rsid w:val="4D2717ED"/>
    <w:rsid w:val="4D371A30"/>
    <w:rsid w:val="4D4E28D6"/>
    <w:rsid w:val="4D537EEC"/>
    <w:rsid w:val="4D5D3BD3"/>
    <w:rsid w:val="4D834C75"/>
    <w:rsid w:val="4DC40DEA"/>
    <w:rsid w:val="4DCE1C69"/>
    <w:rsid w:val="4E1E04FA"/>
    <w:rsid w:val="4E265601"/>
    <w:rsid w:val="4E604FB7"/>
    <w:rsid w:val="4E8A3DE2"/>
    <w:rsid w:val="4EB7F892"/>
    <w:rsid w:val="4F1162B1"/>
    <w:rsid w:val="4FAA2CE7"/>
    <w:rsid w:val="4FDA66A3"/>
    <w:rsid w:val="4FFA4F97"/>
    <w:rsid w:val="50175B49"/>
    <w:rsid w:val="503B1837"/>
    <w:rsid w:val="50597F0F"/>
    <w:rsid w:val="50760AC1"/>
    <w:rsid w:val="50FE0AB7"/>
    <w:rsid w:val="5124051D"/>
    <w:rsid w:val="514364CA"/>
    <w:rsid w:val="518E5997"/>
    <w:rsid w:val="51B86EB8"/>
    <w:rsid w:val="51C969CF"/>
    <w:rsid w:val="520914C1"/>
    <w:rsid w:val="524424F9"/>
    <w:rsid w:val="526112FD"/>
    <w:rsid w:val="52646DB7"/>
    <w:rsid w:val="526B5CD8"/>
    <w:rsid w:val="533662E6"/>
    <w:rsid w:val="5349426B"/>
    <w:rsid w:val="53B86CFB"/>
    <w:rsid w:val="540168F4"/>
    <w:rsid w:val="5406215C"/>
    <w:rsid w:val="542B3971"/>
    <w:rsid w:val="5486504B"/>
    <w:rsid w:val="54A86D6F"/>
    <w:rsid w:val="54D73AF9"/>
    <w:rsid w:val="54E81862"/>
    <w:rsid w:val="552A0475"/>
    <w:rsid w:val="552F56E3"/>
    <w:rsid w:val="55630EE8"/>
    <w:rsid w:val="559317CE"/>
    <w:rsid w:val="55A25EB5"/>
    <w:rsid w:val="55CC2F32"/>
    <w:rsid w:val="567333AD"/>
    <w:rsid w:val="56C34335"/>
    <w:rsid w:val="56DA167E"/>
    <w:rsid w:val="56DF0A43"/>
    <w:rsid w:val="570B7A8A"/>
    <w:rsid w:val="572D5C52"/>
    <w:rsid w:val="57603931"/>
    <w:rsid w:val="576F0018"/>
    <w:rsid w:val="578D10CB"/>
    <w:rsid w:val="57C75011"/>
    <w:rsid w:val="57D52571"/>
    <w:rsid w:val="57E26A3C"/>
    <w:rsid w:val="58150BC0"/>
    <w:rsid w:val="581F1A3E"/>
    <w:rsid w:val="58262DCD"/>
    <w:rsid w:val="58417C07"/>
    <w:rsid w:val="58535244"/>
    <w:rsid w:val="587A6C75"/>
    <w:rsid w:val="58BC103B"/>
    <w:rsid w:val="58D36385"/>
    <w:rsid w:val="59352B9C"/>
    <w:rsid w:val="594B23BF"/>
    <w:rsid w:val="594D5D76"/>
    <w:rsid w:val="59657925"/>
    <w:rsid w:val="597731B4"/>
    <w:rsid w:val="598A2EE8"/>
    <w:rsid w:val="599C2C1B"/>
    <w:rsid w:val="59D4591D"/>
    <w:rsid w:val="59E051FD"/>
    <w:rsid w:val="59F20A8D"/>
    <w:rsid w:val="5A37717F"/>
    <w:rsid w:val="5A5915AC"/>
    <w:rsid w:val="5A871B1D"/>
    <w:rsid w:val="5A981634"/>
    <w:rsid w:val="5ABBC979"/>
    <w:rsid w:val="5AF56A87"/>
    <w:rsid w:val="5B351579"/>
    <w:rsid w:val="5B3C2907"/>
    <w:rsid w:val="5B6D2AC1"/>
    <w:rsid w:val="5B80134A"/>
    <w:rsid w:val="5B863B83"/>
    <w:rsid w:val="5BFC7B3B"/>
    <w:rsid w:val="5C5F68AD"/>
    <w:rsid w:val="5C661EEB"/>
    <w:rsid w:val="5C910A31"/>
    <w:rsid w:val="5CA6628A"/>
    <w:rsid w:val="5D1256CE"/>
    <w:rsid w:val="5D1C654D"/>
    <w:rsid w:val="5D3513BC"/>
    <w:rsid w:val="5D6E48CE"/>
    <w:rsid w:val="5D901D26"/>
    <w:rsid w:val="5D9F0F2C"/>
    <w:rsid w:val="5DC82230"/>
    <w:rsid w:val="5DEF1EB3"/>
    <w:rsid w:val="5E021BE6"/>
    <w:rsid w:val="5E115985"/>
    <w:rsid w:val="5E420235"/>
    <w:rsid w:val="5E77C7C6"/>
    <w:rsid w:val="5E820631"/>
    <w:rsid w:val="5F131BD1"/>
    <w:rsid w:val="5F13572D"/>
    <w:rsid w:val="5F1C6CD8"/>
    <w:rsid w:val="5F3F29C6"/>
    <w:rsid w:val="5F8751DE"/>
    <w:rsid w:val="5FFFAAE0"/>
    <w:rsid w:val="600A4D82"/>
    <w:rsid w:val="601B4DC9"/>
    <w:rsid w:val="602A2D2E"/>
    <w:rsid w:val="6054424F"/>
    <w:rsid w:val="60793CB6"/>
    <w:rsid w:val="60830691"/>
    <w:rsid w:val="608E7761"/>
    <w:rsid w:val="6096392D"/>
    <w:rsid w:val="60996106"/>
    <w:rsid w:val="60AF1ED3"/>
    <w:rsid w:val="60AF592A"/>
    <w:rsid w:val="612C0D28"/>
    <w:rsid w:val="61642270"/>
    <w:rsid w:val="61EB2991"/>
    <w:rsid w:val="61F53810"/>
    <w:rsid w:val="61F75025"/>
    <w:rsid w:val="622F0AD0"/>
    <w:rsid w:val="623460E6"/>
    <w:rsid w:val="62B40FD5"/>
    <w:rsid w:val="62C51434"/>
    <w:rsid w:val="62CA07F9"/>
    <w:rsid w:val="62F87114"/>
    <w:rsid w:val="62FA8513"/>
    <w:rsid w:val="6311467A"/>
    <w:rsid w:val="63212B0F"/>
    <w:rsid w:val="63343EC4"/>
    <w:rsid w:val="638C3D00"/>
    <w:rsid w:val="638D1F52"/>
    <w:rsid w:val="63F024E1"/>
    <w:rsid w:val="64151F48"/>
    <w:rsid w:val="646F3406"/>
    <w:rsid w:val="646F78AA"/>
    <w:rsid w:val="64850E7B"/>
    <w:rsid w:val="64BC23C3"/>
    <w:rsid w:val="64D12312"/>
    <w:rsid w:val="64D8544F"/>
    <w:rsid w:val="64D94D23"/>
    <w:rsid w:val="64F32289"/>
    <w:rsid w:val="64F61D79"/>
    <w:rsid w:val="65744A4C"/>
    <w:rsid w:val="65815AE7"/>
    <w:rsid w:val="660404C6"/>
    <w:rsid w:val="66347B2F"/>
    <w:rsid w:val="665E1984"/>
    <w:rsid w:val="666B22F3"/>
    <w:rsid w:val="667FD72C"/>
    <w:rsid w:val="66A001EE"/>
    <w:rsid w:val="66B94E0C"/>
    <w:rsid w:val="67277FC8"/>
    <w:rsid w:val="6764121C"/>
    <w:rsid w:val="67B657F0"/>
    <w:rsid w:val="67BC1058"/>
    <w:rsid w:val="67E4410B"/>
    <w:rsid w:val="68000819"/>
    <w:rsid w:val="68103152"/>
    <w:rsid w:val="681E586F"/>
    <w:rsid w:val="682E5386"/>
    <w:rsid w:val="68444BA9"/>
    <w:rsid w:val="684B418A"/>
    <w:rsid w:val="688431F8"/>
    <w:rsid w:val="690600B1"/>
    <w:rsid w:val="692844CB"/>
    <w:rsid w:val="692E7D33"/>
    <w:rsid w:val="69531548"/>
    <w:rsid w:val="69C97A5C"/>
    <w:rsid w:val="69D837FB"/>
    <w:rsid w:val="6A12486A"/>
    <w:rsid w:val="6A331379"/>
    <w:rsid w:val="6A527A52"/>
    <w:rsid w:val="6A554E4C"/>
    <w:rsid w:val="6ABE64BE"/>
    <w:rsid w:val="6B1116BB"/>
    <w:rsid w:val="6B3B6738"/>
    <w:rsid w:val="6B3E1D84"/>
    <w:rsid w:val="6B5F16C5"/>
    <w:rsid w:val="6B80239C"/>
    <w:rsid w:val="6BC93D43"/>
    <w:rsid w:val="6C0905E4"/>
    <w:rsid w:val="6C1D408F"/>
    <w:rsid w:val="6C2C42D2"/>
    <w:rsid w:val="6C315445"/>
    <w:rsid w:val="6C727F37"/>
    <w:rsid w:val="6C7D68DC"/>
    <w:rsid w:val="6C9F6852"/>
    <w:rsid w:val="6CA200F0"/>
    <w:rsid w:val="6CF3EA5A"/>
    <w:rsid w:val="6D156B14"/>
    <w:rsid w:val="6D6F4477"/>
    <w:rsid w:val="6DA90639"/>
    <w:rsid w:val="6DD62748"/>
    <w:rsid w:val="6DD864C0"/>
    <w:rsid w:val="6DE05374"/>
    <w:rsid w:val="6DFE57FA"/>
    <w:rsid w:val="6E470F4F"/>
    <w:rsid w:val="6E6E472E"/>
    <w:rsid w:val="6E8E6B7E"/>
    <w:rsid w:val="6E970129"/>
    <w:rsid w:val="6ECE341F"/>
    <w:rsid w:val="6F8F2BAE"/>
    <w:rsid w:val="6F906926"/>
    <w:rsid w:val="6FA7614A"/>
    <w:rsid w:val="6FBF3C48"/>
    <w:rsid w:val="6FE0340A"/>
    <w:rsid w:val="70587444"/>
    <w:rsid w:val="708741CD"/>
    <w:rsid w:val="70AB7EBB"/>
    <w:rsid w:val="70ED2282"/>
    <w:rsid w:val="70F01D72"/>
    <w:rsid w:val="711F4406"/>
    <w:rsid w:val="713E2ADE"/>
    <w:rsid w:val="71526589"/>
    <w:rsid w:val="71573B9F"/>
    <w:rsid w:val="71641E18"/>
    <w:rsid w:val="71BB2380"/>
    <w:rsid w:val="71E511AB"/>
    <w:rsid w:val="71F907B3"/>
    <w:rsid w:val="722A3062"/>
    <w:rsid w:val="723D2D95"/>
    <w:rsid w:val="72606A84"/>
    <w:rsid w:val="72785B7B"/>
    <w:rsid w:val="729D1A86"/>
    <w:rsid w:val="72C2773E"/>
    <w:rsid w:val="72E43211"/>
    <w:rsid w:val="73102258"/>
    <w:rsid w:val="733C4DFB"/>
    <w:rsid w:val="733E5017"/>
    <w:rsid w:val="73840550"/>
    <w:rsid w:val="73BA21C4"/>
    <w:rsid w:val="742C1313"/>
    <w:rsid w:val="743E1047"/>
    <w:rsid w:val="74597C2E"/>
    <w:rsid w:val="74D472B5"/>
    <w:rsid w:val="75377F70"/>
    <w:rsid w:val="753C4E9B"/>
    <w:rsid w:val="75986535"/>
    <w:rsid w:val="759E7FEF"/>
    <w:rsid w:val="762229CE"/>
    <w:rsid w:val="76805946"/>
    <w:rsid w:val="768A40CF"/>
    <w:rsid w:val="769B7804"/>
    <w:rsid w:val="76E97048"/>
    <w:rsid w:val="77521091"/>
    <w:rsid w:val="777A05E8"/>
    <w:rsid w:val="77933457"/>
    <w:rsid w:val="779C055E"/>
    <w:rsid w:val="779FCBF0"/>
    <w:rsid w:val="77E67A2B"/>
    <w:rsid w:val="77F7E21B"/>
    <w:rsid w:val="781113A7"/>
    <w:rsid w:val="786848E4"/>
    <w:rsid w:val="78A07BDA"/>
    <w:rsid w:val="78A51694"/>
    <w:rsid w:val="78B418D7"/>
    <w:rsid w:val="78CC09CF"/>
    <w:rsid w:val="7919798C"/>
    <w:rsid w:val="791D122B"/>
    <w:rsid w:val="791E6510"/>
    <w:rsid w:val="79211912"/>
    <w:rsid w:val="794A5D98"/>
    <w:rsid w:val="798017B9"/>
    <w:rsid w:val="798B6ADC"/>
    <w:rsid w:val="79927E6B"/>
    <w:rsid w:val="79A27982"/>
    <w:rsid w:val="79AB6836"/>
    <w:rsid w:val="79E1494E"/>
    <w:rsid w:val="79E2F975"/>
    <w:rsid w:val="79E65AC0"/>
    <w:rsid w:val="79F93A46"/>
    <w:rsid w:val="7A1C14E2"/>
    <w:rsid w:val="7A2F56B9"/>
    <w:rsid w:val="7A49752C"/>
    <w:rsid w:val="7A6510DB"/>
    <w:rsid w:val="7A792DD8"/>
    <w:rsid w:val="7A7C6425"/>
    <w:rsid w:val="7A7E03EF"/>
    <w:rsid w:val="7AA5597C"/>
    <w:rsid w:val="7AAA11E4"/>
    <w:rsid w:val="7AAC6D0A"/>
    <w:rsid w:val="7AC35E02"/>
    <w:rsid w:val="7B14665D"/>
    <w:rsid w:val="7B3BDBF2"/>
    <w:rsid w:val="7B4A647D"/>
    <w:rsid w:val="7B8E6410"/>
    <w:rsid w:val="7B9C6D7F"/>
    <w:rsid w:val="7BB10350"/>
    <w:rsid w:val="7BDE7397"/>
    <w:rsid w:val="7BE6624C"/>
    <w:rsid w:val="7C262AEC"/>
    <w:rsid w:val="7C8D4A41"/>
    <w:rsid w:val="7CD51F65"/>
    <w:rsid w:val="7CDD764F"/>
    <w:rsid w:val="7CED7166"/>
    <w:rsid w:val="7CF14EA8"/>
    <w:rsid w:val="7D1C7A4B"/>
    <w:rsid w:val="7D256900"/>
    <w:rsid w:val="7D747887"/>
    <w:rsid w:val="7DEE3196"/>
    <w:rsid w:val="7DF52776"/>
    <w:rsid w:val="7E074257"/>
    <w:rsid w:val="7E094473"/>
    <w:rsid w:val="7E3C65F7"/>
    <w:rsid w:val="7E640205"/>
    <w:rsid w:val="7E725B75"/>
    <w:rsid w:val="7E9C0E44"/>
    <w:rsid w:val="7EAB552B"/>
    <w:rsid w:val="7EBA751C"/>
    <w:rsid w:val="7EBDCBBF"/>
    <w:rsid w:val="7EC74CC1"/>
    <w:rsid w:val="7ED00AED"/>
    <w:rsid w:val="7EE6408F"/>
    <w:rsid w:val="7EEF18BB"/>
    <w:rsid w:val="7F0013D2"/>
    <w:rsid w:val="7F160BF6"/>
    <w:rsid w:val="7F3EB32E"/>
    <w:rsid w:val="7F5F3F3B"/>
    <w:rsid w:val="7F5FE5E8"/>
    <w:rsid w:val="7F7FC8C5"/>
    <w:rsid w:val="7F8C2C66"/>
    <w:rsid w:val="7FC543CA"/>
    <w:rsid w:val="7FE72592"/>
    <w:rsid w:val="7FEE3921"/>
    <w:rsid w:val="7FFDE9AB"/>
    <w:rsid w:val="7FFEB77D"/>
    <w:rsid w:val="7FFFADA2"/>
    <w:rsid w:val="9ED5792A"/>
    <w:rsid w:val="AEFFB886"/>
    <w:rsid w:val="AFF77C47"/>
    <w:rsid w:val="B9E7F022"/>
    <w:rsid w:val="BEFF7926"/>
    <w:rsid w:val="CF12F568"/>
    <w:rsid w:val="D5FA1A43"/>
    <w:rsid w:val="DEBF7731"/>
    <w:rsid w:val="E39F96A6"/>
    <w:rsid w:val="E6DFCF67"/>
    <w:rsid w:val="EBB76B61"/>
    <w:rsid w:val="EF5D853A"/>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spacing w:beforeLines="0" w:afterLines="0"/>
      <w:ind w:firstLine="420"/>
    </w:pPr>
    <w:rPr>
      <w:rFonts w:hint="default"/>
      <w:sz w:val="32"/>
    </w:rPr>
  </w:style>
  <w:style w:type="paragraph" w:styleId="3">
    <w:name w:val="Body Text Indent"/>
    <w:basedOn w:val="1"/>
    <w:unhideWhenUsed/>
    <w:qFormat/>
    <w:uiPriority w:val="0"/>
    <w:pPr>
      <w:spacing w:beforeLines="0" w:afterLines="0"/>
      <w:ind w:firstLine="640" w:firstLineChars="200"/>
    </w:pPr>
    <w:rPr>
      <w:rFonts w:hint="default"/>
      <w:sz w:val="32"/>
    </w:rPr>
  </w:style>
  <w:style w:type="paragraph" w:styleId="5">
    <w:name w:val="Body Text"/>
    <w:basedOn w:val="1"/>
    <w:qFormat/>
    <w:uiPriority w:val="0"/>
    <w:pPr>
      <w:widowControl w:val="0"/>
      <w:jc w:val="both"/>
    </w:pPr>
    <w:rPr>
      <w:rFonts w:ascii="Times New Roman" w:hAnsi="Times New Roman" w:eastAsia="楷体_GB2312" w:cs="Times New Roman"/>
      <w:kern w:val="2"/>
      <w:sz w:val="21"/>
      <w:szCs w:val="24"/>
      <w:lang w:val="en-US" w:eastAsia="zh-CN"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标题1"/>
    <w:basedOn w:val="4"/>
    <w:qFormat/>
    <w:uiPriority w:val="0"/>
    <w:rPr>
      <w:rFonts w:eastAsia="黑体"/>
    </w:rPr>
  </w:style>
  <w:style w:type="paragraph" w:customStyle="1" w:styleId="13">
    <w:name w:val="首行缩进"/>
    <w:basedOn w:val="1"/>
    <w:qFormat/>
    <w:uiPriority w:val="0"/>
    <w:pPr>
      <w:ind w:firstLine="480" w:firstLineChars="200"/>
    </w:pPr>
    <w:rPr>
      <w:lang w:val="zh-CN"/>
    </w:rPr>
  </w:style>
  <w:style w:type="paragraph" w:customStyle="1" w:styleId="14">
    <w:name w:val="BodyText"/>
    <w:basedOn w:val="1"/>
    <w:qFormat/>
    <w:uiPriority w:val="0"/>
    <w:pPr>
      <w:jc w:val="both"/>
      <w:textAlignment w:val="baseline"/>
    </w:pPr>
  </w:style>
  <w:style w:type="paragraph" w:customStyle="1" w:styleId="15">
    <w:name w:val="无间隔"/>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5321</Words>
  <Characters>5700</Characters>
  <Lines>0</Lines>
  <Paragraphs>0</Paragraphs>
  <TotalTime>11</TotalTime>
  <ScaleCrop>false</ScaleCrop>
  <LinksUpToDate>false</LinksUpToDate>
  <CharactersWithSpaces>5891</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2024-02-25T02:03:00Z</dcterms:created>
  <dc:creator>1402836399</dc:creator>
  <cp:lastModifiedBy>A梦</cp:lastModifiedBy>
  <cp:lastPrinted>2025-04-12T02:25:00Z</cp:lastPrinted>
  <dcterms:modified xsi:type="dcterms:W3CDTF">2026-10-15T10:15:08Z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2E59967559EAD85B47E0F5671AAD0169_43</vt:lpwstr>
  </property>
  <property fmtid="{D5CDD505-2E9C-101B-9397-08002B2CF9AE}" pid="4" name="KSOTemplateDocerSaveRecord">
    <vt:lpwstr>eyJoZGlkIjoiMWRkMTc4MmFlNmUxZWVhNzFlZDkxNWE1OWRlZTgxN2QiLCJ1c2VySWQiOiIzNDQwMDQzNTQifQ==</vt:lpwstr>
  </property>
</Properties>
</file>