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B859B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附件5</w:t>
      </w:r>
    </w:p>
    <w:p w14:paraId="45DB9FF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158267C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方正小标宋_GBK" w:hAnsi="方正小标宋_GBK" w:eastAsia="方正小标宋_GBK" w:cs="方正小标宋_GBK"/>
          <w:b/>
          <w:bCs/>
          <w:i w:val="0"/>
          <w:iCs w:val="0"/>
          <w:caps w:val="0"/>
          <w:color w:val="000000"/>
          <w:spacing w:val="0"/>
          <w:sz w:val="40"/>
          <w:szCs w:val="40"/>
          <w:shd w:val="clear" w:fill="FFFFFF"/>
          <w:lang w:val="en-US" w:eastAsia="zh-CN"/>
        </w:rPr>
      </w:pPr>
    </w:p>
    <w:p w14:paraId="39B85C0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方正小标宋_GBK" w:hAnsi="方正小标宋_GBK" w:eastAsia="方正小标宋_GBK" w:cs="方正小标宋_GBK"/>
          <w:b/>
          <w:bCs/>
          <w:i w:val="0"/>
          <w:iCs w:val="0"/>
          <w:caps w:val="0"/>
          <w:color w:val="000000"/>
          <w:spacing w:val="0"/>
          <w:sz w:val="40"/>
          <w:szCs w:val="40"/>
          <w:shd w:val="clear" w:fill="FFFFFF"/>
          <w:lang w:val="en-US" w:eastAsia="zh-CN"/>
        </w:rPr>
      </w:pPr>
      <w:r>
        <w:rPr>
          <w:rFonts w:hint="eastAsia" w:ascii="方正小标宋_GBK" w:hAnsi="方正小标宋_GBK" w:eastAsia="方正小标宋_GBK" w:cs="方正小标宋_GBK"/>
          <w:b/>
          <w:bCs/>
          <w:i w:val="0"/>
          <w:iCs w:val="0"/>
          <w:caps w:val="0"/>
          <w:color w:val="000000"/>
          <w:spacing w:val="0"/>
          <w:sz w:val="40"/>
          <w:szCs w:val="40"/>
          <w:shd w:val="clear" w:fill="FFFFFF"/>
          <w:lang w:val="en-US" w:eastAsia="zh-CN"/>
        </w:rPr>
        <w:t>2024年度中共怀化市委政策研究室整体支出绩效自评报告</w:t>
      </w:r>
    </w:p>
    <w:p w14:paraId="3E3B1CC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2800" w:firstLineChars="700"/>
        <w:jc w:val="both"/>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p>
    <w:p w14:paraId="2B7FAFD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44B0DCC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75E70F7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55C1E2F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03E6368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4309CC0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6BF0A29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7F69D87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0ABC6C4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5777667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 xml:space="preserve">   </w:t>
      </w:r>
    </w:p>
    <w:p w14:paraId="521E725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1A66343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20702B9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 xml:space="preserve">  </w:t>
      </w:r>
    </w:p>
    <w:p w14:paraId="3831E5E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401CF5A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 xml:space="preserve">   单位名称（盖章）：中共怀化市委政策研究室</w:t>
      </w:r>
    </w:p>
    <w:p w14:paraId="15726DA4">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p>
    <w:p w14:paraId="51E68EA9">
      <w:pPr>
        <w:pStyle w:val="5"/>
        <w:rPr>
          <w:rFonts w:hint="default" w:ascii="方正黑体_GBK" w:hAnsi="方正黑体_GBK" w:eastAsia="方正黑体_GBK" w:cs="方正黑体_GBK"/>
          <w:b/>
          <w:bCs/>
          <w:color w:val="auto"/>
          <w:sz w:val="32"/>
          <w:szCs w:val="32"/>
          <w:highlight w:val="none"/>
          <w:lang w:val="en-US" w:eastAsia="zh-CN"/>
        </w:rPr>
      </w:pPr>
    </w:p>
    <w:p w14:paraId="022CFDD7">
      <w:pPr>
        <w:pStyle w:val="5"/>
        <w:rPr>
          <w:rFonts w:hint="default" w:ascii="方正黑体_GBK" w:hAnsi="方正黑体_GBK" w:eastAsia="方正黑体_GBK" w:cs="方正黑体_GBK"/>
          <w:b/>
          <w:bCs/>
          <w:color w:val="auto"/>
          <w:sz w:val="32"/>
          <w:szCs w:val="32"/>
          <w:highlight w:val="none"/>
          <w:lang w:val="en-US" w:eastAsia="zh-CN"/>
        </w:rPr>
      </w:pPr>
    </w:p>
    <w:p w14:paraId="632814FC">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一、部门概况</w:t>
      </w:r>
    </w:p>
    <w:p w14:paraId="598BA08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（一）部门（单位）基本情况。</w:t>
      </w:r>
    </w:p>
    <w:p w14:paraId="4383711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w:t>
      </w:r>
      <w:r>
        <w:rPr>
          <w:rFonts w:hint="default" w:ascii="Times New Roman Regular" w:hAnsi="Times New Roman Regular" w:eastAsia="仿宋_GB2312" w:cs="Times New Roman Regular"/>
          <w:color w:val="auto"/>
          <w:sz w:val="32"/>
          <w:szCs w:val="32"/>
          <w:highlight w:val="none"/>
          <w:lang w:val="en-US" w:eastAsia="zh-CN"/>
        </w:rPr>
        <w:t>机构设置情况</w:t>
      </w:r>
    </w:p>
    <w:p w14:paraId="5A56DE1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中共怀化市委政策研究室作为一级部门预算单位，下设</w:t>
      </w:r>
      <w:r>
        <w:rPr>
          <w:rFonts w:hint="default" w:ascii="Times New Roman Regular" w:hAnsi="Times New Roman Regular" w:eastAsia="仿宋_GB2312" w:cs="Times New Roman Regular"/>
          <w:color w:val="auto"/>
          <w:sz w:val="32"/>
          <w:szCs w:val="32"/>
          <w:highlight w:val="none"/>
          <w:lang w:eastAsia="zh-CN"/>
        </w:rPr>
        <w:t>8</w:t>
      </w:r>
      <w:r>
        <w:rPr>
          <w:rFonts w:hint="eastAsia" w:ascii="Times New Roman Regular" w:hAnsi="Times New Roman Regular" w:eastAsia="仿宋_GB2312" w:cs="Times New Roman Regular"/>
          <w:color w:val="auto"/>
          <w:sz w:val="32"/>
          <w:szCs w:val="32"/>
          <w:highlight w:val="none"/>
          <w:lang w:val="en-US" w:eastAsia="zh-CN"/>
        </w:rPr>
        <w:t>个内设科室：办公室、综合</w:t>
      </w:r>
      <w:r>
        <w:rPr>
          <w:rFonts w:hint="default" w:ascii="Times New Roman Regular" w:hAnsi="Times New Roman Regular" w:eastAsia="仿宋_GB2312" w:cs="Times New Roman Regular"/>
          <w:color w:val="auto"/>
          <w:sz w:val="32"/>
          <w:szCs w:val="32"/>
          <w:highlight w:val="none"/>
          <w:lang w:eastAsia="zh-CN"/>
        </w:rPr>
        <w:t>研究</w:t>
      </w:r>
      <w:r>
        <w:rPr>
          <w:rFonts w:hint="eastAsia" w:ascii="Times New Roman Regular" w:hAnsi="Times New Roman Regular" w:eastAsia="仿宋_GB2312" w:cs="Times New Roman Regular"/>
          <w:color w:val="auto"/>
          <w:sz w:val="32"/>
          <w:szCs w:val="32"/>
          <w:highlight w:val="none"/>
          <w:lang w:val="en-US" w:eastAsia="zh-CN"/>
        </w:rPr>
        <w:t>科、</w:t>
      </w:r>
      <w:r>
        <w:rPr>
          <w:rFonts w:hint="default" w:ascii="Times New Roman Regular" w:hAnsi="Times New Roman Regular" w:eastAsia="仿宋_GB2312" w:cs="Times New Roman Regular"/>
          <w:color w:val="auto"/>
          <w:sz w:val="32"/>
          <w:szCs w:val="32"/>
          <w:highlight w:val="none"/>
          <w:lang w:eastAsia="zh-CN"/>
        </w:rPr>
        <w:t>城乡研究</w:t>
      </w:r>
      <w:r>
        <w:rPr>
          <w:rFonts w:hint="eastAsia" w:ascii="Times New Roman Regular" w:hAnsi="Times New Roman Regular" w:eastAsia="仿宋_GB2312" w:cs="Times New Roman Regular"/>
          <w:color w:val="auto"/>
          <w:sz w:val="32"/>
          <w:szCs w:val="32"/>
          <w:highlight w:val="none"/>
          <w:lang w:val="en-US" w:eastAsia="zh-CN"/>
        </w:rPr>
        <w:t>科、党群</w:t>
      </w:r>
      <w:r>
        <w:rPr>
          <w:rFonts w:hint="default" w:ascii="Times New Roman Regular" w:hAnsi="Times New Roman Regular" w:eastAsia="仿宋_GB2312" w:cs="Times New Roman Regular"/>
          <w:color w:val="auto"/>
          <w:sz w:val="32"/>
          <w:szCs w:val="32"/>
          <w:highlight w:val="none"/>
          <w:lang w:eastAsia="zh-CN"/>
        </w:rPr>
        <w:t>研究</w:t>
      </w:r>
      <w:r>
        <w:rPr>
          <w:rFonts w:hint="eastAsia" w:ascii="Times New Roman Regular" w:hAnsi="Times New Roman Regular" w:eastAsia="仿宋_GB2312" w:cs="Times New Roman Regular"/>
          <w:color w:val="auto"/>
          <w:sz w:val="32"/>
          <w:szCs w:val="32"/>
          <w:highlight w:val="none"/>
          <w:lang w:val="en-US" w:eastAsia="zh-CN"/>
        </w:rPr>
        <w:t>科、</w:t>
      </w:r>
      <w:r>
        <w:rPr>
          <w:rFonts w:hint="default" w:ascii="Times New Roman Regular" w:hAnsi="Times New Roman Regular" w:eastAsia="仿宋_GB2312" w:cs="Times New Roman Regular"/>
          <w:color w:val="auto"/>
          <w:sz w:val="32"/>
          <w:szCs w:val="32"/>
          <w:highlight w:val="none"/>
          <w:lang w:eastAsia="zh-CN"/>
        </w:rPr>
        <w:t>社会研究科、</w:t>
      </w:r>
      <w:r>
        <w:rPr>
          <w:rFonts w:hint="eastAsia" w:ascii="Times New Roman Regular" w:hAnsi="Times New Roman Regular" w:eastAsia="仿宋_GB2312" w:cs="Times New Roman Regular"/>
          <w:color w:val="auto"/>
          <w:sz w:val="32"/>
          <w:szCs w:val="32"/>
          <w:highlight w:val="none"/>
          <w:lang w:val="en-US" w:eastAsia="zh-CN"/>
        </w:rPr>
        <w:t>改革协调科、改革督察科、财经</w:t>
      </w:r>
      <w:r>
        <w:rPr>
          <w:rFonts w:hint="default" w:ascii="Times New Roman Regular" w:hAnsi="Times New Roman Regular" w:eastAsia="仿宋_GB2312" w:cs="Times New Roman Regular"/>
          <w:color w:val="auto"/>
          <w:sz w:val="32"/>
          <w:szCs w:val="32"/>
          <w:highlight w:val="none"/>
          <w:lang w:eastAsia="zh-CN"/>
        </w:rPr>
        <w:t>研究</w:t>
      </w:r>
      <w:r>
        <w:rPr>
          <w:rFonts w:hint="eastAsia" w:ascii="Times New Roman Regular" w:hAnsi="Times New Roman Regular" w:eastAsia="仿宋_GB2312" w:cs="Times New Roman Regular"/>
          <w:color w:val="auto"/>
          <w:sz w:val="32"/>
          <w:szCs w:val="32"/>
          <w:highlight w:val="none"/>
          <w:lang w:val="en-US" w:eastAsia="zh-CN"/>
        </w:rPr>
        <w:t>科。</w:t>
      </w:r>
      <w:r>
        <w:rPr>
          <w:rFonts w:hint="eastAsia" w:ascii="Times New Roman Regular" w:hAnsi="Times New Roman Regular" w:eastAsia="仿宋_GB2312" w:cs="Times New Roman Regular"/>
          <w:color w:val="auto"/>
          <w:sz w:val="32"/>
          <w:szCs w:val="32"/>
          <w:highlight w:val="none"/>
          <w:lang w:val="en-US" w:eastAsia="zh-CN"/>
        </w:rPr>
        <w:t> </w:t>
      </w:r>
    </w:p>
    <w:p w14:paraId="387B9C5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w:t>
      </w:r>
      <w:r>
        <w:rPr>
          <w:rFonts w:hint="default" w:ascii="Times New Roman Regular" w:hAnsi="Times New Roman Regular" w:eastAsia="仿宋_GB2312" w:cs="Times New Roman Regular"/>
          <w:color w:val="auto"/>
          <w:sz w:val="32"/>
          <w:szCs w:val="32"/>
          <w:highlight w:val="none"/>
          <w:lang w:val="en-US" w:eastAsia="zh-CN"/>
        </w:rPr>
        <w:t>人员编制情况</w:t>
      </w:r>
    </w:p>
    <w:p w14:paraId="0C3AC16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2024年末，我单位共有编</w:t>
      </w:r>
      <w:bookmarkStart w:id="0" w:name="_GoBack"/>
      <w:r>
        <w:rPr>
          <w:rFonts w:hint="eastAsia" w:ascii="Times New Roman Regular" w:hAnsi="Times New Roman Regular" w:eastAsia="仿宋_GB2312" w:cs="Times New Roman Regular"/>
          <w:color w:val="auto"/>
          <w:sz w:val="32"/>
          <w:szCs w:val="32"/>
          <w:highlight w:val="none"/>
          <w:lang w:val="en-US" w:eastAsia="zh-CN"/>
        </w:rPr>
        <w:t>制</w:t>
      </w:r>
      <w:r>
        <w:rPr>
          <w:rFonts w:hint="default" w:ascii="Times New Roman Regular" w:hAnsi="Times New Roman Regular" w:eastAsia="仿宋_GB2312" w:cs="Times New Roman Regular"/>
          <w:color w:val="auto"/>
          <w:sz w:val="32"/>
          <w:szCs w:val="32"/>
          <w:highlight w:val="none"/>
          <w:lang w:eastAsia="zh-CN"/>
        </w:rPr>
        <w:t>22</w:t>
      </w:r>
      <w:bookmarkEnd w:id="0"/>
      <w:r>
        <w:rPr>
          <w:rFonts w:hint="eastAsia" w:ascii="Times New Roman Regular" w:hAnsi="Times New Roman Regular" w:eastAsia="仿宋_GB2312" w:cs="Times New Roman Regular"/>
          <w:color w:val="auto"/>
          <w:sz w:val="32"/>
          <w:szCs w:val="32"/>
          <w:highlight w:val="none"/>
          <w:lang w:val="en-US" w:eastAsia="zh-CN"/>
        </w:rPr>
        <w:t>人，年末实有在职人数19人。</w:t>
      </w:r>
    </w:p>
    <w:p w14:paraId="63B96A5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w:t>
      </w:r>
      <w:r>
        <w:rPr>
          <w:rFonts w:hint="default" w:ascii="Times New Roman Regular" w:hAnsi="Times New Roman Regular" w:eastAsia="仿宋_GB2312" w:cs="Times New Roman Regular"/>
          <w:color w:val="auto"/>
          <w:sz w:val="32"/>
          <w:szCs w:val="32"/>
          <w:highlight w:val="none"/>
          <w:lang w:val="en-US" w:eastAsia="zh-CN"/>
        </w:rPr>
        <w:t>主要职能职责</w:t>
      </w:r>
    </w:p>
    <w:p w14:paraId="301B699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w:t>
      </w:r>
      <w:r>
        <w:rPr>
          <w:rFonts w:hint="default" w:ascii="Times New Roman Regular" w:hAnsi="Times New Roman Regular" w:eastAsia="仿宋_GB2312" w:cs="Times New Roman Regular"/>
          <w:color w:val="auto"/>
          <w:sz w:val="32"/>
          <w:szCs w:val="32"/>
          <w:highlight w:val="none"/>
          <w:lang w:val="en-US" w:eastAsia="zh-CN"/>
        </w:rPr>
        <w:t>围绕贯彻落实党的路线方针政策，起草、参与起草和修改市委领导同志的报告、讲话和其他文稿；起草、参与起草修改市委的重要文稿。</w:t>
      </w:r>
    </w:p>
    <w:p w14:paraId="07CBDFF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w:t>
      </w:r>
      <w:r>
        <w:rPr>
          <w:rFonts w:hint="default" w:ascii="Times New Roman Regular" w:hAnsi="Times New Roman Regular" w:eastAsia="仿宋_GB2312" w:cs="Times New Roman Regular"/>
          <w:color w:val="auto"/>
          <w:sz w:val="32"/>
          <w:szCs w:val="32"/>
          <w:highlight w:val="none"/>
          <w:lang w:val="en-US" w:eastAsia="zh-CN"/>
        </w:rPr>
        <w:t>围绕“五位一体”总体布局、“四个全面”战略布局开展重大课题调研，提出意见和建议，供市委参考，并进行决策后的跟踪调查，为促进政策落实和完善决策服务。</w:t>
      </w:r>
    </w:p>
    <w:p w14:paraId="24D342B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w:t>
      </w:r>
      <w:r>
        <w:rPr>
          <w:rFonts w:hint="default" w:ascii="Times New Roman Regular" w:hAnsi="Times New Roman Regular" w:eastAsia="仿宋_GB2312" w:cs="Times New Roman Regular"/>
          <w:color w:val="auto"/>
          <w:sz w:val="32"/>
          <w:szCs w:val="32"/>
          <w:highlight w:val="none"/>
          <w:lang w:val="en-US" w:eastAsia="zh-CN"/>
        </w:rPr>
        <w:t>收集整理国内外、省内外、市内外重要信息资料，对经济、政治、社会、文化、生态文明等方面的重要问题进行分析和预测，及时将有关资料和研究结果提供给市委领导参阅。</w:t>
      </w:r>
    </w:p>
    <w:p w14:paraId="22435E2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围绕市委中心工作做好有关调查研究的组织、协调和联络工作；协助市委做好对民主党派、工商联调查研究的协调联络工作。</w:t>
      </w:r>
    </w:p>
    <w:p w14:paraId="46C0262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（5）</w:t>
      </w:r>
      <w:r>
        <w:rPr>
          <w:rFonts w:hint="default" w:ascii="Times New Roman Regular" w:hAnsi="Times New Roman Regular" w:eastAsia="仿宋_GB2312" w:cs="Times New Roman Regular"/>
          <w:color w:val="auto"/>
          <w:sz w:val="32"/>
          <w:szCs w:val="32"/>
          <w:highlight w:val="none"/>
          <w:lang w:val="en-US" w:eastAsia="zh-CN"/>
        </w:rPr>
        <w:t>向市委全面深化改革委员会提出年度工作要点、年度改革进展和评估报告。</w:t>
      </w:r>
    </w:p>
    <w:p w14:paraId="0D00BF0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（6）</w:t>
      </w:r>
      <w:r>
        <w:rPr>
          <w:rFonts w:hint="default" w:ascii="Times New Roman Regular" w:hAnsi="Times New Roman Regular" w:eastAsia="仿宋_GB2312" w:cs="Times New Roman Regular"/>
          <w:color w:val="auto"/>
          <w:sz w:val="32"/>
          <w:szCs w:val="32"/>
          <w:highlight w:val="none"/>
          <w:lang w:val="en-US" w:eastAsia="zh-CN"/>
        </w:rPr>
        <w:t>收集汇总改革信息资料，组织开展全面深化改革重大问题的政策研究和政策咨询，为市委全面深化改革委员会提供决策参谋服务。</w:t>
      </w:r>
    </w:p>
    <w:p w14:paraId="6E1A195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（7）</w:t>
      </w:r>
      <w:r>
        <w:rPr>
          <w:rFonts w:hint="default" w:ascii="Times New Roman Regular" w:hAnsi="Times New Roman Regular" w:eastAsia="仿宋_GB2312" w:cs="Times New Roman Regular"/>
          <w:color w:val="auto"/>
          <w:sz w:val="32"/>
          <w:szCs w:val="32"/>
          <w:highlight w:val="none"/>
          <w:lang w:val="en-US" w:eastAsia="zh-CN"/>
        </w:rPr>
        <w:t>统筹协调有关方面提出改革方案和措施；研究处理有关方面向市委全面深化改革委员会提出的重要改革事项及相关请示，接受各地各部门深化改革的有关决定和重要改革方案向市委全面深化改革委员会的备案，研究评估后向省委全面深化改革委员会提出建议。</w:t>
      </w:r>
    </w:p>
    <w:p w14:paraId="2D58163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（8）</w:t>
      </w:r>
      <w:r>
        <w:rPr>
          <w:rFonts w:hint="default" w:ascii="Times New Roman Regular" w:hAnsi="Times New Roman Regular" w:eastAsia="仿宋_GB2312" w:cs="Times New Roman Regular"/>
          <w:color w:val="auto"/>
          <w:sz w:val="32"/>
          <w:szCs w:val="32"/>
          <w:highlight w:val="none"/>
          <w:lang w:val="en-US" w:eastAsia="zh-CN"/>
        </w:rPr>
        <w:t>负责对各专项小组和各地各部门全面深化改革工作的统筹、协调、督促、检查；统筹指导各地各部门开展改革试点。</w:t>
      </w:r>
    </w:p>
    <w:p w14:paraId="6DA8D45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（9）</w:t>
      </w:r>
      <w:r>
        <w:rPr>
          <w:rFonts w:hint="default" w:ascii="Times New Roman Regular" w:hAnsi="Times New Roman Regular" w:eastAsia="仿宋_GB2312" w:cs="Times New Roman Regular"/>
          <w:color w:val="auto"/>
          <w:sz w:val="32"/>
          <w:szCs w:val="32"/>
          <w:highlight w:val="none"/>
          <w:lang w:val="en-US" w:eastAsia="zh-CN"/>
        </w:rPr>
        <w:t>协调开展市委全面深化改革委员会的决定事项、工作部署要求及重要改革举措落实情况督察；负责年度改革绩效评估。</w:t>
      </w:r>
    </w:p>
    <w:p w14:paraId="7E10829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（10）</w:t>
      </w:r>
      <w:r>
        <w:rPr>
          <w:rFonts w:hint="default" w:ascii="Times New Roman Regular" w:hAnsi="Times New Roman Regular" w:eastAsia="仿宋_GB2312" w:cs="Times New Roman Regular"/>
          <w:color w:val="auto"/>
          <w:sz w:val="32"/>
          <w:szCs w:val="32"/>
          <w:highlight w:val="none"/>
          <w:lang w:val="en-US" w:eastAsia="zh-CN"/>
        </w:rPr>
        <w:t>负责市委全面深化改革委员会的会议组织、内刊编印等工作，总结宣传改革先进经验和典型案例。</w:t>
      </w:r>
    </w:p>
    <w:p w14:paraId="564C076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（11）</w:t>
      </w:r>
      <w:r>
        <w:rPr>
          <w:rFonts w:hint="default" w:ascii="Times New Roman Regular" w:hAnsi="Times New Roman Regular" w:eastAsia="仿宋_GB2312" w:cs="Times New Roman Regular"/>
          <w:color w:val="auto"/>
          <w:sz w:val="32"/>
          <w:szCs w:val="32"/>
          <w:highlight w:val="none"/>
          <w:lang w:val="en-US" w:eastAsia="zh-CN"/>
        </w:rPr>
        <w:t>负责市委财经委的会议组织等日常工作。组织开展全市财经工作重大问题的政策研究，协调督促有关方面落实市委财经委的决定事项、工作部署和要求。</w:t>
      </w:r>
    </w:p>
    <w:p w14:paraId="15FBA5B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（12）</w:t>
      </w:r>
      <w:r>
        <w:rPr>
          <w:rFonts w:hint="default" w:ascii="Times New Roman Regular" w:hAnsi="Times New Roman Regular" w:eastAsia="仿宋_GB2312" w:cs="Times New Roman Regular"/>
          <w:color w:val="auto"/>
          <w:sz w:val="32"/>
          <w:szCs w:val="32"/>
          <w:highlight w:val="none"/>
          <w:lang w:val="en-US" w:eastAsia="zh-CN"/>
        </w:rPr>
        <w:t>完成市委、市委全面深化改革委员会和市委财经委交办的其他事项</w:t>
      </w:r>
      <w:r>
        <w:rPr>
          <w:rFonts w:hint="eastAsia" w:ascii="Times New Roman Regular" w:hAnsi="Times New Roman Regular" w:eastAsia="仿宋_GB2312" w:cs="Times New Roman Regular"/>
          <w:color w:val="auto"/>
          <w:sz w:val="32"/>
          <w:szCs w:val="32"/>
          <w:highlight w:val="none"/>
          <w:lang w:val="en-US" w:eastAsia="zh-CN"/>
        </w:rPr>
        <w:t>。</w:t>
      </w:r>
    </w:p>
    <w:p w14:paraId="314CD8E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绩效目标设定情况</w:t>
      </w:r>
    </w:p>
    <w:p w14:paraId="536C7A8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严格落实省、市绩效管理工作的有关规定，进一步规范财政资金的管理，强化财政支出绩效理念，提升部门责任意识，提高资金使用效益。</w:t>
      </w:r>
    </w:p>
    <w:p w14:paraId="290348BD">
      <w:pPr>
        <w:keepNext w:val="0"/>
        <w:keepLines w:val="0"/>
        <w:pageBreakBefore w:val="0"/>
        <w:widowControl w:val="0"/>
        <w:numPr>
          <w:ilvl w:val="0"/>
          <w:numId w:val="1"/>
        </w:numPr>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部门（单位）整体支出规模、使用方向和主要内容、涉及范围等。</w:t>
      </w:r>
    </w:p>
    <w:p w14:paraId="281B1AC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2024年度决算总收入460.45万元。2024年度决算总支出460.45万元，其中：基本支出343.49万元，占总支出的74.60%；项目支出116.96万元，占总支出的25.40%。</w:t>
      </w:r>
    </w:p>
    <w:p w14:paraId="2AE1FB5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部门整体支出主要使用方向如下：</w:t>
      </w:r>
    </w:p>
    <w:p w14:paraId="631C35C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工资福利支出289.43万元，主要用于基本工资、津贴补贴、奖金、伙食补助费、机关事业单位基本养老保险缴费、职工基本医疗保险缴费、住房公积金等支出。</w:t>
      </w:r>
    </w:p>
    <w:p w14:paraId="7389A43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商品和服务支出163.58万元，主要用于办公费、印刷费、邮电费、差旅费、会议费、培训费、公务接待费、劳务费、委托业务费、工会经费、福利费、公务用车运行维护费、其他交通费用、其他商品和服务支出等支出。</w:t>
      </w:r>
    </w:p>
    <w:p w14:paraId="43583CB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对个人和家庭的补助6.95万元，主要用于抚恤金、生活补助、其他对个人和家庭的补助等支出。</w:t>
      </w:r>
    </w:p>
    <w:p w14:paraId="3306A92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资本性支出</w:t>
      </w:r>
      <w:r>
        <w:rPr>
          <w:rFonts w:hint="eastAsia" w:ascii="Times New Roman Regular" w:hAnsi="Times New Roman Regular" w:eastAsia="仿宋_GB2312" w:cs="Times New Roman Regular"/>
          <w:color w:val="auto"/>
          <w:sz w:val="32"/>
          <w:szCs w:val="32"/>
          <w:highlight w:val="none"/>
          <w:lang w:val="en-US" w:eastAsia="zh-CN"/>
        </w:rPr>
        <w:t>0.50万元，主要用于办公设备购置费用。</w:t>
      </w:r>
    </w:p>
    <w:p w14:paraId="00A56718">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二、一般公共预算支出情况</w:t>
      </w:r>
    </w:p>
    <w:p w14:paraId="737FDAC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（一）基本支出</w:t>
      </w:r>
    </w:p>
    <w:p w14:paraId="6C63E81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基本支出主要用于保障机构正常运转、完成日常工作任务所必需的支出。基本支出总支出343.49万元，主要包括：工资福利支出289.32万元、商品和服务支出47.21万元、对个人和家庭的补助6.95万元。较上年相比增加30.79万元，增加9.85%，主要原因是2024年度人员增加，相应人员经费和公用经费增加。</w:t>
      </w:r>
    </w:p>
    <w:p w14:paraId="73C1B9D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三公”经费支出2.26万元。“三公经费”总体支出比上年减少0.58万元，减少20.52%，主要原因是2024年度本单位按照财政要求，压减三公经费开支。其中，公务用车运行维护费1.74万元，较上年减少0.22万元，减少11.30%，主要是2024年度本单位按照财政要求，压减三公经费开支；公务接待费0.52万元，较上年减少0.36万元，减少41.13%，主要是本年度公务接待批次减少，费用减少。</w:t>
      </w:r>
    </w:p>
    <w:p w14:paraId="09BDDB3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（二）项目支出</w:t>
      </w:r>
    </w:p>
    <w:p w14:paraId="762AC20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1、根据《怀化市财政局关于批复下达2024年市直部门预算的通知》（怀财预〔2024〕5号），2024年项目支出预算安排116万元，实际到位116万元，到位率100%。</w:t>
      </w:r>
    </w:p>
    <w:p w14:paraId="4776345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新怀化》经费年初总预算36万元，预算执行36万元，执行率100%；财经办经费年初总预算50万元，预算执行50万元，执行率100%；改革办经费年初总预算30万元，预算执行28.96万元，执行率96.53%；课题经费全年预算数2万元，预算执行2万元，执行率100%。</w:t>
      </w:r>
    </w:p>
    <w:p w14:paraId="58929EC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3、项目资金管理情况分析，主要包括管理制度、办法的制订及执行情况。</w:t>
      </w:r>
    </w:p>
    <w:p w14:paraId="79B8B3C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 xml:space="preserve">为加强专项项目管理，提高专项资金的使用效率，我单位根据怀化市市本级专项资金管理办法就重点专项项目制定了《财务管理制度》、《专项资金管理办法》。专项资金的分配、使用、管理严格按制度执行，大额资金支出实行“三重一大”集体决策机制，项目招标、评审、结算按政府采购管理办法等相关要求进行，确保资金使用公开、公正、科学、高效，专款专用、不被挤占、挪用、借用或随意调整。  </w:t>
      </w:r>
    </w:p>
    <w:p w14:paraId="310B7188">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三、项目组织实施情况</w:t>
      </w:r>
    </w:p>
    <w:p w14:paraId="3CAD7BF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（一）项目组织情况分析，主要包括项目招投标、调整、竣工验收等情况。</w:t>
      </w:r>
    </w:p>
    <w:p w14:paraId="652B7BC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政府采购限额标准以上的采购项目，通过集体决策确定采购方式组织项目实施；采购限额以下服务和货物通过政府采购云平台采购。</w:t>
      </w:r>
    </w:p>
    <w:p w14:paraId="2009ED7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项目验收方面，成立项目领导小组，项目领导小组对项目的进度和质量进行跟踪、检查、监督、验收。项目完工后，验收人员按质量要求对各项指标进行检查验收，签署验收意见，确保项目达到预期效益目标，加强统筹协调，强化监督管理，严把项目质量关。</w:t>
      </w:r>
    </w:p>
    <w:p w14:paraId="704E440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（二）</w:t>
      </w:r>
      <w:r>
        <w:rPr>
          <w:rFonts w:hint="default" w:ascii="Times New Roman Regular" w:hAnsi="Times New Roman Regular" w:eastAsia="仿宋_GB2312" w:cs="Times New Roman Regular"/>
          <w:color w:val="auto"/>
          <w:sz w:val="32"/>
          <w:szCs w:val="32"/>
          <w:highlight w:val="none"/>
          <w:lang w:val="en-US" w:eastAsia="zh-CN"/>
        </w:rPr>
        <w:t>项目管理情况分析，主要包括项目管理制度建设、日常检查监督管理等情况。</w:t>
      </w:r>
    </w:p>
    <w:p w14:paraId="4B6AA98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为确保各专项项目实施，各部室严格按照相关质量控制体系、标准制定业务管理制度及业务管理实施方案，并建立业务绩效考核管理办法，对各专项项目实施监测、检查和验收。</w:t>
      </w:r>
    </w:p>
    <w:p w14:paraId="6DC27730">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四、资产管理情况</w:t>
      </w:r>
    </w:p>
    <w:p w14:paraId="75CC68F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我单位严格按照财务管理制度，认真落实内部控制管理实施细则，理顺资产管理体制，加强资产管理制度建设、落实现行资产管理的流程和工作机制、管理方式等。加强人、财、物的规范管理，做到财物账实相符。合理配备并节约、有效使用资产，提高资产使用效率，保障资产的安全和完整</w:t>
      </w:r>
      <w:r>
        <w:rPr>
          <w:rFonts w:hint="default" w:ascii="Times New Roman Regular" w:hAnsi="Times New Roman Regular" w:eastAsia="仿宋_GB2312" w:cs="Times New Roman Regular"/>
          <w:color w:val="auto"/>
          <w:sz w:val="32"/>
          <w:szCs w:val="32"/>
          <w:highlight w:val="none"/>
          <w:lang w:val="en-US" w:eastAsia="zh-CN"/>
        </w:rPr>
        <w:t>。</w:t>
      </w:r>
    </w:p>
    <w:p w14:paraId="48AAF27F">
      <w:pPr>
        <w:keepNext w:val="0"/>
        <w:keepLines w:val="0"/>
        <w:pageBreakBefore w:val="0"/>
        <w:widowControl w:val="0"/>
        <w:numPr>
          <w:ilvl w:val="0"/>
          <w:numId w:val="2"/>
        </w:numPr>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政府性基金预算支出情况</w:t>
      </w:r>
    </w:p>
    <w:p w14:paraId="7B0ECFB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本单位无政府性基金预算支出</w:t>
      </w:r>
    </w:p>
    <w:p w14:paraId="39FC85C2">
      <w:pPr>
        <w:keepNext w:val="0"/>
        <w:keepLines w:val="0"/>
        <w:pageBreakBefore w:val="0"/>
        <w:widowControl w:val="0"/>
        <w:numPr>
          <w:ilvl w:val="0"/>
          <w:numId w:val="2"/>
        </w:numPr>
        <w:kinsoku/>
        <w:wordWrap/>
        <w:overflowPunct/>
        <w:topLinePunct w:val="0"/>
        <w:autoSpaceDE/>
        <w:autoSpaceDN/>
        <w:bidi w:val="0"/>
        <w:adjustRightInd/>
        <w:snapToGrid w:val="0"/>
        <w:spacing w:line="520" w:lineRule="exact"/>
        <w:ind w:left="0" w:leftChars="0" w:firstLine="0" w:firstLineChars="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国有资本经营预算支出情况</w:t>
      </w:r>
    </w:p>
    <w:p w14:paraId="735B1E0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本单位无国有资本经营预算支出</w:t>
      </w:r>
    </w:p>
    <w:p w14:paraId="40A2D23C">
      <w:pPr>
        <w:keepNext w:val="0"/>
        <w:keepLines w:val="0"/>
        <w:pageBreakBefore w:val="0"/>
        <w:widowControl w:val="0"/>
        <w:numPr>
          <w:ilvl w:val="0"/>
          <w:numId w:val="2"/>
        </w:numPr>
        <w:kinsoku/>
        <w:wordWrap/>
        <w:overflowPunct/>
        <w:topLinePunct w:val="0"/>
        <w:autoSpaceDE/>
        <w:autoSpaceDN/>
        <w:bidi w:val="0"/>
        <w:adjustRightInd/>
        <w:snapToGrid w:val="0"/>
        <w:spacing w:line="520" w:lineRule="exact"/>
        <w:ind w:left="0" w:leftChars="0" w:firstLine="0" w:firstLineChars="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社会保险基金预算支出情况</w:t>
      </w:r>
    </w:p>
    <w:p w14:paraId="6CAADEE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本单位无社会保险基金预算支出</w:t>
      </w:r>
    </w:p>
    <w:p w14:paraId="146EE26F">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八、部门整体支出绩效情况</w:t>
      </w:r>
    </w:p>
    <w:p w14:paraId="36044DE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（一）综合评价结论。反映自评得分及评价等级。</w:t>
      </w:r>
    </w:p>
    <w:p w14:paraId="6842D0E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通过绩效自评工作的开展，我单位将评价结果作为各项目改进管理和安排以后年度预算的重要依据，针对自评中存在的问题及时进行调整管理方式，加强财务管理，切实提高财政资金的使用效益。根据自评表得分为99.91分，评价等级为优。</w:t>
      </w:r>
    </w:p>
    <w:p w14:paraId="5806339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评价指标分析（或综合评价情况）。</w:t>
      </w:r>
    </w:p>
    <w:p w14:paraId="257D4B0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1.综合评价分析</w:t>
      </w:r>
    </w:p>
    <w:p w14:paraId="437EBEF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绩效目标设定方面：我单位严格按照绩效目标制定的相关规定，</w:t>
      </w:r>
      <w:r>
        <w:rPr>
          <w:rFonts w:hint="default" w:ascii="Times New Roman Regular" w:hAnsi="Times New Roman Regular" w:eastAsia="仿宋_GB2312" w:cs="Times New Roman Regular"/>
          <w:color w:val="auto"/>
          <w:sz w:val="32"/>
          <w:szCs w:val="32"/>
          <w:highlight w:val="none"/>
          <w:lang w:val="en-US" w:eastAsia="zh-CN"/>
        </w:rPr>
        <w:t>围绕部门职责、行业发展规划</w:t>
      </w:r>
      <w:r>
        <w:rPr>
          <w:rFonts w:hint="eastAsia" w:ascii="Times New Roman Regular" w:hAnsi="Times New Roman Regular" w:eastAsia="仿宋_GB2312" w:cs="Times New Roman Regular"/>
          <w:color w:val="auto"/>
          <w:sz w:val="32"/>
          <w:szCs w:val="32"/>
          <w:highlight w:val="none"/>
          <w:lang w:val="en-US" w:eastAsia="zh-CN"/>
        </w:rPr>
        <w:t>，完整、合理地制定整体绩效目标，绩效指标基本做到细化量化。</w:t>
      </w:r>
    </w:p>
    <w:p w14:paraId="335C52F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预算配置方面：我单位年度预算与履职目标衔接紧密，预算编制依据充分、数据详实、结构优化、细化可执行。基本支出保障单位正常运转，行使单位职能，完成日常工作。及时对人员、车辆、资产等信息进行动态更新工作，确保基础信息数据的及时性、准确性和完整性，确保基本支出预算无缺口。确保重点支出安排，保障财政一体化信息系统、政府采购系统等重点项目任务完成目标。</w:t>
      </w:r>
    </w:p>
    <w:p w14:paraId="48CA7CE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预算执行</w:t>
      </w:r>
      <w:r>
        <w:rPr>
          <w:rFonts w:hint="eastAsia" w:ascii="Times New Roman Regular" w:hAnsi="Times New Roman Regular" w:eastAsia="仿宋_GB2312" w:cs="Times New Roman Regular"/>
          <w:color w:val="auto"/>
          <w:sz w:val="32"/>
          <w:szCs w:val="32"/>
          <w:highlight w:val="none"/>
          <w:lang w:val="en-US" w:eastAsia="zh-CN"/>
        </w:rPr>
        <w:t>方面：严格执行批复的各项支出预算，不擅自扩大支出范围、提高开支标准，严格按照预算批复的支出用途使用资金。采取有效措施，加快预算执行进度，全年预算执行率达到100%。</w:t>
      </w:r>
    </w:p>
    <w:p w14:paraId="114D5E7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预算管理</w:t>
      </w:r>
      <w:r>
        <w:rPr>
          <w:rFonts w:hint="eastAsia" w:ascii="Times New Roman Regular" w:hAnsi="Times New Roman Regular" w:eastAsia="仿宋_GB2312" w:cs="Times New Roman Regular"/>
          <w:color w:val="auto"/>
          <w:sz w:val="32"/>
          <w:szCs w:val="32"/>
          <w:highlight w:val="none"/>
          <w:lang w:val="en-US" w:eastAsia="zh-CN"/>
        </w:rPr>
        <w:t>方面：我单位按照预算法要求进行“一上”申报，在“一下”的基础上进行修改进行“二上”申报，形成以单位领导支持、财务部门牵头、其他部门密切配合的工作格局，保证预算编制质量；部门预算经批复后，跟踪预算执行进度，及时组织收入，科学合理安排支出，降低预算支出的波动幅度；严格执行项目支出预算，积极组织项目实施；加强对预算执行过程的控制和结果的反馈，对预算执行差异及时分析成因和影响，并及时向领导和相关科室进行反馈，以采取措施纠正执行偏差，促进预算目标的全面完成。</w:t>
      </w:r>
    </w:p>
    <w:p w14:paraId="3FFEC2F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资产管理</w:t>
      </w:r>
      <w:r>
        <w:rPr>
          <w:rFonts w:hint="eastAsia" w:ascii="Times New Roman Regular" w:hAnsi="Times New Roman Regular" w:eastAsia="仿宋_GB2312" w:cs="Times New Roman Regular"/>
          <w:color w:val="auto"/>
          <w:sz w:val="32"/>
          <w:szCs w:val="32"/>
          <w:highlight w:val="none"/>
          <w:lang w:val="en-US" w:eastAsia="zh-CN"/>
        </w:rPr>
        <w:t>方面：我单位严格执行资产配置、使用、处置管理办法，做到购置有预算，实物有专人管理，处置按流程，定期盘点清理资产，掌握固定资产的使用情况，确保设备完好提高利用率。资产账务管理合规、账实相符、处置规范。</w:t>
      </w:r>
    </w:p>
    <w:p w14:paraId="309383A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职责履行</w:t>
      </w:r>
      <w:r>
        <w:rPr>
          <w:rFonts w:hint="eastAsia" w:ascii="Times New Roman Regular" w:hAnsi="Times New Roman Regular" w:eastAsia="仿宋_GB2312" w:cs="Times New Roman Regular"/>
          <w:color w:val="auto"/>
          <w:sz w:val="32"/>
          <w:szCs w:val="32"/>
          <w:highlight w:val="none"/>
          <w:lang w:val="en-US" w:eastAsia="zh-CN"/>
        </w:rPr>
        <w:t>方面：我单位2024年严格落实各项工作，按照市局下达的任务及本单位的目标任务，积极推进了各项工作平稳、有序的开展。</w:t>
      </w:r>
    </w:p>
    <w:p w14:paraId="6DD4C61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2.目标完成情况及</w:t>
      </w:r>
      <w:r>
        <w:rPr>
          <w:rFonts w:hint="default" w:ascii="Times New Roman Regular" w:hAnsi="Times New Roman Regular" w:eastAsia="仿宋_GB2312" w:cs="Times New Roman Regular"/>
          <w:color w:val="auto"/>
          <w:sz w:val="32"/>
          <w:szCs w:val="32"/>
          <w:highlight w:val="none"/>
          <w:lang w:val="en-US" w:eastAsia="zh-CN"/>
        </w:rPr>
        <w:t>指标分析</w:t>
      </w:r>
    </w:p>
    <w:p w14:paraId="7639415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我部门2024年一般公共预算资金总体目标完成较好，具体如下：</w:t>
      </w:r>
    </w:p>
    <w:p w14:paraId="665E7C0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目标1：</w:t>
      </w:r>
      <w:r>
        <w:rPr>
          <w:rFonts w:hint="default" w:ascii="Times New Roman Regular" w:hAnsi="Times New Roman Regular" w:eastAsia="仿宋_GB2312" w:cs="Times New Roman Regular"/>
          <w:color w:val="auto"/>
          <w:sz w:val="32"/>
          <w:szCs w:val="32"/>
          <w:highlight w:val="none"/>
          <w:lang w:val="en-US" w:eastAsia="zh-CN"/>
        </w:rPr>
        <w:t>全力抓好文稿服务工作。全年累计起草会议讲话、汇报材料、经验材料、重要文件等450余篇。高质量起草了市委六届七次和八次全会、招商引资暨产业发展大会、优化营商环境大会、防汛抗灾调度会等重大工作材料；第十一届全球湘商大会、第三届市旅发大会、屈原爱国怀乡诗歌节、通道70周年县庆、2024湖南红色旅游文化节、赴北京、杭州、深圳招商等重要活动材料</w:t>
      </w:r>
      <w:r>
        <w:rPr>
          <w:rFonts w:hint="eastAsia" w:ascii="Times New Roman Regular" w:hAnsi="Times New Roman Regular" w:eastAsia="仿宋_GB2312" w:cs="Times New Roman Regular"/>
          <w:color w:val="auto"/>
          <w:sz w:val="32"/>
          <w:szCs w:val="32"/>
          <w:highlight w:val="none"/>
          <w:lang w:val="en-US" w:eastAsia="zh-CN"/>
        </w:rPr>
        <w:t>；</w:t>
      </w:r>
    </w:p>
    <w:p w14:paraId="1219FBB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目标2：</w:t>
      </w:r>
      <w:r>
        <w:rPr>
          <w:rFonts w:hint="default" w:ascii="Times New Roman Regular" w:hAnsi="Times New Roman Regular" w:eastAsia="仿宋_GB2312" w:cs="Times New Roman Regular"/>
          <w:color w:val="auto"/>
          <w:sz w:val="32"/>
          <w:szCs w:val="32"/>
          <w:highlight w:val="none"/>
          <w:lang w:val="en-US" w:eastAsia="zh-CN"/>
        </w:rPr>
        <w:t>宣传推介怀化重点工作。积极提炼总结和宣传推介怀化的好经验好做法，牵头起草的《深化抓党建促乡村振兴 着力绘就山乡巨变“新画卷”》《以进一步全面深化改革强动力增活力 加快推动怀化高水平开放高质量发展》《坚定不移推动高水平开放高质量发展》《增强牢记嘱托、感恩奋进的政治责任感和使命感 在奋力谱写中国式现代化湖南篇章中展现新作为》《发挥怀化国际陆港战略支点作用 全力推动高水平开放高质量发展》等理论文章在中央、省级权威媒体刊发</w:t>
      </w:r>
      <w:r>
        <w:rPr>
          <w:rFonts w:hint="eastAsia" w:ascii="Times New Roman Regular" w:hAnsi="Times New Roman Regular" w:eastAsia="仿宋_GB2312" w:cs="Times New Roman Regular"/>
          <w:color w:val="auto"/>
          <w:sz w:val="32"/>
          <w:szCs w:val="32"/>
          <w:highlight w:val="none"/>
          <w:lang w:val="en-US" w:eastAsia="zh-CN"/>
        </w:rPr>
        <w:t>；</w:t>
      </w:r>
    </w:p>
    <w:p w14:paraId="7DDD297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目标3：</w:t>
      </w:r>
      <w:r>
        <w:rPr>
          <w:rFonts w:hint="default" w:ascii="Times New Roman Regular" w:hAnsi="Times New Roman Regular" w:eastAsia="仿宋_GB2312" w:cs="Times New Roman Regular"/>
          <w:color w:val="auto"/>
          <w:sz w:val="32"/>
          <w:szCs w:val="32"/>
          <w:highlight w:val="none"/>
          <w:lang w:val="en-US" w:eastAsia="zh-CN"/>
        </w:rPr>
        <w:t xml:space="preserve"> 对标对表抓深化改革。全面完成市委深改委2024年55项重点改革任务，筹备召开2次市委深改委会议，审议通过9个重点改革方案。统筹推进市级领导领衔开展贯彻落实党的二十届三中全会精神重点改革事项调研，形成13篇高质量调研报告并转化为具体改革举措；推动全市认领3项省级第一批重点推进改革事项，谋划推进12项市级第一批重点改革事项</w:t>
      </w:r>
      <w:r>
        <w:rPr>
          <w:rFonts w:hint="eastAsia" w:ascii="Times New Roman Regular" w:hAnsi="Times New Roman Regular" w:eastAsia="仿宋_GB2312" w:cs="Times New Roman Regular"/>
          <w:color w:val="auto"/>
          <w:sz w:val="32"/>
          <w:szCs w:val="32"/>
          <w:highlight w:val="none"/>
          <w:lang w:val="en-US" w:eastAsia="zh-CN"/>
        </w:rPr>
        <w:t>；</w:t>
      </w:r>
    </w:p>
    <w:p w14:paraId="40BC561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目标4：</w:t>
      </w:r>
      <w:r>
        <w:rPr>
          <w:rFonts w:hint="default" w:ascii="Times New Roman Regular" w:hAnsi="Times New Roman Regular" w:eastAsia="仿宋_GB2312" w:cs="Times New Roman Regular"/>
          <w:color w:val="auto"/>
          <w:sz w:val="32"/>
          <w:szCs w:val="32"/>
          <w:highlight w:val="none"/>
          <w:lang w:val="en-US" w:eastAsia="zh-CN"/>
        </w:rPr>
        <w:t>精准精细抓财经研究。充分发挥市委财经委“两协调一咨询”作用，高标准起草市委主要领导财经领域讲话材料40余篇，加强经济运行及重点领域分析研判，形成高质量的经济形势分析材料10余篇，撰写的《加快怀化国际陆港建设 在扩大高水平对外开放上展现新作为》《从“地方税收占比”绩效考核看怀化税源建设》等调研报告得到市委主要领导充分肯定，调研文章《加快推动怀化区域消费中心建设取得新突破》在省委主办刊物《湖南工作》刊发。</w:t>
      </w:r>
    </w:p>
    <w:p w14:paraId="25C5102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（1）产出指标分析</w:t>
      </w:r>
    </w:p>
    <w:p w14:paraId="00D9D47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坚持党刊姓党根本原则，切实担负党的政策主张的传播者重要责任和使命，充分发挥党刊在理论传播、政策宣传、工作经验交流等方面的重要作用，从严把好文稿质量关，高质量编印《新怀化》12期，没有出现表述性错误、文字错误、政治错误、违反公序良俗等情况，有力提升地方党刊传播力、引导力、影响力、公信力。</w:t>
      </w:r>
      <w:r>
        <w:rPr>
          <w:rFonts w:hint="eastAsia" w:ascii="Times New Roman Regular" w:hAnsi="Times New Roman Regular" w:eastAsia="仿宋_GB2312" w:cs="Times New Roman Regular"/>
          <w:color w:val="auto"/>
          <w:sz w:val="32"/>
          <w:szCs w:val="32"/>
          <w:highlight w:val="none"/>
          <w:lang w:val="en-US" w:eastAsia="zh-CN"/>
        </w:rPr>
        <w:t>完成年初目标。</w:t>
      </w:r>
    </w:p>
    <w:p w14:paraId="2E9D58D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（2）效益指标分析</w:t>
      </w:r>
    </w:p>
    <w:p w14:paraId="7654C8C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 xml:space="preserve"> </w:t>
      </w:r>
      <w:r>
        <w:rPr>
          <w:rFonts w:hint="default" w:ascii="Times New Roman Regular" w:hAnsi="Times New Roman Regular" w:eastAsia="仿宋_GB2312" w:cs="Times New Roman Regular"/>
          <w:color w:val="auto"/>
          <w:sz w:val="32"/>
          <w:szCs w:val="32"/>
          <w:highlight w:val="none"/>
          <w:lang w:val="en-US" w:eastAsia="zh-CN"/>
        </w:rPr>
        <w:t>切实加强党风廉政建设。认真落实党风廉政建设责任制，召开党风廉政建设相关会议9次，室主任批办党风廉政建设工作任务5次，制定实施《2024年党风廉政建设工作要点》《2024年清廉机关建设工作要点》等，开展新调入年轻干部任前谈话，室务会班子成员走访党员干部家庭13人次。</w:t>
      </w:r>
      <w:r>
        <w:rPr>
          <w:rFonts w:hint="eastAsia" w:ascii="Times New Roman Regular" w:hAnsi="Times New Roman Regular" w:eastAsia="仿宋_GB2312" w:cs="Times New Roman Regular"/>
          <w:color w:val="auto"/>
          <w:sz w:val="32"/>
          <w:szCs w:val="32"/>
          <w:highlight w:val="none"/>
          <w:lang w:val="en-US" w:eastAsia="zh-CN"/>
        </w:rPr>
        <w:t>完成年初目标。</w:t>
      </w:r>
    </w:p>
    <w:p w14:paraId="7C1FEFB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（3）满意度指标分析</w:t>
      </w:r>
    </w:p>
    <w:p w14:paraId="589CC70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社会公众及服务对象满意度90%以上，完成年初目标。</w:t>
      </w:r>
      <w:r>
        <w:rPr>
          <w:rFonts w:hint="eastAsia" w:ascii="仿宋_GB2312" w:eastAsia="仿宋_GB2312" w:cs="仿宋_GB2312"/>
          <w:i w:val="0"/>
          <w:iCs w:val="0"/>
          <w:caps w:val="0"/>
          <w:color w:val="000000"/>
          <w:spacing w:val="0"/>
          <w:sz w:val="32"/>
          <w:szCs w:val="32"/>
          <w:shd w:val="clear" w:fill="FFFFFF"/>
          <w:lang w:val="en-US" w:eastAsia="zh-CN"/>
        </w:rPr>
        <w:t xml:space="preserve"> </w:t>
      </w:r>
    </w:p>
    <w:p w14:paraId="4ADB74F6">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九、存在的问题及原因分析</w:t>
      </w:r>
    </w:p>
    <w:p w14:paraId="04F35DE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一是年初绩效评价指标体系不完善，绩效目标设立不够明确、细化和量化。</w:t>
      </w:r>
    </w:p>
    <w:p w14:paraId="33EC434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二是部分项目执行与预算支出指标差距较大。部分项目在预算时未能充分预料和考虑到来年的政策变化，导致实际支出与预算有差</w:t>
      </w:r>
      <w:r>
        <w:rPr>
          <w:rFonts w:hint="default" w:ascii="Times New Roman Regular" w:hAnsi="Times New Roman Regular" w:eastAsia="仿宋_GB2312" w:cs="Times New Roman Regular"/>
          <w:color w:val="auto"/>
          <w:sz w:val="32"/>
          <w:szCs w:val="32"/>
          <w:highlight w:val="none"/>
          <w:lang w:val="en-US" w:eastAsia="zh-CN"/>
        </w:rPr>
        <w:t>。</w:t>
      </w:r>
    </w:p>
    <w:p w14:paraId="67F03E94">
      <w:pPr>
        <w:keepNext w:val="0"/>
        <w:keepLines w:val="0"/>
        <w:pageBreakBefore w:val="0"/>
        <w:widowControl w:val="0"/>
        <w:numPr>
          <w:ilvl w:val="0"/>
          <w:numId w:val="3"/>
        </w:numPr>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下一步改进措施</w:t>
      </w:r>
    </w:p>
    <w:p w14:paraId="74841B9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一是加强预算绩效管理工作。提升项目在资金支出绩效管理意识，科学合理地对财政支出进行管理。</w:t>
      </w:r>
    </w:p>
    <w:p w14:paraId="0DBCE65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二是抓好项目绩效目标申报，提高项目绩效目标申报质量，项目绩效目标做到明确、细化、量化。</w:t>
      </w:r>
    </w:p>
    <w:p w14:paraId="60BBFCD2">
      <w:pPr>
        <w:keepNext w:val="0"/>
        <w:keepLines w:val="0"/>
        <w:pageBreakBefore w:val="0"/>
        <w:widowControl w:val="0"/>
        <w:numPr>
          <w:ilvl w:val="0"/>
          <w:numId w:val="3"/>
        </w:numPr>
        <w:kinsoku/>
        <w:wordWrap/>
        <w:overflowPunct/>
        <w:topLinePunct w:val="0"/>
        <w:autoSpaceDE/>
        <w:autoSpaceDN/>
        <w:bidi w:val="0"/>
        <w:adjustRightInd/>
        <w:snapToGrid w:val="0"/>
        <w:spacing w:line="520" w:lineRule="exact"/>
        <w:ind w:left="0" w:leftChars="0" w:firstLine="0" w:firstLineChars="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绩效自评结果拟应用和公开情况</w:t>
      </w:r>
    </w:p>
    <w:p w14:paraId="1B6DE6A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通过绩效自评结果，对指标完成好的工作要在下一年度继续巩固和加强，对未完成的指标要深入剖析原因，找出症结，在以后工作中完善和改进；利用绩效自评结果，促进我</w:t>
      </w:r>
      <w:r>
        <w:rPr>
          <w:rFonts w:hint="eastAsia" w:ascii="Times New Roman Regular" w:hAnsi="Times New Roman Regular" w:eastAsia="仿宋_GB2312" w:cs="Times New Roman Regular"/>
          <w:color w:val="auto"/>
          <w:sz w:val="32"/>
          <w:szCs w:val="32"/>
          <w:highlight w:val="none"/>
          <w:lang w:val="en-US" w:eastAsia="zh-CN"/>
        </w:rPr>
        <w:t>单位</w:t>
      </w:r>
      <w:r>
        <w:rPr>
          <w:rFonts w:hint="default" w:ascii="Times New Roman Regular" w:hAnsi="Times New Roman Regular" w:eastAsia="仿宋_GB2312" w:cs="Times New Roman Regular"/>
          <w:color w:val="auto"/>
          <w:sz w:val="32"/>
          <w:szCs w:val="32"/>
          <w:highlight w:val="none"/>
          <w:lang w:val="en-US" w:eastAsia="zh-CN"/>
        </w:rPr>
        <w:t>各部</w:t>
      </w:r>
      <w:r>
        <w:rPr>
          <w:rFonts w:hint="eastAsia" w:ascii="Times New Roman Regular" w:hAnsi="Times New Roman Regular" w:eastAsia="仿宋_GB2312" w:cs="Times New Roman Regular"/>
          <w:color w:val="auto"/>
          <w:sz w:val="32"/>
          <w:szCs w:val="32"/>
          <w:highlight w:val="none"/>
          <w:lang w:val="en-US" w:eastAsia="zh-CN"/>
        </w:rPr>
        <w:t>门</w:t>
      </w:r>
      <w:r>
        <w:rPr>
          <w:rFonts w:hint="default" w:ascii="Times New Roman Regular" w:hAnsi="Times New Roman Regular" w:eastAsia="仿宋_GB2312" w:cs="Times New Roman Regular"/>
          <w:color w:val="auto"/>
          <w:sz w:val="32"/>
          <w:szCs w:val="32"/>
          <w:highlight w:val="none"/>
          <w:lang w:val="en-US" w:eastAsia="zh-CN"/>
        </w:rPr>
        <w:t>增强责任和</w:t>
      </w:r>
      <w:r>
        <w:rPr>
          <w:rFonts w:hint="eastAsia" w:ascii="Times New Roman Regular" w:hAnsi="Times New Roman Regular" w:eastAsia="仿宋_GB2312" w:cs="Times New Roman Regular"/>
          <w:color w:val="auto"/>
          <w:sz w:val="32"/>
          <w:szCs w:val="32"/>
          <w:highlight w:val="none"/>
          <w:lang w:val="en-US" w:eastAsia="zh-CN"/>
        </w:rPr>
        <w:t>社会</w:t>
      </w:r>
      <w:r>
        <w:rPr>
          <w:rFonts w:hint="default" w:ascii="Times New Roman Regular" w:hAnsi="Times New Roman Regular" w:eastAsia="仿宋_GB2312" w:cs="Times New Roman Regular"/>
          <w:color w:val="auto"/>
          <w:sz w:val="32"/>
          <w:szCs w:val="32"/>
          <w:highlight w:val="none"/>
          <w:lang w:val="en-US" w:eastAsia="zh-CN"/>
        </w:rPr>
        <w:t>观念，提高财政资金支出决策水平和管理水平。</w:t>
      </w:r>
    </w:p>
    <w:p w14:paraId="1679237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拟用于作为下一年度预算编制的参考依据，绩效自评结果按照财政要求及时公开</w:t>
      </w:r>
      <w:r>
        <w:rPr>
          <w:rFonts w:hint="eastAsia" w:ascii="Times New Roman Regular" w:hAnsi="Times New Roman Regular" w:eastAsia="仿宋_GB2312" w:cs="Times New Roman Regular"/>
          <w:color w:val="auto"/>
          <w:sz w:val="32"/>
          <w:szCs w:val="32"/>
          <w:highlight w:val="none"/>
          <w:lang w:val="en-US" w:eastAsia="zh-CN"/>
        </w:rPr>
        <w:t>。</w:t>
      </w:r>
    </w:p>
    <w:p w14:paraId="31EB2DD3">
      <w:pPr>
        <w:keepNext w:val="0"/>
        <w:keepLines w:val="0"/>
        <w:pageBreakBefore w:val="0"/>
        <w:widowControl w:val="0"/>
        <w:numPr>
          <w:ilvl w:val="0"/>
          <w:numId w:val="3"/>
        </w:numPr>
        <w:kinsoku/>
        <w:wordWrap/>
        <w:overflowPunct/>
        <w:topLinePunct w:val="0"/>
        <w:autoSpaceDE/>
        <w:autoSpaceDN/>
        <w:bidi w:val="0"/>
        <w:adjustRightInd/>
        <w:snapToGrid w:val="0"/>
        <w:spacing w:line="520" w:lineRule="exact"/>
        <w:ind w:left="0" w:leftChars="0" w:firstLine="0" w:firstLineChars="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其他需要说明的情况</w:t>
      </w:r>
    </w:p>
    <w:p w14:paraId="67B06B36">
      <w:pPr>
        <w:pStyle w:val="5"/>
        <w:numPr>
          <w:ilvl w:val="0"/>
          <w:numId w:val="0"/>
        </w:numPr>
        <w:ind w:leftChars="0" w:firstLine="640" w:firstLineChars="200"/>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无</w:t>
      </w:r>
    </w:p>
    <w:p w14:paraId="3A79D457">
      <w:pPr>
        <w:pStyle w:val="5"/>
        <w:numPr>
          <w:ilvl w:val="0"/>
          <w:numId w:val="0"/>
        </w:numPr>
        <w:rPr>
          <w:rFonts w:hint="default" w:ascii="Times New Roman Regular" w:hAnsi="Times New Roman Regular" w:eastAsia="仿宋_GB2312" w:cs="Times New Roman Regular"/>
          <w:color w:val="auto"/>
          <w:sz w:val="32"/>
          <w:szCs w:val="32"/>
          <w:highlight w:val="none"/>
          <w:lang w:val="en-US" w:eastAsia="zh-CN"/>
        </w:rPr>
      </w:pPr>
    </w:p>
    <w:p w14:paraId="49D24FA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整体支出报告需要以下附件：</w:t>
      </w:r>
    </w:p>
    <w:p w14:paraId="3CA5684C">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1.部门整体支出绩效评价基础数据表</w:t>
      </w:r>
    </w:p>
    <w:p w14:paraId="55BD0B94">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2.部门整体支出绩效自评表</w:t>
      </w:r>
    </w:p>
    <w:p w14:paraId="1E6E4A1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3.项目支出绩效自评表（每个一级项目支出一张表）</w:t>
      </w:r>
    </w:p>
    <w:p w14:paraId="2C019A6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7DADEC7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附件1</w:t>
      </w:r>
    </w:p>
    <w:p w14:paraId="1F4A6FCA">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center"/>
        <w:textAlignment w:val="auto"/>
        <w:rPr>
          <w:rFonts w:hint="eastAsia"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color w:val="000000"/>
          <w:kern w:val="0"/>
          <w:sz w:val="36"/>
          <w:szCs w:val="36"/>
          <w:lang w:val="en-US" w:eastAsia="zh-CN"/>
        </w:rPr>
        <w:t>部门整体支出绩效评价基础数据表</w:t>
      </w:r>
    </w:p>
    <w:p w14:paraId="38914C5D">
      <w:pPr>
        <w:widowControl/>
        <w:tabs>
          <w:tab w:val="left" w:pos="3611"/>
          <w:tab w:val="left" w:pos="4791"/>
          <w:tab w:val="left" w:pos="5951"/>
          <w:tab w:val="left" w:pos="7071"/>
          <w:tab w:val="left" w:pos="8191"/>
          <w:tab w:val="left" w:pos="9311"/>
        </w:tabs>
        <w:ind w:left="91"/>
        <w:jc w:val="left"/>
        <w:rPr>
          <w:rFonts w:hint="default" w:eastAsia="仿宋_GB2312"/>
          <w:kern w:val="0"/>
          <w:sz w:val="24"/>
          <w:lang w:val="en-US" w:eastAsia="zh-CN"/>
        </w:rPr>
      </w:pPr>
      <w:r>
        <w:rPr>
          <w:rFonts w:hint="eastAsia" w:eastAsia="仿宋_GB2312"/>
          <w:kern w:val="0"/>
          <w:sz w:val="24"/>
          <w:lang w:val="en-US" w:eastAsia="zh-CN"/>
        </w:rPr>
        <w:t xml:space="preserve">                                       </w:t>
      </w:r>
    </w:p>
    <w:tbl>
      <w:tblPr>
        <w:tblStyle w:val="9"/>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14:paraId="688B4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noWrap w:val="0"/>
            <w:vAlign w:val="center"/>
          </w:tcPr>
          <w:p w14:paraId="3267C31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财政供养人员情况</w:t>
            </w:r>
          </w:p>
        </w:tc>
        <w:tc>
          <w:tcPr>
            <w:tcW w:w="2038" w:type="dxa"/>
            <w:gridSpan w:val="2"/>
            <w:noWrap w:val="0"/>
            <w:vAlign w:val="center"/>
          </w:tcPr>
          <w:p w14:paraId="07708FB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编制数</w:t>
            </w:r>
          </w:p>
        </w:tc>
        <w:tc>
          <w:tcPr>
            <w:tcW w:w="2240" w:type="dxa"/>
            <w:gridSpan w:val="2"/>
            <w:noWrap w:val="0"/>
            <w:vAlign w:val="center"/>
          </w:tcPr>
          <w:p w14:paraId="35630D8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年实际在职人数</w:t>
            </w:r>
          </w:p>
        </w:tc>
        <w:tc>
          <w:tcPr>
            <w:tcW w:w="1832" w:type="dxa"/>
            <w:gridSpan w:val="2"/>
            <w:noWrap w:val="0"/>
            <w:vAlign w:val="center"/>
          </w:tcPr>
          <w:p w14:paraId="31149C3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控制率</w:t>
            </w:r>
          </w:p>
        </w:tc>
      </w:tr>
      <w:tr w14:paraId="02225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3354" w:type="dxa"/>
            <w:vMerge w:val="continue"/>
            <w:noWrap w:val="0"/>
            <w:vAlign w:val="center"/>
          </w:tcPr>
          <w:p w14:paraId="63E7E386">
            <w:pPr>
              <w:widowControl/>
              <w:jc w:val="left"/>
              <w:rPr>
                <w:rFonts w:hint="eastAsia" w:ascii="仿宋" w:hAnsi="仿宋" w:eastAsia="仿宋" w:cs="仿宋"/>
                <w:b w:val="0"/>
                <w:bCs w:val="0"/>
                <w:kern w:val="0"/>
                <w:sz w:val="20"/>
                <w:szCs w:val="20"/>
              </w:rPr>
            </w:pPr>
          </w:p>
        </w:tc>
        <w:tc>
          <w:tcPr>
            <w:tcW w:w="2038" w:type="dxa"/>
            <w:gridSpan w:val="2"/>
            <w:noWrap w:val="0"/>
            <w:vAlign w:val="center"/>
          </w:tcPr>
          <w:p w14:paraId="6CE00D6A">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19</w:t>
            </w:r>
            <w:r>
              <w:rPr>
                <w:rFonts w:hint="eastAsia" w:ascii="仿宋" w:hAnsi="仿宋" w:eastAsia="仿宋" w:cs="仿宋"/>
                <w:b w:val="0"/>
                <w:bCs w:val="0"/>
                <w:kern w:val="0"/>
                <w:sz w:val="20"/>
                <w:szCs w:val="20"/>
              </w:rPr>
              <w:t>　</w:t>
            </w:r>
          </w:p>
        </w:tc>
        <w:tc>
          <w:tcPr>
            <w:tcW w:w="2240" w:type="dxa"/>
            <w:gridSpan w:val="2"/>
            <w:noWrap w:val="0"/>
            <w:vAlign w:val="center"/>
          </w:tcPr>
          <w:p w14:paraId="0D1E6135">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19</w:t>
            </w:r>
            <w:r>
              <w:rPr>
                <w:rFonts w:hint="eastAsia" w:ascii="仿宋" w:hAnsi="仿宋" w:eastAsia="仿宋" w:cs="仿宋"/>
                <w:b w:val="0"/>
                <w:bCs w:val="0"/>
                <w:kern w:val="0"/>
                <w:sz w:val="20"/>
                <w:szCs w:val="20"/>
              </w:rPr>
              <w:t>　</w:t>
            </w:r>
          </w:p>
        </w:tc>
        <w:tc>
          <w:tcPr>
            <w:tcW w:w="1832" w:type="dxa"/>
            <w:gridSpan w:val="2"/>
            <w:noWrap w:val="0"/>
            <w:vAlign w:val="center"/>
          </w:tcPr>
          <w:p w14:paraId="3FCEC00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100%</w:t>
            </w:r>
            <w:r>
              <w:rPr>
                <w:rFonts w:hint="eastAsia" w:ascii="仿宋" w:hAnsi="仿宋" w:eastAsia="仿宋" w:cs="仿宋"/>
                <w:b w:val="0"/>
                <w:bCs w:val="0"/>
                <w:kern w:val="0"/>
                <w:sz w:val="20"/>
                <w:szCs w:val="20"/>
              </w:rPr>
              <w:t>　</w:t>
            </w:r>
          </w:p>
        </w:tc>
      </w:tr>
      <w:tr w14:paraId="52A41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1FFF6C0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经费控制情况</w:t>
            </w:r>
          </w:p>
        </w:tc>
        <w:tc>
          <w:tcPr>
            <w:tcW w:w="2038" w:type="dxa"/>
            <w:gridSpan w:val="2"/>
            <w:noWrap w:val="0"/>
            <w:vAlign w:val="center"/>
          </w:tcPr>
          <w:p w14:paraId="7E562822">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年决算数</w:t>
            </w:r>
          </w:p>
        </w:tc>
        <w:tc>
          <w:tcPr>
            <w:tcW w:w="2240" w:type="dxa"/>
            <w:gridSpan w:val="2"/>
            <w:noWrap w:val="0"/>
            <w:vAlign w:val="center"/>
          </w:tcPr>
          <w:p w14:paraId="5EBD81F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年预算数</w:t>
            </w:r>
          </w:p>
        </w:tc>
        <w:tc>
          <w:tcPr>
            <w:tcW w:w="1832" w:type="dxa"/>
            <w:gridSpan w:val="2"/>
            <w:noWrap w:val="0"/>
            <w:vAlign w:val="center"/>
          </w:tcPr>
          <w:p w14:paraId="0DC18D9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年决算数</w:t>
            </w:r>
          </w:p>
        </w:tc>
      </w:tr>
      <w:tr w14:paraId="78E94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512ACB1C">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三公经费</w:t>
            </w:r>
          </w:p>
        </w:tc>
        <w:tc>
          <w:tcPr>
            <w:tcW w:w="2038" w:type="dxa"/>
            <w:gridSpan w:val="2"/>
            <w:shd w:val="clear" w:color="auto" w:fill="auto"/>
            <w:noWrap w:val="0"/>
            <w:vAlign w:val="center"/>
          </w:tcPr>
          <w:p w14:paraId="30558168">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2.85</w:t>
            </w:r>
          </w:p>
        </w:tc>
        <w:tc>
          <w:tcPr>
            <w:tcW w:w="2240" w:type="dxa"/>
            <w:gridSpan w:val="2"/>
            <w:noWrap w:val="0"/>
            <w:vAlign w:val="center"/>
          </w:tcPr>
          <w:p w14:paraId="3507904B">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3.30</w:t>
            </w:r>
            <w:r>
              <w:rPr>
                <w:rFonts w:hint="eastAsia" w:ascii="仿宋" w:hAnsi="仿宋" w:eastAsia="仿宋" w:cs="仿宋"/>
                <w:b w:val="0"/>
                <w:bCs w:val="0"/>
                <w:kern w:val="0"/>
                <w:sz w:val="20"/>
                <w:szCs w:val="20"/>
              </w:rPr>
              <w:t>　</w:t>
            </w:r>
          </w:p>
        </w:tc>
        <w:tc>
          <w:tcPr>
            <w:tcW w:w="1832" w:type="dxa"/>
            <w:gridSpan w:val="2"/>
            <w:noWrap w:val="0"/>
            <w:vAlign w:val="center"/>
          </w:tcPr>
          <w:p w14:paraId="4F2D81B5">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2.26</w:t>
            </w:r>
          </w:p>
        </w:tc>
      </w:tr>
      <w:tr w14:paraId="16890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3CD31F59">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1、公务用车购置和维护经费</w:t>
            </w:r>
          </w:p>
        </w:tc>
        <w:tc>
          <w:tcPr>
            <w:tcW w:w="2038" w:type="dxa"/>
            <w:gridSpan w:val="2"/>
            <w:shd w:val="clear" w:color="auto" w:fill="auto"/>
            <w:noWrap w:val="0"/>
            <w:vAlign w:val="center"/>
          </w:tcPr>
          <w:p w14:paraId="43405593">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1.97</w:t>
            </w:r>
          </w:p>
        </w:tc>
        <w:tc>
          <w:tcPr>
            <w:tcW w:w="2240" w:type="dxa"/>
            <w:gridSpan w:val="2"/>
            <w:noWrap w:val="0"/>
            <w:vAlign w:val="center"/>
          </w:tcPr>
          <w:p w14:paraId="1CC36A2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2.40</w:t>
            </w:r>
            <w:r>
              <w:rPr>
                <w:rFonts w:hint="eastAsia" w:ascii="仿宋" w:hAnsi="仿宋" w:eastAsia="仿宋" w:cs="仿宋"/>
                <w:b w:val="0"/>
                <w:bCs w:val="0"/>
                <w:kern w:val="0"/>
                <w:sz w:val="20"/>
                <w:szCs w:val="20"/>
              </w:rPr>
              <w:t>　</w:t>
            </w:r>
          </w:p>
        </w:tc>
        <w:tc>
          <w:tcPr>
            <w:tcW w:w="1832" w:type="dxa"/>
            <w:gridSpan w:val="2"/>
            <w:noWrap w:val="0"/>
            <w:vAlign w:val="center"/>
          </w:tcPr>
          <w:p w14:paraId="2F752BC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1.74</w:t>
            </w:r>
            <w:r>
              <w:rPr>
                <w:rFonts w:hint="eastAsia" w:ascii="仿宋" w:hAnsi="仿宋" w:eastAsia="仿宋" w:cs="仿宋"/>
                <w:b w:val="0"/>
                <w:bCs w:val="0"/>
                <w:kern w:val="0"/>
                <w:sz w:val="20"/>
                <w:szCs w:val="20"/>
              </w:rPr>
              <w:t>　</w:t>
            </w:r>
          </w:p>
        </w:tc>
      </w:tr>
      <w:tr w14:paraId="1B8D2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3563F6C3">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其中：公车购置</w:t>
            </w:r>
          </w:p>
        </w:tc>
        <w:tc>
          <w:tcPr>
            <w:tcW w:w="2038" w:type="dxa"/>
            <w:gridSpan w:val="2"/>
            <w:shd w:val="clear" w:color="auto" w:fill="auto"/>
            <w:noWrap w:val="0"/>
            <w:vAlign w:val="center"/>
          </w:tcPr>
          <w:p w14:paraId="10DDB2F9">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0.00</w:t>
            </w:r>
          </w:p>
        </w:tc>
        <w:tc>
          <w:tcPr>
            <w:tcW w:w="2240" w:type="dxa"/>
            <w:gridSpan w:val="2"/>
            <w:noWrap w:val="0"/>
            <w:vAlign w:val="center"/>
          </w:tcPr>
          <w:p w14:paraId="418D5332">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r>
              <w:rPr>
                <w:rFonts w:hint="eastAsia" w:ascii="仿宋" w:hAnsi="仿宋" w:eastAsia="仿宋" w:cs="仿宋"/>
                <w:b w:val="0"/>
                <w:bCs w:val="0"/>
                <w:kern w:val="0"/>
                <w:sz w:val="20"/>
                <w:szCs w:val="20"/>
              </w:rPr>
              <w:t>　</w:t>
            </w:r>
          </w:p>
        </w:tc>
        <w:tc>
          <w:tcPr>
            <w:tcW w:w="1832" w:type="dxa"/>
            <w:gridSpan w:val="2"/>
            <w:noWrap w:val="0"/>
            <w:vAlign w:val="center"/>
          </w:tcPr>
          <w:p w14:paraId="1ED0EFE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r>
              <w:rPr>
                <w:rFonts w:hint="eastAsia" w:ascii="仿宋" w:hAnsi="仿宋" w:eastAsia="仿宋" w:cs="仿宋"/>
                <w:b w:val="0"/>
                <w:bCs w:val="0"/>
                <w:kern w:val="0"/>
                <w:sz w:val="20"/>
                <w:szCs w:val="20"/>
              </w:rPr>
              <w:t>　</w:t>
            </w:r>
          </w:p>
        </w:tc>
      </w:tr>
      <w:tr w14:paraId="28745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43BE685A">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公车运行维护</w:t>
            </w:r>
          </w:p>
        </w:tc>
        <w:tc>
          <w:tcPr>
            <w:tcW w:w="2038" w:type="dxa"/>
            <w:gridSpan w:val="2"/>
            <w:shd w:val="clear" w:color="auto" w:fill="auto"/>
            <w:noWrap w:val="0"/>
            <w:vAlign w:val="center"/>
          </w:tcPr>
          <w:p w14:paraId="213E1B96">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1.97</w:t>
            </w:r>
            <w:r>
              <w:rPr>
                <w:rFonts w:hint="eastAsia" w:ascii="仿宋" w:hAnsi="仿宋" w:eastAsia="仿宋" w:cs="仿宋"/>
                <w:b w:val="0"/>
                <w:bCs w:val="0"/>
                <w:kern w:val="0"/>
                <w:sz w:val="20"/>
                <w:szCs w:val="20"/>
              </w:rPr>
              <w:t>　</w:t>
            </w:r>
          </w:p>
        </w:tc>
        <w:tc>
          <w:tcPr>
            <w:tcW w:w="2240" w:type="dxa"/>
            <w:gridSpan w:val="2"/>
            <w:noWrap w:val="0"/>
            <w:vAlign w:val="center"/>
          </w:tcPr>
          <w:p w14:paraId="3BA9669B">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2.40</w:t>
            </w:r>
            <w:r>
              <w:rPr>
                <w:rFonts w:hint="eastAsia" w:ascii="仿宋" w:hAnsi="仿宋" w:eastAsia="仿宋" w:cs="仿宋"/>
                <w:b w:val="0"/>
                <w:bCs w:val="0"/>
                <w:kern w:val="0"/>
                <w:sz w:val="20"/>
                <w:szCs w:val="20"/>
              </w:rPr>
              <w:t>　</w:t>
            </w:r>
          </w:p>
        </w:tc>
        <w:tc>
          <w:tcPr>
            <w:tcW w:w="1832" w:type="dxa"/>
            <w:gridSpan w:val="2"/>
            <w:noWrap w:val="0"/>
            <w:vAlign w:val="center"/>
          </w:tcPr>
          <w:p w14:paraId="75140C5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1.74</w:t>
            </w:r>
            <w:r>
              <w:rPr>
                <w:rFonts w:hint="eastAsia" w:ascii="仿宋" w:hAnsi="仿宋" w:eastAsia="仿宋" w:cs="仿宋"/>
                <w:b w:val="0"/>
                <w:bCs w:val="0"/>
                <w:kern w:val="0"/>
                <w:sz w:val="20"/>
                <w:szCs w:val="20"/>
              </w:rPr>
              <w:t>　</w:t>
            </w:r>
          </w:p>
        </w:tc>
      </w:tr>
      <w:tr w14:paraId="5152E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3F2132ED">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2、出国经费</w:t>
            </w:r>
          </w:p>
        </w:tc>
        <w:tc>
          <w:tcPr>
            <w:tcW w:w="2038" w:type="dxa"/>
            <w:gridSpan w:val="2"/>
            <w:shd w:val="clear" w:color="auto" w:fill="auto"/>
            <w:noWrap w:val="0"/>
            <w:vAlign w:val="center"/>
          </w:tcPr>
          <w:p w14:paraId="53730BF7">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0.00</w:t>
            </w:r>
            <w:r>
              <w:rPr>
                <w:rFonts w:hint="eastAsia" w:ascii="仿宋" w:hAnsi="仿宋" w:eastAsia="仿宋" w:cs="仿宋"/>
                <w:b w:val="0"/>
                <w:bCs w:val="0"/>
                <w:kern w:val="0"/>
                <w:sz w:val="20"/>
                <w:szCs w:val="20"/>
              </w:rPr>
              <w:t>　</w:t>
            </w:r>
          </w:p>
        </w:tc>
        <w:tc>
          <w:tcPr>
            <w:tcW w:w="2240" w:type="dxa"/>
            <w:gridSpan w:val="2"/>
            <w:noWrap w:val="0"/>
            <w:vAlign w:val="center"/>
          </w:tcPr>
          <w:p w14:paraId="42FA314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r>
              <w:rPr>
                <w:rFonts w:hint="eastAsia" w:ascii="仿宋" w:hAnsi="仿宋" w:eastAsia="仿宋" w:cs="仿宋"/>
                <w:b w:val="0"/>
                <w:bCs w:val="0"/>
                <w:kern w:val="0"/>
                <w:sz w:val="20"/>
                <w:szCs w:val="20"/>
              </w:rPr>
              <w:t>　</w:t>
            </w:r>
          </w:p>
        </w:tc>
        <w:tc>
          <w:tcPr>
            <w:tcW w:w="1832" w:type="dxa"/>
            <w:gridSpan w:val="2"/>
            <w:noWrap w:val="0"/>
            <w:vAlign w:val="center"/>
          </w:tcPr>
          <w:p w14:paraId="585ECF1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r>
              <w:rPr>
                <w:rFonts w:hint="eastAsia" w:ascii="仿宋" w:hAnsi="仿宋" w:eastAsia="仿宋" w:cs="仿宋"/>
                <w:b w:val="0"/>
                <w:bCs w:val="0"/>
                <w:kern w:val="0"/>
                <w:sz w:val="20"/>
                <w:szCs w:val="20"/>
              </w:rPr>
              <w:t>　</w:t>
            </w:r>
          </w:p>
        </w:tc>
      </w:tr>
      <w:tr w14:paraId="7724E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3354" w:type="dxa"/>
            <w:noWrap w:val="0"/>
            <w:vAlign w:val="center"/>
          </w:tcPr>
          <w:p w14:paraId="6DC72C85">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3、公务接待</w:t>
            </w:r>
          </w:p>
        </w:tc>
        <w:tc>
          <w:tcPr>
            <w:tcW w:w="2038" w:type="dxa"/>
            <w:gridSpan w:val="2"/>
            <w:shd w:val="clear" w:color="auto" w:fill="auto"/>
            <w:noWrap w:val="0"/>
            <w:vAlign w:val="center"/>
          </w:tcPr>
          <w:p w14:paraId="659E8206">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0.88</w:t>
            </w:r>
          </w:p>
        </w:tc>
        <w:tc>
          <w:tcPr>
            <w:tcW w:w="2240" w:type="dxa"/>
            <w:gridSpan w:val="2"/>
            <w:noWrap w:val="0"/>
            <w:vAlign w:val="center"/>
          </w:tcPr>
          <w:p w14:paraId="33375AB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0.09</w:t>
            </w:r>
            <w:r>
              <w:rPr>
                <w:rFonts w:hint="eastAsia" w:ascii="仿宋" w:hAnsi="仿宋" w:eastAsia="仿宋" w:cs="仿宋"/>
                <w:b w:val="0"/>
                <w:bCs w:val="0"/>
                <w:kern w:val="0"/>
                <w:sz w:val="20"/>
                <w:szCs w:val="20"/>
              </w:rPr>
              <w:t>　</w:t>
            </w:r>
          </w:p>
        </w:tc>
        <w:tc>
          <w:tcPr>
            <w:tcW w:w="1832" w:type="dxa"/>
            <w:gridSpan w:val="2"/>
            <w:noWrap w:val="0"/>
            <w:vAlign w:val="center"/>
          </w:tcPr>
          <w:p w14:paraId="71B845C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0.52</w:t>
            </w:r>
            <w:r>
              <w:rPr>
                <w:rFonts w:hint="eastAsia" w:ascii="仿宋" w:hAnsi="仿宋" w:eastAsia="仿宋" w:cs="仿宋"/>
                <w:b w:val="0"/>
                <w:bCs w:val="0"/>
                <w:kern w:val="0"/>
                <w:sz w:val="20"/>
                <w:szCs w:val="20"/>
              </w:rPr>
              <w:t>　</w:t>
            </w:r>
          </w:p>
        </w:tc>
      </w:tr>
      <w:tr w14:paraId="404BD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4BC467DA">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项目支出：</w:t>
            </w:r>
          </w:p>
        </w:tc>
        <w:tc>
          <w:tcPr>
            <w:tcW w:w="2038" w:type="dxa"/>
            <w:gridSpan w:val="2"/>
            <w:shd w:val="clear" w:color="auto" w:fill="auto"/>
            <w:noWrap w:val="0"/>
            <w:vAlign w:val="center"/>
          </w:tcPr>
          <w:p w14:paraId="2C8DC76E">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102.95</w:t>
            </w:r>
            <w:r>
              <w:rPr>
                <w:rFonts w:hint="eastAsia" w:ascii="仿宋" w:hAnsi="仿宋" w:eastAsia="仿宋" w:cs="仿宋"/>
                <w:b w:val="0"/>
                <w:bCs w:val="0"/>
                <w:kern w:val="0"/>
                <w:sz w:val="20"/>
                <w:szCs w:val="20"/>
              </w:rPr>
              <w:t>　</w:t>
            </w:r>
          </w:p>
        </w:tc>
        <w:tc>
          <w:tcPr>
            <w:tcW w:w="2240" w:type="dxa"/>
            <w:gridSpan w:val="2"/>
            <w:noWrap w:val="0"/>
            <w:vAlign w:val="center"/>
          </w:tcPr>
          <w:p w14:paraId="0A6A002A">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116</w:t>
            </w:r>
            <w:r>
              <w:rPr>
                <w:rFonts w:hint="eastAsia" w:ascii="仿宋" w:hAnsi="仿宋" w:eastAsia="仿宋" w:cs="仿宋"/>
                <w:b w:val="0"/>
                <w:bCs w:val="0"/>
                <w:kern w:val="0"/>
                <w:sz w:val="20"/>
                <w:szCs w:val="20"/>
              </w:rPr>
              <w:t>　</w:t>
            </w:r>
          </w:p>
        </w:tc>
        <w:tc>
          <w:tcPr>
            <w:tcW w:w="1832" w:type="dxa"/>
            <w:gridSpan w:val="2"/>
            <w:noWrap w:val="0"/>
            <w:vAlign w:val="center"/>
          </w:tcPr>
          <w:p w14:paraId="46DD1872">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116.96</w:t>
            </w:r>
            <w:r>
              <w:rPr>
                <w:rFonts w:hint="eastAsia" w:ascii="仿宋" w:hAnsi="仿宋" w:eastAsia="仿宋" w:cs="仿宋"/>
                <w:b w:val="0"/>
                <w:bCs w:val="0"/>
                <w:kern w:val="0"/>
                <w:sz w:val="20"/>
                <w:szCs w:val="20"/>
              </w:rPr>
              <w:t>　</w:t>
            </w:r>
          </w:p>
        </w:tc>
      </w:tr>
      <w:tr w14:paraId="2A78E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AB8EC99">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1、业务工作经费</w:t>
            </w:r>
          </w:p>
        </w:tc>
        <w:tc>
          <w:tcPr>
            <w:tcW w:w="2038" w:type="dxa"/>
            <w:gridSpan w:val="2"/>
            <w:shd w:val="clear" w:color="auto" w:fill="auto"/>
            <w:noWrap w:val="0"/>
            <w:vAlign w:val="center"/>
          </w:tcPr>
          <w:p w14:paraId="58A3760B">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rPr>
              <w:t>　</w:t>
            </w:r>
          </w:p>
        </w:tc>
        <w:tc>
          <w:tcPr>
            <w:tcW w:w="2240" w:type="dxa"/>
            <w:gridSpan w:val="2"/>
            <w:noWrap w:val="0"/>
            <w:vAlign w:val="center"/>
          </w:tcPr>
          <w:p w14:paraId="364FBD7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noWrap w:val="0"/>
            <w:vAlign w:val="center"/>
          </w:tcPr>
          <w:p w14:paraId="684C68F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2AB0E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1F59D5CF">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2、运行维护经费</w:t>
            </w:r>
          </w:p>
        </w:tc>
        <w:tc>
          <w:tcPr>
            <w:tcW w:w="2038" w:type="dxa"/>
            <w:gridSpan w:val="2"/>
            <w:shd w:val="clear" w:color="auto" w:fill="auto"/>
            <w:noWrap w:val="0"/>
            <w:vAlign w:val="center"/>
          </w:tcPr>
          <w:p w14:paraId="2E14CE26">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102.95</w:t>
            </w:r>
            <w:r>
              <w:rPr>
                <w:rFonts w:hint="eastAsia" w:ascii="仿宋" w:hAnsi="仿宋" w:eastAsia="仿宋" w:cs="仿宋"/>
                <w:b w:val="0"/>
                <w:bCs w:val="0"/>
                <w:kern w:val="0"/>
                <w:sz w:val="20"/>
                <w:szCs w:val="20"/>
              </w:rPr>
              <w:t>　</w:t>
            </w:r>
          </w:p>
        </w:tc>
        <w:tc>
          <w:tcPr>
            <w:tcW w:w="2240" w:type="dxa"/>
            <w:gridSpan w:val="2"/>
            <w:noWrap w:val="0"/>
            <w:vAlign w:val="center"/>
          </w:tcPr>
          <w:p w14:paraId="2942CFC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116</w:t>
            </w:r>
            <w:r>
              <w:rPr>
                <w:rFonts w:hint="eastAsia" w:ascii="仿宋" w:hAnsi="仿宋" w:eastAsia="仿宋" w:cs="仿宋"/>
                <w:b w:val="0"/>
                <w:bCs w:val="0"/>
                <w:kern w:val="0"/>
                <w:sz w:val="20"/>
                <w:szCs w:val="20"/>
              </w:rPr>
              <w:t>　</w:t>
            </w:r>
          </w:p>
        </w:tc>
        <w:tc>
          <w:tcPr>
            <w:tcW w:w="1832" w:type="dxa"/>
            <w:gridSpan w:val="2"/>
            <w:noWrap w:val="0"/>
            <w:vAlign w:val="center"/>
          </w:tcPr>
          <w:p w14:paraId="08BA8C9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116.96</w:t>
            </w:r>
            <w:r>
              <w:rPr>
                <w:rFonts w:hint="eastAsia" w:ascii="仿宋" w:hAnsi="仿宋" w:eastAsia="仿宋" w:cs="仿宋"/>
                <w:b w:val="0"/>
                <w:bCs w:val="0"/>
                <w:kern w:val="0"/>
                <w:sz w:val="20"/>
                <w:szCs w:val="20"/>
              </w:rPr>
              <w:t>　</w:t>
            </w:r>
          </w:p>
        </w:tc>
      </w:tr>
      <w:tr w14:paraId="5FBD1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73D44DA0">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3、</w:t>
            </w:r>
            <w:r>
              <w:rPr>
                <w:rFonts w:hint="eastAsia" w:ascii="仿宋" w:hAnsi="仿宋" w:eastAsia="仿宋" w:cs="仿宋"/>
                <w:b w:val="0"/>
                <w:bCs w:val="0"/>
                <w:kern w:val="0"/>
                <w:sz w:val="20"/>
                <w:szCs w:val="20"/>
                <w:lang w:eastAsia="zh-CN"/>
              </w:rPr>
              <w:t>本级</w:t>
            </w:r>
            <w:r>
              <w:rPr>
                <w:rFonts w:hint="eastAsia" w:ascii="仿宋" w:hAnsi="仿宋" w:eastAsia="仿宋" w:cs="仿宋"/>
                <w:b w:val="0"/>
                <w:bCs w:val="0"/>
                <w:kern w:val="0"/>
                <w:sz w:val="20"/>
                <w:szCs w:val="20"/>
              </w:rPr>
              <w:t>专项资金</w:t>
            </w:r>
          </w:p>
          <w:p w14:paraId="1D795843">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（一个专项一行）</w:t>
            </w:r>
          </w:p>
        </w:tc>
        <w:tc>
          <w:tcPr>
            <w:tcW w:w="2038" w:type="dxa"/>
            <w:gridSpan w:val="2"/>
            <w:shd w:val="clear" w:color="auto" w:fill="auto"/>
            <w:noWrap w:val="0"/>
            <w:vAlign w:val="center"/>
          </w:tcPr>
          <w:p w14:paraId="47CAAB3C">
            <w:pPr>
              <w:widowControl/>
              <w:jc w:val="center"/>
              <w:rPr>
                <w:rFonts w:hint="eastAsia" w:ascii="仿宋" w:hAnsi="仿宋" w:eastAsia="仿宋" w:cs="仿宋"/>
                <w:b w:val="0"/>
                <w:bCs w:val="0"/>
                <w:kern w:val="0"/>
                <w:sz w:val="20"/>
                <w:szCs w:val="20"/>
                <w:lang w:val="en-US" w:eastAsia="zh-CN" w:bidi="ar-SA"/>
              </w:rPr>
            </w:pPr>
          </w:p>
        </w:tc>
        <w:tc>
          <w:tcPr>
            <w:tcW w:w="2240" w:type="dxa"/>
            <w:gridSpan w:val="2"/>
            <w:noWrap w:val="0"/>
            <w:vAlign w:val="center"/>
          </w:tcPr>
          <w:p w14:paraId="73E413C5">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3A045CC5">
            <w:pPr>
              <w:widowControl/>
              <w:jc w:val="center"/>
              <w:rPr>
                <w:rFonts w:hint="eastAsia" w:ascii="仿宋" w:hAnsi="仿宋" w:eastAsia="仿宋" w:cs="仿宋"/>
                <w:b w:val="0"/>
                <w:bCs w:val="0"/>
                <w:kern w:val="0"/>
                <w:sz w:val="20"/>
                <w:szCs w:val="20"/>
              </w:rPr>
            </w:pPr>
          </w:p>
        </w:tc>
      </w:tr>
      <w:tr w14:paraId="6ACE1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34F43378">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4、其他事业类发展资金</w:t>
            </w:r>
          </w:p>
        </w:tc>
        <w:tc>
          <w:tcPr>
            <w:tcW w:w="2038" w:type="dxa"/>
            <w:gridSpan w:val="2"/>
            <w:shd w:val="clear" w:color="auto" w:fill="auto"/>
            <w:noWrap w:val="0"/>
            <w:vAlign w:val="center"/>
          </w:tcPr>
          <w:p w14:paraId="5F3FEFB2">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rPr>
              <w:t>　</w:t>
            </w:r>
          </w:p>
        </w:tc>
        <w:tc>
          <w:tcPr>
            <w:tcW w:w="2240" w:type="dxa"/>
            <w:gridSpan w:val="2"/>
            <w:noWrap w:val="0"/>
            <w:vAlign w:val="center"/>
          </w:tcPr>
          <w:p w14:paraId="04E9375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noWrap w:val="0"/>
            <w:vAlign w:val="center"/>
          </w:tcPr>
          <w:p w14:paraId="4A65682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4BBEC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354" w:type="dxa"/>
            <w:noWrap w:val="0"/>
            <w:vAlign w:val="center"/>
          </w:tcPr>
          <w:p w14:paraId="0E1CA48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038" w:type="dxa"/>
            <w:gridSpan w:val="2"/>
            <w:shd w:val="clear" w:color="auto" w:fill="auto"/>
            <w:noWrap w:val="0"/>
            <w:vAlign w:val="center"/>
          </w:tcPr>
          <w:p w14:paraId="63DF92EF">
            <w:pPr>
              <w:widowControl/>
              <w:jc w:val="center"/>
              <w:rPr>
                <w:rFonts w:hint="eastAsia" w:ascii="仿宋" w:hAnsi="仿宋" w:eastAsia="仿宋" w:cs="仿宋"/>
                <w:b w:val="0"/>
                <w:bCs w:val="0"/>
                <w:kern w:val="0"/>
                <w:sz w:val="20"/>
                <w:szCs w:val="20"/>
                <w:lang w:val="en-US" w:eastAsia="zh-CN" w:bidi="ar-SA"/>
              </w:rPr>
            </w:pPr>
          </w:p>
        </w:tc>
        <w:tc>
          <w:tcPr>
            <w:tcW w:w="2240" w:type="dxa"/>
            <w:gridSpan w:val="2"/>
            <w:noWrap w:val="0"/>
            <w:vAlign w:val="center"/>
          </w:tcPr>
          <w:p w14:paraId="246E4D5F">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08AA0FD9">
            <w:pPr>
              <w:widowControl/>
              <w:jc w:val="center"/>
              <w:rPr>
                <w:rFonts w:hint="eastAsia" w:ascii="仿宋" w:hAnsi="仿宋" w:eastAsia="仿宋" w:cs="仿宋"/>
                <w:b w:val="0"/>
                <w:bCs w:val="0"/>
                <w:kern w:val="0"/>
                <w:sz w:val="20"/>
                <w:szCs w:val="20"/>
              </w:rPr>
            </w:pPr>
          </w:p>
        </w:tc>
      </w:tr>
      <w:tr w14:paraId="71622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2D15A16B">
            <w:pPr>
              <w:widowControl/>
              <w:jc w:val="left"/>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公用经费</w:t>
            </w:r>
          </w:p>
        </w:tc>
        <w:tc>
          <w:tcPr>
            <w:tcW w:w="2038" w:type="dxa"/>
            <w:gridSpan w:val="2"/>
            <w:shd w:val="clear" w:color="auto" w:fill="auto"/>
            <w:noWrap w:val="0"/>
            <w:vAlign w:val="center"/>
          </w:tcPr>
          <w:p w14:paraId="0555504E">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50.99</w:t>
            </w:r>
            <w:r>
              <w:rPr>
                <w:rFonts w:hint="eastAsia" w:ascii="仿宋" w:hAnsi="仿宋" w:eastAsia="仿宋" w:cs="仿宋"/>
                <w:b w:val="0"/>
                <w:bCs w:val="0"/>
                <w:kern w:val="0"/>
                <w:sz w:val="20"/>
                <w:szCs w:val="20"/>
              </w:rPr>
              <w:t>　</w:t>
            </w:r>
          </w:p>
        </w:tc>
        <w:tc>
          <w:tcPr>
            <w:tcW w:w="2240" w:type="dxa"/>
            <w:gridSpan w:val="2"/>
            <w:noWrap w:val="0"/>
            <w:vAlign w:val="center"/>
          </w:tcPr>
          <w:p w14:paraId="4A9203F5">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50.4</w:t>
            </w:r>
            <w:r>
              <w:rPr>
                <w:rFonts w:hint="eastAsia" w:ascii="仿宋" w:hAnsi="仿宋" w:eastAsia="仿宋" w:cs="仿宋"/>
                <w:b w:val="0"/>
                <w:bCs w:val="0"/>
                <w:kern w:val="0"/>
                <w:sz w:val="20"/>
                <w:szCs w:val="20"/>
              </w:rPr>
              <w:t>　</w:t>
            </w:r>
          </w:p>
        </w:tc>
        <w:tc>
          <w:tcPr>
            <w:tcW w:w="1832" w:type="dxa"/>
            <w:gridSpan w:val="2"/>
            <w:noWrap w:val="0"/>
            <w:vAlign w:val="center"/>
          </w:tcPr>
          <w:p w14:paraId="419ECC0B">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47.21</w:t>
            </w:r>
            <w:r>
              <w:rPr>
                <w:rFonts w:hint="eastAsia" w:ascii="仿宋" w:hAnsi="仿宋" w:eastAsia="仿宋" w:cs="仿宋"/>
                <w:b w:val="0"/>
                <w:bCs w:val="0"/>
                <w:kern w:val="0"/>
                <w:sz w:val="20"/>
                <w:szCs w:val="20"/>
              </w:rPr>
              <w:t>　</w:t>
            </w:r>
          </w:p>
        </w:tc>
      </w:tr>
      <w:tr w14:paraId="550AE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14BE69E3">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其中：办公费</w:t>
            </w:r>
          </w:p>
        </w:tc>
        <w:tc>
          <w:tcPr>
            <w:tcW w:w="2038" w:type="dxa"/>
            <w:gridSpan w:val="2"/>
            <w:shd w:val="clear" w:color="auto" w:fill="auto"/>
            <w:noWrap w:val="0"/>
            <w:vAlign w:val="center"/>
          </w:tcPr>
          <w:p w14:paraId="61E8FD0A">
            <w:pPr>
              <w:widowControl/>
              <w:jc w:val="center"/>
              <w:rPr>
                <w:rFonts w:hint="eastAsia" w:ascii="仿宋" w:hAnsi="仿宋" w:eastAsia="仿宋" w:cs="仿宋"/>
                <w:b w:val="0"/>
                <w:bCs w:val="0"/>
                <w:color w:val="000000" w:themeColor="text1"/>
                <w:kern w:val="0"/>
                <w:sz w:val="20"/>
                <w:szCs w:val="20"/>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0.61</w:t>
            </w:r>
            <w:r>
              <w:rPr>
                <w:rFonts w:hint="eastAsia" w:ascii="仿宋" w:hAnsi="仿宋" w:eastAsia="仿宋" w:cs="仿宋"/>
                <w:b w:val="0"/>
                <w:bCs w:val="0"/>
                <w:color w:val="000000" w:themeColor="text1"/>
                <w:kern w:val="0"/>
                <w:sz w:val="20"/>
                <w:szCs w:val="20"/>
                <w14:textFill>
                  <w14:solidFill>
                    <w14:schemeClr w14:val="tx1"/>
                  </w14:solidFill>
                </w14:textFill>
              </w:rPr>
              <w:t>　</w:t>
            </w:r>
          </w:p>
        </w:tc>
        <w:tc>
          <w:tcPr>
            <w:tcW w:w="2240" w:type="dxa"/>
            <w:gridSpan w:val="2"/>
            <w:noWrap w:val="0"/>
            <w:vAlign w:val="center"/>
          </w:tcPr>
          <w:p w14:paraId="7C308351">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0.00</w:t>
            </w:r>
            <w:r>
              <w:rPr>
                <w:rFonts w:hint="eastAsia" w:ascii="仿宋" w:hAnsi="仿宋" w:eastAsia="仿宋" w:cs="仿宋"/>
                <w:b w:val="0"/>
                <w:bCs w:val="0"/>
                <w:color w:val="auto"/>
                <w:kern w:val="0"/>
                <w:sz w:val="20"/>
                <w:szCs w:val="20"/>
              </w:rPr>
              <w:t>　</w:t>
            </w:r>
          </w:p>
        </w:tc>
        <w:tc>
          <w:tcPr>
            <w:tcW w:w="1832" w:type="dxa"/>
            <w:gridSpan w:val="2"/>
            <w:noWrap w:val="0"/>
            <w:vAlign w:val="center"/>
          </w:tcPr>
          <w:p w14:paraId="42CB699D">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0.13</w:t>
            </w:r>
            <w:r>
              <w:rPr>
                <w:rFonts w:hint="eastAsia" w:ascii="仿宋" w:hAnsi="仿宋" w:eastAsia="仿宋" w:cs="仿宋"/>
                <w:b w:val="0"/>
                <w:bCs w:val="0"/>
                <w:color w:val="auto"/>
                <w:kern w:val="0"/>
                <w:sz w:val="20"/>
                <w:szCs w:val="20"/>
              </w:rPr>
              <w:t>　</w:t>
            </w:r>
          </w:p>
        </w:tc>
      </w:tr>
      <w:tr w14:paraId="579D4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E7C94B0">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水费、电费、差旅费</w:t>
            </w:r>
          </w:p>
        </w:tc>
        <w:tc>
          <w:tcPr>
            <w:tcW w:w="2038" w:type="dxa"/>
            <w:gridSpan w:val="2"/>
            <w:shd w:val="clear" w:color="auto" w:fill="auto"/>
            <w:noWrap w:val="0"/>
            <w:vAlign w:val="center"/>
          </w:tcPr>
          <w:p w14:paraId="088B72D4">
            <w:pPr>
              <w:widowControl/>
              <w:jc w:val="center"/>
              <w:rPr>
                <w:rFonts w:hint="eastAsia" w:ascii="仿宋" w:hAnsi="仿宋" w:eastAsia="仿宋" w:cs="仿宋"/>
                <w:b w:val="0"/>
                <w:bCs w:val="0"/>
                <w:color w:val="000000" w:themeColor="text1"/>
                <w:kern w:val="0"/>
                <w:sz w:val="20"/>
                <w:szCs w:val="20"/>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0.40</w:t>
            </w:r>
            <w:r>
              <w:rPr>
                <w:rFonts w:hint="eastAsia" w:ascii="仿宋" w:hAnsi="仿宋" w:eastAsia="仿宋" w:cs="仿宋"/>
                <w:b w:val="0"/>
                <w:bCs w:val="0"/>
                <w:color w:val="000000" w:themeColor="text1"/>
                <w:kern w:val="0"/>
                <w:sz w:val="20"/>
                <w:szCs w:val="20"/>
                <w14:textFill>
                  <w14:solidFill>
                    <w14:schemeClr w14:val="tx1"/>
                  </w14:solidFill>
                </w14:textFill>
              </w:rPr>
              <w:t>　</w:t>
            </w:r>
          </w:p>
        </w:tc>
        <w:tc>
          <w:tcPr>
            <w:tcW w:w="2240" w:type="dxa"/>
            <w:gridSpan w:val="2"/>
            <w:noWrap w:val="0"/>
            <w:vAlign w:val="center"/>
          </w:tcPr>
          <w:p w14:paraId="7E6DD405">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0.00</w:t>
            </w:r>
            <w:r>
              <w:rPr>
                <w:rFonts w:hint="eastAsia" w:ascii="仿宋" w:hAnsi="仿宋" w:eastAsia="仿宋" w:cs="仿宋"/>
                <w:b w:val="0"/>
                <w:bCs w:val="0"/>
                <w:color w:val="auto"/>
                <w:kern w:val="0"/>
                <w:sz w:val="20"/>
                <w:szCs w:val="20"/>
              </w:rPr>
              <w:t>　</w:t>
            </w:r>
          </w:p>
        </w:tc>
        <w:tc>
          <w:tcPr>
            <w:tcW w:w="1832" w:type="dxa"/>
            <w:gridSpan w:val="2"/>
            <w:noWrap w:val="0"/>
            <w:vAlign w:val="center"/>
          </w:tcPr>
          <w:p w14:paraId="2716588E">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8.79</w:t>
            </w:r>
            <w:r>
              <w:rPr>
                <w:rFonts w:hint="eastAsia" w:ascii="仿宋" w:hAnsi="仿宋" w:eastAsia="仿宋" w:cs="仿宋"/>
                <w:b w:val="0"/>
                <w:bCs w:val="0"/>
                <w:color w:val="auto"/>
                <w:kern w:val="0"/>
                <w:sz w:val="20"/>
                <w:szCs w:val="20"/>
              </w:rPr>
              <w:t>　</w:t>
            </w:r>
          </w:p>
        </w:tc>
      </w:tr>
      <w:tr w14:paraId="24622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4" w:type="dxa"/>
            <w:noWrap w:val="0"/>
            <w:vAlign w:val="center"/>
          </w:tcPr>
          <w:p w14:paraId="1EEA4B71">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会议费、培训费</w:t>
            </w:r>
          </w:p>
        </w:tc>
        <w:tc>
          <w:tcPr>
            <w:tcW w:w="2038" w:type="dxa"/>
            <w:gridSpan w:val="2"/>
            <w:shd w:val="clear" w:color="auto" w:fill="auto"/>
            <w:noWrap w:val="0"/>
            <w:vAlign w:val="center"/>
          </w:tcPr>
          <w:p w14:paraId="3AD853C8">
            <w:pPr>
              <w:widowControl/>
              <w:jc w:val="center"/>
              <w:rPr>
                <w:rFonts w:hint="eastAsia" w:ascii="仿宋" w:hAnsi="仿宋" w:eastAsia="仿宋" w:cs="仿宋"/>
                <w:b w:val="0"/>
                <w:bCs w:val="0"/>
                <w:color w:val="000000" w:themeColor="text1"/>
                <w:kern w:val="0"/>
                <w:sz w:val="20"/>
                <w:szCs w:val="20"/>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0.00</w:t>
            </w:r>
            <w:r>
              <w:rPr>
                <w:rFonts w:hint="eastAsia" w:ascii="仿宋" w:hAnsi="仿宋" w:eastAsia="仿宋" w:cs="仿宋"/>
                <w:b w:val="0"/>
                <w:bCs w:val="0"/>
                <w:color w:val="000000" w:themeColor="text1"/>
                <w:kern w:val="0"/>
                <w:sz w:val="20"/>
                <w:szCs w:val="20"/>
                <w14:textFill>
                  <w14:solidFill>
                    <w14:schemeClr w14:val="tx1"/>
                  </w14:solidFill>
                </w14:textFill>
              </w:rPr>
              <w:t>　</w:t>
            </w:r>
          </w:p>
        </w:tc>
        <w:tc>
          <w:tcPr>
            <w:tcW w:w="2240" w:type="dxa"/>
            <w:gridSpan w:val="2"/>
            <w:noWrap w:val="0"/>
            <w:vAlign w:val="center"/>
          </w:tcPr>
          <w:p w14:paraId="521707B4">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0.00</w:t>
            </w:r>
            <w:r>
              <w:rPr>
                <w:rFonts w:hint="eastAsia" w:ascii="仿宋" w:hAnsi="仿宋" w:eastAsia="仿宋" w:cs="仿宋"/>
                <w:b w:val="0"/>
                <w:bCs w:val="0"/>
                <w:color w:val="auto"/>
                <w:kern w:val="0"/>
                <w:sz w:val="20"/>
                <w:szCs w:val="20"/>
              </w:rPr>
              <w:t>　</w:t>
            </w:r>
          </w:p>
        </w:tc>
        <w:tc>
          <w:tcPr>
            <w:tcW w:w="1832" w:type="dxa"/>
            <w:gridSpan w:val="2"/>
            <w:noWrap w:val="0"/>
            <w:vAlign w:val="center"/>
          </w:tcPr>
          <w:p w14:paraId="3C589C18">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0.00</w:t>
            </w:r>
            <w:r>
              <w:rPr>
                <w:rFonts w:hint="eastAsia" w:ascii="仿宋" w:hAnsi="仿宋" w:eastAsia="仿宋" w:cs="仿宋"/>
                <w:b w:val="0"/>
                <w:bCs w:val="0"/>
                <w:color w:val="auto"/>
                <w:kern w:val="0"/>
                <w:sz w:val="20"/>
                <w:szCs w:val="20"/>
              </w:rPr>
              <w:t>　</w:t>
            </w:r>
          </w:p>
        </w:tc>
      </w:tr>
      <w:tr w14:paraId="26679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1B0386BA">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政府采购金额</w:t>
            </w:r>
          </w:p>
        </w:tc>
        <w:tc>
          <w:tcPr>
            <w:tcW w:w="2038" w:type="dxa"/>
            <w:gridSpan w:val="2"/>
            <w:noWrap w:val="0"/>
            <w:vAlign w:val="center"/>
          </w:tcPr>
          <w:p w14:paraId="6CC3736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noWrap w:val="0"/>
            <w:vAlign w:val="center"/>
          </w:tcPr>
          <w:p w14:paraId="27CE6AFA">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65.28</w:t>
            </w:r>
            <w:r>
              <w:rPr>
                <w:rFonts w:hint="eastAsia" w:ascii="仿宋" w:hAnsi="仿宋" w:eastAsia="仿宋" w:cs="仿宋"/>
                <w:b w:val="0"/>
                <w:bCs w:val="0"/>
                <w:kern w:val="0"/>
                <w:sz w:val="20"/>
                <w:szCs w:val="20"/>
              </w:rPr>
              <w:t>　</w:t>
            </w:r>
          </w:p>
        </w:tc>
        <w:tc>
          <w:tcPr>
            <w:tcW w:w="1832" w:type="dxa"/>
            <w:gridSpan w:val="2"/>
            <w:noWrap w:val="0"/>
            <w:vAlign w:val="center"/>
          </w:tcPr>
          <w:p w14:paraId="32C21EC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65.28</w:t>
            </w:r>
            <w:r>
              <w:rPr>
                <w:rFonts w:hint="eastAsia" w:ascii="仿宋" w:hAnsi="仿宋" w:eastAsia="仿宋" w:cs="仿宋"/>
                <w:b w:val="0"/>
                <w:bCs w:val="0"/>
                <w:kern w:val="0"/>
                <w:sz w:val="20"/>
                <w:szCs w:val="20"/>
              </w:rPr>
              <w:t>　</w:t>
            </w:r>
          </w:p>
        </w:tc>
      </w:tr>
      <w:tr w14:paraId="2CC36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B662250">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部门基本支出预算调整 </w:t>
            </w:r>
          </w:p>
        </w:tc>
        <w:tc>
          <w:tcPr>
            <w:tcW w:w="2038" w:type="dxa"/>
            <w:gridSpan w:val="2"/>
            <w:noWrap w:val="0"/>
            <w:vAlign w:val="center"/>
          </w:tcPr>
          <w:p w14:paraId="73B86E9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noWrap w:val="0"/>
            <w:vAlign w:val="center"/>
          </w:tcPr>
          <w:p w14:paraId="3ED85D3B">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325.23</w:t>
            </w:r>
            <w:r>
              <w:rPr>
                <w:rFonts w:hint="eastAsia" w:ascii="仿宋" w:hAnsi="仿宋" w:eastAsia="仿宋" w:cs="仿宋"/>
                <w:b w:val="0"/>
                <w:bCs w:val="0"/>
                <w:kern w:val="0"/>
                <w:sz w:val="20"/>
                <w:szCs w:val="20"/>
              </w:rPr>
              <w:t>　</w:t>
            </w:r>
          </w:p>
        </w:tc>
        <w:tc>
          <w:tcPr>
            <w:tcW w:w="1832" w:type="dxa"/>
            <w:gridSpan w:val="2"/>
            <w:noWrap w:val="0"/>
            <w:vAlign w:val="center"/>
          </w:tcPr>
          <w:p w14:paraId="616829F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343.49</w:t>
            </w:r>
            <w:r>
              <w:rPr>
                <w:rFonts w:hint="eastAsia" w:ascii="仿宋" w:hAnsi="仿宋" w:eastAsia="仿宋" w:cs="仿宋"/>
                <w:b w:val="0"/>
                <w:bCs w:val="0"/>
                <w:kern w:val="0"/>
                <w:sz w:val="20"/>
                <w:szCs w:val="20"/>
              </w:rPr>
              <w:t>　</w:t>
            </w:r>
          </w:p>
        </w:tc>
      </w:tr>
      <w:tr w14:paraId="1FAF2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noWrap w:val="0"/>
            <w:vAlign w:val="center"/>
          </w:tcPr>
          <w:p w14:paraId="3CF5FF29">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rPr>
              <w:t>楼堂馆所控制情况</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lang w:eastAsia="zh-CN"/>
              </w:rPr>
              <w:t>（</w:t>
            </w:r>
            <w:r>
              <w:rPr>
                <w:rFonts w:hint="eastAsia" w:ascii="仿宋" w:hAnsi="仿宋" w:eastAsia="仿宋" w:cs="仿宋"/>
                <w:b w:val="0"/>
                <w:bCs w:val="0"/>
                <w:kern w:val="0"/>
                <w:sz w:val="20"/>
                <w:szCs w:val="20"/>
                <w:lang w:val="en-US" w:eastAsia="zh-CN"/>
              </w:rPr>
              <w:t>2024年完工情况</w:t>
            </w:r>
            <w:r>
              <w:rPr>
                <w:rFonts w:hint="eastAsia" w:ascii="仿宋" w:hAnsi="仿宋" w:eastAsia="仿宋" w:cs="仿宋"/>
                <w:b w:val="0"/>
                <w:bCs w:val="0"/>
                <w:kern w:val="0"/>
                <w:sz w:val="20"/>
                <w:szCs w:val="20"/>
                <w:lang w:eastAsia="zh-CN"/>
              </w:rPr>
              <w:t>）</w:t>
            </w:r>
          </w:p>
        </w:tc>
        <w:tc>
          <w:tcPr>
            <w:tcW w:w="1189" w:type="dxa"/>
            <w:noWrap w:val="0"/>
            <w:vAlign w:val="center"/>
          </w:tcPr>
          <w:p w14:paraId="38BCB30C">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批复规模</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rPr>
              <w:t>（㎡）</w:t>
            </w:r>
          </w:p>
        </w:tc>
        <w:tc>
          <w:tcPr>
            <w:tcW w:w="849" w:type="dxa"/>
            <w:noWrap w:val="0"/>
            <w:vAlign w:val="center"/>
          </w:tcPr>
          <w:p w14:paraId="118064FD">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实际规模（㎡）</w:t>
            </w:r>
          </w:p>
        </w:tc>
        <w:tc>
          <w:tcPr>
            <w:tcW w:w="1129" w:type="dxa"/>
            <w:noWrap w:val="0"/>
            <w:vAlign w:val="center"/>
          </w:tcPr>
          <w:p w14:paraId="04E021B9">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规模控制率</w:t>
            </w:r>
          </w:p>
        </w:tc>
        <w:tc>
          <w:tcPr>
            <w:tcW w:w="1111" w:type="dxa"/>
            <w:noWrap w:val="0"/>
            <w:vAlign w:val="center"/>
          </w:tcPr>
          <w:p w14:paraId="4808B89E">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预算投资（万元）</w:t>
            </w:r>
          </w:p>
        </w:tc>
        <w:tc>
          <w:tcPr>
            <w:tcW w:w="969" w:type="dxa"/>
            <w:noWrap w:val="0"/>
            <w:vAlign w:val="center"/>
          </w:tcPr>
          <w:p w14:paraId="5970BE0A">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实际投资（万元）</w:t>
            </w:r>
          </w:p>
        </w:tc>
        <w:tc>
          <w:tcPr>
            <w:tcW w:w="863" w:type="dxa"/>
            <w:noWrap w:val="0"/>
            <w:vAlign w:val="center"/>
          </w:tcPr>
          <w:p w14:paraId="58460F17">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投资概算控制率</w:t>
            </w:r>
          </w:p>
        </w:tc>
      </w:tr>
      <w:tr w14:paraId="4E795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3354" w:type="dxa"/>
            <w:vMerge w:val="continue"/>
            <w:noWrap w:val="0"/>
            <w:vAlign w:val="center"/>
          </w:tcPr>
          <w:p w14:paraId="47580163">
            <w:pPr>
              <w:widowControl/>
              <w:jc w:val="left"/>
              <w:rPr>
                <w:rFonts w:hint="eastAsia" w:ascii="仿宋" w:hAnsi="仿宋" w:eastAsia="仿宋" w:cs="仿宋"/>
                <w:b w:val="0"/>
                <w:bCs w:val="0"/>
                <w:kern w:val="0"/>
                <w:sz w:val="20"/>
                <w:szCs w:val="20"/>
              </w:rPr>
            </w:pPr>
          </w:p>
        </w:tc>
        <w:tc>
          <w:tcPr>
            <w:tcW w:w="1189" w:type="dxa"/>
            <w:noWrap w:val="0"/>
            <w:vAlign w:val="center"/>
          </w:tcPr>
          <w:p w14:paraId="05ED71B2">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849" w:type="dxa"/>
            <w:noWrap w:val="0"/>
            <w:vAlign w:val="center"/>
          </w:tcPr>
          <w:p w14:paraId="13527CD1">
            <w:pPr>
              <w:widowControl/>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1129" w:type="dxa"/>
            <w:noWrap w:val="0"/>
            <w:vAlign w:val="center"/>
          </w:tcPr>
          <w:p w14:paraId="2338DFD9">
            <w:pPr>
              <w:widowControl/>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1111" w:type="dxa"/>
            <w:noWrap w:val="0"/>
            <w:vAlign w:val="center"/>
          </w:tcPr>
          <w:p w14:paraId="267B69A3">
            <w:pPr>
              <w:widowControl/>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969" w:type="dxa"/>
            <w:noWrap w:val="0"/>
            <w:vAlign w:val="center"/>
          </w:tcPr>
          <w:p w14:paraId="3D931598">
            <w:pPr>
              <w:widowControl/>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863" w:type="dxa"/>
            <w:noWrap w:val="0"/>
            <w:vAlign w:val="center"/>
          </w:tcPr>
          <w:p w14:paraId="2938B314">
            <w:pPr>
              <w:widowControl/>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r>
      <w:tr w14:paraId="0122A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54" w:type="dxa"/>
            <w:noWrap w:val="0"/>
            <w:vAlign w:val="center"/>
          </w:tcPr>
          <w:p w14:paraId="345B360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厉行节约保障措施</w:t>
            </w:r>
          </w:p>
        </w:tc>
        <w:tc>
          <w:tcPr>
            <w:tcW w:w="6110" w:type="dxa"/>
            <w:gridSpan w:val="6"/>
            <w:noWrap w:val="0"/>
            <w:vAlign w:val="center"/>
          </w:tcPr>
          <w:p w14:paraId="5A8D77BD">
            <w:pPr>
              <w:widowControl/>
              <w:jc w:val="center"/>
              <w:rPr>
                <w:rFonts w:hint="eastAsia" w:ascii="仿宋" w:hAnsi="仿宋" w:eastAsia="仿宋" w:cs="仿宋"/>
                <w:b w:val="0"/>
                <w:bCs w:val="0"/>
                <w:kern w:val="0"/>
                <w:sz w:val="20"/>
                <w:szCs w:val="20"/>
              </w:rPr>
            </w:pPr>
            <w:r>
              <w:rPr>
                <w:rFonts w:hint="eastAsia" w:ascii="Times New Roman" w:hAnsi="Times New Roman" w:eastAsia="仿宋_GB2312" w:cs="Times New Roman"/>
                <w:sz w:val="20"/>
                <w:szCs w:val="20"/>
                <w:lang w:val="en-US" w:eastAsia="zh-CN"/>
              </w:rPr>
              <w:t>按照相关要求，压减经费开支</w:t>
            </w:r>
            <w:r>
              <w:rPr>
                <w:rFonts w:hint="eastAsia" w:ascii="仿宋" w:hAnsi="仿宋" w:eastAsia="仿宋" w:cs="仿宋"/>
                <w:b w:val="0"/>
                <w:bCs w:val="0"/>
                <w:kern w:val="0"/>
                <w:sz w:val="20"/>
                <w:szCs w:val="20"/>
              </w:rPr>
              <w:t>　</w:t>
            </w:r>
          </w:p>
        </w:tc>
      </w:tr>
    </w:tbl>
    <w:p w14:paraId="3A3DFA06">
      <w:pPr>
        <w:pStyle w:val="12"/>
        <w:keepNext/>
        <w:keepLines/>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eastAsia="仿宋_GB2312"/>
          <w:kern w:val="0"/>
          <w:sz w:val="22"/>
        </w:rPr>
        <w:t>说明：“项目支出”需要填报基本支出以外的所有项目支出情况，“公用经费”填报基本支出中的一般商品和服务支出。</w:t>
      </w:r>
    </w:p>
    <w:p w14:paraId="6466691E">
      <w:pPr>
        <w:widowControl w:val="0"/>
        <w:kinsoku/>
        <w:autoSpaceDE/>
        <w:autoSpaceDN/>
        <w:adjustRightInd/>
        <w:snapToGrid/>
        <w:spacing w:line="600" w:lineRule="exact"/>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赵莹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2025.6.15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13974516181 </w:t>
      </w:r>
    </w:p>
    <w:p w14:paraId="01562AF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t>附件2</w:t>
      </w:r>
    </w:p>
    <w:p w14:paraId="663F77D1">
      <w:pPr>
        <w:keepNext w:val="0"/>
        <w:keepLines w:val="0"/>
        <w:pageBreakBefore w:val="0"/>
        <w:widowControl/>
        <w:tabs>
          <w:tab w:val="left" w:pos="2555"/>
          <w:tab w:val="left" w:pos="3611"/>
          <w:tab w:val="center" w:pos="4365"/>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left"/>
        <w:textAlignment w:val="auto"/>
        <w:rPr>
          <w:rFonts w:hint="eastAsia"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color w:val="000000"/>
          <w:kern w:val="0"/>
          <w:sz w:val="36"/>
          <w:szCs w:val="36"/>
          <w:lang w:val="en-US" w:eastAsia="zh-CN"/>
        </w:rPr>
        <w:tab/>
      </w:r>
      <w:r>
        <w:rPr>
          <w:rFonts w:hint="eastAsia" w:ascii="方正小标宋简体" w:hAnsi="方正小标宋简体" w:eastAsia="方正小标宋简体" w:cs="方正小标宋简体"/>
          <w:color w:val="000000"/>
          <w:kern w:val="0"/>
          <w:sz w:val="36"/>
          <w:szCs w:val="36"/>
          <w:lang w:val="en-US" w:eastAsia="zh-CN"/>
        </w:rPr>
        <w:t>部门整体支出绩效自评表</w:t>
      </w:r>
    </w:p>
    <w:tbl>
      <w:tblPr>
        <w:tblStyle w:val="9"/>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1108"/>
        <w:gridCol w:w="1064"/>
        <w:gridCol w:w="982"/>
        <w:gridCol w:w="90"/>
        <w:gridCol w:w="1162"/>
        <w:gridCol w:w="1106"/>
        <w:gridCol w:w="692"/>
        <w:gridCol w:w="816"/>
        <w:gridCol w:w="1123"/>
      </w:tblGrid>
      <w:tr w14:paraId="1035B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19" w:type="dxa"/>
            <w:noWrap w:val="0"/>
            <w:vAlign w:val="center"/>
          </w:tcPr>
          <w:p w14:paraId="1EF4675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w:t>
            </w:r>
            <w:r>
              <w:rPr>
                <w:rFonts w:hint="eastAsia" w:ascii="仿宋" w:hAnsi="仿宋" w:eastAsia="仿宋" w:cs="仿宋"/>
                <w:color w:val="000000"/>
                <w:kern w:val="0"/>
                <w:sz w:val="20"/>
                <w:szCs w:val="20"/>
                <w:lang w:eastAsia="zh-CN"/>
              </w:rPr>
              <w:t>部门</w:t>
            </w:r>
            <w:r>
              <w:rPr>
                <w:rFonts w:hint="eastAsia" w:ascii="仿宋" w:hAnsi="仿宋" w:eastAsia="仿宋" w:cs="仿宋"/>
                <w:color w:val="000000"/>
                <w:kern w:val="0"/>
                <w:sz w:val="20"/>
                <w:szCs w:val="20"/>
              </w:rPr>
              <w:t>名称</w:t>
            </w:r>
          </w:p>
        </w:tc>
        <w:tc>
          <w:tcPr>
            <w:tcW w:w="8143" w:type="dxa"/>
            <w:gridSpan w:val="9"/>
            <w:noWrap w:val="0"/>
            <w:vAlign w:val="center"/>
          </w:tcPr>
          <w:p w14:paraId="3571EA1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b w:val="0"/>
                <w:bCs w:val="0"/>
                <w:kern w:val="0"/>
                <w:sz w:val="20"/>
                <w:szCs w:val="20"/>
              </w:rPr>
              <w:t>中共怀化市委政策研究室</w:t>
            </w:r>
            <w:r>
              <w:rPr>
                <w:rFonts w:hint="eastAsia" w:ascii="仿宋" w:hAnsi="仿宋" w:eastAsia="仿宋" w:cs="仿宋"/>
                <w:color w:val="000000"/>
                <w:kern w:val="0"/>
                <w:sz w:val="20"/>
                <w:szCs w:val="20"/>
              </w:rPr>
              <w:t>　</w:t>
            </w:r>
          </w:p>
        </w:tc>
      </w:tr>
      <w:tr w14:paraId="52AC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19" w:type="dxa"/>
            <w:vMerge w:val="restart"/>
            <w:noWrap w:val="0"/>
            <w:vAlign w:val="center"/>
          </w:tcPr>
          <w:p w14:paraId="1D41758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年度预</w:t>
            </w:r>
          </w:p>
          <w:p w14:paraId="37D3461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算申请</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72" w:type="dxa"/>
            <w:gridSpan w:val="2"/>
            <w:noWrap w:val="0"/>
            <w:vAlign w:val="center"/>
          </w:tcPr>
          <w:p w14:paraId="72BCAD9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p>
        </w:tc>
        <w:tc>
          <w:tcPr>
            <w:tcW w:w="982" w:type="dxa"/>
            <w:noWrap w:val="0"/>
            <w:vAlign w:val="center"/>
          </w:tcPr>
          <w:p w14:paraId="37E6C26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年初</w:t>
            </w:r>
          </w:p>
          <w:p w14:paraId="314DD61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预算数</w:t>
            </w:r>
          </w:p>
        </w:tc>
        <w:tc>
          <w:tcPr>
            <w:tcW w:w="1252" w:type="dxa"/>
            <w:gridSpan w:val="2"/>
            <w:noWrap w:val="0"/>
            <w:vAlign w:val="center"/>
          </w:tcPr>
          <w:p w14:paraId="439EE9F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全年预算数</w:t>
            </w:r>
          </w:p>
        </w:tc>
        <w:tc>
          <w:tcPr>
            <w:tcW w:w="1106" w:type="dxa"/>
            <w:noWrap w:val="0"/>
            <w:vAlign w:val="center"/>
          </w:tcPr>
          <w:p w14:paraId="631ACB7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1F1AF74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692" w:type="dxa"/>
            <w:noWrap w:val="0"/>
            <w:vAlign w:val="center"/>
          </w:tcPr>
          <w:p w14:paraId="5282CD7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16" w:type="dxa"/>
            <w:noWrap w:val="0"/>
            <w:vAlign w:val="center"/>
          </w:tcPr>
          <w:p w14:paraId="1523F8B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123" w:type="dxa"/>
            <w:noWrap w:val="0"/>
            <w:vAlign w:val="center"/>
          </w:tcPr>
          <w:p w14:paraId="578209A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3B276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vMerge w:val="continue"/>
            <w:noWrap w:val="0"/>
            <w:vAlign w:val="center"/>
          </w:tcPr>
          <w:p w14:paraId="4463B46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2172" w:type="dxa"/>
            <w:gridSpan w:val="2"/>
            <w:noWrap w:val="0"/>
            <w:vAlign w:val="center"/>
          </w:tcPr>
          <w:p w14:paraId="1A034F3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color w:val="000000"/>
                <w:kern w:val="0"/>
                <w:sz w:val="20"/>
                <w:szCs w:val="20"/>
              </w:rPr>
              <w:t>年度资金总额</w:t>
            </w:r>
          </w:p>
        </w:tc>
        <w:tc>
          <w:tcPr>
            <w:tcW w:w="982" w:type="dxa"/>
            <w:noWrap w:val="0"/>
            <w:vAlign w:val="center"/>
          </w:tcPr>
          <w:p w14:paraId="494164B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441.23</w:t>
            </w:r>
          </w:p>
        </w:tc>
        <w:tc>
          <w:tcPr>
            <w:tcW w:w="1252" w:type="dxa"/>
            <w:gridSpan w:val="2"/>
            <w:noWrap w:val="0"/>
            <w:vAlign w:val="center"/>
          </w:tcPr>
          <w:p w14:paraId="008E1AA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464.86</w:t>
            </w:r>
          </w:p>
        </w:tc>
        <w:tc>
          <w:tcPr>
            <w:tcW w:w="1106" w:type="dxa"/>
            <w:noWrap w:val="0"/>
            <w:vAlign w:val="center"/>
          </w:tcPr>
          <w:p w14:paraId="700348D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460.45</w:t>
            </w:r>
          </w:p>
        </w:tc>
        <w:tc>
          <w:tcPr>
            <w:tcW w:w="692" w:type="dxa"/>
            <w:noWrap w:val="0"/>
            <w:vAlign w:val="center"/>
          </w:tcPr>
          <w:p w14:paraId="00C81B2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10</w:t>
            </w:r>
          </w:p>
        </w:tc>
        <w:tc>
          <w:tcPr>
            <w:tcW w:w="816" w:type="dxa"/>
            <w:noWrap w:val="0"/>
            <w:vAlign w:val="center"/>
          </w:tcPr>
          <w:p w14:paraId="6728C4B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99.05%</w:t>
            </w:r>
          </w:p>
        </w:tc>
        <w:tc>
          <w:tcPr>
            <w:tcW w:w="1123" w:type="dxa"/>
            <w:noWrap w:val="0"/>
            <w:vAlign w:val="center"/>
          </w:tcPr>
          <w:p w14:paraId="43AED29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9.91</w:t>
            </w:r>
          </w:p>
        </w:tc>
      </w:tr>
      <w:tr w14:paraId="30A57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vMerge w:val="continue"/>
            <w:noWrap w:val="0"/>
            <w:vAlign w:val="center"/>
          </w:tcPr>
          <w:p w14:paraId="152BB0D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06" w:type="dxa"/>
            <w:gridSpan w:val="5"/>
            <w:noWrap w:val="0"/>
            <w:vAlign w:val="center"/>
          </w:tcPr>
          <w:p w14:paraId="1FDC2F7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按收入性质分：</w:t>
            </w:r>
          </w:p>
        </w:tc>
        <w:tc>
          <w:tcPr>
            <w:tcW w:w="3737" w:type="dxa"/>
            <w:gridSpan w:val="4"/>
            <w:noWrap w:val="0"/>
            <w:vAlign w:val="center"/>
          </w:tcPr>
          <w:p w14:paraId="0633A1F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按支出性质分：</w:t>
            </w:r>
          </w:p>
        </w:tc>
      </w:tr>
      <w:tr w14:paraId="6301A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vMerge w:val="continue"/>
            <w:noWrap w:val="0"/>
            <w:vAlign w:val="center"/>
          </w:tcPr>
          <w:p w14:paraId="7F62C32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06" w:type="dxa"/>
            <w:gridSpan w:val="5"/>
            <w:noWrap w:val="0"/>
            <w:vAlign w:val="center"/>
          </w:tcPr>
          <w:p w14:paraId="68BC4AD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  其中：  一般公共预算：</w:t>
            </w:r>
            <w:r>
              <w:rPr>
                <w:rFonts w:hint="eastAsia" w:ascii="仿宋" w:hAnsi="仿宋" w:eastAsia="仿宋" w:cs="仿宋"/>
                <w:sz w:val="20"/>
                <w:szCs w:val="20"/>
                <w:lang w:val="en-US" w:eastAsia="zh-CN"/>
              </w:rPr>
              <w:t>464.86</w:t>
            </w:r>
          </w:p>
        </w:tc>
        <w:tc>
          <w:tcPr>
            <w:tcW w:w="3737" w:type="dxa"/>
            <w:gridSpan w:val="4"/>
            <w:noWrap w:val="0"/>
            <w:vAlign w:val="center"/>
          </w:tcPr>
          <w:p w14:paraId="6883DC6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其中：基本支出：</w:t>
            </w:r>
            <w:r>
              <w:rPr>
                <w:rFonts w:hint="eastAsia" w:ascii="仿宋" w:hAnsi="仿宋" w:eastAsia="仿宋" w:cs="仿宋"/>
                <w:color w:val="000000"/>
                <w:kern w:val="0"/>
                <w:sz w:val="20"/>
                <w:szCs w:val="20"/>
                <w:lang w:val="en-US" w:eastAsia="zh-CN"/>
              </w:rPr>
              <w:t>343.49</w:t>
            </w:r>
          </w:p>
        </w:tc>
      </w:tr>
      <w:tr w14:paraId="62934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vMerge w:val="continue"/>
            <w:noWrap w:val="0"/>
            <w:vAlign w:val="center"/>
          </w:tcPr>
          <w:p w14:paraId="7EAA59B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06" w:type="dxa"/>
            <w:gridSpan w:val="5"/>
            <w:noWrap w:val="0"/>
            <w:vAlign w:val="center"/>
          </w:tcPr>
          <w:p w14:paraId="569ACDB9">
            <w:pPr>
              <w:keepNext w:val="0"/>
              <w:keepLines w:val="0"/>
              <w:pageBreakBefore w:val="0"/>
              <w:widowControl/>
              <w:kinsoku/>
              <w:wordWrap/>
              <w:overflowPunct/>
              <w:topLinePunct w:val="0"/>
              <w:autoSpaceDE/>
              <w:autoSpaceDN/>
              <w:bidi w:val="0"/>
              <w:adjustRightInd/>
              <w:snapToGrid/>
              <w:spacing w:line="240" w:lineRule="exact"/>
              <w:ind w:firstLine="800" w:firstLineChars="4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政府性基金拨款：</w:t>
            </w:r>
          </w:p>
        </w:tc>
        <w:tc>
          <w:tcPr>
            <w:tcW w:w="3737" w:type="dxa"/>
            <w:gridSpan w:val="4"/>
            <w:noWrap w:val="0"/>
            <w:vAlign w:val="center"/>
          </w:tcPr>
          <w:p w14:paraId="303191E9">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项目支出：</w:t>
            </w:r>
            <w:r>
              <w:rPr>
                <w:rFonts w:hint="eastAsia" w:ascii="仿宋" w:hAnsi="仿宋" w:eastAsia="仿宋" w:cs="仿宋"/>
                <w:color w:val="000000"/>
                <w:kern w:val="0"/>
                <w:sz w:val="20"/>
                <w:szCs w:val="20"/>
                <w:lang w:val="en-US" w:eastAsia="zh-CN"/>
              </w:rPr>
              <w:t>116.96</w:t>
            </w:r>
          </w:p>
        </w:tc>
      </w:tr>
      <w:tr w14:paraId="5E6F0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vMerge w:val="continue"/>
            <w:noWrap w:val="0"/>
            <w:vAlign w:val="center"/>
          </w:tcPr>
          <w:p w14:paraId="058FC2A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06" w:type="dxa"/>
            <w:gridSpan w:val="5"/>
            <w:noWrap w:val="0"/>
            <w:vAlign w:val="center"/>
          </w:tcPr>
          <w:p w14:paraId="08F6BF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纳入专户管理的非税收入拨款：</w:t>
            </w:r>
          </w:p>
        </w:tc>
        <w:tc>
          <w:tcPr>
            <w:tcW w:w="3737" w:type="dxa"/>
            <w:gridSpan w:val="4"/>
            <w:noWrap w:val="0"/>
            <w:vAlign w:val="center"/>
          </w:tcPr>
          <w:p w14:paraId="1D7D825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23A34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19" w:type="dxa"/>
            <w:vMerge w:val="continue"/>
            <w:noWrap w:val="0"/>
            <w:vAlign w:val="center"/>
          </w:tcPr>
          <w:p w14:paraId="66CED97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06" w:type="dxa"/>
            <w:gridSpan w:val="5"/>
            <w:noWrap w:val="0"/>
            <w:vAlign w:val="center"/>
          </w:tcPr>
          <w:p w14:paraId="040CB241">
            <w:pPr>
              <w:keepNext w:val="0"/>
              <w:keepLines w:val="0"/>
              <w:pageBreakBefore w:val="0"/>
              <w:widowControl/>
              <w:kinsoku/>
              <w:wordWrap/>
              <w:overflowPunct/>
              <w:topLinePunct w:val="0"/>
              <w:autoSpaceDE/>
              <w:autoSpaceDN/>
              <w:bidi w:val="0"/>
              <w:adjustRightInd/>
              <w:snapToGrid/>
              <w:spacing w:line="240" w:lineRule="exact"/>
              <w:ind w:firstLine="1400" w:firstLineChars="7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3737" w:type="dxa"/>
            <w:gridSpan w:val="4"/>
            <w:noWrap w:val="0"/>
            <w:vAlign w:val="center"/>
          </w:tcPr>
          <w:p w14:paraId="321CC5E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41B5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119" w:type="dxa"/>
            <w:vMerge w:val="restart"/>
            <w:noWrap w:val="0"/>
            <w:vAlign w:val="center"/>
          </w:tcPr>
          <w:p w14:paraId="6B5B3A1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406" w:type="dxa"/>
            <w:gridSpan w:val="5"/>
            <w:noWrap w:val="0"/>
            <w:vAlign w:val="center"/>
          </w:tcPr>
          <w:p w14:paraId="5D24541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3737" w:type="dxa"/>
            <w:gridSpan w:val="4"/>
            <w:noWrap w:val="0"/>
            <w:vAlign w:val="center"/>
          </w:tcPr>
          <w:p w14:paraId="71AB896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6C3E0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119" w:type="dxa"/>
            <w:vMerge w:val="continue"/>
            <w:noWrap w:val="0"/>
            <w:vAlign w:val="center"/>
          </w:tcPr>
          <w:p w14:paraId="4BA4256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06" w:type="dxa"/>
            <w:gridSpan w:val="5"/>
            <w:noWrap w:val="0"/>
            <w:vAlign w:val="center"/>
          </w:tcPr>
          <w:p w14:paraId="2A41552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 把牢正确政治方向。强化政研室姓“政”的政治属性，把坚持和加强党的全面领导贯穿政研室工作全过程各方面，不断提高政治判断力、政治领悟力、政治执行力，做到党中央提倡的坚决响应、党中央决定的坚决执行、党中央禁止的坚决不做，始终在思想上政治上行动上同以习近平同志为核心的党中央保持高度一致。</w:t>
            </w:r>
          </w:p>
          <w:p w14:paraId="599D1EF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 持续强化理论武装。坚持不懈用习近平新时代中国特色社会主义思想凝心铸魂，严格执行“第一议题”制度，将室务会和理论学习中心组学习延伸拓展到全体党员干部，全年召开室务会16次、理论学习中心组学习14次，深入学习贯彻党的二十届三中全会精神以及习近平总书记考察湖南重要讲话和指示精神、关于党的建设的重要思想、关于加快发展新质生产力、推动高质量发展、进一步全面深化改革、统计工作等重要论述以及关于防汛救灾、安全生产、就业等工作的重要指示批示精神，以实际行动深刻领悟“两个确立”的决定性意义、做到“两个维护”。</w:t>
            </w:r>
          </w:p>
          <w:p w14:paraId="3F595A0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 扎实开展党纪学习教育。引导党员干部学纪、知纪、明纪、守纪，准确把握“六项纪律”的主旨要义和规定要求，树立正确权力观，第一时间制定《党纪学习教育重点工作安排》进行部署，认真开展4次党纪学习教育专题学习、1次现场参观党性教育基地、1次党纪学习教育读书班集体学习，采取个人自学与集中学习、辅导解读与警示教育相结合方式等方式，原原本本学、逐章逐条学、联系实际学，推动《条例》入脑入心，全年无党员干部违规违纪问题。</w:t>
            </w:r>
          </w:p>
        </w:tc>
        <w:tc>
          <w:tcPr>
            <w:tcW w:w="3737" w:type="dxa"/>
            <w:gridSpan w:val="4"/>
            <w:noWrap w:val="0"/>
            <w:vAlign w:val="center"/>
          </w:tcPr>
          <w:p w14:paraId="7D9910C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 把牢正确政治方向。强化政研室姓“政”的政治属性，把坚持和加强党的全面领导贯穿政研室工作全过程各方面，不断提高政治判断力、政治领悟力、政治执行力，做到党中央提倡的坚决响应、党中央决定的坚决执行、党中央禁止的坚决不做，始终在思想上政治上行动上同以习近平同志为核心的党中央保持高度一致。</w:t>
            </w:r>
          </w:p>
          <w:p w14:paraId="2D12EBD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 持续强化理论武装。坚持不懈用习近平新时代中国特色社会主义思想凝心铸魂，严格执行“第一议题”制度，将室务会和理论学习中心组学习延伸拓展到全体党员干部，全年召开室务会16次、理论学习中心组学习14次，深入学习贯彻党的二十届三中全会精神以及习近平总书记考察湖南重要讲话和指示精神、关于党的建设的重要思想、关于加快发展新质生产力、推动高质量发展、进一步全面深化改革、统计工作等重要论述以及关于防汛救灾、安全生产、就业等工作的重要指示批示精神，以实际行动深刻领悟“两个确立”的决定性意义、做到“两个维护”。</w:t>
            </w:r>
          </w:p>
          <w:p w14:paraId="3720A86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 扎实开展党纪学习教育。引导党员干部学纪、知纪、明纪、守纪，准确把握“六项纪律”的主旨要义和规定要求，树立正确权力观，第一时间制定《党纪学习教育重点工作安排》进行部署，认真开展4次党纪学习教育专题学习、1次现场参观党性教育基地、1次党纪学习教育读书班集体学习，采取个人自学与集中学习、辅导解读与警示教育相结合方式等方式，原原本本学、逐章逐条学、联系实际学，推动《条例</w:t>
            </w:r>
          </w:p>
        </w:tc>
      </w:tr>
      <w:tr w14:paraId="7846D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19" w:type="dxa"/>
            <w:vMerge w:val="restart"/>
            <w:noWrap w:val="0"/>
            <w:vAlign w:val="center"/>
          </w:tcPr>
          <w:p w14:paraId="46C00C1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0F36FBB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3E2B6FA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2C7732C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108" w:type="dxa"/>
            <w:noWrap w:val="0"/>
            <w:vAlign w:val="center"/>
          </w:tcPr>
          <w:p w14:paraId="576FB69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64" w:type="dxa"/>
            <w:noWrap w:val="0"/>
            <w:vAlign w:val="center"/>
          </w:tcPr>
          <w:p w14:paraId="0CB160F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072" w:type="dxa"/>
            <w:gridSpan w:val="2"/>
            <w:noWrap w:val="0"/>
            <w:vAlign w:val="center"/>
          </w:tcPr>
          <w:p w14:paraId="5845B62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162" w:type="dxa"/>
            <w:noWrap w:val="0"/>
            <w:vAlign w:val="center"/>
          </w:tcPr>
          <w:p w14:paraId="182688B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73206D0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06" w:type="dxa"/>
            <w:noWrap w:val="0"/>
            <w:vAlign w:val="center"/>
          </w:tcPr>
          <w:p w14:paraId="6DB56A4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1D9B2B6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692" w:type="dxa"/>
            <w:noWrap w:val="0"/>
            <w:vAlign w:val="center"/>
          </w:tcPr>
          <w:p w14:paraId="74DBE9D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16" w:type="dxa"/>
            <w:noWrap w:val="0"/>
            <w:vAlign w:val="center"/>
          </w:tcPr>
          <w:p w14:paraId="5A3F186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123" w:type="dxa"/>
            <w:noWrap w:val="0"/>
            <w:vAlign w:val="top"/>
          </w:tcPr>
          <w:p w14:paraId="649AE07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418605A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1C70743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2BF4D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119" w:type="dxa"/>
            <w:vMerge w:val="continue"/>
            <w:noWrap w:val="0"/>
            <w:vAlign w:val="center"/>
          </w:tcPr>
          <w:p w14:paraId="7A0B859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8" w:type="dxa"/>
            <w:vMerge w:val="restart"/>
            <w:noWrap w:val="0"/>
            <w:vAlign w:val="center"/>
          </w:tcPr>
          <w:p w14:paraId="37C882E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64" w:type="dxa"/>
            <w:noWrap w:val="0"/>
            <w:vAlign w:val="center"/>
          </w:tcPr>
          <w:p w14:paraId="11F3538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072" w:type="dxa"/>
            <w:gridSpan w:val="2"/>
            <w:noWrap w:val="0"/>
            <w:vAlign w:val="center"/>
          </w:tcPr>
          <w:p w14:paraId="3030A40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项目成本控制</w:t>
            </w:r>
          </w:p>
        </w:tc>
        <w:tc>
          <w:tcPr>
            <w:tcW w:w="1162" w:type="dxa"/>
            <w:noWrap w:val="0"/>
            <w:vAlign w:val="center"/>
          </w:tcPr>
          <w:p w14:paraId="723326C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≤464.86万元</w:t>
            </w:r>
          </w:p>
        </w:tc>
        <w:tc>
          <w:tcPr>
            <w:tcW w:w="1106" w:type="dxa"/>
            <w:noWrap w:val="0"/>
            <w:vAlign w:val="center"/>
          </w:tcPr>
          <w:p w14:paraId="09E7578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460.45万元</w:t>
            </w:r>
          </w:p>
        </w:tc>
        <w:tc>
          <w:tcPr>
            <w:tcW w:w="692" w:type="dxa"/>
            <w:noWrap w:val="0"/>
            <w:vAlign w:val="center"/>
          </w:tcPr>
          <w:p w14:paraId="7313971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16" w:type="dxa"/>
            <w:noWrap w:val="0"/>
            <w:vAlign w:val="center"/>
          </w:tcPr>
          <w:p w14:paraId="0489ACF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123" w:type="dxa"/>
            <w:noWrap w:val="0"/>
            <w:vAlign w:val="center"/>
          </w:tcPr>
          <w:p w14:paraId="24946B0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2C4DD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9" w:type="dxa"/>
            <w:vMerge w:val="continue"/>
            <w:noWrap w:val="0"/>
            <w:vAlign w:val="center"/>
          </w:tcPr>
          <w:p w14:paraId="1666290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8" w:type="dxa"/>
            <w:vMerge w:val="continue"/>
            <w:noWrap w:val="0"/>
            <w:vAlign w:val="center"/>
          </w:tcPr>
          <w:p w14:paraId="6BA8C33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4" w:type="dxa"/>
            <w:noWrap w:val="0"/>
            <w:vAlign w:val="center"/>
          </w:tcPr>
          <w:p w14:paraId="2C82823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072" w:type="dxa"/>
            <w:gridSpan w:val="2"/>
            <w:noWrap w:val="0"/>
            <w:vAlign w:val="center"/>
          </w:tcPr>
          <w:p w14:paraId="392D149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162" w:type="dxa"/>
            <w:noWrap w:val="0"/>
            <w:vAlign w:val="center"/>
          </w:tcPr>
          <w:p w14:paraId="57882D5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06" w:type="dxa"/>
            <w:noWrap w:val="0"/>
            <w:vAlign w:val="center"/>
          </w:tcPr>
          <w:p w14:paraId="693A1ED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692" w:type="dxa"/>
            <w:noWrap w:val="0"/>
            <w:vAlign w:val="center"/>
          </w:tcPr>
          <w:p w14:paraId="31A550A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16" w:type="dxa"/>
            <w:noWrap w:val="0"/>
            <w:vAlign w:val="center"/>
          </w:tcPr>
          <w:p w14:paraId="78E5B87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123" w:type="dxa"/>
            <w:noWrap w:val="0"/>
            <w:vAlign w:val="center"/>
          </w:tcPr>
          <w:p w14:paraId="100668D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51A75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9" w:type="dxa"/>
            <w:vMerge w:val="continue"/>
            <w:noWrap w:val="0"/>
            <w:vAlign w:val="center"/>
          </w:tcPr>
          <w:p w14:paraId="247C0FD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8" w:type="dxa"/>
            <w:vMerge w:val="continue"/>
            <w:noWrap w:val="0"/>
            <w:vAlign w:val="center"/>
          </w:tcPr>
          <w:p w14:paraId="2BFB03A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4" w:type="dxa"/>
            <w:noWrap w:val="0"/>
            <w:vAlign w:val="center"/>
          </w:tcPr>
          <w:p w14:paraId="7973587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生态成本指标</w:t>
            </w:r>
          </w:p>
        </w:tc>
        <w:tc>
          <w:tcPr>
            <w:tcW w:w="1072" w:type="dxa"/>
            <w:gridSpan w:val="2"/>
            <w:noWrap w:val="0"/>
            <w:vAlign w:val="center"/>
          </w:tcPr>
          <w:p w14:paraId="17C2CD3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162" w:type="dxa"/>
            <w:noWrap w:val="0"/>
            <w:vAlign w:val="center"/>
          </w:tcPr>
          <w:p w14:paraId="0D048BC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06" w:type="dxa"/>
            <w:noWrap w:val="0"/>
            <w:vAlign w:val="center"/>
          </w:tcPr>
          <w:p w14:paraId="09ACEA1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692" w:type="dxa"/>
            <w:noWrap w:val="0"/>
            <w:vAlign w:val="center"/>
          </w:tcPr>
          <w:p w14:paraId="3FF7A7D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16" w:type="dxa"/>
            <w:noWrap w:val="0"/>
            <w:vAlign w:val="center"/>
          </w:tcPr>
          <w:p w14:paraId="344500C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123" w:type="dxa"/>
            <w:noWrap w:val="0"/>
            <w:vAlign w:val="center"/>
          </w:tcPr>
          <w:p w14:paraId="6C6820A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624D0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119" w:type="dxa"/>
            <w:vMerge w:val="continue"/>
            <w:noWrap w:val="0"/>
            <w:vAlign w:val="center"/>
          </w:tcPr>
          <w:p w14:paraId="40593B2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8" w:type="dxa"/>
            <w:vMerge w:val="restart"/>
            <w:noWrap w:val="0"/>
            <w:vAlign w:val="center"/>
          </w:tcPr>
          <w:p w14:paraId="493E084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18647EF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4" w:type="dxa"/>
            <w:noWrap w:val="0"/>
            <w:vAlign w:val="center"/>
          </w:tcPr>
          <w:p w14:paraId="6D26996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w:t>
            </w:r>
          </w:p>
          <w:p w14:paraId="49270B7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72" w:type="dxa"/>
            <w:gridSpan w:val="2"/>
            <w:noWrap w:val="0"/>
            <w:vAlign w:val="center"/>
          </w:tcPr>
          <w:p w14:paraId="29DE138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编印《新怀化》期数</w:t>
            </w:r>
          </w:p>
        </w:tc>
        <w:tc>
          <w:tcPr>
            <w:tcW w:w="1162" w:type="dxa"/>
            <w:noWrap w:val="0"/>
            <w:vAlign w:val="center"/>
          </w:tcPr>
          <w:p w14:paraId="7C61F1E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12期</w:t>
            </w:r>
          </w:p>
        </w:tc>
        <w:tc>
          <w:tcPr>
            <w:tcW w:w="1106" w:type="dxa"/>
            <w:noWrap w:val="0"/>
            <w:vAlign w:val="center"/>
          </w:tcPr>
          <w:p w14:paraId="3C3400A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12期</w:t>
            </w:r>
          </w:p>
        </w:tc>
        <w:tc>
          <w:tcPr>
            <w:tcW w:w="692" w:type="dxa"/>
            <w:noWrap w:val="0"/>
            <w:vAlign w:val="center"/>
          </w:tcPr>
          <w:p w14:paraId="60F8A90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16" w:type="dxa"/>
            <w:noWrap w:val="0"/>
            <w:vAlign w:val="center"/>
          </w:tcPr>
          <w:p w14:paraId="7F4865D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123" w:type="dxa"/>
            <w:noWrap w:val="0"/>
            <w:vAlign w:val="center"/>
          </w:tcPr>
          <w:p w14:paraId="467254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0DC6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9" w:type="dxa"/>
            <w:vMerge w:val="continue"/>
            <w:noWrap w:val="0"/>
            <w:vAlign w:val="center"/>
          </w:tcPr>
          <w:p w14:paraId="0A70F71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8" w:type="dxa"/>
            <w:vMerge w:val="continue"/>
            <w:noWrap w:val="0"/>
            <w:vAlign w:val="center"/>
          </w:tcPr>
          <w:p w14:paraId="102AD10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4" w:type="dxa"/>
            <w:noWrap w:val="0"/>
            <w:vAlign w:val="center"/>
          </w:tcPr>
          <w:p w14:paraId="48FBA35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w:t>
            </w:r>
          </w:p>
          <w:p w14:paraId="2BBFEF0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72" w:type="dxa"/>
            <w:gridSpan w:val="2"/>
            <w:noWrap w:val="0"/>
            <w:vAlign w:val="center"/>
          </w:tcPr>
          <w:p w14:paraId="5C17A29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充分发挥党刊在理论传播、政策宣传、工作经验交流等方面作用</w:t>
            </w:r>
          </w:p>
        </w:tc>
        <w:tc>
          <w:tcPr>
            <w:tcW w:w="1162" w:type="dxa"/>
            <w:noWrap w:val="0"/>
            <w:vAlign w:val="center"/>
          </w:tcPr>
          <w:p w14:paraId="4F4437C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效果显著</w:t>
            </w:r>
          </w:p>
        </w:tc>
        <w:tc>
          <w:tcPr>
            <w:tcW w:w="1106" w:type="dxa"/>
            <w:noWrap w:val="0"/>
            <w:vAlign w:val="center"/>
          </w:tcPr>
          <w:p w14:paraId="7520B08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效果显著</w:t>
            </w:r>
          </w:p>
        </w:tc>
        <w:tc>
          <w:tcPr>
            <w:tcW w:w="692" w:type="dxa"/>
            <w:noWrap w:val="0"/>
            <w:vAlign w:val="center"/>
          </w:tcPr>
          <w:p w14:paraId="192FC1A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16" w:type="dxa"/>
            <w:noWrap w:val="0"/>
            <w:vAlign w:val="center"/>
          </w:tcPr>
          <w:p w14:paraId="26096C1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123" w:type="dxa"/>
            <w:noWrap w:val="0"/>
            <w:vAlign w:val="center"/>
          </w:tcPr>
          <w:p w14:paraId="3D774B1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3C5E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119" w:type="dxa"/>
            <w:vMerge w:val="continue"/>
            <w:noWrap w:val="0"/>
            <w:vAlign w:val="center"/>
          </w:tcPr>
          <w:p w14:paraId="36ECDC2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8" w:type="dxa"/>
            <w:vMerge w:val="continue"/>
            <w:noWrap w:val="0"/>
            <w:vAlign w:val="center"/>
          </w:tcPr>
          <w:p w14:paraId="51CA3FC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4" w:type="dxa"/>
            <w:noWrap w:val="0"/>
            <w:vAlign w:val="center"/>
          </w:tcPr>
          <w:p w14:paraId="7BCCAB8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w:t>
            </w:r>
          </w:p>
          <w:p w14:paraId="6B1FA36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72" w:type="dxa"/>
            <w:gridSpan w:val="2"/>
            <w:noWrap w:val="0"/>
            <w:vAlign w:val="center"/>
          </w:tcPr>
          <w:p w14:paraId="6F87E86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162" w:type="dxa"/>
            <w:noWrap w:val="0"/>
            <w:vAlign w:val="center"/>
          </w:tcPr>
          <w:p w14:paraId="3A40893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2024年12月之前完成</w:t>
            </w:r>
          </w:p>
        </w:tc>
        <w:tc>
          <w:tcPr>
            <w:tcW w:w="1106" w:type="dxa"/>
            <w:noWrap w:val="0"/>
            <w:vAlign w:val="center"/>
          </w:tcPr>
          <w:p w14:paraId="3DE52C8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2024年12月之前完成</w:t>
            </w:r>
          </w:p>
        </w:tc>
        <w:tc>
          <w:tcPr>
            <w:tcW w:w="692" w:type="dxa"/>
            <w:noWrap w:val="0"/>
            <w:vAlign w:val="center"/>
          </w:tcPr>
          <w:p w14:paraId="4FA5634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16" w:type="dxa"/>
            <w:noWrap w:val="0"/>
            <w:vAlign w:val="center"/>
          </w:tcPr>
          <w:p w14:paraId="6BE06AD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23" w:type="dxa"/>
            <w:noWrap w:val="0"/>
            <w:vAlign w:val="center"/>
          </w:tcPr>
          <w:p w14:paraId="43D5B61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A7A4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119" w:type="dxa"/>
            <w:vMerge w:val="continue"/>
            <w:noWrap w:val="0"/>
            <w:vAlign w:val="center"/>
          </w:tcPr>
          <w:p w14:paraId="77A8C37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8" w:type="dxa"/>
            <w:vMerge w:val="restart"/>
            <w:noWrap w:val="0"/>
            <w:vAlign w:val="center"/>
          </w:tcPr>
          <w:p w14:paraId="7C44A86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0AD7769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4" w:type="dxa"/>
            <w:noWrap w:val="0"/>
            <w:vAlign w:val="center"/>
          </w:tcPr>
          <w:p w14:paraId="0A5C9FE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1AAA3C0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72" w:type="dxa"/>
            <w:gridSpan w:val="2"/>
            <w:noWrap w:val="0"/>
            <w:vAlign w:val="center"/>
          </w:tcPr>
          <w:p w14:paraId="6F45F0A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全面履行督查考核职责，推动经济持续健康发展</w:t>
            </w:r>
          </w:p>
        </w:tc>
        <w:tc>
          <w:tcPr>
            <w:tcW w:w="1162" w:type="dxa"/>
            <w:noWrap w:val="0"/>
            <w:vAlign w:val="center"/>
          </w:tcPr>
          <w:p w14:paraId="59AD30C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效果显著</w:t>
            </w:r>
          </w:p>
        </w:tc>
        <w:tc>
          <w:tcPr>
            <w:tcW w:w="1106" w:type="dxa"/>
            <w:noWrap w:val="0"/>
            <w:vAlign w:val="center"/>
          </w:tcPr>
          <w:p w14:paraId="05A9E37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效果显著</w:t>
            </w:r>
          </w:p>
        </w:tc>
        <w:tc>
          <w:tcPr>
            <w:tcW w:w="692" w:type="dxa"/>
            <w:noWrap w:val="0"/>
            <w:vAlign w:val="center"/>
          </w:tcPr>
          <w:p w14:paraId="5AC688A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16" w:type="dxa"/>
            <w:noWrap w:val="0"/>
            <w:vAlign w:val="center"/>
          </w:tcPr>
          <w:p w14:paraId="1D35676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23" w:type="dxa"/>
            <w:noWrap w:val="0"/>
            <w:vAlign w:val="center"/>
          </w:tcPr>
          <w:p w14:paraId="7B3EC15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11CC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119" w:type="dxa"/>
            <w:vMerge w:val="continue"/>
            <w:noWrap w:val="0"/>
            <w:vAlign w:val="center"/>
          </w:tcPr>
          <w:p w14:paraId="38D065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8" w:type="dxa"/>
            <w:vMerge w:val="continue"/>
            <w:noWrap w:val="0"/>
            <w:vAlign w:val="center"/>
          </w:tcPr>
          <w:p w14:paraId="7BB2C75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4" w:type="dxa"/>
            <w:noWrap w:val="0"/>
            <w:vAlign w:val="center"/>
          </w:tcPr>
          <w:p w14:paraId="3614F75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6CE7AFC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72" w:type="dxa"/>
            <w:gridSpan w:val="2"/>
            <w:noWrap w:val="0"/>
            <w:vAlign w:val="center"/>
          </w:tcPr>
          <w:p w14:paraId="55B433E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为市委决策提供科学依据</w:t>
            </w:r>
          </w:p>
        </w:tc>
        <w:tc>
          <w:tcPr>
            <w:tcW w:w="1162" w:type="dxa"/>
            <w:noWrap w:val="0"/>
            <w:vAlign w:val="center"/>
          </w:tcPr>
          <w:p w14:paraId="5ACB732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效果显著</w:t>
            </w:r>
          </w:p>
        </w:tc>
        <w:tc>
          <w:tcPr>
            <w:tcW w:w="1106" w:type="dxa"/>
            <w:noWrap w:val="0"/>
            <w:vAlign w:val="center"/>
          </w:tcPr>
          <w:p w14:paraId="074545F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效果显著</w:t>
            </w:r>
          </w:p>
        </w:tc>
        <w:tc>
          <w:tcPr>
            <w:tcW w:w="692" w:type="dxa"/>
            <w:noWrap w:val="0"/>
            <w:vAlign w:val="center"/>
          </w:tcPr>
          <w:p w14:paraId="585EFE8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816" w:type="dxa"/>
            <w:noWrap w:val="0"/>
            <w:vAlign w:val="center"/>
          </w:tcPr>
          <w:p w14:paraId="1FE0B1D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123" w:type="dxa"/>
            <w:noWrap w:val="0"/>
            <w:vAlign w:val="center"/>
          </w:tcPr>
          <w:p w14:paraId="18BF686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9AEA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119" w:type="dxa"/>
            <w:vMerge w:val="continue"/>
            <w:noWrap w:val="0"/>
            <w:vAlign w:val="center"/>
          </w:tcPr>
          <w:p w14:paraId="28CA3C7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8" w:type="dxa"/>
            <w:vMerge w:val="continue"/>
            <w:noWrap w:val="0"/>
            <w:vAlign w:val="center"/>
          </w:tcPr>
          <w:p w14:paraId="584185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4" w:type="dxa"/>
            <w:noWrap w:val="0"/>
            <w:vAlign w:val="center"/>
          </w:tcPr>
          <w:p w14:paraId="6EF5C1C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7A11ADD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72" w:type="dxa"/>
            <w:gridSpan w:val="2"/>
            <w:noWrap w:val="0"/>
            <w:vAlign w:val="center"/>
          </w:tcPr>
          <w:p w14:paraId="7452733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162" w:type="dxa"/>
            <w:noWrap w:val="0"/>
            <w:vAlign w:val="center"/>
          </w:tcPr>
          <w:p w14:paraId="4B4E97E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06" w:type="dxa"/>
            <w:noWrap w:val="0"/>
            <w:vAlign w:val="center"/>
          </w:tcPr>
          <w:p w14:paraId="6FC1BFD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692" w:type="dxa"/>
            <w:noWrap w:val="0"/>
            <w:vAlign w:val="center"/>
          </w:tcPr>
          <w:p w14:paraId="4CD9DAD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816" w:type="dxa"/>
            <w:noWrap w:val="0"/>
            <w:vAlign w:val="center"/>
          </w:tcPr>
          <w:p w14:paraId="5394BEF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123" w:type="dxa"/>
            <w:noWrap w:val="0"/>
            <w:vAlign w:val="center"/>
          </w:tcPr>
          <w:p w14:paraId="0534B77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EA7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119" w:type="dxa"/>
            <w:vMerge w:val="continue"/>
            <w:noWrap w:val="0"/>
            <w:vAlign w:val="center"/>
          </w:tcPr>
          <w:p w14:paraId="475B0E2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8" w:type="dxa"/>
            <w:vMerge w:val="continue"/>
            <w:noWrap w:val="0"/>
            <w:vAlign w:val="center"/>
          </w:tcPr>
          <w:p w14:paraId="6F43E43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4" w:type="dxa"/>
            <w:noWrap w:val="0"/>
            <w:vAlign w:val="center"/>
          </w:tcPr>
          <w:p w14:paraId="18746BB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072" w:type="dxa"/>
            <w:gridSpan w:val="2"/>
            <w:noWrap w:val="0"/>
            <w:vAlign w:val="center"/>
          </w:tcPr>
          <w:p w14:paraId="14B5544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推动深化全市改革工作</w:t>
            </w:r>
          </w:p>
        </w:tc>
        <w:tc>
          <w:tcPr>
            <w:tcW w:w="1162" w:type="dxa"/>
            <w:noWrap w:val="0"/>
            <w:vAlign w:val="center"/>
          </w:tcPr>
          <w:p w14:paraId="66A12F2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有效推动</w:t>
            </w:r>
          </w:p>
        </w:tc>
        <w:tc>
          <w:tcPr>
            <w:tcW w:w="1106" w:type="dxa"/>
            <w:noWrap w:val="0"/>
            <w:vAlign w:val="center"/>
          </w:tcPr>
          <w:p w14:paraId="0B7E686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有效推动</w:t>
            </w:r>
          </w:p>
        </w:tc>
        <w:tc>
          <w:tcPr>
            <w:tcW w:w="692" w:type="dxa"/>
            <w:noWrap w:val="0"/>
            <w:vAlign w:val="center"/>
          </w:tcPr>
          <w:p w14:paraId="31AB2C7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816" w:type="dxa"/>
            <w:noWrap w:val="0"/>
            <w:vAlign w:val="center"/>
          </w:tcPr>
          <w:p w14:paraId="1A275C0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123" w:type="dxa"/>
            <w:noWrap w:val="0"/>
            <w:vAlign w:val="center"/>
          </w:tcPr>
          <w:p w14:paraId="6C3C23C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4144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119" w:type="dxa"/>
            <w:vMerge w:val="continue"/>
            <w:noWrap w:val="0"/>
            <w:vAlign w:val="center"/>
          </w:tcPr>
          <w:p w14:paraId="179CC0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08" w:type="dxa"/>
            <w:noWrap w:val="0"/>
            <w:vAlign w:val="center"/>
          </w:tcPr>
          <w:p w14:paraId="3619712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0A7FBE5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443A329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4" w:type="dxa"/>
            <w:noWrap w:val="0"/>
            <w:vAlign w:val="center"/>
          </w:tcPr>
          <w:p w14:paraId="4F11610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服务对象满意度指标</w:t>
            </w:r>
          </w:p>
        </w:tc>
        <w:tc>
          <w:tcPr>
            <w:tcW w:w="1072" w:type="dxa"/>
            <w:gridSpan w:val="2"/>
            <w:noWrap w:val="0"/>
            <w:vAlign w:val="center"/>
          </w:tcPr>
          <w:p w14:paraId="277EDFC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服务对象满意度</w:t>
            </w:r>
          </w:p>
        </w:tc>
        <w:tc>
          <w:tcPr>
            <w:tcW w:w="1162" w:type="dxa"/>
            <w:noWrap w:val="0"/>
            <w:vAlign w:val="center"/>
          </w:tcPr>
          <w:p w14:paraId="1C2D0ADC">
            <w:pPr>
              <w:keepNext w:val="0"/>
              <w:keepLines w:val="0"/>
              <w:pageBreakBefore w:val="0"/>
              <w:widowControl/>
              <w:tabs>
                <w:tab w:val="left" w:pos="417"/>
              </w:tabs>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eastAsia="zh-CN"/>
              </w:rPr>
              <w:tab/>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90%</w:t>
            </w:r>
          </w:p>
        </w:tc>
        <w:tc>
          <w:tcPr>
            <w:tcW w:w="1106" w:type="dxa"/>
            <w:noWrap w:val="0"/>
            <w:vAlign w:val="center"/>
          </w:tcPr>
          <w:p w14:paraId="2CBE77C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90%</w:t>
            </w:r>
            <w:r>
              <w:rPr>
                <w:rFonts w:hint="eastAsia" w:ascii="仿宋" w:hAnsi="仿宋" w:eastAsia="仿宋" w:cs="仿宋"/>
                <w:color w:val="000000"/>
                <w:kern w:val="0"/>
                <w:sz w:val="20"/>
                <w:szCs w:val="20"/>
              </w:rPr>
              <w:t>　</w:t>
            </w:r>
          </w:p>
        </w:tc>
        <w:tc>
          <w:tcPr>
            <w:tcW w:w="692" w:type="dxa"/>
            <w:noWrap w:val="0"/>
            <w:vAlign w:val="center"/>
          </w:tcPr>
          <w:p w14:paraId="46BD71B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16" w:type="dxa"/>
            <w:noWrap w:val="0"/>
            <w:vAlign w:val="center"/>
          </w:tcPr>
          <w:p w14:paraId="4EC2344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23" w:type="dxa"/>
            <w:noWrap w:val="0"/>
            <w:vAlign w:val="center"/>
          </w:tcPr>
          <w:p w14:paraId="0565B90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5B57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31" w:type="dxa"/>
            <w:gridSpan w:val="7"/>
            <w:noWrap w:val="0"/>
            <w:vAlign w:val="center"/>
          </w:tcPr>
          <w:p w14:paraId="39D8149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692" w:type="dxa"/>
            <w:noWrap w:val="0"/>
            <w:vAlign w:val="center"/>
          </w:tcPr>
          <w:p w14:paraId="1A1D1DE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16" w:type="dxa"/>
            <w:noWrap w:val="0"/>
            <w:vAlign w:val="center"/>
          </w:tcPr>
          <w:p w14:paraId="53A1434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99.91</w:t>
            </w:r>
          </w:p>
        </w:tc>
        <w:tc>
          <w:tcPr>
            <w:tcW w:w="1123" w:type="dxa"/>
            <w:noWrap w:val="0"/>
            <w:vAlign w:val="center"/>
          </w:tcPr>
          <w:p w14:paraId="02C647F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3A1F85A2">
      <w:pPr>
        <w:widowControl w:val="0"/>
        <w:kinsoku/>
        <w:autoSpaceDE/>
        <w:autoSpaceDN/>
        <w:adjustRightInd/>
        <w:snapToGrid/>
        <w:spacing w:line="600" w:lineRule="exact"/>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赵莹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2025.6.15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13974516181 </w:t>
      </w:r>
    </w:p>
    <w:p w14:paraId="1E657B7F">
      <w:pPr>
        <w:rPr>
          <w:rFonts w:hint="default"/>
          <w:lang w:val="en-US" w:eastAsia="zh-CN"/>
        </w:rPr>
      </w:pPr>
      <w:r>
        <w:rPr>
          <w:rFonts w:hint="default"/>
          <w:lang w:val="en-US" w:eastAsia="zh-CN"/>
        </w:rPr>
        <w:br w:type="page"/>
      </w:r>
    </w:p>
    <w:p w14:paraId="4A939FA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w:t>
      </w:r>
    </w:p>
    <w:p w14:paraId="02F4DB25">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9"/>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737AE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5D951C0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19A128D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769DB1E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《新怀化》经费　</w:t>
            </w:r>
          </w:p>
        </w:tc>
      </w:tr>
      <w:tr w14:paraId="6605B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1039EE7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4397729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中共怀化市委政策研究室</w:t>
            </w:r>
          </w:p>
        </w:tc>
        <w:tc>
          <w:tcPr>
            <w:tcW w:w="1134" w:type="dxa"/>
            <w:noWrap w:val="0"/>
            <w:vAlign w:val="center"/>
          </w:tcPr>
          <w:p w14:paraId="0BFA501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4DB4D0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中共怀化市委政策研究室</w:t>
            </w:r>
          </w:p>
        </w:tc>
      </w:tr>
      <w:tr w14:paraId="2B8DD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1270BB2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6C55B09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04B2697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396F969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7C506F2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389D526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4D76237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780C249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2E900D2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1080590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388683A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4883A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BBB032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1B912C4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379878E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36</w:t>
            </w:r>
          </w:p>
        </w:tc>
        <w:tc>
          <w:tcPr>
            <w:tcW w:w="1209" w:type="dxa"/>
            <w:noWrap w:val="0"/>
            <w:vAlign w:val="center"/>
          </w:tcPr>
          <w:p w14:paraId="4558E54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36</w:t>
            </w:r>
          </w:p>
        </w:tc>
        <w:tc>
          <w:tcPr>
            <w:tcW w:w="1134" w:type="dxa"/>
            <w:noWrap w:val="0"/>
            <w:vAlign w:val="center"/>
          </w:tcPr>
          <w:p w14:paraId="048E648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36</w:t>
            </w:r>
          </w:p>
        </w:tc>
        <w:tc>
          <w:tcPr>
            <w:tcW w:w="828" w:type="dxa"/>
            <w:noWrap w:val="0"/>
            <w:vAlign w:val="center"/>
          </w:tcPr>
          <w:p w14:paraId="1A8177F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873" w:type="dxa"/>
            <w:noWrap w:val="0"/>
            <w:vAlign w:val="center"/>
          </w:tcPr>
          <w:p w14:paraId="1B55B2A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57FF40F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r>
      <w:tr w14:paraId="1D57F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8A7DBA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7B2370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297B778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6540944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565FCA8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7E007F7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528E043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3A6073B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6BBB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5E3A288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7A55441">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19AE284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657138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1B0F922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37F2000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48E6364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5C881D3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8F03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61A8317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75883ED">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76D5D1B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6D35D30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577E455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7EE5E9C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7A8DD40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6D0BA5A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45C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4A9EB47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78021CA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06FE171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761D0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40DE1D3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118ACEF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发行单月刊彩版《新怀化》12期，每期约3000本免费送往全国各地。　　</w:t>
            </w:r>
          </w:p>
        </w:tc>
        <w:tc>
          <w:tcPr>
            <w:tcW w:w="4253" w:type="dxa"/>
            <w:gridSpan w:val="4"/>
            <w:noWrap w:val="0"/>
            <w:vAlign w:val="center"/>
          </w:tcPr>
          <w:p w14:paraId="361F202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发行单月刊彩版《新怀化》12期，每期约3000本免费送往全国各地。</w:t>
            </w:r>
          </w:p>
        </w:tc>
      </w:tr>
      <w:tr w14:paraId="5F62A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2746E35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6F5C15E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052EEC4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6F02A17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1BF34D6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62BAB6A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0AB1DC5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18BAF2D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4DD0214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5C5C023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5773E01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53691F6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1860956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7BBFCB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45C3D6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07BB724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36A10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67AEBF0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2A0D0D6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3143146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1C0598C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项目成本控制</w:t>
            </w:r>
          </w:p>
        </w:tc>
        <w:tc>
          <w:tcPr>
            <w:tcW w:w="1209" w:type="dxa"/>
            <w:noWrap w:val="0"/>
            <w:vAlign w:val="center"/>
          </w:tcPr>
          <w:p w14:paraId="20D502F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≤36万元</w:t>
            </w:r>
          </w:p>
        </w:tc>
        <w:tc>
          <w:tcPr>
            <w:tcW w:w="1134" w:type="dxa"/>
            <w:noWrap w:val="0"/>
            <w:vAlign w:val="center"/>
          </w:tcPr>
          <w:p w14:paraId="5CF8641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36万元</w:t>
            </w:r>
          </w:p>
        </w:tc>
        <w:tc>
          <w:tcPr>
            <w:tcW w:w="828" w:type="dxa"/>
            <w:noWrap w:val="0"/>
            <w:vAlign w:val="center"/>
          </w:tcPr>
          <w:p w14:paraId="3218D6E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73" w:type="dxa"/>
            <w:noWrap w:val="0"/>
            <w:vAlign w:val="center"/>
          </w:tcPr>
          <w:p w14:paraId="5DEB6E4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noWrap w:val="0"/>
            <w:vAlign w:val="center"/>
          </w:tcPr>
          <w:p w14:paraId="5B668BC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6EA61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3AD409C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0BF1A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641A826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0E30F42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1D02149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52B6F2C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635CAB4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73" w:type="dxa"/>
            <w:noWrap w:val="0"/>
            <w:vAlign w:val="center"/>
          </w:tcPr>
          <w:p w14:paraId="45E79AF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418" w:type="dxa"/>
            <w:noWrap w:val="0"/>
            <w:vAlign w:val="center"/>
          </w:tcPr>
          <w:p w14:paraId="38146B2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29451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7DE5207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589191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5DD0826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7192B19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04A59C6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390E829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4D02A3B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73" w:type="dxa"/>
            <w:noWrap w:val="0"/>
            <w:vAlign w:val="center"/>
          </w:tcPr>
          <w:p w14:paraId="206E2F0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418" w:type="dxa"/>
            <w:noWrap w:val="0"/>
            <w:vAlign w:val="center"/>
          </w:tcPr>
          <w:p w14:paraId="091A16F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6BC17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30EBFAB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2A4AD5D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1B2C923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6DB7BF3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6F56793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编印《新怀化》期数</w:t>
            </w:r>
          </w:p>
        </w:tc>
        <w:tc>
          <w:tcPr>
            <w:tcW w:w="1209" w:type="dxa"/>
            <w:noWrap w:val="0"/>
            <w:vAlign w:val="center"/>
          </w:tcPr>
          <w:p w14:paraId="1D47456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12期</w:t>
            </w:r>
          </w:p>
        </w:tc>
        <w:tc>
          <w:tcPr>
            <w:tcW w:w="1134" w:type="dxa"/>
            <w:noWrap w:val="0"/>
            <w:vAlign w:val="center"/>
          </w:tcPr>
          <w:p w14:paraId="2D1803B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12期</w:t>
            </w:r>
          </w:p>
        </w:tc>
        <w:tc>
          <w:tcPr>
            <w:tcW w:w="828" w:type="dxa"/>
            <w:noWrap w:val="0"/>
            <w:vAlign w:val="center"/>
          </w:tcPr>
          <w:p w14:paraId="6EA07AF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73" w:type="dxa"/>
            <w:noWrap w:val="0"/>
            <w:vAlign w:val="center"/>
          </w:tcPr>
          <w:p w14:paraId="27FE413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418" w:type="dxa"/>
            <w:noWrap w:val="0"/>
            <w:vAlign w:val="center"/>
          </w:tcPr>
          <w:p w14:paraId="47AF328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4EFF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7233A6B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7BA23B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AEB33A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266594E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充分发挥党刊在理论传播、政策宣传、工作经验交流等方面的重要作用</w:t>
            </w:r>
          </w:p>
        </w:tc>
        <w:tc>
          <w:tcPr>
            <w:tcW w:w="1209" w:type="dxa"/>
            <w:noWrap w:val="0"/>
            <w:vAlign w:val="center"/>
          </w:tcPr>
          <w:p w14:paraId="6688CCD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效果明显</w:t>
            </w:r>
          </w:p>
        </w:tc>
        <w:tc>
          <w:tcPr>
            <w:tcW w:w="1134" w:type="dxa"/>
            <w:noWrap w:val="0"/>
            <w:vAlign w:val="center"/>
          </w:tcPr>
          <w:p w14:paraId="4A9C5AF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效果明显</w:t>
            </w:r>
          </w:p>
        </w:tc>
        <w:tc>
          <w:tcPr>
            <w:tcW w:w="828" w:type="dxa"/>
            <w:noWrap w:val="0"/>
            <w:vAlign w:val="center"/>
          </w:tcPr>
          <w:p w14:paraId="3E978C6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73" w:type="dxa"/>
            <w:noWrap w:val="0"/>
            <w:vAlign w:val="center"/>
          </w:tcPr>
          <w:p w14:paraId="0C4A1B0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418" w:type="dxa"/>
            <w:noWrap w:val="0"/>
            <w:vAlign w:val="center"/>
          </w:tcPr>
          <w:p w14:paraId="6F48F8A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9FF5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610D98B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AA8CED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BFBB82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7805056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09" w:type="dxa"/>
            <w:noWrap w:val="0"/>
            <w:vAlign w:val="center"/>
          </w:tcPr>
          <w:p w14:paraId="45B5864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2024年12月之前完成</w:t>
            </w:r>
          </w:p>
        </w:tc>
        <w:tc>
          <w:tcPr>
            <w:tcW w:w="1134" w:type="dxa"/>
            <w:noWrap w:val="0"/>
            <w:vAlign w:val="center"/>
          </w:tcPr>
          <w:p w14:paraId="6F40153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2024年12月之前完成</w:t>
            </w:r>
          </w:p>
        </w:tc>
        <w:tc>
          <w:tcPr>
            <w:tcW w:w="828" w:type="dxa"/>
            <w:noWrap w:val="0"/>
            <w:vAlign w:val="center"/>
          </w:tcPr>
          <w:p w14:paraId="3836976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4FD2D4F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6107D60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A446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656982F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168B132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705233B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F280A2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42306FE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3BEB576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03735CD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4280CAB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6D94B21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873" w:type="dxa"/>
            <w:noWrap w:val="0"/>
            <w:vAlign w:val="center"/>
          </w:tcPr>
          <w:p w14:paraId="0C942BF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418" w:type="dxa"/>
            <w:noWrap w:val="0"/>
            <w:vAlign w:val="center"/>
          </w:tcPr>
          <w:p w14:paraId="46D3037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73F3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304F0F3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2E2B06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3E2EE3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0EC47F8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400ED00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宣传政策、服务决策、指导工作能力</w:t>
            </w:r>
          </w:p>
        </w:tc>
        <w:tc>
          <w:tcPr>
            <w:tcW w:w="1209" w:type="dxa"/>
            <w:noWrap w:val="0"/>
            <w:vAlign w:val="center"/>
          </w:tcPr>
          <w:p w14:paraId="0D4626D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效果明显</w:t>
            </w:r>
          </w:p>
        </w:tc>
        <w:tc>
          <w:tcPr>
            <w:tcW w:w="1134" w:type="dxa"/>
            <w:noWrap w:val="0"/>
            <w:vAlign w:val="center"/>
          </w:tcPr>
          <w:p w14:paraId="3D697AF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效果明显</w:t>
            </w:r>
          </w:p>
        </w:tc>
        <w:tc>
          <w:tcPr>
            <w:tcW w:w="828" w:type="dxa"/>
            <w:noWrap w:val="0"/>
            <w:vAlign w:val="center"/>
          </w:tcPr>
          <w:p w14:paraId="65B6BA5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172FF5D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7585EB6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0E99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515E903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CF4B94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A33E16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4F6232B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272C32A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66BC09D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2730FE1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7BE97F8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873" w:type="dxa"/>
            <w:noWrap w:val="0"/>
            <w:vAlign w:val="center"/>
          </w:tcPr>
          <w:p w14:paraId="4E597A1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418" w:type="dxa"/>
            <w:noWrap w:val="0"/>
            <w:vAlign w:val="center"/>
          </w:tcPr>
          <w:p w14:paraId="4C19010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E1A5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2C5267B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14105C4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824A51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473FC5F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发挥宣传政策、服务决策、指导工作作用</w:t>
            </w:r>
          </w:p>
        </w:tc>
        <w:tc>
          <w:tcPr>
            <w:tcW w:w="1209" w:type="dxa"/>
            <w:noWrap w:val="0"/>
            <w:vAlign w:val="center"/>
          </w:tcPr>
          <w:p w14:paraId="712570E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长期</w:t>
            </w:r>
          </w:p>
        </w:tc>
        <w:tc>
          <w:tcPr>
            <w:tcW w:w="1134" w:type="dxa"/>
            <w:noWrap w:val="0"/>
            <w:vAlign w:val="center"/>
          </w:tcPr>
          <w:p w14:paraId="7357C7D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长期</w:t>
            </w:r>
          </w:p>
        </w:tc>
        <w:tc>
          <w:tcPr>
            <w:tcW w:w="828" w:type="dxa"/>
            <w:noWrap w:val="0"/>
            <w:vAlign w:val="center"/>
          </w:tcPr>
          <w:p w14:paraId="4740059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097D488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009681E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E272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3A0A470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ABB0A6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2BFEB13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38B0687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2A001A7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5D42D2D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使用人员满意度</w:t>
            </w:r>
          </w:p>
        </w:tc>
        <w:tc>
          <w:tcPr>
            <w:tcW w:w="1209" w:type="dxa"/>
            <w:noWrap w:val="0"/>
            <w:vAlign w:val="center"/>
          </w:tcPr>
          <w:p w14:paraId="499CE7F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1134" w:type="dxa"/>
            <w:noWrap w:val="0"/>
            <w:vAlign w:val="center"/>
          </w:tcPr>
          <w:p w14:paraId="4CFD6F7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828" w:type="dxa"/>
            <w:noWrap w:val="0"/>
            <w:vAlign w:val="center"/>
          </w:tcPr>
          <w:p w14:paraId="6D9716D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2579CD2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60860D0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F1AB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3AF2159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318E4DF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06771C2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668D356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7F0746FC">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赵莹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2025.6.15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13974516181 </w:t>
      </w: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9"/>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30747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730C2F0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481E6AE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56E2857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财经办经费　</w:t>
            </w:r>
          </w:p>
        </w:tc>
      </w:tr>
      <w:tr w14:paraId="45CD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321AC69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1C72B24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中共怀化市委政策研究室</w:t>
            </w:r>
          </w:p>
        </w:tc>
        <w:tc>
          <w:tcPr>
            <w:tcW w:w="1134" w:type="dxa"/>
            <w:noWrap w:val="0"/>
            <w:vAlign w:val="center"/>
          </w:tcPr>
          <w:p w14:paraId="2B3D13F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7D3042B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中共怀化市委政策研究室</w:t>
            </w:r>
          </w:p>
        </w:tc>
      </w:tr>
      <w:tr w14:paraId="4B5AB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1035FDA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41AF51A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66E5320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2C365B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16C972F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066D2EE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24FEB6F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319BFA7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189ACA9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5D93152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185C6EF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28B0A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1269392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6DD57D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7CA9E7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50</w:t>
            </w:r>
          </w:p>
        </w:tc>
        <w:tc>
          <w:tcPr>
            <w:tcW w:w="1209" w:type="dxa"/>
            <w:noWrap w:val="0"/>
            <w:vAlign w:val="center"/>
          </w:tcPr>
          <w:p w14:paraId="11157CD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50</w:t>
            </w:r>
          </w:p>
        </w:tc>
        <w:tc>
          <w:tcPr>
            <w:tcW w:w="1134" w:type="dxa"/>
            <w:noWrap w:val="0"/>
            <w:vAlign w:val="center"/>
          </w:tcPr>
          <w:p w14:paraId="5F6F57C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50</w:t>
            </w:r>
          </w:p>
        </w:tc>
        <w:tc>
          <w:tcPr>
            <w:tcW w:w="828" w:type="dxa"/>
            <w:noWrap w:val="0"/>
            <w:vAlign w:val="center"/>
          </w:tcPr>
          <w:p w14:paraId="64AC8B6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873" w:type="dxa"/>
            <w:noWrap w:val="0"/>
            <w:vAlign w:val="center"/>
          </w:tcPr>
          <w:p w14:paraId="1E2EAF5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39B4FD5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r>
      <w:tr w14:paraId="78D98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18B2DA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F0938D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2127872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233A708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2FB3DA7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2123514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4C06762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27F5CF3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FBD9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6F505B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640F9BB">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7C4FB84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5FBCE2D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63AE3E5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4B7E27B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0F43999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2C77C99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CAB8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738A4B6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2623181F">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440CFB5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3BC1E2A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7A002B2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675042A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7D6A93F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7E31C03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4EA3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5C5C04D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3924773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62A3292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55D96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0D2C025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469385A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用于财经办工作。　　</w:t>
            </w:r>
          </w:p>
        </w:tc>
        <w:tc>
          <w:tcPr>
            <w:tcW w:w="4253" w:type="dxa"/>
            <w:gridSpan w:val="4"/>
            <w:noWrap w:val="0"/>
            <w:vAlign w:val="center"/>
          </w:tcPr>
          <w:p w14:paraId="3BC876D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用于财经办工作。</w:t>
            </w:r>
          </w:p>
        </w:tc>
      </w:tr>
      <w:tr w14:paraId="41D85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164E050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6D630FB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73D0267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1874EA8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4E54398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4421AFB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3E3EA8C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0052564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62A76E7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74C10DC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72FE2D5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33C5C05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49DE446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4C7209C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4435C23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25E239F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57561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80" w:type="dxa"/>
            <w:vMerge w:val="continue"/>
            <w:noWrap w:val="0"/>
            <w:vAlign w:val="center"/>
          </w:tcPr>
          <w:p w14:paraId="02436A2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3D8404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30497F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1C00957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项目成本控制</w:t>
            </w:r>
          </w:p>
        </w:tc>
        <w:tc>
          <w:tcPr>
            <w:tcW w:w="1209" w:type="dxa"/>
            <w:noWrap w:val="0"/>
            <w:vAlign w:val="center"/>
          </w:tcPr>
          <w:p w14:paraId="34A44FA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≤50万元</w:t>
            </w:r>
          </w:p>
        </w:tc>
        <w:tc>
          <w:tcPr>
            <w:tcW w:w="1134" w:type="dxa"/>
            <w:noWrap w:val="0"/>
            <w:vAlign w:val="center"/>
          </w:tcPr>
          <w:p w14:paraId="06F6F06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50万元</w:t>
            </w:r>
          </w:p>
        </w:tc>
        <w:tc>
          <w:tcPr>
            <w:tcW w:w="828" w:type="dxa"/>
            <w:noWrap w:val="0"/>
            <w:vAlign w:val="center"/>
          </w:tcPr>
          <w:p w14:paraId="7138639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73" w:type="dxa"/>
            <w:noWrap w:val="0"/>
            <w:vAlign w:val="center"/>
          </w:tcPr>
          <w:p w14:paraId="5504269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noWrap w:val="0"/>
            <w:vAlign w:val="center"/>
          </w:tcPr>
          <w:p w14:paraId="732313E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55C34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1975354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8B90CA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7E9F47A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322E517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15B2123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742D37A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396D22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73" w:type="dxa"/>
            <w:noWrap w:val="0"/>
            <w:vAlign w:val="center"/>
          </w:tcPr>
          <w:p w14:paraId="4C3A506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418" w:type="dxa"/>
            <w:noWrap w:val="0"/>
            <w:vAlign w:val="center"/>
          </w:tcPr>
          <w:p w14:paraId="7811D3B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1AC1F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3C90475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8E2038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0D3049F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080BB22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65FB61D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19A56B5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0100D53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73" w:type="dxa"/>
            <w:noWrap w:val="0"/>
            <w:vAlign w:val="center"/>
          </w:tcPr>
          <w:p w14:paraId="78439D6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418" w:type="dxa"/>
            <w:noWrap w:val="0"/>
            <w:vAlign w:val="center"/>
          </w:tcPr>
          <w:p w14:paraId="15F2502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70B73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0DB371E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5AA18F6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1F49547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0844D47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29AB2F3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全市经济工作会议举办次数</w:t>
            </w:r>
          </w:p>
        </w:tc>
        <w:tc>
          <w:tcPr>
            <w:tcW w:w="1209" w:type="dxa"/>
            <w:noWrap w:val="0"/>
            <w:vAlign w:val="center"/>
          </w:tcPr>
          <w:p w14:paraId="67D84D0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1次</w:t>
            </w:r>
          </w:p>
        </w:tc>
        <w:tc>
          <w:tcPr>
            <w:tcW w:w="1134" w:type="dxa"/>
            <w:noWrap w:val="0"/>
            <w:vAlign w:val="center"/>
          </w:tcPr>
          <w:p w14:paraId="0C95DF5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1次</w:t>
            </w:r>
          </w:p>
        </w:tc>
        <w:tc>
          <w:tcPr>
            <w:tcW w:w="828" w:type="dxa"/>
            <w:noWrap w:val="0"/>
            <w:vAlign w:val="center"/>
          </w:tcPr>
          <w:p w14:paraId="1B52315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73" w:type="dxa"/>
            <w:noWrap w:val="0"/>
            <w:vAlign w:val="center"/>
          </w:tcPr>
          <w:p w14:paraId="1F481E3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418" w:type="dxa"/>
            <w:noWrap w:val="0"/>
            <w:vAlign w:val="center"/>
          </w:tcPr>
          <w:p w14:paraId="517C448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2294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68776F5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D79A9C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65DBD7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4CE3F2E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工作会议举办或参加达标率</w:t>
            </w:r>
          </w:p>
        </w:tc>
        <w:tc>
          <w:tcPr>
            <w:tcW w:w="1209" w:type="dxa"/>
            <w:noWrap w:val="0"/>
            <w:vAlign w:val="center"/>
          </w:tcPr>
          <w:p w14:paraId="06EC589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1134" w:type="dxa"/>
            <w:noWrap w:val="0"/>
            <w:vAlign w:val="center"/>
          </w:tcPr>
          <w:p w14:paraId="5722D46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828" w:type="dxa"/>
            <w:noWrap w:val="0"/>
            <w:vAlign w:val="center"/>
          </w:tcPr>
          <w:p w14:paraId="2D97E9A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73" w:type="dxa"/>
            <w:noWrap w:val="0"/>
            <w:vAlign w:val="center"/>
          </w:tcPr>
          <w:p w14:paraId="01E1A33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418" w:type="dxa"/>
            <w:noWrap w:val="0"/>
            <w:vAlign w:val="center"/>
          </w:tcPr>
          <w:p w14:paraId="5A1C4F4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9FF7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40EE1F0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B64A26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1A2D59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3784358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09" w:type="dxa"/>
            <w:noWrap w:val="0"/>
            <w:vAlign w:val="center"/>
          </w:tcPr>
          <w:p w14:paraId="7170DF5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2024年12月前完成</w:t>
            </w:r>
          </w:p>
        </w:tc>
        <w:tc>
          <w:tcPr>
            <w:tcW w:w="1134" w:type="dxa"/>
            <w:noWrap w:val="0"/>
            <w:vAlign w:val="center"/>
          </w:tcPr>
          <w:p w14:paraId="5E3A2BC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2024年12月前完成</w:t>
            </w:r>
          </w:p>
        </w:tc>
        <w:tc>
          <w:tcPr>
            <w:tcW w:w="828" w:type="dxa"/>
            <w:noWrap w:val="0"/>
            <w:vAlign w:val="center"/>
          </w:tcPr>
          <w:p w14:paraId="16B65F6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7ABB9F6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1EA886B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2A82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52CC253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472CD5F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416C221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33BDC7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2D282E2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446BC76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高质量完成市委决策参谋任务，助推全市高质量发展。</w:t>
            </w:r>
          </w:p>
        </w:tc>
        <w:tc>
          <w:tcPr>
            <w:tcW w:w="1209" w:type="dxa"/>
            <w:noWrap w:val="0"/>
            <w:vAlign w:val="center"/>
          </w:tcPr>
          <w:p w14:paraId="3ACD0E6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655A1D3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6A9FE7D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3F87700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6EA605C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D0BF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5935E69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0F0407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48C636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1FB4BDE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74BBDEB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加强经济运行及重点领域分析研判</w:t>
            </w:r>
          </w:p>
        </w:tc>
        <w:tc>
          <w:tcPr>
            <w:tcW w:w="1209" w:type="dxa"/>
            <w:noWrap w:val="0"/>
            <w:vAlign w:val="center"/>
          </w:tcPr>
          <w:p w14:paraId="302369C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3D3A967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5D95328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873" w:type="dxa"/>
            <w:noWrap w:val="0"/>
            <w:vAlign w:val="center"/>
          </w:tcPr>
          <w:p w14:paraId="46FBBC0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418" w:type="dxa"/>
            <w:noWrap w:val="0"/>
            <w:vAlign w:val="center"/>
          </w:tcPr>
          <w:p w14:paraId="02D5190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A556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3F0421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C8263C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98B776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3494B14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53136C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6053695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7E5BAF3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7470E91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873" w:type="dxa"/>
            <w:noWrap w:val="0"/>
            <w:vAlign w:val="center"/>
          </w:tcPr>
          <w:p w14:paraId="7591A87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418" w:type="dxa"/>
            <w:noWrap w:val="0"/>
            <w:vAlign w:val="center"/>
          </w:tcPr>
          <w:p w14:paraId="60A9B51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A531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7298B49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0167642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B0105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5FE5264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高质量完成市委决策参谋任务，全市运用新发展理念推动经济社会不断进步。</w:t>
            </w:r>
          </w:p>
        </w:tc>
        <w:tc>
          <w:tcPr>
            <w:tcW w:w="1209" w:type="dxa"/>
            <w:noWrap w:val="0"/>
            <w:vAlign w:val="center"/>
          </w:tcPr>
          <w:p w14:paraId="45645FB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有效推动</w:t>
            </w:r>
          </w:p>
        </w:tc>
        <w:tc>
          <w:tcPr>
            <w:tcW w:w="1134" w:type="dxa"/>
            <w:noWrap w:val="0"/>
            <w:vAlign w:val="center"/>
          </w:tcPr>
          <w:p w14:paraId="603C635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有效推动</w:t>
            </w:r>
          </w:p>
        </w:tc>
        <w:tc>
          <w:tcPr>
            <w:tcW w:w="828" w:type="dxa"/>
            <w:noWrap w:val="0"/>
            <w:vAlign w:val="center"/>
          </w:tcPr>
          <w:p w14:paraId="521CCF8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873" w:type="dxa"/>
            <w:noWrap w:val="0"/>
            <w:vAlign w:val="center"/>
          </w:tcPr>
          <w:p w14:paraId="7BB6326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418" w:type="dxa"/>
            <w:noWrap w:val="0"/>
            <w:vAlign w:val="center"/>
          </w:tcPr>
          <w:p w14:paraId="6E068BC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79EC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0769E1F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81778F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226716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1081B9C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242D05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38BCD2A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使用人员满意度</w:t>
            </w:r>
          </w:p>
        </w:tc>
        <w:tc>
          <w:tcPr>
            <w:tcW w:w="1209" w:type="dxa"/>
            <w:noWrap w:val="0"/>
            <w:vAlign w:val="center"/>
          </w:tcPr>
          <w:p w14:paraId="73EE1B4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1134" w:type="dxa"/>
            <w:noWrap w:val="0"/>
            <w:vAlign w:val="center"/>
          </w:tcPr>
          <w:p w14:paraId="0677457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828" w:type="dxa"/>
            <w:noWrap w:val="0"/>
            <w:vAlign w:val="center"/>
          </w:tcPr>
          <w:p w14:paraId="0951D8C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71E5B57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51B359D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94FC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6B24C8A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10152C1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26D81B9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4A0C7B5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5CB57C6A">
      <w:pPr>
        <w:widowControl w:val="0"/>
        <w:kinsoku/>
        <w:autoSpaceDE/>
        <w:autoSpaceDN/>
        <w:adjustRightInd/>
        <w:snapToGrid/>
        <w:spacing w:line="600" w:lineRule="exact"/>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赵莹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2025.6.15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13974516181 </w:t>
      </w:r>
    </w:p>
    <w:p w14:paraId="139F25A1">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9"/>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1054"/>
        <w:gridCol w:w="1237"/>
      </w:tblGrid>
      <w:tr w14:paraId="6C647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6B4AC1F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18D0BAB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309B5AA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改革办经费　</w:t>
            </w:r>
          </w:p>
        </w:tc>
      </w:tr>
      <w:tr w14:paraId="4D23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74C6FAB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7DD3667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中共怀化市委政策研究室</w:t>
            </w:r>
          </w:p>
        </w:tc>
        <w:tc>
          <w:tcPr>
            <w:tcW w:w="1134" w:type="dxa"/>
            <w:noWrap w:val="0"/>
            <w:vAlign w:val="center"/>
          </w:tcPr>
          <w:p w14:paraId="77199CD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67E1B22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中共怀化市委政策研究室</w:t>
            </w:r>
          </w:p>
        </w:tc>
      </w:tr>
      <w:tr w14:paraId="5980E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42F26CD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66D328C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1769DB8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6E20F1E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028F667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23FC15E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3FF7BCB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17E4F93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24F05F8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1054" w:type="dxa"/>
            <w:noWrap w:val="0"/>
            <w:vAlign w:val="center"/>
          </w:tcPr>
          <w:p w14:paraId="752121D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237" w:type="dxa"/>
            <w:noWrap w:val="0"/>
            <w:vAlign w:val="center"/>
          </w:tcPr>
          <w:p w14:paraId="434F388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16D54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44DB0C6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2E7ECBF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2589528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30</w:t>
            </w:r>
          </w:p>
        </w:tc>
        <w:tc>
          <w:tcPr>
            <w:tcW w:w="1209" w:type="dxa"/>
            <w:noWrap w:val="0"/>
            <w:vAlign w:val="center"/>
          </w:tcPr>
          <w:p w14:paraId="1033D39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30</w:t>
            </w:r>
          </w:p>
        </w:tc>
        <w:tc>
          <w:tcPr>
            <w:tcW w:w="1134" w:type="dxa"/>
            <w:noWrap w:val="0"/>
            <w:vAlign w:val="center"/>
          </w:tcPr>
          <w:p w14:paraId="238E918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28.96</w:t>
            </w:r>
          </w:p>
        </w:tc>
        <w:tc>
          <w:tcPr>
            <w:tcW w:w="828" w:type="dxa"/>
            <w:noWrap w:val="0"/>
            <w:vAlign w:val="center"/>
          </w:tcPr>
          <w:p w14:paraId="2CE2D2B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1054" w:type="dxa"/>
            <w:noWrap w:val="0"/>
            <w:vAlign w:val="center"/>
          </w:tcPr>
          <w:p w14:paraId="66427BA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96.53%</w:t>
            </w:r>
          </w:p>
        </w:tc>
        <w:tc>
          <w:tcPr>
            <w:tcW w:w="1237" w:type="dxa"/>
            <w:noWrap w:val="0"/>
            <w:vAlign w:val="center"/>
          </w:tcPr>
          <w:p w14:paraId="5B908AB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9.65</w:t>
            </w:r>
          </w:p>
        </w:tc>
      </w:tr>
      <w:tr w14:paraId="14380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3BF1C9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F1A15F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0369C85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66628E1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5031A10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3B9AC0F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54" w:type="dxa"/>
            <w:noWrap w:val="0"/>
            <w:vAlign w:val="center"/>
          </w:tcPr>
          <w:p w14:paraId="7332160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37" w:type="dxa"/>
            <w:noWrap w:val="0"/>
            <w:vAlign w:val="center"/>
          </w:tcPr>
          <w:p w14:paraId="601CCB1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A0D3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F85D00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B0CA242">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5B24D4F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158E6B5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1B02D95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62A951D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54" w:type="dxa"/>
            <w:noWrap w:val="0"/>
            <w:vAlign w:val="center"/>
          </w:tcPr>
          <w:p w14:paraId="2EA877A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37" w:type="dxa"/>
            <w:noWrap w:val="0"/>
            <w:vAlign w:val="center"/>
          </w:tcPr>
          <w:p w14:paraId="62810A1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4813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03B5917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D888537">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6A91D84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10A349D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0568014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1837B4F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54" w:type="dxa"/>
            <w:noWrap w:val="0"/>
            <w:vAlign w:val="center"/>
          </w:tcPr>
          <w:p w14:paraId="143B063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37" w:type="dxa"/>
            <w:noWrap w:val="0"/>
            <w:vAlign w:val="center"/>
          </w:tcPr>
          <w:p w14:paraId="7ECBB19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192C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1147C66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4627995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37B5CA4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72763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3E08462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7C4A63E7">
            <w:pPr>
              <w:keepNext w:val="0"/>
              <w:keepLines w:val="0"/>
              <w:pageBreakBefore w:val="0"/>
              <w:widowControl/>
              <w:kinsoku/>
              <w:wordWrap/>
              <w:overflowPunct/>
              <w:topLinePunct w:val="0"/>
              <w:autoSpaceDE/>
              <w:autoSpaceDN/>
              <w:bidi w:val="0"/>
              <w:adjustRightInd/>
              <w:snapToGrid/>
              <w:spacing w:line="280" w:lineRule="exact"/>
              <w:ind w:firstLine="1200" w:firstLineChars="60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用于改革办工作　</w:t>
            </w:r>
          </w:p>
        </w:tc>
        <w:tc>
          <w:tcPr>
            <w:tcW w:w="4253" w:type="dxa"/>
            <w:gridSpan w:val="4"/>
            <w:noWrap w:val="0"/>
            <w:vAlign w:val="center"/>
          </w:tcPr>
          <w:p w14:paraId="7751C89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 xml:space="preserve">         </w:t>
            </w:r>
            <w:r>
              <w:rPr>
                <w:rFonts w:hint="eastAsia" w:ascii="仿宋" w:hAnsi="仿宋" w:eastAsia="仿宋" w:cs="仿宋"/>
                <w:color w:val="000000"/>
                <w:kern w:val="0"/>
                <w:sz w:val="20"/>
                <w:szCs w:val="20"/>
              </w:rPr>
              <w:t>用于改革办工作</w:t>
            </w:r>
          </w:p>
        </w:tc>
      </w:tr>
      <w:tr w14:paraId="26EC0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63B6E33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6988F26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00E1092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6DDA4BE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64A6AF3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0FCB871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51D78C9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22FB076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0B437EF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7C15D20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2B6D6C5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724B4D0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1054" w:type="dxa"/>
            <w:noWrap w:val="0"/>
            <w:vAlign w:val="center"/>
          </w:tcPr>
          <w:p w14:paraId="22D5A2C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237" w:type="dxa"/>
            <w:noWrap w:val="0"/>
            <w:vAlign w:val="center"/>
          </w:tcPr>
          <w:p w14:paraId="24BFA77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4A88767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047F8B2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5CDEE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66A6E58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3B338DB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419E730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42EFF95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项目成本控制</w:t>
            </w:r>
          </w:p>
        </w:tc>
        <w:tc>
          <w:tcPr>
            <w:tcW w:w="1209" w:type="dxa"/>
            <w:noWrap w:val="0"/>
            <w:vAlign w:val="center"/>
          </w:tcPr>
          <w:p w14:paraId="3D6DA74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≤30万元</w:t>
            </w:r>
          </w:p>
        </w:tc>
        <w:tc>
          <w:tcPr>
            <w:tcW w:w="1134" w:type="dxa"/>
            <w:noWrap w:val="0"/>
            <w:vAlign w:val="center"/>
          </w:tcPr>
          <w:p w14:paraId="77A8395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28.96万元</w:t>
            </w:r>
          </w:p>
        </w:tc>
        <w:tc>
          <w:tcPr>
            <w:tcW w:w="828" w:type="dxa"/>
            <w:noWrap w:val="0"/>
            <w:vAlign w:val="center"/>
          </w:tcPr>
          <w:p w14:paraId="1A34CCF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054" w:type="dxa"/>
            <w:noWrap w:val="0"/>
            <w:vAlign w:val="center"/>
          </w:tcPr>
          <w:p w14:paraId="41961E7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237" w:type="dxa"/>
            <w:noWrap w:val="0"/>
            <w:vAlign w:val="center"/>
          </w:tcPr>
          <w:p w14:paraId="163C008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29740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67101FF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331DB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68FC65B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1828A9A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3A0D6C2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2E84B8D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5E082B9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054" w:type="dxa"/>
            <w:noWrap w:val="0"/>
            <w:vAlign w:val="center"/>
          </w:tcPr>
          <w:p w14:paraId="728472A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237" w:type="dxa"/>
            <w:noWrap w:val="0"/>
            <w:vAlign w:val="center"/>
          </w:tcPr>
          <w:p w14:paraId="03CC551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4920F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6235261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FF1B77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1D63B79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7CC1E06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0292795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74ABA8E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7F81F40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054" w:type="dxa"/>
            <w:noWrap w:val="0"/>
            <w:vAlign w:val="center"/>
          </w:tcPr>
          <w:p w14:paraId="7F45EF1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237" w:type="dxa"/>
            <w:noWrap w:val="0"/>
            <w:vAlign w:val="center"/>
          </w:tcPr>
          <w:p w14:paraId="75773C6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41FF1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4047CAB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4BE4383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20A71DD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23736F2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7FC6E05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筹备召开市委深改委会议</w:t>
            </w:r>
          </w:p>
        </w:tc>
        <w:tc>
          <w:tcPr>
            <w:tcW w:w="1209" w:type="dxa"/>
            <w:noWrap w:val="0"/>
            <w:vAlign w:val="center"/>
          </w:tcPr>
          <w:p w14:paraId="2E89F4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1次</w:t>
            </w:r>
          </w:p>
        </w:tc>
        <w:tc>
          <w:tcPr>
            <w:tcW w:w="1134" w:type="dxa"/>
            <w:noWrap w:val="0"/>
            <w:vAlign w:val="center"/>
          </w:tcPr>
          <w:p w14:paraId="35E88B2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1次</w:t>
            </w:r>
          </w:p>
        </w:tc>
        <w:tc>
          <w:tcPr>
            <w:tcW w:w="828" w:type="dxa"/>
            <w:noWrap w:val="0"/>
            <w:vAlign w:val="center"/>
          </w:tcPr>
          <w:p w14:paraId="4A43F38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054" w:type="dxa"/>
            <w:noWrap w:val="0"/>
            <w:vAlign w:val="center"/>
          </w:tcPr>
          <w:p w14:paraId="1D0D1CA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237" w:type="dxa"/>
            <w:noWrap w:val="0"/>
            <w:vAlign w:val="center"/>
          </w:tcPr>
          <w:p w14:paraId="2294FC0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BEC8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3295D15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74156A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6841A6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10DDEAD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工作会议举办或参加达标率</w:t>
            </w:r>
          </w:p>
        </w:tc>
        <w:tc>
          <w:tcPr>
            <w:tcW w:w="1209" w:type="dxa"/>
            <w:noWrap w:val="0"/>
            <w:vAlign w:val="center"/>
          </w:tcPr>
          <w:p w14:paraId="412777B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1134" w:type="dxa"/>
            <w:noWrap w:val="0"/>
            <w:vAlign w:val="center"/>
          </w:tcPr>
          <w:p w14:paraId="0D41185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828" w:type="dxa"/>
            <w:noWrap w:val="0"/>
            <w:vAlign w:val="center"/>
          </w:tcPr>
          <w:p w14:paraId="16BBD0F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054" w:type="dxa"/>
            <w:noWrap w:val="0"/>
            <w:vAlign w:val="center"/>
          </w:tcPr>
          <w:p w14:paraId="5DE001D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237" w:type="dxa"/>
            <w:noWrap w:val="0"/>
            <w:vAlign w:val="center"/>
          </w:tcPr>
          <w:p w14:paraId="3F96D83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963A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48A0F23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63453F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B8FE21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0A14D45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09" w:type="dxa"/>
            <w:noWrap w:val="0"/>
            <w:vAlign w:val="center"/>
          </w:tcPr>
          <w:p w14:paraId="514AA6A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2024年12月前完成</w:t>
            </w:r>
          </w:p>
        </w:tc>
        <w:tc>
          <w:tcPr>
            <w:tcW w:w="1134" w:type="dxa"/>
            <w:noWrap w:val="0"/>
            <w:vAlign w:val="center"/>
          </w:tcPr>
          <w:p w14:paraId="61C6AD8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2024年12月前完成</w:t>
            </w:r>
          </w:p>
        </w:tc>
        <w:tc>
          <w:tcPr>
            <w:tcW w:w="828" w:type="dxa"/>
            <w:noWrap w:val="0"/>
            <w:vAlign w:val="center"/>
          </w:tcPr>
          <w:p w14:paraId="584EEF5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54" w:type="dxa"/>
            <w:noWrap w:val="0"/>
            <w:vAlign w:val="center"/>
          </w:tcPr>
          <w:p w14:paraId="6517BF5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37" w:type="dxa"/>
            <w:noWrap w:val="0"/>
            <w:vAlign w:val="center"/>
          </w:tcPr>
          <w:p w14:paraId="3310C49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72B1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081AFE9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3EB6D63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113A231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FF378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124F4F1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416B8B1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5C574D7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183AC4F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0A81BA4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054" w:type="dxa"/>
            <w:noWrap w:val="0"/>
            <w:vAlign w:val="center"/>
          </w:tcPr>
          <w:p w14:paraId="1C515E3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237" w:type="dxa"/>
            <w:noWrap w:val="0"/>
            <w:vAlign w:val="center"/>
          </w:tcPr>
          <w:p w14:paraId="7656FC5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B4DE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2CD9D56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BBDD09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28B63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202E354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55EF442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充分发挥市委改革办统筹协调作用</w:t>
            </w:r>
          </w:p>
        </w:tc>
        <w:tc>
          <w:tcPr>
            <w:tcW w:w="1209" w:type="dxa"/>
            <w:noWrap w:val="0"/>
            <w:vAlign w:val="center"/>
          </w:tcPr>
          <w:p w14:paraId="20C71A9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6ACB798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2B76D0F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w:t>
            </w:r>
          </w:p>
        </w:tc>
        <w:tc>
          <w:tcPr>
            <w:tcW w:w="1054" w:type="dxa"/>
            <w:noWrap w:val="0"/>
            <w:vAlign w:val="center"/>
          </w:tcPr>
          <w:p w14:paraId="1140AC4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w:t>
            </w:r>
          </w:p>
        </w:tc>
        <w:tc>
          <w:tcPr>
            <w:tcW w:w="1237" w:type="dxa"/>
            <w:noWrap w:val="0"/>
            <w:vAlign w:val="center"/>
          </w:tcPr>
          <w:p w14:paraId="225E67B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AD96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2D4C7A3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8482B9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C1FDC8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26582B0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7C6D6EA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4EE1AB5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4F2FB74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5EF0F59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054" w:type="dxa"/>
            <w:noWrap w:val="0"/>
            <w:vAlign w:val="center"/>
          </w:tcPr>
          <w:p w14:paraId="6F28621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237" w:type="dxa"/>
            <w:noWrap w:val="0"/>
            <w:vAlign w:val="center"/>
          </w:tcPr>
          <w:p w14:paraId="550A6C6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574A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80" w:type="dxa"/>
            <w:vMerge w:val="continue"/>
            <w:noWrap w:val="0"/>
            <w:vAlign w:val="center"/>
          </w:tcPr>
          <w:p w14:paraId="4F7FD4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662CCC2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4267F9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309B324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5F12779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62F1F60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6AE558C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054" w:type="dxa"/>
            <w:noWrap w:val="0"/>
            <w:vAlign w:val="center"/>
          </w:tcPr>
          <w:p w14:paraId="79F9881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237" w:type="dxa"/>
            <w:noWrap w:val="0"/>
            <w:vAlign w:val="center"/>
          </w:tcPr>
          <w:p w14:paraId="38F59DF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47F4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004BA86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29B8DE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1D4596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7D74057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20CCAA5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3F315A4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w:t>
            </w:r>
          </w:p>
        </w:tc>
        <w:tc>
          <w:tcPr>
            <w:tcW w:w="1209" w:type="dxa"/>
            <w:noWrap w:val="0"/>
            <w:vAlign w:val="center"/>
          </w:tcPr>
          <w:p w14:paraId="16AC8C3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1134" w:type="dxa"/>
            <w:noWrap w:val="0"/>
            <w:vAlign w:val="center"/>
          </w:tcPr>
          <w:p w14:paraId="0513626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828" w:type="dxa"/>
            <w:noWrap w:val="0"/>
            <w:vAlign w:val="center"/>
          </w:tcPr>
          <w:p w14:paraId="06A3F06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54" w:type="dxa"/>
            <w:noWrap w:val="0"/>
            <w:vAlign w:val="center"/>
          </w:tcPr>
          <w:p w14:paraId="6CCAE30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37" w:type="dxa"/>
            <w:noWrap w:val="0"/>
            <w:vAlign w:val="center"/>
          </w:tcPr>
          <w:p w14:paraId="112A5AC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934C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0E40CA2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793240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1054" w:type="dxa"/>
            <w:noWrap w:val="0"/>
            <w:vAlign w:val="center"/>
          </w:tcPr>
          <w:p w14:paraId="2394511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99.65</w:t>
            </w:r>
          </w:p>
        </w:tc>
        <w:tc>
          <w:tcPr>
            <w:tcW w:w="1237" w:type="dxa"/>
            <w:noWrap w:val="0"/>
            <w:vAlign w:val="center"/>
          </w:tcPr>
          <w:p w14:paraId="595ECC4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1B3D8CC0">
      <w:pPr>
        <w:widowControl w:val="0"/>
        <w:kinsoku/>
        <w:autoSpaceDE/>
        <w:autoSpaceDN/>
        <w:adjustRightInd/>
        <w:snapToGrid/>
        <w:spacing w:line="600" w:lineRule="exact"/>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赵莹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2025.6.15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13974516181 </w:t>
      </w:r>
    </w:p>
    <w:p w14:paraId="77F176C4">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9"/>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6864C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4B85A36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0CD6B6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19FC3EA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课题经费　</w:t>
            </w:r>
          </w:p>
        </w:tc>
      </w:tr>
      <w:tr w14:paraId="5A976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5F0564D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07CDD4F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中共怀化市委政策研究室</w:t>
            </w:r>
          </w:p>
        </w:tc>
        <w:tc>
          <w:tcPr>
            <w:tcW w:w="1134" w:type="dxa"/>
            <w:noWrap w:val="0"/>
            <w:vAlign w:val="center"/>
          </w:tcPr>
          <w:p w14:paraId="44AE924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735F3E0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中共怀化市委政策研究室</w:t>
            </w:r>
          </w:p>
        </w:tc>
      </w:tr>
      <w:tr w14:paraId="4AAE9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754EFC9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4E046B8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3DCE54B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3A271BE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3843F91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3C8B4F7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747E88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022FC75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2A19306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1B4D68D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798D42B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6F006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732005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728CC9F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0B71D36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4DCC54A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w:t>
            </w:r>
          </w:p>
        </w:tc>
        <w:tc>
          <w:tcPr>
            <w:tcW w:w="1134" w:type="dxa"/>
            <w:noWrap w:val="0"/>
            <w:vAlign w:val="center"/>
          </w:tcPr>
          <w:p w14:paraId="6D698D5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w:t>
            </w:r>
          </w:p>
        </w:tc>
        <w:tc>
          <w:tcPr>
            <w:tcW w:w="828" w:type="dxa"/>
            <w:noWrap w:val="0"/>
            <w:vAlign w:val="center"/>
          </w:tcPr>
          <w:p w14:paraId="60E2578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873" w:type="dxa"/>
            <w:noWrap w:val="0"/>
            <w:vAlign w:val="center"/>
          </w:tcPr>
          <w:p w14:paraId="78607A7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w:t>
            </w:r>
            <w:r>
              <w:rPr>
                <w:rFonts w:hint="eastAsia" w:ascii="仿宋" w:hAnsi="仿宋" w:eastAsia="仿宋" w:cs="仿宋"/>
                <w:color w:val="000000"/>
                <w:kern w:val="0"/>
                <w:sz w:val="20"/>
                <w:szCs w:val="20"/>
              </w:rPr>
              <w:t>　</w:t>
            </w:r>
          </w:p>
        </w:tc>
        <w:tc>
          <w:tcPr>
            <w:tcW w:w="1418" w:type="dxa"/>
            <w:noWrap w:val="0"/>
            <w:vAlign w:val="center"/>
          </w:tcPr>
          <w:p w14:paraId="61D0612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r>
      <w:tr w14:paraId="15FF4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251BDC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2BD1192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0ACA009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315EB6D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6DCAF53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4A3D3E0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7786158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027F449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4AE7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23F277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23A74B59">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3EA67CF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0D1756F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108D4AB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73232DB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72C50D7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26729C6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1355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5696760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00552BB">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0089147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59B2CEE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4C13800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5E39BCA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4004549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71B6C4A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A0AF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44A3705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47EA2B6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65F775A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60AEB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29D5E69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4D3865D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用于正常工作顺利开展支出</w:t>
            </w:r>
            <w:r>
              <w:rPr>
                <w:rFonts w:hint="eastAsia" w:ascii="仿宋" w:hAnsi="仿宋" w:eastAsia="仿宋" w:cs="仿宋"/>
                <w:color w:val="000000"/>
                <w:kern w:val="0"/>
                <w:sz w:val="20"/>
                <w:szCs w:val="20"/>
              </w:rPr>
              <w:t>　　</w:t>
            </w:r>
          </w:p>
        </w:tc>
        <w:tc>
          <w:tcPr>
            <w:tcW w:w="4253" w:type="dxa"/>
            <w:gridSpan w:val="4"/>
            <w:noWrap w:val="0"/>
            <w:vAlign w:val="center"/>
          </w:tcPr>
          <w:p w14:paraId="4D2F77E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用于正常工作顺利开展支出</w:t>
            </w:r>
          </w:p>
        </w:tc>
      </w:tr>
      <w:tr w14:paraId="354CC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2A71F0C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095A81A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1EA28F7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1D70096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09B8670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121B84B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444BEE1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76A20BA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7FE7917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52FCA4C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34A9142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1E13A95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71C4905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47B391D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428E90B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6B82BF0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48271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1A2D6A5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17F8036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75313C5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7DEB7D3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项目成本控制</w:t>
            </w:r>
          </w:p>
        </w:tc>
        <w:tc>
          <w:tcPr>
            <w:tcW w:w="1209" w:type="dxa"/>
            <w:noWrap w:val="0"/>
            <w:vAlign w:val="center"/>
          </w:tcPr>
          <w:p w14:paraId="6BA2D61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≤2万元</w:t>
            </w:r>
          </w:p>
        </w:tc>
        <w:tc>
          <w:tcPr>
            <w:tcW w:w="1134" w:type="dxa"/>
            <w:noWrap w:val="0"/>
            <w:vAlign w:val="center"/>
          </w:tcPr>
          <w:p w14:paraId="6B0C704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2万元</w:t>
            </w:r>
          </w:p>
        </w:tc>
        <w:tc>
          <w:tcPr>
            <w:tcW w:w="828" w:type="dxa"/>
            <w:noWrap w:val="0"/>
            <w:vAlign w:val="center"/>
          </w:tcPr>
          <w:p w14:paraId="0E56943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73" w:type="dxa"/>
            <w:noWrap w:val="0"/>
            <w:vAlign w:val="center"/>
          </w:tcPr>
          <w:p w14:paraId="5433ED5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noWrap w:val="0"/>
            <w:vAlign w:val="center"/>
          </w:tcPr>
          <w:p w14:paraId="2300219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3659D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60E04C9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63452D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6E231DA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23633C8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1712B39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434794A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4170092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73" w:type="dxa"/>
            <w:noWrap w:val="0"/>
            <w:vAlign w:val="center"/>
          </w:tcPr>
          <w:p w14:paraId="174D12F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418" w:type="dxa"/>
            <w:noWrap w:val="0"/>
            <w:vAlign w:val="center"/>
          </w:tcPr>
          <w:p w14:paraId="7DB0838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03B47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29C1FDB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44E98B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178EA71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107C337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3749229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1CE2CDA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3F207DE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73" w:type="dxa"/>
            <w:noWrap w:val="0"/>
            <w:vAlign w:val="center"/>
          </w:tcPr>
          <w:p w14:paraId="365DB73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418" w:type="dxa"/>
            <w:noWrap w:val="0"/>
            <w:vAlign w:val="center"/>
          </w:tcPr>
          <w:p w14:paraId="504A08F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0C5BA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5214E4B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039236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04FFBB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576B8E4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012A52B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重点工作任务完成量</w:t>
            </w:r>
          </w:p>
        </w:tc>
        <w:tc>
          <w:tcPr>
            <w:tcW w:w="1209" w:type="dxa"/>
            <w:noWrap w:val="0"/>
            <w:vAlign w:val="center"/>
          </w:tcPr>
          <w:p w14:paraId="187055F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noWrap w:val="0"/>
            <w:vAlign w:val="center"/>
          </w:tcPr>
          <w:p w14:paraId="6DD51E5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28" w:type="dxa"/>
            <w:noWrap w:val="0"/>
            <w:vAlign w:val="center"/>
          </w:tcPr>
          <w:p w14:paraId="74CBABE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73" w:type="dxa"/>
            <w:noWrap w:val="0"/>
            <w:vAlign w:val="center"/>
          </w:tcPr>
          <w:p w14:paraId="4F84D78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418" w:type="dxa"/>
            <w:noWrap w:val="0"/>
            <w:vAlign w:val="center"/>
          </w:tcPr>
          <w:p w14:paraId="44A2370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D3DC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7454EAA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1A9592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F9C9AC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25014CE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目标达成率</w:t>
            </w:r>
          </w:p>
        </w:tc>
        <w:tc>
          <w:tcPr>
            <w:tcW w:w="1209" w:type="dxa"/>
            <w:noWrap w:val="0"/>
            <w:vAlign w:val="center"/>
          </w:tcPr>
          <w:p w14:paraId="0C5B52B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noWrap w:val="0"/>
            <w:vAlign w:val="center"/>
          </w:tcPr>
          <w:p w14:paraId="4475060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28" w:type="dxa"/>
            <w:noWrap w:val="0"/>
            <w:vAlign w:val="center"/>
          </w:tcPr>
          <w:p w14:paraId="42EB0A1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73" w:type="dxa"/>
            <w:noWrap w:val="0"/>
            <w:vAlign w:val="center"/>
          </w:tcPr>
          <w:p w14:paraId="65F42DF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418" w:type="dxa"/>
            <w:noWrap w:val="0"/>
            <w:vAlign w:val="center"/>
          </w:tcPr>
          <w:p w14:paraId="3501A6B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0CB7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3FC6530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082D54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E1A251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0C5891C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及时完成率</w:t>
            </w:r>
          </w:p>
        </w:tc>
        <w:tc>
          <w:tcPr>
            <w:tcW w:w="1209" w:type="dxa"/>
            <w:noWrap w:val="0"/>
            <w:vAlign w:val="center"/>
          </w:tcPr>
          <w:p w14:paraId="56DD3D2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2024年12月之前完成</w:t>
            </w:r>
          </w:p>
        </w:tc>
        <w:tc>
          <w:tcPr>
            <w:tcW w:w="1134" w:type="dxa"/>
            <w:noWrap w:val="0"/>
            <w:vAlign w:val="center"/>
          </w:tcPr>
          <w:p w14:paraId="550F75E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2024年12月之前完成</w:t>
            </w:r>
          </w:p>
        </w:tc>
        <w:tc>
          <w:tcPr>
            <w:tcW w:w="828" w:type="dxa"/>
            <w:noWrap w:val="0"/>
            <w:vAlign w:val="center"/>
          </w:tcPr>
          <w:p w14:paraId="1206420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5F2C809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380CD4B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2AD1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0C184B6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1FE55BD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5E35AD9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95B344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0C74602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2E235E4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0FAE12E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5638132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2E3A5DF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10480C7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0C7612B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69CF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0B97D68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E2BCB6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15096E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679C0F9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4F120EA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促进工作顺利开展</w:t>
            </w:r>
          </w:p>
        </w:tc>
        <w:tc>
          <w:tcPr>
            <w:tcW w:w="1209" w:type="dxa"/>
            <w:noWrap w:val="0"/>
            <w:vAlign w:val="center"/>
          </w:tcPr>
          <w:p w14:paraId="37213B0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有效促进</w:t>
            </w:r>
          </w:p>
        </w:tc>
        <w:tc>
          <w:tcPr>
            <w:tcW w:w="1134" w:type="dxa"/>
            <w:noWrap w:val="0"/>
            <w:vAlign w:val="center"/>
          </w:tcPr>
          <w:p w14:paraId="6FF1195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有效促进</w:t>
            </w:r>
          </w:p>
        </w:tc>
        <w:tc>
          <w:tcPr>
            <w:tcW w:w="828" w:type="dxa"/>
            <w:noWrap w:val="0"/>
            <w:vAlign w:val="center"/>
          </w:tcPr>
          <w:p w14:paraId="40C3568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w:t>
            </w:r>
          </w:p>
        </w:tc>
        <w:tc>
          <w:tcPr>
            <w:tcW w:w="873" w:type="dxa"/>
            <w:noWrap w:val="0"/>
            <w:vAlign w:val="center"/>
          </w:tcPr>
          <w:p w14:paraId="057A739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w:t>
            </w:r>
          </w:p>
        </w:tc>
        <w:tc>
          <w:tcPr>
            <w:tcW w:w="1418" w:type="dxa"/>
            <w:noWrap w:val="0"/>
            <w:vAlign w:val="center"/>
          </w:tcPr>
          <w:p w14:paraId="1E1AC08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DED0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2067516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EDDC8C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357A39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54AA31A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2C37F0D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327B83F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025F94F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14787BF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873" w:type="dxa"/>
            <w:noWrap w:val="0"/>
            <w:vAlign w:val="center"/>
          </w:tcPr>
          <w:p w14:paraId="113752A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418" w:type="dxa"/>
            <w:noWrap w:val="0"/>
            <w:vAlign w:val="center"/>
          </w:tcPr>
          <w:p w14:paraId="277539F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0B26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49C267C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2DE5DB4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CE9F28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5C9E20E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160336D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012609F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0E1EE9C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873" w:type="dxa"/>
            <w:noWrap w:val="0"/>
            <w:vAlign w:val="center"/>
          </w:tcPr>
          <w:p w14:paraId="204DC7D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418" w:type="dxa"/>
            <w:noWrap w:val="0"/>
            <w:vAlign w:val="center"/>
          </w:tcPr>
          <w:p w14:paraId="50C5599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BA81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1B31B5B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5DC09F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63E71D2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11BCE62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12DFC10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64CCAFE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服务对象满意度</w:t>
            </w:r>
          </w:p>
        </w:tc>
        <w:tc>
          <w:tcPr>
            <w:tcW w:w="1209" w:type="dxa"/>
            <w:noWrap w:val="0"/>
            <w:vAlign w:val="center"/>
          </w:tcPr>
          <w:p w14:paraId="2B17E83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1134" w:type="dxa"/>
            <w:noWrap w:val="0"/>
            <w:vAlign w:val="center"/>
          </w:tcPr>
          <w:p w14:paraId="56AE5EA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828" w:type="dxa"/>
            <w:noWrap w:val="0"/>
            <w:vAlign w:val="center"/>
          </w:tcPr>
          <w:p w14:paraId="73C8160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24EB913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1357F4D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E9F0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3507DFE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66E612E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0C318C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12AFFA4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3C63B191">
      <w:pPr>
        <w:widowControl w:val="0"/>
        <w:kinsoku/>
        <w:autoSpaceDE/>
        <w:autoSpaceDN/>
        <w:adjustRightInd/>
        <w:snapToGrid/>
        <w:spacing w:line="600" w:lineRule="exact"/>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赵莹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2025.6.15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13974516181 </w:t>
      </w:r>
    </w:p>
    <w:p w14:paraId="2E21F500">
      <w:pPr>
        <w:widowControl w:val="0"/>
        <w:kinsoku/>
        <w:autoSpaceDE/>
        <w:autoSpaceDN/>
        <w:adjustRightInd/>
        <w:snapToGrid/>
        <w:spacing w:line="600" w:lineRule="exact"/>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6D112FF5">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r>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t>附件</w:t>
      </w:r>
      <w:r>
        <w:rPr>
          <w:rFonts w:hint="eastAsia" w:ascii="Times New Roman" w:hAnsi="Times New Roman" w:eastAsia="仿宋_GB2312" w:cs="Times New Roman"/>
          <w:snapToGrid/>
          <w:color w:val="000000"/>
          <w:kern w:val="0"/>
          <w:sz w:val="24"/>
          <w:szCs w:val="24"/>
          <w:lang w:val="en-US" w:eastAsia="zh-CN" w:bidi="ar-SA"/>
        </w:rPr>
        <w:t>4</w:t>
      </w:r>
    </w:p>
    <w:p w14:paraId="540B4768">
      <w:pPr>
        <w:widowControl w:val="0"/>
        <w:kinsoku/>
        <w:autoSpaceDE/>
        <w:autoSpaceDN/>
        <w:adjustRightInd/>
        <w:snapToGrid/>
        <w:spacing w:line="600" w:lineRule="exact"/>
        <w:jc w:val="both"/>
        <w:textAlignment w:val="auto"/>
        <w:rPr>
          <w:rFonts w:hint="default" w:ascii="Times New Roman" w:hAnsi="Times New Roman" w:eastAsia="仿宋_GB2312" w:cs="Times New Roman"/>
          <w:snapToGrid/>
          <w:color w:val="000000"/>
          <w:kern w:val="0"/>
          <w:sz w:val="24"/>
          <w:szCs w:val="24"/>
          <w:lang w:val="en-US" w:eastAsia="zh-CN" w:bidi="ar-SA"/>
        </w:rPr>
      </w:pPr>
      <w:r>
        <w:rPr>
          <w:rFonts w:hint="eastAsia" w:ascii="Times New Roman" w:hAnsi="Times New Roman" w:eastAsia="仿宋_GB2312" w:cs="Times New Roman"/>
          <w:snapToGrid/>
          <w:color w:val="000000"/>
          <w:kern w:val="0"/>
          <w:sz w:val="24"/>
          <w:szCs w:val="24"/>
          <w:lang w:val="en-US" w:eastAsia="zh-CN" w:bidi="ar-SA"/>
        </w:rPr>
        <w:t xml:space="preserve">                 </w:t>
      </w:r>
    </w:p>
    <w:p w14:paraId="3739D2AF">
      <w:pPr>
        <w:jc w:val="center"/>
        <w:rPr>
          <w:rFonts w:hint="eastAsia" w:ascii="方正小标宋简体" w:hAnsi="Arial" w:eastAsia="方正小标宋简体" w:cs="Arial"/>
          <w:sz w:val="40"/>
          <w:szCs w:val="40"/>
        </w:rPr>
      </w:pPr>
      <w:r>
        <w:rPr>
          <w:rFonts w:hint="eastAsia" w:ascii="方正小标宋简体" w:hAnsi="Arial" w:eastAsia="方正小标宋简体" w:cs="Arial"/>
          <w:sz w:val="40"/>
          <w:szCs w:val="40"/>
        </w:rPr>
        <w:t>项目</w:t>
      </w:r>
      <w:r>
        <w:rPr>
          <w:rFonts w:hint="eastAsia" w:ascii="方正小标宋简体" w:hAnsi="Arial" w:eastAsia="方正小标宋简体" w:cs="Arial"/>
          <w:sz w:val="40"/>
          <w:szCs w:val="40"/>
          <w:lang w:eastAsia="zh-CN"/>
        </w:rPr>
        <w:t>支出</w:t>
      </w:r>
      <w:r>
        <w:rPr>
          <w:rFonts w:hint="eastAsia" w:ascii="方正小标宋简体" w:hAnsi="Arial" w:eastAsia="方正小标宋简体" w:cs="Arial"/>
          <w:sz w:val="40"/>
          <w:szCs w:val="40"/>
        </w:rPr>
        <w:t>自评</w:t>
      </w:r>
      <w:r>
        <w:rPr>
          <w:rFonts w:hint="eastAsia" w:ascii="方正小标宋简体" w:hAnsi="Arial" w:eastAsia="方正小标宋简体" w:cs="Arial"/>
          <w:sz w:val="40"/>
          <w:szCs w:val="40"/>
          <w:lang w:eastAsia="zh-CN"/>
        </w:rPr>
        <w:t>结果汇总分析</w:t>
      </w:r>
      <w:r>
        <w:rPr>
          <w:rFonts w:hint="eastAsia" w:ascii="方正小标宋简体" w:hAnsi="Arial" w:eastAsia="方正小标宋简体" w:cs="Arial"/>
          <w:sz w:val="40"/>
          <w:szCs w:val="40"/>
        </w:rPr>
        <w:t>报告</w:t>
      </w:r>
    </w:p>
    <w:p w14:paraId="1BC57274">
      <w:pPr>
        <w:jc w:val="center"/>
        <w:rPr>
          <w:rFonts w:ascii="仿宋_GB2312"/>
          <w:sz w:val="32"/>
          <w:szCs w:val="32"/>
        </w:rPr>
      </w:pPr>
    </w:p>
    <w:p w14:paraId="6466C07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一、项目支出基本情况</w:t>
      </w:r>
    </w:p>
    <w:p w14:paraId="0A3DD30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本部门项目支出构成包括《新怀化》经费、财经办经费、改革办经费、课题经费。其中，《新怀化》经费年初总预算36万元，预算执行36万元，执行率100%；财经办经费年初总预算50万元，预算执行50万元，执行率100%；改革办经费年初总预算30万元，预算执行28.96万元，执行率96.53%；课题经费全年预算数2万元，预算执行2万元，执行率100%。</w:t>
      </w:r>
    </w:p>
    <w:p w14:paraId="6F9CA74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二、项目自评工作开展情况</w:t>
      </w:r>
    </w:p>
    <w:p w14:paraId="5B1A47D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根据《怀化市财政局关于开展2024年度市级预算部门绩效自评和部门评价的通知》（怀财绩〔2025〕32号）要求，本单位对2024年度全部项目资金开展自评，主要包括《新怀化》经费、财经办经费、改革办经费、课题经费四个项目。我单位成立由办公室以及其他业务科室组成的绩效自评工作小组，明确责任分工，细化评价指标和流程。项目负责人在评价执行过程中对各项目进行数据收集与分析，采用合理的评价方法，对项目整体执行情况进行合理的评价与分析，得出合理的结论。</w:t>
      </w:r>
    </w:p>
    <w:p w14:paraId="145C37C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三、项目自评结果及分析</w:t>
      </w:r>
    </w:p>
    <w:p w14:paraId="3DD9857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（一）项目支出单位自评分数情况及分析</w:t>
      </w:r>
    </w:p>
    <w:p w14:paraId="6EFAF68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自评总分及构成：总分100分，其中，项目年度资金预算执行数10分，成本指标20分，产出指标40分，效益指标20分，满意度指标10分。《新怀化》经费评分得分为100分，财经办经费评分得分为100分，改革办经费评分得分为99.65分，课题经费评分得分为100分，四个项目综合评分99.91分。</w:t>
      </w:r>
    </w:p>
    <w:p w14:paraId="771F1A1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（二）预算执行情况分析</w:t>
      </w:r>
    </w:p>
    <w:p w14:paraId="6295CAA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新怀化》经费年初总预算36万元，预算执行36万元，执行率100%；财经办经费年初总预算50万元，预算执行50万元，执行率100%；改革办经费年初总预算30万元，预算执行28.96万元，执行率96.53%；课题经费全年预算数2万元，预算执行2万元，执行率100%。总体执行率合理，单位内部会继续加强预算动态监控，定期调整预算执行率。</w:t>
      </w:r>
    </w:p>
    <w:p w14:paraId="24920F4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（三）资金管理情况分析</w:t>
      </w:r>
    </w:p>
    <w:p w14:paraId="301510E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1、资金来源及拨付流程</w:t>
      </w:r>
    </w:p>
    <w:p w14:paraId="1EA6A16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2024年本单位专项项目资金年初预算项目资金116万元，资金来源是市财政局拨款，2024年从一般公共预算财政拨款资金安排经费，资金拨付按季度下拨。</w:t>
      </w:r>
    </w:p>
    <w:p w14:paraId="591664E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2、资金执行情况</w:t>
      </w:r>
    </w:p>
    <w:p w14:paraId="013BC7D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2024年本单位专项项目资金指标金额116万元，年中课题经费2万元，总项目资金118万元，实际支出金额116.96万元，资金执行率99.12%，具体如下：</w:t>
      </w:r>
    </w:p>
    <w:p w14:paraId="4393DA5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《新怀化》经费年初总预算36万元，实际支出资金36万元，资金执行率100%；</w:t>
      </w:r>
    </w:p>
    <w:p w14:paraId="31CA471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财经办经费年初总预算50万元，实际支出资金50万元，资金执行率100%；</w:t>
      </w:r>
    </w:p>
    <w:p w14:paraId="6EC3871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改革办经费年初总预算30万元，实际支出资金28.96万元，资金执行率96.53%；</w:t>
      </w:r>
    </w:p>
    <w:p w14:paraId="7A9F227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课题经费全年预算数2万元，实际支出资金2万元，资金执行率100%。</w:t>
      </w:r>
    </w:p>
    <w:p w14:paraId="3843E62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w:t>
      </w:r>
      <w:r>
        <w:rPr>
          <w:rFonts w:hint="default" w:ascii="Times New Roman Regular" w:hAnsi="Times New Roman Regular" w:eastAsia="仿宋_GB2312" w:cs="Times New Roman Regular"/>
          <w:color w:val="auto"/>
          <w:sz w:val="32"/>
          <w:szCs w:val="32"/>
          <w:highlight w:val="none"/>
          <w:lang w:val="en-US" w:eastAsia="zh-CN"/>
        </w:rPr>
        <w:t>资金使用情况</w:t>
      </w:r>
    </w:p>
    <w:p w14:paraId="48071AB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所有资金均按计划使用，于2024年12月前全部完成拨付，专款专用，无截留、挤占、挪用等现象，会计核算真实、完整，用款程序规范，结算及时，符合相关规定。</w:t>
      </w:r>
    </w:p>
    <w:p w14:paraId="726D83F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资金管理制度</w:t>
      </w:r>
    </w:p>
    <w:p w14:paraId="534F84A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在制度建设方面，紧扣制度建设重点，围绕预算编制、预算执行、支付管理、监督保障等方面，不断建立完善了各项规章制度，建立用制度管人、管事、管财的长效机制，并在实际工作中不断健全完善管理办法和内控制度，认真贯彻执行，确保资金使用安全、合规。在预算执行管理方面，严格按照市财政局关于进一步加强预算执行管理的通知要求，切实履行预算管理职责，加强预算执行的监督管理，维护预算的严肃性。按照财政预算执行进度要求，定期通报预算执行进度情况，分析解决预算执行中存在的问题和困难，根据预算项目用途，确保专款专用，加快预算执行进度。</w:t>
      </w:r>
    </w:p>
    <w:p w14:paraId="06428BA4">
      <w:pPr>
        <w:pStyle w:val="6"/>
        <w:numPr>
          <w:ilvl w:val="0"/>
          <w:numId w:val="0"/>
        </w:numPr>
        <w:ind w:firstLine="640" w:firstLineChars="200"/>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（四）总体绩效目标完成情况分析</w:t>
      </w:r>
    </w:p>
    <w:p w14:paraId="239366D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2024年总体绩效目标设定为：</w:t>
      </w:r>
    </w:p>
    <w:p w14:paraId="730CA11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成本目标：项目成本控制在年初预算范围内。</w:t>
      </w:r>
    </w:p>
    <w:p w14:paraId="7AC411E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产出目标：编印《新怀化》期数12期，全市经济工作会议举办次数1次，工作会议举办或参加达标率95%，充分发挥党刊在理论传播、政策宣传、工作经验交流等方面的重要作用，工作完成及时率均在2024年12月之前完成。</w:t>
      </w:r>
    </w:p>
    <w:p w14:paraId="7D8D9CE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效益指标：高质量完成市委决策参谋任务，助推全市高质量发展，加强经济运行及重点领域分析研判，充分发挥市委改革办统筹协调作用，高质量完成市委决策参谋任务，全市运用新发展理念推动经济社会不断进步。</w:t>
      </w:r>
    </w:p>
    <w:p w14:paraId="6C61B93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满意度指标：服务满意度≥90%。</w:t>
      </w:r>
    </w:p>
    <w:p w14:paraId="292D2DB1">
      <w:pPr>
        <w:keepNext w:val="0"/>
        <w:keepLines w:val="0"/>
        <w:pageBreakBefore w:val="0"/>
        <w:widowControl w:val="0"/>
        <w:numPr>
          <w:ilvl w:val="0"/>
          <w:numId w:val="4"/>
        </w:numPr>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项目自评发现的问题及整改措施</w:t>
      </w:r>
    </w:p>
    <w:p w14:paraId="1E15E78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项目自评发现的问题：绩效自评过程中存在协同机制问题，责任分工模糊，不明确。</w:t>
      </w:r>
    </w:p>
    <w:p w14:paraId="599F8AE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整改措施：加强单位人员责任分工，明确责任职责，具体到项目、环节、数据等信息，避免管理不到位等问题。</w:t>
      </w:r>
    </w:p>
    <w:p w14:paraId="36A0DFBF">
      <w:pPr>
        <w:keepNext w:val="0"/>
        <w:keepLines w:val="0"/>
        <w:pageBreakBefore w:val="0"/>
        <w:widowControl w:val="0"/>
        <w:numPr>
          <w:ilvl w:val="0"/>
          <w:numId w:val="4"/>
        </w:numPr>
        <w:kinsoku/>
        <w:wordWrap/>
        <w:overflowPunct/>
        <w:topLinePunct w:val="0"/>
        <w:autoSpaceDE/>
        <w:autoSpaceDN/>
        <w:bidi w:val="0"/>
        <w:adjustRightInd/>
        <w:snapToGrid w:val="0"/>
        <w:spacing w:line="520" w:lineRule="exact"/>
        <w:ind w:left="0" w:leftChars="0"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项目自评工作建议及预算安排建议</w:t>
      </w:r>
    </w:p>
    <w:p w14:paraId="0944B65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1、建立健全预算绩效自评制度</w:t>
      </w:r>
    </w:p>
    <w:p w14:paraId="6FD188E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制定预算绩效自评工作管理办法，明确自评范围、程序、方法和要求。将预算绩效自评工作纳入财政预算管理全过程。建立预算绩效自评工作领导小组，加强组织领导。</w:t>
      </w:r>
    </w:p>
    <w:p w14:paraId="489444C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2、制定合理的预算计划</w:t>
      </w:r>
    </w:p>
    <w:p w14:paraId="6F0FB86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预算计划需要根据具体情况制定，不能过于保守或者激进。在制定预算计划时，应该考虑经济目标和实际情况，综合制定。对于预算方案的编制，还应特别注意预算的灵活性和可协调性，以适应环境的变化。</w:t>
      </w:r>
    </w:p>
    <w:p w14:paraId="3058B83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3、实施有效的预算管控</w:t>
      </w:r>
    </w:p>
    <w:p w14:paraId="059EB48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预算计划需要得到有效的管控，确保预算的按照计划进行，以达到经济目标和绩效目标。在预算管控中，应该对经济活动的各个环节进行监控，及时发现可能存在的风险，采取有效措施加以控制。</w:t>
      </w:r>
    </w:p>
    <w:p w14:paraId="4A86107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六、其他需要说明的问题</w:t>
      </w:r>
      <w:r>
        <w:rPr>
          <w:rFonts w:hint="eastAsia" w:ascii="方正黑体_GBK" w:hAnsi="方正黑体_GBK" w:eastAsia="方正黑体_GBK" w:cs="方正黑体_GBK"/>
          <w:b/>
          <w:bCs/>
          <w:color w:val="auto"/>
          <w:sz w:val="32"/>
          <w:szCs w:val="32"/>
          <w:highlight w:val="none"/>
          <w:lang w:val="en-US" w:eastAsia="zh-CN"/>
        </w:rPr>
        <w:tab/>
      </w:r>
    </w:p>
    <w:p w14:paraId="0F3185F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left"/>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无</w:t>
      </w:r>
    </w:p>
    <w:p w14:paraId="5EFE0EBD">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540F56FE">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r>
        <w:rPr>
          <w:rFonts w:hint="default" w:ascii="方正小标宋_GBK" w:hAnsi="方正小标宋_GBK" w:eastAsia="方正小标宋_GBK" w:cs="方正小标宋_GBK"/>
          <w:i w:val="0"/>
          <w:iCs w:val="0"/>
          <w:caps w:val="0"/>
          <w:color w:val="000000"/>
          <w:spacing w:val="0"/>
          <w:kern w:val="0"/>
          <w:sz w:val="24"/>
          <w:szCs w:val="24"/>
          <w:shd w:val="clear" w:fill="FFFFFF"/>
          <w:lang w:val="en-US" w:eastAsia="zh-CN" w:bidi="ar"/>
        </w:rPr>
        <w:t>附件</w:t>
      </w:r>
      <w:r>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t>6</w:t>
      </w:r>
    </w:p>
    <w:p w14:paraId="0A8FA5CA">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方正小标宋_GBK" w:hAnsi="方正小标宋_GBK" w:eastAsia="方正小标宋_GBK" w:cs="方正小标宋_GBK"/>
          <w:i w:val="0"/>
          <w:iCs w:val="0"/>
          <w:caps w:val="0"/>
          <w:color w:val="000000"/>
          <w:spacing w:val="0"/>
          <w:kern w:val="0"/>
          <w:sz w:val="40"/>
          <w:szCs w:val="40"/>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40"/>
          <w:szCs w:val="40"/>
          <w:shd w:val="clear" w:fill="FFFFFF"/>
          <w:lang w:val="en-US" w:eastAsia="zh-CN" w:bidi="ar"/>
        </w:rPr>
        <w:t>中共怀化市委政策研究室2024</w:t>
      </w:r>
      <w:r>
        <w:rPr>
          <w:rFonts w:hint="default" w:ascii="方正小标宋_GBK" w:hAnsi="方正小标宋_GBK" w:eastAsia="方正小标宋_GBK" w:cs="方正小标宋_GBK"/>
          <w:i w:val="0"/>
          <w:iCs w:val="0"/>
          <w:caps w:val="0"/>
          <w:color w:val="000000"/>
          <w:spacing w:val="0"/>
          <w:kern w:val="0"/>
          <w:sz w:val="40"/>
          <w:szCs w:val="40"/>
          <w:shd w:val="clear" w:fill="FFFFFF"/>
          <w:lang w:val="en-US" w:eastAsia="zh-CN" w:bidi="ar"/>
        </w:rPr>
        <w:t>年度</w:t>
      </w:r>
      <w:r>
        <w:rPr>
          <w:rFonts w:hint="eastAsia" w:ascii="方正小标宋_GBK" w:hAnsi="方正小标宋_GBK" w:eastAsia="方正小标宋_GBK" w:cs="方正小标宋_GBK"/>
          <w:i w:val="0"/>
          <w:iCs w:val="0"/>
          <w:caps w:val="0"/>
          <w:color w:val="000000"/>
          <w:spacing w:val="0"/>
          <w:kern w:val="0"/>
          <w:sz w:val="40"/>
          <w:szCs w:val="40"/>
          <w:shd w:val="clear" w:fill="FFFFFF"/>
          <w:lang w:val="en-US" w:eastAsia="zh-CN" w:bidi="ar"/>
        </w:rPr>
        <w:t>《新怀化》经费</w:t>
      </w:r>
      <w:r>
        <w:rPr>
          <w:rFonts w:hint="default" w:ascii="方正小标宋_GBK" w:hAnsi="方正小标宋_GBK" w:eastAsia="方正小标宋_GBK" w:cs="方正小标宋_GBK"/>
          <w:i w:val="0"/>
          <w:iCs w:val="0"/>
          <w:caps w:val="0"/>
          <w:color w:val="000000"/>
          <w:spacing w:val="0"/>
          <w:kern w:val="0"/>
          <w:sz w:val="40"/>
          <w:szCs w:val="40"/>
          <w:shd w:val="clear" w:fill="FFFFFF"/>
          <w:lang w:val="en-US" w:eastAsia="zh-CN" w:bidi="ar"/>
        </w:rPr>
        <w:t>项目支出绩效自评报告</w:t>
      </w:r>
    </w:p>
    <w:p w14:paraId="6FCA25EE">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7010EDF5">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一、</w:t>
      </w:r>
      <w:r>
        <w:rPr>
          <w:rFonts w:hint="default" w:ascii="方正黑体_GBK" w:hAnsi="方正黑体_GBK" w:eastAsia="方正黑体_GBK" w:cs="方正黑体_GBK"/>
          <w:b/>
          <w:bCs/>
          <w:color w:val="auto"/>
          <w:sz w:val="32"/>
          <w:szCs w:val="32"/>
          <w:highlight w:val="none"/>
          <w:lang w:val="en-US" w:eastAsia="zh-CN"/>
        </w:rPr>
        <w:t>项目概况</w:t>
      </w:r>
    </w:p>
    <w:p w14:paraId="42A5F256">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b/>
          <w:bCs/>
          <w:color w:val="auto"/>
          <w:sz w:val="28"/>
          <w:szCs w:val="28"/>
          <w:highlight w:val="none"/>
          <w:lang w:val="en-US" w:eastAsia="zh-CN"/>
        </w:rPr>
        <w:t>（一）</w:t>
      </w:r>
      <w:r>
        <w:rPr>
          <w:rFonts w:hint="default" w:ascii="Times New Roman Regular" w:hAnsi="Times New Roman Regular" w:eastAsia="仿宋_GB2312" w:cs="Times New Roman Regular"/>
          <w:b/>
          <w:bCs/>
          <w:color w:val="auto"/>
          <w:sz w:val="28"/>
          <w:szCs w:val="28"/>
          <w:highlight w:val="none"/>
          <w:lang w:val="en-US" w:eastAsia="zh-CN"/>
        </w:rPr>
        <w:t>项目基本情况</w:t>
      </w:r>
    </w:p>
    <w:p w14:paraId="00D4DB4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w:t>
      </w:r>
      <w:r>
        <w:rPr>
          <w:rFonts w:hint="default" w:ascii="Times New Roman Regular" w:hAnsi="Times New Roman Regular" w:eastAsia="仿宋_GB2312" w:cs="Times New Roman Regular"/>
          <w:color w:val="auto"/>
          <w:sz w:val="32"/>
          <w:szCs w:val="32"/>
          <w:highlight w:val="none"/>
          <w:lang w:val="en-US" w:eastAsia="zh-CN"/>
        </w:rPr>
        <w:t>说明项目主管部门在该项目管理中的职能。</w:t>
      </w:r>
    </w:p>
    <w:p w14:paraId="3F20F13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中共怀化市委政策研究室</w:t>
      </w:r>
      <w:r>
        <w:rPr>
          <w:rFonts w:hint="default" w:ascii="Times New Roman Regular" w:hAnsi="Times New Roman Regular" w:eastAsia="仿宋_GB2312" w:cs="Times New Roman Regular"/>
          <w:color w:val="auto"/>
          <w:sz w:val="32"/>
          <w:szCs w:val="32"/>
          <w:highlight w:val="none"/>
          <w:lang w:val="en-US" w:eastAsia="zh-CN"/>
        </w:rPr>
        <w:t>在整个项目实施的过程中附有审批、发放、监管的职能职责。</w:t>
      </w:r>
    </w:p>
    <w:p w14:paraId="404C3BA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w:t>
      </w:r>
      <w:r>
        <w:rPr>
          <w:rFonts w:hint="default" w:ascii="Times New Roman Regular" w:hAnsi="Times New Roman Regular" w:eastAsia="仿宋_GB2312" w:cs="Times New Roman Regular"/>
          <w:color w:val="auto"/>
          <w:sz w:val="32"/>
          <w:szCs w:val="32"/>
          <w:highlight w:val="none"/>
          <w:lang w:val="en-US" w:eastAsia="zh-CN"/>
        </w:rPr>
        <w:t>项目立项、资金申报的依据。</w:t>
      </w:r>
    </w:p>
    <w:p w14:paraId="4D719C2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项目立项资金申报的依据包括政策法规文件、专项资金管理办法、申报流程以及项目可行性。</w:t>
      </w:r>
    </w:p>
    <w:p w14:paraId="7C6E315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w:t>
      </w:r>
      <w:r>
        <w:rPr>
          <w:rFonts w:hint="default" w:ascii="Times New Roman Regular" w:hAnsi="Times New Roman Regular" w:eastAsia="仿宋_GB2312" w:cs="Times New Roman Regular"/>
          <w:color w:val="auto"/>
          <w:sz w:val="32"/>
          <w:szCs w:val="32"/>
          <w:highlight w:val="none"/>
          <w:lang w:val="en-US" w:eastAsia="zh-CN"/>
        </w:rPr>
        <w:t>资金管理办法制定情况,资金支持具体项目的条件、范围与支持方式概况。</w:t>
      </w:r>
    </w:p>
    <w:p w14:paraId="59EB617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按照资金管理办法要求，严格执行相关法律法规、财务规章制度，制定了单位财务管理制度、内部控制制度。严格执行项目资金管理办法和财务管理制度。项目资金支付专户管理、专项核算、专款专用和市财政局国库集中拨付，财务处理和会计核算真实、完整、及时、规范。</w:t>
      </w:r>
    </w:p>
    <w:p w14:paraId="0E37B28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项目资金支出范围</w:t>
      </w:r>
      <w:r>
        <w:rPr>
          <w:rFonts w:hint="eastAsia" w:ascii="Times New Roman Regular" w:hAnsi="Times New Roman Regular" w:eastAsia="仿宋_GB2312" w:cs="Times New Roman Regular"/>
          <w:color w:val="auto"/>
          <w:sz w:val="32"/>
          <w:szCs w:val="32"/>
          <w:highlight w:val="none"/>
          <w:lang w:val="en-US" w:eastAsia="zh-CN"/>
        </w:rPr>
        <w:t>：用于推介怀化的项目支出。</w:t>
      </w:r>
    </w:p>
    <w:p w14:paraId="3C3994B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资金分配的原则及考虑因素</w:t>
      </w:r>
      <w:r>
        <w:rPr>
          <w:rFonts w:hint="eastAsia" w:ascii="Times New Roman Regular" w:hAnsi="Times New Roman Regular" w:eastAsia="仿宋_GB2312" w:cs="Times New Roman Regular"/>
          <w:color w:val="auto"/>
          <w:sz w:val="32"/>
          <w:szCs w:val="32"/>
          <w:highlight w:val="none"/>
          <w:lang w:val="en-US" w:eastAsia="zh-CN"/>
        </w:rPr>
        <w:t>。</w:t>
      </w:r>
    </w:p>
    <w:p w14:paraId="1EBBE39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量入为出，突出重点、注重绩效、专款专用原则，考虑各类费用因素所占比重与部门预算支出经济分类科目相结合的分配方式。</w:t>
      </w:r>
    </w:p>
    <w:p w14:paraId="0EB2A8C7">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281" w:firstLineChars="100"/>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b/>
          <w:bCs/>
          <w:color w:val="auto"/>
          <w:sz w:val="28"/>
          <w:szCs w:val="28"/>
          <w:highlight w:val="none"/>
          <w:lang w:val="en-US" w:eastAsia="zh-CN"/>
        </w:rPr>
        <w:t>（二）</w:t>
      </w:r>
      <w:r>
        <w:rPr>
          <w:rFonts w:hint="default" w:ascii="Times New Roman Regular" w:hAnsi="Times New Roman Regular" w:eastAsia="仿宋_GB2312" w:cs="Times New Roman Regular"/>
          <w:b/>
          <w:bCs/>
          <w:color w:val="auto"/>
          <w:sz w:val="28"/>
          <w:szCs w:val="28"/>
          <w:highlight w:val="none"/>
          <w:lang w:val="en-US" w:eastAsia="zh-CN"/>
        </w:rPr>
        <w:t>项目绩效目标</w:t>
      </w:r>
    </w:p>
    <w:p w14:paraId="555E15F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w:t>
      </w:r>
      <w:r>
        <w:rPr>
          <w:rFonts w:hint="default" w:ascii="Times New Roman Regular" w:hAnsi="Times New Roman Regular" w:eastAsia="仿宋_GB2312" w:cs="Times New Roman Regular"/>
          <w:color w:val="auto"/>
          <w:sz w:val="32"/>
          <w:szCs w:val="32"/>
          <w:highlight w:val="none"/>
          <w:lang w:val="en-US" w:eastAsia="zh-CN"/>
        </w:rPr>
        <w:t>项目主要内容。</w:t>
      </w:r>
    </w:p>
    <w:p w14:paraId="62B34BB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《新怀化》经费主要内容是每年12期，每期3000册，每期3.04万。免费发放全国各地，用于推介怀化。</w:t>
      </w:r>
    </w:p>
    <w:p w14:paraId="392134A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2.项目应实现的具体绩效目标包括以下内容：</w:t>
      </w:r>
    </w:p>
    <w:p w14:paraId="263FB7A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（1）经济成本指标：项目成本控制≤36万元；</w:t>
      </w:r>
    </w:p>
    <w:p w14:paraId="0EEC2CC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（2）数量指标：</w:t>
      </w:r>
      <w:r>
        <w:rPr>
          <w:rFonts w:hint="default" w:ascii="Times New Roman Regular" w:hAnsi="Times New Roman Regular" w:eastAsia="仿宋_GB2312" w:cs="Times New Roman Regular"/>
          <w:color w:val="auto"/>
          <w:sz w:val="32"/>
          <w:szCs w:val="32"/>
          <w:highlight w:val="none"/>
          <w:lang w:val="en-US" w:eastAsia="zh-CN"/>
        </w:rPr>
        <w:t>坚持党刊姓党根本原则，切实担负党的政策主张的传播者重要责任和使命，充分发挥党刊在理论传播、政策宣传、工作经验交流等方面的重要作用，从严把好文稿质量关，高质量编印《新怀化》12期，没有出现表述性错误、文字错误、政治错误、违反公序良俗等情况，有力提升地方党刊传播力、引导力、影响力、公信力</w:t>
      </w:r>
      <w:r>
        <w:rPr>
          <w:rFonts w:hint="eastAsia" w:ascii="Times New Roman Regular" w:hAnsi="Times New Roman Regular" w:eastAsia="仿宋_GB2312" w:cs="Times New Roman Regular"/>
          <w:color w:val="auto"/>
          <w:sz w:val="32"/>
          <w:szCs w:val="32"/>
          <w:highlight w:val="none"/>
          <w:lang w:val="en-US" w:eastAsia="zh-CN"/>
        </w:rPr>
        <w:t>；</w:t>
      </w:r>
    </w:p>
    <w:p w14:paraId="4F30D0A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（3）质量指标：项目达标完成率100%；</w:t>
      </w:r>
    </w:p>
    <w:p w14:paraId="1B9193B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（4）时效指标：工作完成及时性，2024年12月之前完成目标；</w:t>
      </w:r>
    </w:p>
    <w:p w14:paraId="1701982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（5）社会效益指标：</w:t>
      </w:r>
      <w:r>
        <w:rPr>
          <w:rFonts w:hint="default" w:ascii="Times New Roman Regular" w:hAnsi="Times New Roman Regular" w:eastAsia="仿宋_GB2312" w:cs="Times New Roman Regular"/>
          <w:color w:val="auto"/>
          <w:sz w:val="32"/>
          <w:szCs w:val="32"/>
          <w:highlight w:val="none"/>
          <w:lang w:val="en-US" w:eastAsia="zh-CN"/>
        </w:rPr>
        <w:t>充分发挥党刊宣传作用，在《新怀化》期刊开设党建经纬等主题专栏，坚持每期都有清廉建设或党建文章，拓宽廉洁文化传播渠道</w:t>
      </w:r>
      <w:r>
        <w:rPr>
          <w:rFonts w:hint="eastAsia" w:ascii="Times New Roman Regular" w:hAnsi="Times New Roman Regular" w:eastAsia="仿宋_GB2312" w:cs="Times New Roman Regular"/>
          <w:color w:val="auto"/>
          <w:sz w:val="32"/>
          <w:szCs w:val="32"/>
          <w:highlight w:val="none"/>
          <w:lang w:val="en-US" w:eastAsia="zh-CN"/>
        </w:rPr>
        <w:t>；</w:t>
      </w:r>
    </w:p>
    <w:p w14:paraId="1649CFC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（6）满意度指标：人民群众满意度≥90%。</w:t>
      </w:r>
    </w:p>
    <w:p w14:paraId="54F5E51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3.分析评价申报内容是否与实际相符,申报目标是否合理可行。</w:t>
      </w:r>
    </w:p>
    <w:p w14:paraId="10B001B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分析评价申报内容与实际相符，申报目标合理可行。</w:t>
      </w:r>
    </w:p>
    <w:p w14:paraId="3D27899A">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281" w:firstLineChars="100"/>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b/>
          <w:bCs/>
          <w:color w:val="auto"/>
          <w:sz w:val="28"/>
          <w:szCs w:val="28"/>
          <w:highlight w:val="none"/>
          <w:lang w:val="en-US" w:eastAsia="zh-CN"/>
        </w:rPr>
        <w:t>（三）</w:t>
      </w:r>
      <w:r>
        <w:rPr>
          <w:rFonts w:hint="default" w:ascii="Times New Roman Regular" w:hAnsi="Times New Roman Regular" w:eastAsia="仿宋_GB2312" w:cs="Times New Roman Regular"/>
          <w:b/>
          <w:bCs/>
          <w:color w:val="auto"/>
          <w:sz w:val="28"/>
          <w:szCs w:val="28"/>
          <w:highlight w:val="none"/>
          <w:lang w:val="en-US" w:eastAsia="zh-CN"/>
        </w:rPr>
        <w:t>项目自评步骤及方法</w:t>
      </w:r>
    </w:p>
    <w:p w14:paraId="41E6879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说明项目绩效自评采用的组织实施步骤及方法。</w:t>
      </w:r>
    </w:p>
    <w:p w14:paraId="5D1AC18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1.本次绩效评价工作按照《中华人民共和国预算法》、《财政支出绩效评价管理暂行办法》以及有关的政策、规定、财务会计制度等，坚持实事求是、客观公正的原则。</w:t>
      </w:r>
    </w:p>
    <w:p w14:paraId="788C77D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本次绩效评价工作制定了准确、合理、细致的三级绩效评价体系，包括产出指标，效益指标，满意度指标，以及项目资金执行率指标，满分为100分。绩效评价结果分为四个等级：90-100分为优，80-90分为良，60-80分为较差，60分以下为差。</w:t>
      </w:r>
    </w:p>
    <w:p w14:paraId="322928F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3.采用具体绩效目标是否严格按照本单位设置的指标完成情况打分。</w:t>
      </w:r>
    </w:p>
    <w:p w14:paraId="14E4AD21">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二、</w:t>
      </w:r>
      <w:r>
        <w:rPr>
          <w:rFonts w:hint="default" w:ascii="方正黑体_GBK" w:hAnsi="方正黑体_GBK" w:eastAsia="方正黑体_GBK" w:cs="方正黑体_GBK"/>
          <w:b/>
          <w:bCs/>
          <w:color w:val="auto"/>
          <w:sz w:val="32"/>
          <w:szCs w:val="32"/>
          <w:highlight w:val="none"/>
          <w:lang w:val="en-US" w:eastAsia="zh-CN"/>
        </w:rPr>
        <w:t>项目资金申报及使用情况</w:t>
      </w:r>
    </w:p>
    <w:p w14:paraId="2C267780">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b/>
          <w:bCs/>
          <w:color w:val="auto"/>
          <w:sz w:val="28"/>
          <w:szCs w:val="28"/>
          <w:highlight w:val="none"/>
          <w:lang w:val="en-US" w:eastAsia="zh-CN"/>
        </w:rPr>
        <w:t>（一）</w:t>
      </w:r>
      <w:r>
        <w:rPr>
          <w:rFonts w:hint="default" w:ascii="Times New Roman Regular" w:hAnsi="Times New Roman Regular" w:eastAsia="仿宋_GB2312" w:cs="Times New Roman Regular"/>
          <w:b/>
          <w:bCs/>
          <w:color w:val="auto"/>
          <w:sz w:val="28"/>
          <w:szCs w:val="28"/>
          <w:highlight w:val="none"/>
          <w:lang w:val="en-US" w:eastAsia="zh-CN"/>
        </w:rPr>
        <w:t>项目资金申报及批复情况</w:t>
      </w:r>
    </w:p>
    <w:p w14:paraId="7CBB4EC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严格按照项目资金相关程序、规定和要求，对项目进行申报及批复</w:t>
      </w:r>
      <w:r>
        <w:rPr>
          <w:rFonts w:hint="eastAsia" w:ascii="Times New Roman Regular" w:hAnsi="Times New Roman Regular" w:eastAsia="仿宋_GB2312" w:cs="Times New Roman Regular"/>
          <w:color w:val="auto"/>
          <w:sz w:val="32"/>
          <w:szCs w:val="32"/>
          <w:highlight w:val="none"/>
          <w:lang w:val="en-US" w:eastAsia="zh-CN"/>
        </w:rPr>
        <w:t>。2024年度专项业务工作经费年初预算批复36万元</w:t>
      </w:r>
      <w:r>
        <w:rPr>
          <w:rFonts w:hint="default" w:ascii="Times New Roman Regular" w:hAnsi="Times New Roman Regular" w:eastAsia="仿宋_GB2312" w:cs="Times New Roman Regular"/>
          <w:color w:val="auto"/>
          <w:sz w:val="32"/>
          <w:szCs w:val="32"/>
          <w:highlight w:val="none"/>
          <w:lang w:val="en-US" w:eastAsia="zh-CN"/>
        </w:rPr>
        <w:t>。</w:t>
      </w:r>
    </w:p>
    <w:p w14:paraId="4AC503B8">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b/>
          <w:bCs/>
          <w:color w:val="auto"/>
          <w:sz w:val="28"/>
          <w:szCs w:val="28"/>
          <w:highlight w:val="none"/>
          <w:lang w:val="en-US" w:eastAsia="zh-CN"/>
        </w:rPr>
        <w:t>（二）</w:t>
      </w:r>
      <w:r>
        <w:rPr>
          <w:rFonts w:hint="default" w:ascii="Times New Roman Regular" w:hAnsi="Times New Roman Regular" w:eastAsia="仿宋_GB2312" w:cs="Times New Roman Regular"/>
          <w:b/>
          <w:bCs/>
          <w:color w:val="auto"/>
          <w:sz w:val="28"/>
          <w:szCs w:val="28"/>
          <w:highlight w:val="none"/>
          <w:lang w:val="en-US" w:eastAsia="zh-CN"/>
        </w:rPr>
        <w:t>资金计划、到位及使用情况</w:t>
      </w:r>
    </w:p>
    <w:p w14:paraId="70C5A8F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1.资金计划。</w:t>
      </w:r>
    </w:p>
    <w:p w14:paraId="3174B07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202</w:t>
      </w: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年</w:t>
      </w:r>
      <w:r>
        <w:rPr>
          <w:rFonts w:hint="eastAsia" w:ascii="Times New Roman Regular" w:hAnsi="Times New Roman Regular" w:eastAsia="仿宋_GB2312" w:cs="Times New Roman Regular"/>
          <w:color w:val="auto"/>
          <w:sz w:val="32"/>
          <w:szCs w:val="32"/>
          <w:highlight w:val="none"/>
          <w:lang w:val="en-US" w:eastAsia="zh-CN"/>
        </w:rPr>
        <w:t>度</w:t>
      </w:r>
      <w:r>
        <w:rPr>
          <w:rFonts w:hint="default" w:ascii="Times New Roman Regular" w:hAnsi="Times New Roman Regular" w:eastAsia="仿宋_GB2312" w:cs="Times New Roman Regular"/>
          <w:color w:val="auto"/>
          <w:sz w:val="32"/>
          <w:szCs w:val="32"/>
          <w:highlight w:val="none"/>
          <w:lang w:val="en-US" w:eastAsia="zh-CN"/>
        </w:rPr>
        <w:t>资金计划为下达</w:t>
      </w:r>
      <w:r>
        <w:rPr>
          <w:rFonts w:hint="eastAsia" w:ascii="Times New Roman Regular" w:hAnsi="Times New Roman Regular" w:eastAsia="仿宋_GB2312" w:cs="Times New Roman Regular"/>
          <w:color w:val="auto"/>
          <w:sz w:val="32"/>
          <w:szCs w:val="32"/>
          <w:highlight w:val="none"/>
          <w:lang w:val="en-US" w:eastAsia="zh-CN"/>
        </w:rPr>
        <w:t>本单位</w:t>
      </w:r>
      <w:r>
        <w:rPr>
          <w:rFonts w:hint="default" w:ascii="Times New Roman Regular" w:hAnsi="Times New Roman Regular" w:eastAsia="仿宋_GB2312" w:cs="Times New Roman Regular"/>
          <w:color w:val="auto"/>
          <w:sz w:val="32"/>
          <w:szCs w:val="32"/>
          <w:highlight w:val="none"/>
          <w:lang w:val="en-US" w:eastAsia="zh-CN"/>
        </w:rPr>
        <w:t>财政资金</w:t>
      </w:r>
      <w:r>
        <w:rPr>
          <w:rFonts w:hint="eastAsia" w:ascii="Times New Roman Regular" w:hAnsi="Times New Roman Regular" w:eastAsia="仿宋_GB2312" w:cs="Times New Roman Regular"/>
          <w:color w:val="auto"/>
          <w:sz w:val="32"/>
          <w:szCs w:val="32"/>
          <w:highlight w:val="none"/>
          <w:lang w:val="en-US" w:eastAsia="zh-CN"/>
        </w:rPr>
        <w:t>36</w:t>
      </w:r>
      <w:r>
        <w:rPr>
          <w:rFonts w:hint="default" w:ascii="Times New Roman Regular" w:hAnsi="Times New Roman Regular" w:eastAsia="仿宋_GB2312" w:cs="Times New Roman Regular"/>
          <w:color w:val="auto"/>
          <w:sz w:val="32"/>
          <w:szCs w:val="32"/>
          <w:highlight w:val="none"/>
          <w:lang w:val="en-US" w:eastAsia="zh-CN"/>
        </w:rPr>
        <w:t>万元，</w:t>
      </w:r>
      <w:r>
        <w:rPr>
          <w:rFonts w:hint="eastAsia" w:ascii="Times New Roman Regular" w:hAnsi="Times New Roman Regular" w:eastAsia="仿宋_GB2312" w:cs="Times New Roman Regular"/>
          <w:color w:val="auto"/>
          <w:sz w:val="32"/>
          <w:szCs w:val="32"/>
          <w:highlight w:val="none"/>
          <w:lang w:val="en-US" w:eastAsia="zh-CN"/>
        </w:rPr>
        <w:t>为市财政局拨付。</w:t>
      </w:r>
    </w:p>
    <w:p w14:paraId="288932B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w:t>
      </w:r>
      <w:r>
        <w:rPr>
          <w:rFonts w:hint="default" w:ascii="Times New Roman Regular" w:hAnsi="Times New Roman Regular" w:eastAsia="仿宋_GB2312" w:cs="Times New Roman Regular"/>
          <w:color w:val="auto"/>
          <w:sz w:val="32"/>
          <w:szCs w:val="32"/>
          <w:highlight w:val="none"/>
          <w:lang w:val="en-US" w:eastAsia="zh-CN"/>
        </w:rPr>
        <w:t>资金到位。</w:t>
      </w:r>
    </w:p>
    <w:p w14:paraId="6844FA5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202</w:t>
      </w: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年项目资金下达</w:t>
      </w:r>
      <w:r>
        <w:rPr>
          <w:rFonts w:hint="eastAsia" w:ascii="Times New Roman Regular" w:hAnsi="Times New Roman Regular" w:eastAsia="仿宋_GB2312" w:cs="Times New Roman Regular"/>
          <w:color w:val="auto"/>
          <w:sz w:val="32"/>
          <w:szCs w:val="32"/>
          <w:highlight w:val="none"/>
          <w:lang w:val="en-US" w:eastAsia="zh-CN"/>
        </w:rPr>
        <w:t>36</w:t>
      </w:r>
      <w:r>
        <w:rPr>
          <w:rFonts w:hint="default" w:ascii="Times New Roman Regular" w:hAnsi="Times New Roman Regular" w:eastAsia="仿宋_GB2312" w:cs="Times New Roman Regular"/>
          <w:color w:val="auto"/>
          <w:sz w:val="32"/>
          <w:szCs w:val="32"/>
          <w:highlight w:val="none"/>
          <w:lang w:val="en-US" w:eastAsia="zh-CN"/>
        </w:rPr>
        <w:t>万元，资金全部到位。资金到位</w:t>
      </w:r>
      <w:r>
        <w:rPr>
          <w:rFonts w:hint="eastAsia" w:ascii="Times New Roman Regular" w:hAnsi="Times New Roman Regular" w:eastAsia="仿宋_GB2312" w:cs="Times New Roman Regular"/>
          <w:color w:val="auto"/>
          <w:sz w:val="32"/>
          <w:szCs w:val="32"/>
          <w:highlight w:val="none"/>
          <w:lang w:val="en-US" w:eastAsia="zh-CN"/>
        </w:rPr>
        <w:t>率</w:t>
      </w:r>
      <w:r>
        <w:rPr>
          <w:rFonts w:hint="default" w:ascii="Times New Roman Regular" w:hAnsi="Times New Roman Regular" w:eastAsia="仿宋_GB2312" w:cs="Times New Roman Regular"/>
          <w:color w:val="auto"/>
          <w:sz w:val="32"/>
          <w:szCs w:val="32"/>
          <w:highlight w:val="none"/>
          <w:lang w:val="en-US" w:eastAsia="zh-CN"/>
        </w:rPr>
        <w:t>100%，配套资金筹措有力，资金及时到位。</w:t>
      </w:r>
    </w:p>
    <w:p w14:paraId="38328D6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w:t>
      </w:r>
      <w:r>
        <w:rPr>
          <w:rFonts w:hint="default" w:ascii="Times New Roman Regular" w:hAnsi="Times New Roman Regular" w:eastAsia="仿宋_GB2312" w:cs="Times New Roman Regular"/>
          <w:color w:val="auto"/>
          <w:sz w:val="32"/>
          <w:szCs w:val="32"/>
          <w:highlight w:val="none"/>
          <w:lang w:val="en-US" w:eastAsia="zh-CN"/>
        </w:rPr>
        <w:t>资金使用。</w:t>
      </w:r>
    </w:p>
    <w:p w14:paraId="27A2DFB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202</w:t>
      </w: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年项目资金支付</w:t>
      </w:r>
      <w:r>
        <w:rPr>
          <w:rFonts w:hint="eastAsia" w:ascii="Times New Roman Regular" w:hAnsi="Times New Roman Regular" w:eastAsia="仿宋_GB2312" w:cs="Times New Roman Regular"/>
          <w:color w:val="auto"/>
          <w:sz w:val="32"/>
          <w:szCs w:val="32"/>
          <w:highlight w:val="none"/>
          <w:lang w:val="en-US" w:eastAsia="zh-CN"/>
        </w:rPr>
        <w:t>36</w:t>
      </w:r>
      <w:r>
        <w:rPr>
          <w:rFonts w:hint="default" w:ascii="Times New Roman Regular" w:hAnsi="Times New Roman Regular" w:eastAsia="仿宋_GB2312" w:cs="Times New Roman Regular"/>
          <w:color w:val="auto"/>
          <w:sz w:val="32"/>
          <w:szCs w:val="32"/>
          <w:highlight w:val="none"/>
          <w:lang w:val="en-US" w:eastAsia="zh-CN"/>
        </w:rPr>
        <w:t>万元。资金开支范围、标准及支付进度等合规合法，资金支付预算相符。</w:t>
      </w:r>
    </w:p>
    <w:p w14:paraId="37F66B86">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b/>
          <w:bCs/>
          <w:color w:val="auto"/>
          <w:sz w:val="28"/>
          <w:szCs w:val="28"/>
          <w:highlight w:val="none"/>
          <w:lang w:val="en-US" w:eastAsia="zh-CN"/>
        </w:rPr>
        <w:t>（三）</w:t>
      </w:r>
      <w:r>
        <w:rPr>
          <w:rFonts w:hint="default" w:ascii="Times New Roman Regular" w:hAnsi="Times New Roman Regular" w:eastAsia="仿宋_GB2312" w:cs="Times New Roman Regular"/>
          <w:b/>
          <w:bCs/>
          <w:color w:val="auto"/>
          <w:sz w:val="28"/>
          <w:szCs w:val="28"/>
          <w:highlight w:val="none"/>
          <w:lang w:val="en-US" w:eastAsia="zh-CN"/>
        </w:rPr>
        <w:t>项目财务管理情况</w:t>
      </w:r>
    </w:p>
    <w:p w14:paraId="50589A5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本单位财务管理制度健全，严格执行财务管理制度，资金拨付审批程序规范、高效、便捷。严格执行国库集中支付制度和政府采购制度，按项目预算、进度拨付资金。严格实行</w:t>
      </w:r>
      <w:r>
        <w:rPr>
          <w:rFonts w:hint="eastAsia" w:ascii="Times New Roman Regular" w:hAnsi="Times New Roman Regular" w:eastAsia="仿宋_GB2312" w:cs="Times New Roman Regular"/>
          <w:color w:val="auto"/>
          <w:sz w:val="32"/>
          <w:szCs w:val="32"/>
          <w:highlight w:val="none"/>
          <w:lang w:val="en-US" w:eastAsia="zh-CN"/>
        </w:rPr>
        <w:t> “三专一直”的专项资金管理制度，即：专户管理、专项核算、专款专用和财政直接拨付。账务处理及时，会计核算规范</w:t>
      </w:r>
      <w:r>
        <w:rPr>
          <w:rFonts w:hint="default" w:ascii="Times New Roman Regular" w:hAnsi="Times New Roman Regular" w:eastAsia="仿宋_GB2312" w:cs="Times New Roman Regular"/>
          <w:color w:val="auto"/>
          <w:sz w:val="32"/>
          <w:szCs w:val="32"/>
          <w:highlight w:val="none"/>
          <w:lang w:val="en-US" w:eastAsia="zh-CN"/>
        </w:rPr>
        <w:t>。</w:t>
      </w:r>
    </w:p>
    <w:p w14:paraId="00542EDF">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三、</w:t>
      </w:r>
      <w:r>
        <w:rPr>
          <w:rFonts w:hint="default" w:ascii="方正黑体_GBK" w:hAnsi="方正黑体_GBK" w:eastAsia="方正黑体_GBK" w:cs="方正黑体_GBK"/>
          <w:b/>
          <w:bCs/>
          <w:color w:val="auto"/>
          <w:sz w:val="32"/>
          <w:szCs w:val="32"/>
          <w:highlight w:val="none"/>
          <w:lang w:val="en-US" w:eastAsia="zh-CN"/>
        </w:rPr>
        <w:t>项目实施及管理情况</w:t>
      </w:r>
    </w:p>
    <w:p w14:paraId="0CA304F6">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b/>
          <w:bCs/>
          <w:color w:val="auto"/>
          <w:sz w:val="28"/>
          <w:szCs w:val="28"/>
          <w:highlight w:val="none"/>
          <w:lang w:val="en-US" w:eastAsia="zh-CN"/>
        </w:rPr>
        <w:t>（一）</w:t>
      </w:r>
      <w:r>
        <w:rPr>
          <w:rFonts w:hint="default" w:ascii="Times New Roman Regular" w:hAnsi="Times New Roman Regular" w:eastAsia="仿宋_GB2312" w:cs="Times New Roman Regular"/>
          <w:b/>
          <w:bCs/>
          <w:color w:val="auto"/>
          <w:sz w:val="28"/>
          <w:szCs w:val="28"/>
          <w:highlight w:val="none"/>
          <w:lang w:val="en-US" w:eastAsia="zh-CN"/>
        </w:rPr>
        <w:t>项目组织架构及实施流程</w:t>
      </w:r>
    </w:p>
    <w:p w14:paraId="34A2887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本单位</w:t>
      </w:r>
      <w:r>
        <w:rPr>
          <w:rFonts w:hint="default" w:ascii="Times New Roman Regular" w:hAnsi="Times New Roman Regular" w:eastAsia="仿宋_GB2312" w:cs="Times New Roman Regular"/>
          <w:color w:val="auto"/>
          <w:sz w:val="32"/>
          <w:szCs w:val="32"/>
          <w:highlight w:val="none"/>
          <w:lang w:val="en-US" w:eastAsia="zh-CN"/>
        </w:rPr>
        <w:t>制定了财政专项资金管理办法、内部控制管理制度、政府采购内控制度等管理制度，使财务管理制度合法、规范、完整，可操作性强，使制定的内控制度及相关的财务管理制度得到了有效的执行。同时对项目资金阶段性完成情况进行动态跟踪监控、监督检查纠偏处理、改进完善等管理活动。</w:t>
      </w:r>
    </w:p>
    <w:p w14:paraId="44039C88">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b/>
          <w:bCs/>
          <w:color w:val="auto"/>
          <w:sz w:val="28"/>
          <w:szCs w:val="28"/>
          <w:highlight w:val="none"/>
          <w:lang w:val="en-US" w:eastAsia="zh-CN"/>
        </w:rPr>
        <w:t>（二）</w:t>
      </w:r>
      <w:r>
        <w:rPr>
          <w:rFonts w:hint="default" w:ascii="Times New Roman Regular" w:hAnsi="Times New Roman Regular" w:eastAsia="仿宋_GB2312" w:cs="Times New Roman Regular"/>
          <w:b/>
          <w:bCs/>
          <w:color w:val="auto"/>
          <w:sz w:val="28"/>
          <w:szCs w:val="28"/>
          <w:highlight w:val="none"/>
          <w:lang w:val="en-US" w:eastAsia="zh-CN"/>
        </w:rPr>
        <w:t>项目管理情况</w:t>
      </w:r>
    </w:p>
    <w:p w14:paraId="034088F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本单位严格按照项目进度申报资金计划，拨付资金，并建立资金拨付台账。项目支出按照财政资金的管理政策</w:t>
      </w:r>
      <w:r>
        <w:rPr>
          <w:rFonts w:hint="eastAsia" w:ascii="Times New Roman Regular" w:hAnsi="Times New Roman Regular" w:eastAsia="仿宋_GB2312" w:cs="Times New Roman Regular"/>
          <w:color w:val="auto"/>
          <w:sz w:val="32"/>
          <w:szCs w:val="32"/>
          <w:highlight w:val="none"/>
          <w:lang w:val="en-US" w:eastAsia="zh-CN"/>
        </w:rPr>
        <w:t>, 严格执行市财政局要求的相关的专项项目资金管理制度和政府采购等相关法律、法规</w:t>
      </w:r>
      <w:r>
        <w:rPr>
          <w:rFonts w:hint="default" w:ascii="Times New Roman Regular" w:hAnsi="Times New Roman Regular" w:eastAsia="仿宋_GB2312" w:cs="Times New Roman Regular"/>
          <w:color w:val="auto"/>
          <w:sz w:val="32"/>
          <w:szCs w:val="32"/>
          <w:highlight w:val="none"/>
          <w:lang w:val="en-US" w:eastAsia="zh-CN"/>
        </w:rPr>
        <w:t>。</w:t>
      </w:r>
    </w:p>
    <w:p w14:paraId="1E4D0D11">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b/>
          <w:bCs/>
          <w:color w:val="auto"/>
          <w:sz w:val="28"/>
          <w:szCs w:val="28"/>
          <w:highlight w:val="none"/>
          <w:lang w:val="en-US" w:eastAsia="zh-CN"/>
        </w:rPr>
        <w:t>（三）</w:t>
      </w:r>
      <w:r>
        <w:rPr>
          <w:rFonts w:hint="default" w:ascii="Times New Roman Regular" w:hAnsi="Times New Roman Regular" w:eastAsia="仿宋_GB2312" w:cs="Times New Roman Regular"/>
          <w:b/>
          <w:bCs/>
          <w:color w:val="auto"/>
          <w:sz w:val="28"/>
          <w:szCs w:val="28"/>
          <w:highlight w:val="none"/>
          <w:lang w:val="en-US" w:eastAsia="zh-CN"/>
        </w:rPr>
        <w:t>项目监管情况</w:t>
      </w:r>
    </w:p>
    <w:p w14:paraId="49C5B70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按照本单位采取的项目管理办法对项目的执行进度严格监管，项目资金严格把控审批与支付流程，对</w:t>
      </w:r>
      <w:r>
        <w:rPr>
          <w:rFonts w:hint="default" w:ascii="Times New Roman Regular" w:hAnsi="Times New Roman Regular" w:eastAsia="仿宋_GB2312" w:cs="Times New Roman Regular"/>
          <w:color w:val="auto"/>
          <w:sz w:val="32"/>
          <w:szCs w:val="32"/>
          <w:highlight w:val="none"/>
          <w:lang w:val="en-US" w:eastAsia="zh-CN"/>
        </w:rPr>
        <w:t>项目资金阶段性完成情况进行动态跟踪监控、监督检查纠偏处理、改进完善等管理活动。</w:t>
      </w:r>
    </w:p>
    <w:p w14:paraId="67D991BA">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textAlignment w:val="auto"/>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四、项目绩效情况</w:t>
      </w:r>
    </w:p>
    <w:p w14:paraId="7241CF9A">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b/>
          <w:bCs/>
          <w:color w:val="auto"/>
          <w:sz w:val="28"/>
          <w:szCs w:val="28"/>
          <w:highlight w:val="none"/>
          <w:lang w:val="en-US" w:eastAsia="zh-CN"/>
        </w:rPr>
        <w:t>（一）</w:t>
      </w:r>
      <w:r>
        <w:rPr>
          <w:rFonts w:hint="default" w:ascii="Times New Roman Regular" w:hAnsi="Times New Roman Regular" w:eastAsia="仿宋_GB2312" w:cs="Times New Roman Regular"/>
          <w:b/>
          <w:bCs/>
          <w:color w:val="auto"/>
          <w:sz w:val="28"/>
          <w:szCs w:val="28"/>
          <w:highlight w:val="none"/>
          <w:lang w:val="en-US" w:eastAsia="zh-CN"/>
        </w:rPr>
        <w:t>项目完成情况</w:t>
      </w:r>
    </w:p>
    <w:p w14:paraId="2E4E289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w:t>
      </w:r>
      <w:r>
        <w:rPr>
          <w:rFonts w:hint="default" w:ascii="Times New Roman Regular" w:hAnsi="Times New Roman Regular" w:eastAsia="仿宋_GB2312" w:cs="Times New Roman Regular"/>
          <w:color w:val="auto"/>
          <w:sz w:val="32"/>
          <w:szCs w:val="32"/>
          <w:highlight w:val="none"/>
          <w:lang w:val="en-US" w:eastAsia="zh-CN"/>
        </w:rPr>
        <w:t>数量</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坚持党刊姓党根本原则，切实担负党的政策主张的传播者重要责任和使命，充分发挥党刊在理论传播、政策宣传、工作经验交流等方面的重要作用，从严把好文稿质量关，高质量编印《新怀化》12期，没有出现表述性错误、文字错误、政治错误、违反公序良俗等情况，有力提升地方党刊传播力、引导力、影响力、公信力</w:t>
      </w:r>
      <w:r>
        <w:rPr>
          <w:rFonts w:hint="eastAsia" w:ascii="Times New Roman Regular" w:hAnsi="Times New Roman Regular" w:eastAsia="仿宋_GB2312" w:cs="Times New Roman Regular"/>
          <w:color w:val="auto"/>
          <w:sz w:val="32"/>
          <w:szCs w:val="32"/>
          <w:highlight w:val="none"/>
          <w:lang w:val="en-US" w:eastAsia="zh-CN"/>
        </w:rPr>
        <w:t>；</w:t>
      </w:r>
    </w:p>
    <w:p w14:paraId="4D63DED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w:t>
      </w:r>
      <w:r>
        <w:rPr>
          <w:rFonts w:hint="default" w:ascii="Times New Roman Regular" w:hAnsi="Times New Roman Regular" w:eastAsia="仿宋_GB2312" w:cs="Times New Roman Regular"/>
          <w:color w:val="auto"/>
          <w:sz w:val="32"/>
          <w:szCs w:val="32"/>
          <w:highlight w:val="none"/>
          <w:lang w:val="en-US" w:eastAsia="zh-CN"/>
        </w:rPr>
        <w:t>质量</w:t>
      </w:r>
      <w:r>
        <w:rPr>
          <w:rFonts w:hint="eastAsia" w:ascii="Times New Roman Regular" w:hAnsi="Times New Roman Regular" w:eastAsia="仿宋_GB2312" w:cs="Times New Roman Regular"/>
          <w:color w:val="auto"/>
          <w:sz w:val="32"/>
          <w:szCs w:val="32"/>
          <w:highlight w:val="none"/>
          <w:lang w:val="en-US" w:eastAsia="zh-CN"/>
        </w:rPr>
        <w:t>：目标达标完成率100%；</w:t>
      </w:r>
    </w:p>
    <w:p w14:paraId="2FBFC88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w:t>
      </w:r>
      <w:r>
        <w:rPr>
          <w:rFonts w:hint="default" w:ascii="Times New Roman Regular" w:hAnsi="Times New Roman Regular" w:eastAsia="仿宋_GB2312" w:cs="Times New Roman Regular"/>
          <w:color w:val="auto"/>
          <w:sz w:val="32"/>
          <w:szCs w:val="32"/>
          <w:highlight w:val="none"/>
          <w:lang w:val="en-US" w:eastAsia="zh-CN"/>
        </w:rPr>
        <w:t>时效</w:t>
      </w:r>
      <w:r>
        <w:rPr>
          <w:rFonts w:hint="eastAsia" w:ascii="Times New Roman Regular" w:hAnsi="Times New Roman Regular" w:eastAsia="仿宋_GB2312" w:cs="Times New Roman Regular"/>
          <w:color w:val="auto"/>
          <w:sz w:val="32"/>
          <w:szCs w:val="32"/>
          <w:highlight w:val="none"/>
          <w:lang w:val="en-US" w:eastAsia="zh-CN"/>
        </w:rPr>
        <w:t>：工作在2024年12月31日之前完成；</w:t>
      </w:r>
    </w:p>
    <w:p w14:paraId="29C9A3C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成本</w:t>
      </w:r>
      <w:r>
        <w:rPr>
          <w:rFonts w:hint="eastAsia" w:ascii="Times New Roman Regular" w:hAnsi="Times New Roman Regular" w:eastAsia="仿宋_GB2312" w:cs="Times New Roman Regular"/>
          <w:color w:val="auto"/>
          <w:sz w:val="32"/>
          <w:szCs w:val="32"/>
          <w:highlight w:val="none"/>
          <w:lang w:val="en-US" w:eastAsia="zh-CN"/>
        </w:rPr>
        <w:t>：经济成本控制在36万元以内。</w:t>
      </w:r>
    </w:p>
    <w:p w14:paraId="4459E9F6">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（二）</w:t>
      </w:r>
      <w:r>
        <w:rPr>
          <w:rFonts w:hint="default" w:ascii="Times New Roman Regular" w:hAnsi="Times New Roman Regular" w:eastAsia="仿宋_GB2312" w:cs="Times New Roman Regular"/>
          <w:b/>
          <w:bCs/>
          <w:color w:val="auto"/>
          <w:sz w:val="28"/>
          <w:szCs w:val="28"/>
          <w:highlight w:val="none"/>
          <w:lang w:val="en-US" w:eastAsia="zh-CN"/>
        </w:rPr>
        <w:t>项目效益情况</w:t>
      </w:r>
    </w:p>
    <w:p w14:paraId="1786187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w:t>
      </w:r>
      <w:r>
        <w:rPr>
          <w:rFonts w:hint="default" w:ascii="Times New Roman Regular" w:hAnsi="Times New Roman Regular" w:eastAsia="仿宋_GB2312" w:cs="Times New Roman Regular"/>
          <w:color w:val="auto"/>
          <w:sz w:val="32"/>
          <w:szCs w:val="32"/>
          <w:highlight w:val="none"/>
          <w:lang w:val="en-US" w:eastAsia="zh-CN"/>
        </w:rPr>
        <w:t>经济效益</w:t>
      </w:r>
      <w:r>
        <w:rPr>
          <w:rFonts w:hint="eastAsia" w:ascii="Times New Roman Regular" w:hAnsi="Times New Roman Regular" w:eastAsia="仿宋_GB2312" w:cs="Times New Roman Regular"/>
          <w:color w:val="auto"/>
          <w:sz w:val="32"/>
          <w:szCs w:val="32"/>
          <w:highlight w:val="none"/>
          <w:lang w:val="en-US" w:eastAsia="zh-CN"/>
        </w:rPr>
        <w:t>：充分发挥资金使用效益；</w:t>
      </w:r>
    </w:p>
    <w:p w14:paraId="67D0546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w:t>
      </w:r>
      <w:r>
        <w:rPr>
          <w:rFonts w:hint="default" w:ascii="Times New Roman Regular" w:hAnsi="Times New Roman Regular" w:eastAsia="仿宋_GB2312" w:cs="Times New Roman Regular"/>
          <w:color w:val="auto"/>
          <w:sz w:val="32"/>
          <w:szCs w:val="32"/>
          <w:highlight w:val="none"/>
          <w:lang w:val="en-US" w:eastAsia="zh-CN"/>
        </w:rPr>
        <w:t>社会效益</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严格落实意识形态和网络意识形态工作责任制，室主任带头履行意识形态第一责任人责任，其他班子成员认真履行“一岗双责”，做到“四个纳入”“四个一同”，严把《新怀化》编辑政治关，室务会先后2次对意识形态领域情况进行分析研判，全年全室意识形态领域积极健康、向上向好，没有出现意识形态领域事件</w:t>
      </w:r>
      <w:r>
        <w:rPr>
          <w:rFonts w:hint="eastAsia" w:ascii="Times New Roman Regular" w:hAnsi="Times New Roman Regular" w:eastAsia="仿宋_GB2312" w:cs="Times New Roman Regular"/>
          <w:color w:val="auto"/>
          <w:sz w:val="32"/>
          <w:szCs w:val="32"/>
          <w:highlight w:val="none"/>
          <w:lang w:val="en-US" w:eastAsia="zh-CN"/>
        </w:rPr>
        <w:t>；</w:t>
      </w:r>
    </w:p>
    <w:p w14:paraId="09D5D2A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w:t>
      </w:r>
      <w:r>
        <w:rPr>
          <w:rFonts w:hint="default" w:ascii="Times New Roman Regular" w:hAnsi="Times New Roman Regular" w:eastAsia="仿宋_GB2312" w:cs="Times New Roman Regular"/>
          <w:color w:val="auto"/>
          <w:sz w:val="32"/>
          <w:szCs w:val="32"/>
          <w:highlight w:val="none"/>
          <w:lang w:val="en-US" w:eastAsia="zh-CN"/>
        </w:rPr>
        <w:t>可持续效益</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充分发挥党刊宣传作用，在《新怀化》期刊开设党建经纬等主题专栏，坚持每期都有清廉建设或党建文章，拓宽廉洁文化传播渠道</w:t>
      </w:r>
      <w:r>
        <w:rPr>
          <w:rFonts w:hint="eastAsia" w:ascii="Times New Roman Regular" w:hAnsi="Times New Roman Regular" w:eastAsia="仿宋_GB2312" w:cs="Times New Roman Regular"/>
          <w:color w:val="auto"/>
          <w:sz w:val="32"/>
          <w:szCs w:val="32"/>
          <w:highlight w:val="none"/>
          <w:lang w:val="en-US" w:eastAsia="zh-CN"/>
        </w:rPr>
        <w:t>；</w:t>
      </w:r>
    </w:p>
    <w:p w14:paraId="3A820FE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服务对象满意度</w:t>
      </w:r>
      <w:r>
        <w:rPr>
          <w:rFonts w:hint="eastAsia" w:ascii="Times New Roman Regular" w:hAnsi="Times New Roman Regular" w:eastAsia="仿宋_GB2312" w:cs="Times New Roman Regular"/>
          <w:color w:val="auto"/>
          <w:sz w:val="32"/>
          <w:szCs w:val="32"/>
          <w:highlight w:val="none"/>
          <w:lang w:val="en-US" w:eastAsia="zh-CN"/>
        </w:rPr>
        <w:t>：服务对象满意度≥90%</w:t>
      </w:r>
      <w:r>
        <w:rPr>
          <w:rFonts w:hint="default" w:ascii="Times New Roman Regular" w:hAnsi="Times New Roman Regular" w:eastAsia="仿宋_GB2312" w:cs="Times New Roman Regular"/>
          <w:color w:val="auto"/>
          <w:sz w:val="32"/>
          <w:szCs w:val="32"/>
          <w:highlight w:val="none"/>
          <w:lang w:val="en-US" w:eastAsia="zh-CN"/>
        </w:rPr>
        <w:t>。</w:t>
      </w:r>
    </w:p>
    <w:p w14:paraId="2BD519B5">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textAlignment w:val="auto"/>
        <w:rPr>
          <w:rFonts w:hint="default"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五、</w:t>
      </w:r>
      <w:r>
        <w:rPr>
          <w:rFonts w:hint="default" w:ascii="方正黑体_GBK" w:hAnsi="方正黑体_GBK" w:eastAsia="方正黑体_GBK" w:cs="方正黑体_GBK"/>
          <w:color w:val="auto"/>
          <w:sz w:val="32"/>
          <w:szCs w:val="32"/>
          <w:highlight w:val="none"/>
          <w:lang w:val="en-US" w:eastAsia="zh-CN"/>
        </w:rPr>
        <w:t>评价结论及建议</w:t>
      </w:r>
    </w:p>
    <w:p w14:paraId="00F829B1">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b/>
          <w:bCs/>
          <w:color w:val="auto"/>
          <w:sz w:val="28"/>
          <w:szCs w:val="28"/>
          <w:highlight w:val="none"/>
          <w:lang w:val="en-US" w:eastAsia="zh-CN"/>
        </w:rPr>
        <w:t>（一）</w:t>
      </w:r>
      <w:r>
        <w:rPr>
          <w:rFonts w:hint="default" w:ascii="Times New Roman Regular" w:hAnsi="Times New Roman Regular" w:eastAsia="仿宋_GB2312" w:cs="Times New Roman Regular"/>
          <w:b/>
          <w:bCs/>
          <w:color w:val="auto"/>
          <w:sz w:val="28"/>
          <w:szCs w:val="28"/>
          <w:highlight w:val="none"/>
          <w:lang w:val="en-US" w:eastAsia="zh-CN"/>
        </w:rPr>
        <w:t>评价结论</w:t>
      </w:r>
    </w:p>
    <w:p w14:paraId="5C6E438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根据2024年度绩效评价指标，根据本单位在2024年度实际按照绩效指标设立的完成情况综合分析，该项目得分为100分，绩效评价等级为优</w:t>
      </w:r>
      <w:r>
        <w:rPr>
          <w:rFonts w:hint="default" w:ascii="Times New Roman Regular" w:hAnsi="Times New Roman Regular" w:eastAsia="仿宋_GB2312" w:cs="Times New Roman Regular"/>
          <w:color w:val="auto"/>
          <w:sz w:val="32"/>
          <w:szCs w:val="32"/>
          <w:highlight w:val="none"/>
          <w:lang w:val="en-US" w:eastAsia="zh-CN"/>
        </w:rPr>
        <w:t>。</w:t>
      </w:r>
    </w:p>
    <w:p w14:paraId="6ED3099B">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b/>
          <w:bCs/>
          <w:color w:val="auto"/>
          <w:sz w:val="28"/>
          <w:szCs w:val="28"/>
          <w:highlight w:val="none"/>
          <w:lang w:val="en-US" w:eastAsia="zh-CN"/>
        </w:rPr>
        <w:t>（二）</w:t>
      </w:r>
      <w:r>
        <w:rPr>
          <w:rFonts w:hint="default" w:ascii="Times New Roman Regular" w:hAnsi="Times New Roman Regular" w:eastAsia="仿宋_GB2312" w:cs="Times New Roman Regular"/>
          <w:b/>
          <w:bCs/>
          <w:color w:val="auto"/>
          <w:sz w:val="28"/>
          <w:szCs w:val="28"/>
          <w:highlight w:val="none"/>
          <w:lang w:val="en-US" w:eastAsia="zh-CN"/>
        </w:rPr>
        <w:t>存在的问题</w:t>
      </w:r>
    </w:p>
    <w:p w14:paraId="1415315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1、项目预算绩效管理有待进一步加强，预算编制当中绩效目标意识不够，对资金的管理使用不够系统全面。</w:t>
      </w:r>
    </w:p>
    <w:p w14:paraId="425A0A6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2、项目绩效目标设立不够细化、量化。虽然按要求及时申报了项目资料，但项目绩效目标在细化、量化方面还不到位。</w:t>
      </w:r>
    </w:p>
    <w:p w14:paraId="2082179D">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b/>
          <w:bCs/>
          <w:color w:val="auto"/>
          <w:sz w:val="28"/>
          <w:szCs w:val="28"/>
          <w:highlight w:val="none"/>
          <w:lang w:val="en-US" w:eastAsia="zh-CN"/>
        </w:rPr>
        <w:t>（三）</w:t>
      </w:r>
      <w:r>
        <w:rPr>
          <w:rFonts w:hint="default" w:ascii="Times New Roman Regular" w:hAnsi="Times New Roman Regular" w:eastAsia="仿宋_GB2312" w:cs="Times New Roman Regular"/>
          <w:b/>
          <w:bCs/>
          <w:color w:val="auto"/>
          <w:sz w:val="28"/>
          <w:szCs w:val="28"/>
          <w:highlight w:val="none"/>
          <w:lang w:val="en-US" w:eastAsia="zh-CN"/>
        </w:rPr>
        <w:t>相关建议</w:t>
      </w:r>
    </w:p>
    <w:p w14:paraId="0FA67D7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1、加强预算绩效管理工作。提升项目在资金支出绩效管理意识，科学合理地对财政支出进行管理。</w:t>
      </w:r>
    </w:p>
    <w:p w14:paraId="66167FB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2、抓好项目绩效目标申报，提高项目绩效目标申报质量，项目绩效目标做到明确、细化、量化。</w:t>
      </w:r>
    </w:p>
    <w:p w14:paraId="62780C57">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2B733B0F">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178A0D53">
      <w:pPr>
        <w:pStyle w:val="2"/>
        <w:rPr>
          <w:rFonts w:hint="default" w:ascii="Times New Roman Regular" w:hAnsi="Times New Roman Regular" w:eastAsia="仿宋_GB2312" w:cs="Times New Roman Regular"/>
          <w:color w:val="auto"/>
          <w:sz w:val="32"/>
          <w:szCs w:val="32"/>
          <w:highlight w:val="none"/>
          <w:lang w:val="en-US" w:eastAsia="zh-CN"/>
        </w:rPr>
      </w:pPr>
    </w:p>
    <w:p w14:paraId="321FB8CE">
      <w:pPr>
        <w:pStyle w:val="2"/>
        <w:rPr>
          <w:rFonts w:hint="default" w:ascii="Times New Roman Regular" w:hAnsi="Times New Roman Regular" w:eastAsia="仿宋_GB2312" w:cs="Times New Roman Regular"/>
          <w:color w:val="auto"/>
          <w:sz w:val="32"/>
          <w:szCs w:val="32"/>
          <w:highlight w:val="none"/>
          <w:lang w:val="en-US" w:eastAsia="zh-CN"/>
        </w:rPr>
      </w:pPr>
    </w:p>
    <w:p w14:paraId="1AE1446B">
      <w:pPr>
        <w:pStyle w:val="2"/>
        <w:rPr>
          <w:rFonts w:hint="default" w:ascii="Times New Roman Regular" w:hAnsi="Times New Roman Regular" w:eastAsia="仿宋_GB2312" w:cs="Times New Roman Regular"/>
          <w:color w:val="auto"/>
          <w:sz w:val="32"/>
          <w:szCs w:val="32"/>
          <w:highlight w:val="none"/>
          <w:lang w:val="en-US" w:eastAsia="zh-CN"/>
        </w:rPr>
      </w:pPr>
    </w:p>
    <w:p w14:paraId="082753F8">
      <w:pPr>
        <w:pStyle w:val="2"/>
        <w:rPr>
          <w:rFonts w:hint="default" w:ascii="Times New Roman Regular" w:hAnsi="Times New Roman Regular" w:eastAsia="仿宋_GB2312" w:cs="Times New Roman Regular"/>
          <w:color w:val="auto"/>
          <w:sz w:val="32"/>
          <w:szCs w:val="32"/>
          <w:highlight w:val="none"/>
          <w:lang w:val="en-US" w:eastAsia="zh-CN"/>
        </w:rPr>
      </w:pPr>
    </w:p>
    <w:p w14:paraId="5393B890">
      <w:pPr>
        <w:pStyle w:val="2"/>
        <w:rPr>
          <w:rFonts w:hint="default" w:ascii="Times New Roman Regular" w:hAnsi="Times New Roman Regular" w:eastAsia="仿宋_GB2312" w:cs="Times New Roman Regular"/>
          <w:color w:val="auto"/>
          <w:sz w:val="32"/>
          <w:szCs w:val="32"/>
          <w:highlight w:val="none"/>
          <w:lang w:val="en-US" w:eastAsia="zh-CN"/>
        </w:rPr>
      </w:pPr>
    </w:p>
    <w:p w14:paraId="3EFD77C5">
      <w:pPr>
        <w:pStyle w:val="2"/>
        <w:rPr>
          <w:rFonts w:hint="default" w:ascii="Times New Roman Regular" w:hAnsi="Times New Roman Regular" w:eastAsia="仿宋_GB2312" w:cs="Times New Roman Regular"/>
          <w:color w:val="auto"/>
          <w:sz w:val="32"/>
          <w:szCs w:val="32"/>
          <w:highlight w:val="none"/>
          <w:lang w:val="en-US" w:eastAsia="zh-CN"/>
        </w:rPr>
      </w:pPr>
    </w:p>
    <w:p w14:paraId="5B42792E">
      <w:pPr>
        <w:pStyle w:val="2"/>
        <w:rPr>
          <w:rFonts w:hint="default" w:ascii="Times New Roman Regular" w:hAnsi="Times New Roman Regular" w:eastAsia="仿宋_GB2312" w:cs="Times New Roman Regular"/>
          <w:color w:val="auto"/>
          <w:sz w:val="32"/>
          <w:szCs w:val="32"/>
          <w:highlight w:val="none"/>
          <w:lang w:val="en-US" w:eastAsia="zh-CN"/>
        </w:rPr>
      </w:pPr>
    </w:p>
    <w:p w14:paraId="69817EB2">
      <w:pPr>
        <w:pStyle w:val="2"/>
        <w:rPr>
          <w:rFonts w:hint="default" w:ascii="Times New Roman Regular" w:hAnsi="Times New Roman Regular" w:eastAsia="仿宋_GB2312" w:cs="Times New Roman Regular"/>
          <w:color w:val="auto"/>
          <w:sz w:val="32"/>
          <w:szCs w:val="32"/>
          <w:highlight w:val="none"/>
          <w:lang w:val="en-US" w:eastAsia="zh-CN"/>
        </w:rPr>
      </w:pPr>
    </w:p>
    <w:p w14:paraId="0C2F8F7D">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t>附件7</w:t>
      </w:r>
    </w:p>
    <w:p w14:paraId="0BA89AC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 xml:space="preserve">      市直部门绩效联络员名单统计表</w:t>
      </w:r>
    </w:p>
    <w:p w14:paraId="0687136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3"/>
        <w:gridCol w:w="2184"/>
        <w:gridCol w:w="2184"/>
        <w:gridCol w:w="2184"/>
      </w:tblGrid>
      <w:tr w14:paraId="01DF8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3" w:type="dxa"/>
          </w:tcPr>
          <w:p w14:paraId="177E2A5E">
            <w:pPr>
              <w:keepNext w:val="0"/>
              <w:keepLines w:val="0"/>
              <w:pageBreakBefore w:val="0"/>
              <w:widowControl w:val="0"/>
              <w:kinsoku/>
              <w:wordWrap/>
              <w:overflowPunct/>
              <w:topLinePunct w:val="0"/>
              <w:autoSpaceDE/>
              <w:autoSpaceDN/>
              <w:bidi w:val="0"/>
              <w:adjustRightInd/>
              <w:snapToGrid w:val="0"/>
              <w:spacing w:line="520" w:lineRule="exact"/>
              <w:ind w:firstLine="241" w:firstLineChars="100"/>
              <w:textAlignment w:val="auto"/>
              <w:rPr>
                <w:rFonts w:hint="default" w:ascii="Times New Roman Regular" w:hAnsi="Times New Roman Regular" w:eastAsia="仿宋_GB2312" w:cs="Times New Roman Regular"/>
                <w:color w:val="auto"/>
                <w:sz w:val="24"/>
                <w:szCs w:val="24"/>
                <w:highlight w:val="none"/>
                <w:vertAlign w:val="baseline"/>
                <w:lang w:val="en-US" w:eastAsia="zh-CN"/>
              </w:rPr>
            </w:pPr>
            <w:r>
              <w:rPr>
                <w:rFonts w:hint="eastAsia" w:ascii="Times New Roman Regular" w:hAnsi="Times New Roman Regular" w:eastAsia="仿宋_GB2312" w:cs="Times New Roman Regular"/>
                <w:b/>
                <w:bCs/>
                <w:color w:val="auto"/>
                <w:sz w:val="24"/>
                <w:szCs w:val="24"/>
                <w:highlight w:val="none"/>
                <w:vertAlign w:val="baseline"/>
                <w:lang w:val="en-US" w:eastAsia="zh-CN"/>
              </w:rPr>
              <w:t>部门单位名称</w:t>
            </w:r>
          </w:p>
        </w:tc>
        <w:tc>
          <w:tcPr>
            <w:tcW w:w="2184" w:type="dxa"/>
          </w:tcPr>
          <w:p w14:paraId="01BE6BAC">
            <w:pPr>
              <w:keepNext w:val="0"/>
              <w:keepLines w:val="0"/>
              <w:pageBreakBefore w:val="0"/>
              <w:widowControl w:val="0"/>
              <w:kinsoku/>
              <w:wordWrap/>
              <w:overflowPunct/>
              <w:topLinePunct w:val="0"/>
              <w:autoSpaceDE/>
              <w:autoSpaceDN/>
              <w:bidi w:val="0"/>
              <w:adjustRightInd/>
              <w:snapToGrid w:val="0"/>
              <w:spacing w:line="520" w:lineRule="exact"/>
              <w:ind w:firstLine="241" w:firstLineChars="100"/>
              <w:textAlignment w:val="auto"/>
              <w:rPr>
                <w:rFonts w:hint="default" w:ascii="Times New Roman Regular" w:hAnsi="Times New Roman Regular" w:eastAsia="仿宋_GB2312" w:cs="Times New Roman Regular"/>
                <w:color w:val="auto"/>
                <w:sz w:val="24"/>
                <w:szCs w:val="24"/>
                <w:highlight w:val="none"/>
                <w:vertAlign w:val="baseline"/>
                <w:lang w:val="en-US" w:eastAsia="zh-CN"/>
              </w:rPr>
            </w:pPr>
            <w:r>
              <w:rPr>
                <w:rFonts w:hint="eastAsia" w:ascii="Times New Roman Regular" w:hAnsi="Times New Roman Regular" w:eastAsia="仿宋_GB2312" w:cs="Times New Roman Regular"/>
                <w:b/>
                <w:bCs/>
                <w:color w:val="auto"/>
                <w:sz w:val="24"/>
                <w:szCs w:val="24"/>
                <w:highlight w:val="none"/>
                <w:vertAlign w:val="baseline"/>
                <w:lang w:val="en-US" w:eastAsia="zh-CN"/>
              </w:rPr>
              <w:t>绩效联络员姓名</w:t>
            </w:r>
          </w:p>
        </w:tc>
        <w:tc>
          <w:tcPr>
            <w:tcW w:w="2184" w:type="dxa"/>
          </w:tcPr>
          <w:p w14:paraId="70F651D2">
            <w:pPr>
              <w:keepNext w:val="0"/>
              <w:keepLines w:val="0"/>
              <w:pageBreakBefore w:val="0"/>
              <w:widowControl w:val="0"/>
              <w:kinsoku/>
              <w:wordWrap/>
              <w:overflowPunct/>
              <w:topLinePunct w:val="0"/>
              <w:autoSpaceDE/>
              <w:autoSpaceDN/>
              <w:bidi w:val="0"/>
              <w:adjustRightInd/>
              <w:snapToGrid w:val="0"/>
              <w:spacing w:line="520" w:lineRule="exact"/>
              <w:ind w:firstLine="482" w:firstLineChars="200"/>
              <w:textAlignment w:val="auto"/>
              <w:rPr>
                <w:rFonts w:hint="default" w:ascii="Times New Roman Regular" w:hAnsi="Times New Roman Regular" w:eastAsia="仿宋_GB2312" w:cs="Times New Roman Regular"/>
                <w:color w:val="auto"/>
                <w:sz w:val="24"/>
                <w:szCs w:val="24"/>
                <w:highlight w:val="none"/>
                <w:vertAlign w:val="baseline"/>
                <w:lang w:val="en-US" w:eastAsia="zh-CN"/>
              </w:rPr>
            </w:pPr>
            <w:r>
              <w:rPr>
                <w:rFonts w:hint="eastAsia" w:ascii="Times New Roman Regular" w:hAnsi="Times New Roman Regular" w:eastAsia="仿宋_GB2312" w:cs="Times New Roman Regular"/>
                <w:b/>
                <w:bCs/>
                <w:color w:val="auto"/>
                <w:sz w:val="24"/>
                <w:szCs w:val="24"/>
                <w:highlight w:val="none"/>
                <w:vertAlign w:val="baseline"/>
                <w:lang w:val="en-US" w:eastAsia="zh-CN"/>
              </w:rPr>
              <w:t>职务职级</w:t>
            </w:r>
          </w:p>
        </w:tc>
        <w:tc>
          <w:tcPr>
            <w:tcW w:w="2184" w:type="dxa"/>
          </w:tcPr>
          <w:p w14:paraId="72D1FC89">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24"/>
                <w:szCs w:val="24"/>
                <w:highlight w:val="none"/>
                <w:vertAlign w:val="baseline"/>
                <w:lang w:val="en-US" w:eastAsia="zh-CN"/>
              </w:rPr>
            </w:pPr>
            <w:r>
              <w:rPr>
                <w:rFonts w:hint="eastAsia" w:ascii="Times New Roman Regular" w:hAnsi="Times New Roman Regular" w:eastAsia="仿宋_GB2312" w:cs="Times New Roman Regular"/>
                <w:color w:val="auto"/>
                <w:sz w:val="24"/>
                <w:szCs w:val="24"/>
                <w:highlight w:val="none"/>
                <w:vertAlign w:val="baseline"/>
                <w:lang w:val="en-US" w:eastAsia="zh-CN"/>
              </w:rPr>
              <w:t xml:space="preserve">  </w:t>
            </w:r>
            <w:r>
              <w:rPr>
                <w:rFonts w:hint="eastAsia" w:ascii="Times New Roman Regular" w:hAnsi="Times New Roman Regular" w:eastAsia="仿宋_GB2312" w:cs="Times New Roman Regular"/>
                <w:b/>
                <w:bCs/>
                <w:color w:val="auto"/>
                <w:sz w:val="24"/>
                <w:szCs w:val="24"/>
                <w:highlight w:val="none"/>
                <w:vertAlign w:val="baseline"/>
                <w:lang w:val="en-US" w:eastAsia="zh-CN"/>
              </w:rPr>
              <w:t xml:space="preserve"> 联系方式</w:t>
            </w:r>
          </w:p>
        </w:tc>
      </w:tr>
      <w:tr w14:paraId="2DF23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3" w:type="dxa"/>
          </w:tcPr>
          <w:p w14:paraId="10891838">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vertAlign w:val="baseline"/>
                <w:lang w:eastAsia="zh-CN"/>
              </w:rPr>
            </w:pPr>
            <w:r>
              <w:rPr>
                <w:rFonts w:hint="default" w:ascii="Times New Roman Regular" w:hAnsi="Times New Roman Regular" w:eastAsia="仿宋_GB2312" w:cs="Times New Roman Regular"/>
                <w:color w:val="auto"/>
                <w:sz w:val="32"/>
                <w:szCs w:val="32"/>
                <w:highlight w:val="none"/>
                <w:vertAlign w:val="baseline"/>
                <w:lang w:eastAsia="zh-CN"/>
              </w:rPr>
              <w:t>市委政研室</w:t>
            </w:r>
          </w:p>
        </w:tc>
        <w:tc>
          <w:tcPr>
            <w:tcW w:w="2184" w:type="dxa"/>
          </w:tcPr>
          <w:p w14:paraId="49AABA1A">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vertAlign w:val="baseline"/>
                <w:lang w:eastAsia="zh-CN"/>
              </w:rPr>
            </w:pPr>
            <w:r>
              <w:rPr>
                <w:rFonts w:hint="default" w:ascii="Times New Roman Regular" w:hAnsi="Times New Roman Regular" w:eastAsia="仿宋_GB2312" w:cs="Times New Roman Regular"/>
                <w:color w:val="auto"/>
                <w:sz w:val="32"/>
                <w:szCs w:val="32"/>
                <w:highlight w:val="none"/>
                <w:vertAlign w:val="baseline"/>
                <w:lang w:eastAsia="zh-CN"/>
              </w:rPr>
              <w:t>赵莹</w:t>
            </w:r>
          </w:p>
        </w:tc>
        <w:tc>
          <w:tcPr>
            <w:tcW w:w="2184" w:type="dxa"/>
          </w:tcPr>
          <w:p w14:paraId="75260956">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vertAlign w:val="baseline"/>
                <w:lang w:eastAsia="zh-CN"/>
              </w:rPr>
            </w:pPr>
            <w:r>
              <w:rPr>
                <w:rFonts w:hint="default" w:ascii="Times New Roman Regular" w:hAnsi="Times New Roman Regular" w:eastAsia="仿宋_GB2312" w:cs="Times New Roman Regular"/>
                <w:color w:val="auto"/>
                <w:sz w:val="32"/>
                <w:szCs w:val="32"/>
                <w:highlight w:val="none"/>
                <w:vertAlign w:val="baseline"/>
                <w:lang w:eastAsia="zh-CN"/>
              </w:rPr>
              <w:t>办公室主任、四级调研员</w:t>
            </w:r>
          </w:p>
        </w:tc>
        <w:tc>
          <w:tcPr>
            <w:tcW w:w="2184" w:type="dxa"/>
          </w:tcPr>
          <w:p w14:paraId="09E448AA">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vertAlign w:val="baseline"/>
                <w:lang w:eastAsia="zh-CN"/>
              </w:rPr>
            </w:pPr>
            <w:r>
              <w:rPr>
                <w:rFonts w:hint="default" w:ascii="Times New Roman Regular" w:hAnsi="Times New Roman Regular" w:eastAsia="仿宋_GB2312" w:cs="Times New Roman Regular"/>
                <w:color w:val="auto"/>
                <w:sz w:val="32"/>
                <w:szCs w:val="32"/>
                <w:highlight w:val="none"/>
                <w:vertAlign w:val="baseline"/>
                <w:lang w:eastAsia="zh-CN"/>
              </w:rPr>
              <w:t>13974516181</w:t>
            </w:r>
          </w:p>
        </w:tc>
      </w:tr>
      <w:tr w14:paraId="167B3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3" w:type="dxa"/>
          </w:tcPr>
          <w:p w14:paraId="4B3400B4">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vertAlign w:val="baseline"/>
                <w:lang w:val="en-US" w:eastAsia="zh-CN"/>
              </w:rPr>
            </w:pPr>
          </w:p>
        </w:tc>
        <w:tc>
          <w:tcPr>
            <w:tcW w:w="2184" w:type="dxa"/>
          </w:tcPr>
          <w:p w14:paraId="7868135A">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vertAlign w:val="baseline"/>
                <w:lang w:val="en-US" w:eastAsia="zh-CN"/>
              </w:rPr>
            </w:pPr>
          </w:p>
        </w:tc>
        <w:tc>
          <w:tcPr>
            <w:tcW w:w="2184" w:type="dxa"/>
          </w:tcPr>
          <w:p w14:paraId="057AA1C6">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vertAlign w:val="baseline"/>
                <w:lang w:val="en-US" w:eastAsia="zh-CN"/>
              </w:rPr>
            </w:pPr>
          </w:p>
        </w:tc>
        <w:tc>
          <w:tcPr>
            <w:tcW w:w="2184" w:type="dxa"/>
          </w:tcPr>
          <w:p w14:paraId="3CD96C87">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vertAlign w:val="baseline"/>
                <w:lang w:val="en-US" w:eastAsia="zh-CN"/>
              </w:rPr>
            </w:pPr>
          </w:p>
        </w:tc>
      </w:tr>
      <w:tr w14:paraId="031C3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3" w:type="dxa"/>
          </w:tcPr>
          <w:p w14:paraId="37B7BF31">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vertAlign w:val="baseline"/>
                <w:lang w:val="en-US" w:eastAsia="zh-CN"/>
              </w:rPr>
            </w:pPr>
          </w:p>
        </w:tc>
        <w:tc>
          <w:tcPr>
            <w:tcW w:w="2184" w:type="dxa"/>
          </w:tcPr>
          <w:p w14:paraId="547B8EF4">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vertAlign w:val="baseline"/>
                <w:lang w:val="en-US" w:eastAsia="zh-CN"/>
              </w:rPr>
            </w:pPr>
          </w:p>
        </w:tc>
        <w:tc>
          <w:tcPr>
            <w:tcW w:w="2184" w:type="dxa"/>
          </w:tcPr>
          <w:p w14:paraId="2AE57BF7">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vertAlign w:val="baseline"/>
                <w:lang w:val="en-US" w:eastAsia="zh-CN"/>
              </w:rPr>
            </w:pPr>
          </w:p>
        </w:tc>
        <w:tc>
          <w:tcPr>
            <w:tcW w:w="2184" w:type="dxa"/>
          </w:tcPr>
          <w:p w14:paraId="496339D4">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vertAlign w:val="baseline"/>
                <w:lang w:val="en-US" w:eastAsia="zh-CN"/>
              </w:rPr>
            </w:pPr>
          </w:p>
        </w:tc>
      </w:tr>
      <w:tr w14:paraId="28136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3" w:type="dxa"/>
          </w:tcPr>
          <w:p w14:paraId="46F4DEED">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vertAlign w:val="baseline"/>
                <w:lang w:val="en-US" w:eastAsia="zh-CN"/>
              </w:rPr>
            </w:pPr>
          </w:p>
        </w:tc>
        <w:tc>
          <w:tcPr>
            <w:tcW w:w="2184" w:type="dxa"/>
          </w:tcPr>
          <w:p w14:paraId="3167E175">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vertAlign w:val="baseline"/>
                <w:lang w:val="en-US" w:eastAsia="zh-CN"/>
              </w:rPr>
            </w:pPr>
          </w:p>
        </w:tc>
        <w:tc>
          <w:tcPr>
            <w:tcW w:w="2184" w:type="dxa"/>
          </w:tcPr>
          <w:p w14:paraId="3D25F803">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vertAlign w:val="baseline"/>
                <w:lang w:val="en-US" w:eastAsia="zh-CN"/>
              </w:rPr>
            </w:pPr>
          </w:p>
        </w:tc>
        <w:tc>
          <w:tcPr>
            <w:tcW w:w="2184" w:type="dxa"/>
          </w:tcPr>
          <w:p w14:paraId="04711150">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vertAlign w:val="baseline"/>
                <w:lang w:val="en-US" w:eastAsia="zh-CN"/>
              </w:rPr>
            </w:pPr>
          </w:p>
        </w:tc>
      </w:tr>
      <w:tr w14:paraId="2E3B7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3" w:type="dxa"/>
          </w:tcPr>
          <w:p w14:paraId="08F04057">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vertAlign w:val="baseline"/>
                <w:lang w:val="en-US" w:eastAsia="zh-CN"/>
              </w:rPr>
            </w:pPr>
          </w:p>
        </w:tc>
        <w:tc>
          <w:tcPr>
            <w:tcW w:w="2184" w:type="dxa"/>
          </w:tcPr>
          <w:p w14:paraId="4BF93C1A">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vertAlign w:val="baseline"/>
                <w:lang w:val="en-US" w:eastAsia="zh-CN"/>
              </w:rPr>
            </w:pPr>
          </w:p>
        </w:tc>
        <w:tc>
          <w:tcPr>
            <w:tcW w:w="2184" w:type="dxa"/>
          </w:tcPr>
          <w:p w14:paraId="66DE4323">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vertAlign w:val="baseline"/>
                <w:lang w:val="en-US" w:eastAsia="zh-CN"/>
              </w:rPr>
            </w:pPr>
          </w:p>
        </w:tc>
        <w:tc>
          <w:tcPr>
            <w:tcW w:w="2184" w:type="dxa"/>
          </w:tcPr>
          <w:p w14:paraId="6131BAE0">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vertAlign w:val="baseline"/>
                <w:lang w:val="en-US" w:eastAsia="zh-CN"/>
              </w:rPr>
            </w:pPr>
          </w:p>
        </w:tc>
      </w:tr>
    </w:tbl>
    <w:p w14:paraId="4978A5E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sectPr>
      <w:footerReference r:id="rId3" w:type="default"/>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73D2D73-A8C9-4FA2-B663-128BE195B42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Arial Unicode MS"/>
    <w:panose1 w:val="02000000000000000000"/>
    <w:charset w:val="86"/>
    <w:family w:val="auto"/>
    <w:pitch w:val="default"/>
    <w:sig w:usb0="00000000" w:usb1="00000000" w:usb2="00000000" w:usb3="00000000" w:csb0="00040000" w:csb1="00000000"/>
    <w:embedRegular r:id="rId2" w:fontKey="{49A2683D-F5E1-4485-890F-D5FCE61D2EFE}"/>
  </w:font>
  <w:font w:name="方正黑体_GBK">
    <w:altName w:val="Arial Unicode MS"/>
    <w:panose1 w:val="02000000000000000000"/>
    <w:charset w:val="86"/>
    <w:family w:val="auto"/>
    <w:pitch w:val="default"/>
    <w:sig w:usb0="00000000" w:usb1="00000000" w:usb2="00000000" w:usb3="00000000" w:csb0="00040000" w:csb1="00000000"/>
    <w:embedRegular r:id="rId3" w:fontKey="{63A0E73D-1869-4134-B83B-CEC6157B9CD4}"/>
  </w:font>
  <w:font w:name="Times New Roman Regular">
    <w:altName w:val="Times New Roman"/>
    <w:panose1 w:val="02020603050405020304"/>
    <w:charset w:val="00"/>
    <w:family w:val="auto"/>
    <w:pitch w:val="default"/>
    <w:sig w:usb0="00000000" w:usb1="00000000" w:usb2="00000009" w:usb3="00000000" w:csb0="400001FF" w:csb1="FFFF0000"/>
    <w:embedRegular r:id="rId4" w:fontKey="{15E30E0F-699C-4A21-BA58-292C873C124B}"/>
  </w:font>
  <w:font w:name="仿宋_GB2312">
    <w:altName w:val="仿宋"/>
    <w:panose1 w:val="02010609030101010101"/>
    <w:charset w:val="86"/>
    <w:family w:val="auto"/>
    <w:pitch w:val="default"/>
    <w:sig w:usb0="00000000" w:usb1="00000000" w:usb2="00000000" w:usb3="00000000" w:csb0="00040000" w:csb1="00000000"/>
    <w:embedRegular r:id="rId5" w:fontKey="{6202D70D-5BEA-49F5-B020-5B4FCFF732B2}"/>
  </w:font>
  <w:font w:name="方正小标宋简体">
    <w:altName w:val="Arial Unicode MS"/>
    <w:panose1 w:val="02000000000000000000"/>
    <w:charset w:val="86"/>
    <w:family w:val="auto"/>
    <w:pitch w:val="default"/>
    <w:sig w:usb0="00000000" w:usb1="00000000" w:usb2="00000012" w:usb3="00000000" w:csb0="00040001" w:csb1="00000000"/>
    <w:embedRegular r:id="rId6" w:fontKey="{FE679C93-2033-4C13-9F00-C824A49FC262}"/>
  </w:font>
  <w:font w:name="仿宋">
    <w:panose1 w:val="02010609060101010101"/>
    <w:charset w:val="86"/>
    <w:family w:val="auto"/>
    <w:pitch w:val="default"/>
    <w:sig w:usb0="800002BF" w:usb1="38CF7CFA" w:usb2="00000016" w:usb3="00000000" w:csb0="00040001" w:csb1="00000000"/>
    <w:embedRegular r:id="rId7" w:fontKey="{30250481-ADF9-4A8C-8A28-806691ED002D}"/>
  </w:font>
  <w:font w:name="方正仿宋_GB2312">
    <w:altName w:val="仿宋"/>
    <w:panose1 w:val="02000000000000000000"/>
    <w:charset w:val="86"/>
    <w:family w:val="auto"/>
    <w:pitch w:val="default"/>
    <w:sig w:usb0="00000000" w:usb1="00000000" w:usb2="00000012" w:usb3="00000000" w:csb0="00040001" w:csb1="00000000"/>
    <w:embedRegular r:id="rId8" w:fontKey="{8E556B13-A996-48AF-AEB1-73DC9DBA5B86}"/>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54CEA">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DE025B">
                          <w:pPr>
                            <w:pStyle w:val="6"/>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EDE025B">
                    <w:pPr>
                      <w:pStyle w:val="6"/>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B6639"/>
    <w:multiLevelType w:val="singleLevel"/>
    <w:tmpl w:val="9ACB6639"/>
    <w:lvl w:ilvl="0" w:tentative="0">
      <w:start w:val="5"/>
      <w:numFmt w:val="chineseCounting"/>
      <w:suff w:val="nothing"/>
      <w:lvlText w:val="%1、"/>
      <w:lvlJc w:val="left"/>
      <w:rPr>
        <w:rFonts w:hint="eastAsia"/>
      </w:rPr>
    </w:lvl>
  </w:abstractNum>
  <w:abstractNum w:abstractNumId="1">
    <w:nsid w:val="E20A4574"/>
    <w:multiLevelType w:val="singleLevel"/>
    <w:tmpl w:val="E20A4574"/>
    <w:lvl w:ilvl="0" w:tentative="0">
      <w:start w:val="10"/>
      <w:numFmt w:val="chineseCounting"/>
      <w:suff w:val="nothing"/>
      <w:lvlText w:val="%1、"/>
      <w:lvlJc w:val="left"/>
      <w:rPr>
        <w:rFonts w:hint="eastAsia"/>
      </w:rPr>
    </w:lvl>
  </w:abstractNum>
  <w:abstractNum w:abstractNumId="2">
    <w:nsid w:val="218E73DA"/>
    <w:multiLevelType w:val="singleLevel"/>
    <w:tmpl w:val="218E73DA"/>
    <w:lvl w:ilvl="0" w:tentative="0">
      <w:start w:val="4"/>
      <w:numFmt w:val="chineseCounting"/>
      <w:suff w:val="nothing"/>
      <w:lvlText w:val="%1、"/>
      <w:lvlJc w:val="left"/>
      <w:rPr>
        <w:rFonts w:hint="eastAsia"/>
      </w:rPr>
    </w:lvl>
  </w:abstractNum>
  <w:abstractNum w:abstractNumId="3">
    <w:nsid w:val="5B1FC313"/>
    <w:multiLevelType w:val="singleLevel"/>
    <w:tmpl w:val="5B1FC313"/>
    <w:lvl w:ilvl="0" w:tentative="0">
      <w:start w:val="2"/>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YmJkZTgyZjQzZTk3ZTUzMWNlNWIzZDJmYjY5OGMifQ=="/>
    <w:docVar w:name="KSO_WPS_MARK_KEY" w:val="9920a277-c0c3-43b4-93d3-1636fe398e0b"/>
  </w:docVars>
  <w:rsids>
    <w:rsidRoot w:val="753C4E9B"/>
    <w:rsid w:val="004479E5"/>
    <w:rsid w:val="007756C4"/>
    <w:rsid w:val="009E5347"/>
    <w:rsid w:val="00EA233A"/>
    <w:rsid w:val="010F1DA1"/>
    <w:rsid w:val="012A4E2C"/>
    <w:rsid w:val="01973B44"/>
    <w:rsid w:val="01987FE8"/>
    <w:rsid w:val="01ED0EB7"/>
    <w:rsid w:val="01FF0067"/>
    <w:rsid w:val="02385327"/>
    <w:rsid w:val="029702A0"/>
    <w:rsid w:val="02E01C47"/>
    <w:rsid w:val="02E5725D"/>
    <w:rsid w:val="030F42DA"/>
    <w:rsid w:val="03716D43"/>
    <w:rsid w:val="03764359"/>
    <w:rsid w:val="041D47D5"/>
    <w:rsid w:val="043D09D3"/>
    <w:rsid w:val="057E5747"/>
    <w:rsid w:val="05900FD6"/>
    <w:rsid w:val="05D2339D"/>
    <w:rsid w:val="05E95AA6"/>
    <w:rsid w:val="05F23A3F"/>
    <w:rsid w:val="06020126"/>
    <w:rsid w:val="06113EC5"/>
    <w:rsid w:val="062E0F1B"/>
    <w:rsid w:val="06400C4E"/>
    <w:rsid w:val="067F3525"/>
    <w:rsid w:val="06840B3B"/>
    <w:rsid w:val="06CE625A"/>
    <w:rsid w:val="06D01FD2"/>
    <w:rsid w:val="06E25698"/>
    <w:rsid w:val="070E48A8"/>
    <w:rsid w:val="07100621"/>
    <w:rsid w:val="07267E44"/>
    <w:rsid w:val="077C1812"/>
    <w:rsid w:val="07911761"/>
    <w:rsid w:val="08054A1E"/>
    <w:rsid w:val="08907C6B"/>
    <w:rsid w:val="090441B5"/>
    <w:rsid w:val="09510A7C"/>
    <w:rsid w:val="095F3199"/>
    <w:rsid w:val="09EB2C7F"/>
    <w:rsid w:val="09FE0C04"/>
    <w:rsid w:val="0A146178"/>
    <w:rsid w:val="0A7964DD"/>
    <w:rsid w:val="0A8C090D"/>
    <w:rsid w:val="0AA95014"/>
    <w:rsid w:val="0ADB2CF4"/>
    <w:rsid w:val="0B330D82"/>
    <w:rsid w:val="0B6251C3"/>
    <w:rsid w:val="0BB35A1E"/>
    <w:rsid w:val="0BCD088E"/>
    <w:rsid w:val="0BFA364D"/>
    <w:rsid w:val="0C006EB6"/>
    <w:rsid w:val="0C0F70F9"/>
    <w:rsid w:val="0C1350F2"/>
    <w:rsid w:val="0C180A78"/>
    <w:rsid w:val="0C210BDA"/>
    <w:rsid w:val="0C4A6383"/>
    <w:rsid w:val="0C547201"/>
    <w:rsid w:val="0C676F35"/>
    <w:rsid w:val="0C970E9C"/>
    <w:rsid w:val="0CD43E9E"/>
    <w:rsid w:val="0D1D75F3"/>
    <w:rsid w:val="0D276746"/>
    <w:rsid w:val="0D464D9C"/>
    <w:rsid w:val="0D5B011C"/>
    <w:rsid w:val="0D814026"/>
    <w:rsid w:val="0D841421"/>
    <w:rsid w:val="0DD52794"/>
    <w:rsid w:val="0DF30354"/>
    <w:rsid w:val="0E5E6115"/>
    <w:rsid w:val="0E71409B"/>
    <w:rsid w:val="0E956870"/>
    <w:rsid w:val="0EA37FCC"/>
    <w:rsid w:val="0EA63619"/>
    <w:rsid w:val="0EB421D9"/>
    <w:rsid w:val="0EB65F51"/>
    <w:rsid w:val="0EBE2CDE"/>
    <w:rsid w:val="0EC3241C"/>
    <w:rsid w:val="0EF44384"/>
    <w:rsid w:val="0F2E3D3A"/>
    <w:rsid w:val="0F694D72"/>
    <w:rsid w:val="0FF30ADF"/>
    <w:rsid w:val="10060813"/>
    <w:rsid w:val="10120F66"/>
    <w:rsid w:val="1077526D"/>
    <w:rsid w:val="108D4A90"/>
    <w:rsid w:val="10A818CA"/>
    <w:rsid w:val="10C666A5"/>
    <w:rsid w:val="10D0497D"/>
    <w:rsid w:val="10EE19D3"/>
    <w:rsid w:val="11166833"/>
    <w:rsid w:val="113849FC"/>
    <w:rsid w:val="114E2471"/>
    <w:rsid w:val="11F76665"/>
    <w:rsid w:val="12130FC5"/>
    <w:rsid w:val="1223366A"/>
    <w:rsid w:val="12280F14"/>
    <w:rsid w:val="12706417"/>
    <w:rsid w:val="128679E9"/>
    <w:rsid w:val="129739A4"/>
    <w:rsid w:val="1299596E"/>
    <w:rsid w:val="12AA7B7B"/>
    <w:rsid w:val="12B46304"/>
    <w:rsid w:val="13144FF5"/>
    <w:rsid w:val="135C548B"/>
    <w:rsid w:val="13653AA2"/>
    <w:rsid w:val="13D749A0"/>
    <w:rsid w:val="13E56991"/>
    <w:rsid w:val="13F217DA"/>
    <w:rsid w:val="13FA68E0"/>
    <w:rsid w:val="143877FD"/>
    <w:rsid w:val="14A16D5C"/>
    <w:rsid w:val="14AD74AF"/>
    <w:rsid w:val="14C111AC"/>
    <w:rsid w:val="14D47131"/>
    <w:rsid w:val="14EB7FD7"/>
    <w:rsid w:val="15877D00"/>
    <w:rsid w:val="159F14ED"/>
    <w:rsid w:val="15C56A7A"/>
    <w:rsid w:val="16726C02"/>
    <w:rsid w:val="16974786"/>
    <w:rsid w:val="16FA2753"/>
    <w:rsid w:val="17546308"/>
    <w:rsid w:val="179E3A27"/>
    <w:rsid w:val="17FCFFF6"/>
    <w:rsid w:val="18702CCD"/>
    <w:rsid w:val="18A1732B"/>
    <w:rsid w:val="18B502E6"/>
    <w:rsid w:val="18CE20EA"/>
    <w:rsid w:val="192B46DC"/>
    <w:rsid w:val="19483C4A"/>
    <w:rsid w:val="199B021E"/>
    <w:rsid w:val="19B117EF"/>
    <w:rsid w:val="19C31523"/>
    <w:rsid w:val="19E805B2"/>
    <w:rsid w:val="19EE2A43"/>
    <w:rsid w:val="1A4408B5"/>
    <w:rsid w:val="1A475CB0"/>
    <w:rsid w:val="1A9058A9"/>
    <w:rsid w:val="1AB33345"/>
    <w:rsid w:val="1AC45552"/>
    <w:rsid w:val="1AD05CA5"/>
    <w:rsid w:val="1AF71484"/>
    <w:rsid w:val="1AFF658A"/>
    <w:rsid w:val="1B19589E"/>
    <w:rsid w:val="1B300E3A"/>
    <w:rsid w:val="1B3C3125"/>
    <w:rsid w:val="1B642891"/>
    <w:rsid w:val="1BB43819"/>
    <w:rsid w:val="1C5F3784"/>
    <w:rsid w:val="1CBF872E"/>
    <w:rsid w:val="1D181B85"/>
    <w:rsid w:val="1D743260"/>
    <w:rsid w:val="1D927B8A"/>
    <w:rsid w:val="1DD41F50"/>
    <w:rsid w:val="1DD51824"/>
    <w:rsid w:val="1E0740D4"/>
    <w:rsid w:val="1E492D06"/>
    <w:rsid w:val="1E5D0198"/>
    <w:rsid w:val="1E8C282B"/>
    <w:rsid w:val="1EC91389"/>
    <w:rsid w:val="1F120F82"/>
    <w:rsid w:val="1F3E1D77"/>
    <w:rsid w:val="1F3F5AEF"/>
    <w:rsid w:val="1F737547"/>
    <w:rsid w:val="1F884DA0"/>
    <w:rsid w:val="20D858B3"/>
    <w:rsid w:val="20E73D48"/>
    <w:rsid w:val="21515666"/>
    <w:rsid w:val="21667363"/>
    <w:rsid w:val="217557F8"/>
    <w:rsid w:val="21893052"/>
    <w:rsid w:val="224B1552"/>
    <w:rsid w:val="22877591"/>
    <w:rsid w:val="228E32C0"/>
    <w:rsid w:val="22B45EAC"/>
    <w:rsid w:val="22FE234B"/>
    <w:rsid w:val="23144B9D"/>
    <w:rsid w:val="23270D74"/>
    <w:rsid w:val="232B2612"/>
    <w:rsid w:val="23675615"/>
    <w:rsid w:val="23931F66"/>
    <w:rsid w:val="24417C14"/>
    <w:rsid w:val="244F40DF"/>
    <w:rsid w:val="24A7216D"/>
    <w:rsid w:val="25331C52"/>
    <w:rsid w:val="2536529E"/>
    <w:rsid w:val="253E5089"/>
    <w:rsid w:val="25665B84"/>
    <w:rsid w:val="25822292"/>
    <w:rsid w:val="25C24D84"/>
    <w:rsid w:val="26526108"/>
    <w:rsid w:val="26834513"/>
    <w:rsid w:val="26A30712"/>
    <w:rsid w:val="26FD2518"/>
    <w:rsid w:val="27135897"/>
    <w:rsid w:val="272A2BE1"/>
    <w:rsid w:val="272C0707"/>
    <w:rsid w:val="27361586"/>
    <w:rsid w:val="273B094A"/>
    <w:rsid w:val="275A34C6"/>
    <w:rsid w:val="277E6F02"/>
    <w:rsid w:val="27822A1D"/>
    <w:rsid w:val="27AA532B"/>
    <w:rsid w:val="27E965F8"/>
    <w:rsid w:val="27FF3F53"/>
    <w:rsid w:val="283C0E1E"/>
    <w:rsid w:val="285048C9"/>
    <w:rsid w:val="285C6DCA"/>
    <w:rsid w:val="2874680A"/>
    <w:rsid w:val="28893937"/>
    <w:rsid w:val="28956780"/>
    <w:rsid w:val="28AD6508"/>
    <w:rsid w:val="28D15A0A"/>
    <w:rsid w:val="28E62B38"/>
    <w:rsid w:val="290A2CCA"/>
    <w:rsid w:val="29990575"/>
    <w:rsid w:val="29E53FA6"/>
    <w:rsid w:val="29FD45DD"/>
    <w:rsid w:val="2A0B0AA8"/>
    <w:rsid w:val="2A1011D5"/>
    <w:rsid w:val="2A261D85"/>
    <w:rsid w:val="2A331DAD"/>
    <w:rsid w:val="2A900FAD"/>
    <w:rsid w:val="2AAA4765"/>
    <w:rsid w:val="2AF6742D"/>
    <w:rsid w:val="2B146082"/>
    <w:rsid w:val="2B3C2EE3"/>
    <w:rsid w:val="2B536BAA"/>
    <w:rsid w:val="2B8925CC"/>
    <w:rsid w:val="2BA07916"/>
    <w:rsid w:val="2C31056E"/>
    <w:rsid w:val="2C626979"/>
    <w:rsid w:val="2C93685B"/>
    <w:rsid w:val="2CA156F3"/>
    <w:rsid w:val="2CF20571"/>
    <w:rsid w:val="2D016192"/>
    <w:rsid w:val="2D0314F6"/>
    <w:rsid w:val="2D7050C6"/>
    <w:rsid w:val="2DD12008"/>
    <w:rsid w:val="2E5A3DAC"/>
    <w:rsid w:val="2E951288"/>
    <w:rsid w:val="2EF7784D"/>
    <w:rsid w:val="2F0B19D5"/>
    <w:rsid w:val="2F11754B"/>
    <w:rsid w:val="2F5702EB"/>
    <w:rsid w:val="2F5858C3"/>
    <w:rsid w:val="2F7D2448"/>
    <w:rsid w:val="2FC7536F"/>
    <w:rsid w:val="300A1801"/>
    <w:rsid w:val="303D3985"/>
    <w:rsid w:val="309061AB"/>
    <w:rsid w:val="3095731D"/>
    <w:rsid w:val="30E3452C"/>
    <w:rsid w:val="30F71ED2"/>
    <w:rsid w:val="311F12DD"/>
    <w:rsid w:val="312A2265"/>
    <w:rsid w:val="316577FF"/>
    <w:rsid w:val="31886E82"/>
    <w:rsid w:val="31C51E84"/>
    <w:rsid w:val="31ED4F37"/>
    <w:rsid w:val="3203475A"/>
    <w:rsid w:val="32171FB4"/>
    <w:rsid w:val="324E00CB"/>
    <w:rsid w:val="32546D64"/>
    <w:rsid w:val="32933D30"/>
    <w:rsid w:val="32C24615"/>
    <w:rsid w:val="32C263C3"/>
    <w:rsid w:val="32C75788"/>
    <w:rsid w:val="32E97DF4"/>
    <w:rsid w:val="333F3E43"/>
    <w:rsid w:val="337E053C"/>
    <w:rsid w:val="33A53D1B"/>
    <w:rsid w:val="33B2468A"/>
    <w:rsid w:val="34034EE6"/>
    <w:rsid w:val="34D0301A"/>
    <w:rsid w:val="34D76ADF"/>
    <w:rsid w:val="355F7EFA"/>
    <w:rsid w:val="3575596F"/>
    <w:rsid w:val="357A4D33"/>
    <w:rsid w:val="358856A2"/>
    <w:rsid w:val="35A10512"/>
    <w:rsid w:val="35B30245"/>
    <w:rsid w:val="35C16E06"/>
    <w:rsid w:val="35FE3BB6"/>
    <w:rsid w:val="36010FB1"/>
    <w:rsid w:val="3632560E"/>
    <w:rsid w:val="365867F6"/>
    <w:rsid w:val="36633A19"/>
    <w:rsid w:val="369D33CF"/>
    <w:rsid w:val="36BE6EA2"/>
    <w:rsid w:val="36D641EB"/>
    <w:rsid w:val="36FC0F5D"/>
    <w:rsid w:val="36FC6348"/>
    <w:rsid w:val="37074CED"/>
    <w:rsid w:val="37133692"/>
    <w:rsid w:val="3757357E"/>
    <w:rsid w:val="375773F8"/>
    <w:rsid w:val="37647A49"/>
    <w:rsid w:val="37856E75"/>
    <w:rsid w:val="3787198A"/>
    <w:rsid w:val="37A34A15"/>
    <w:rsid w:val="37CE75B8"/>
    <w:rsid w:val="381E409C"/>
    <w:rsid w:val="383438BF"/>
    <w:rsid w:val="38740160"/>
    <w:rsid w:val="38767A34"/>
    <w:rsid w:val="38787C50"/>
    <w:rsid w:val="38BF587F"/>
    <w:rsid w:val="3911775D"/>
    <w:rsid w:val="39227BBC"/>
    <w:rsid w:val="393E32BB"/>
    <w:rsid w:val="39974106"/>
    <w:rsid w:val="39BA6046"/>
    <w:rsid w:val="3A125E82"/>
    <w:rsid w:val="3A15327D"/>
    <w:rsid w:val="3A3A5C00"/>
    <w:rsid w:val="3A8C79E3"/>
    <w:rsid w:val="3A8D5509"/>
    <w:rsid w:val="3A995C5C"/>
    <w:rsid w:val="3AA52853"/>
    <w:rsid w:val="3AC161F9"/>
    <w:rsid w:val="3AE8273F"/>
    <w:rsid w:val="3AF31810"/>
    <w:rsid w:val="3B1D688D"/>
    <w:rsid w:val="3B2E2848"/>
    <w:rsid w:val="3B585B17"/>
    <w:rsid w:val="3BDB4052"/>
    <w:rsid w:val="3BE15B0C"/>
    <w:rsid w:val="3C7C75E3"/>
    <w:rsid w:val="3CC46833"/>
    <w:rsid w:val="3CCB2319"/>
    <w:rsid w:val="3CED228F"/>
    <w:rsid w:val="3D121CF5"/>
    <w:rsid w:val="3D204412"/>
    <w:rsid w:val="3D9E6724"/>
    <w:rsid w:val="3DE2791A"/>
    <w:rsid w:val="3DEA67CE"/>
    <w:rsid w:val="3E75253C"/>
    <w:rsid w:val="3E832EAB"/>
    <w:rsid w:val="3EFB6EE5"/>
    <w:rsid w:val="3EFDDE87"/>
    <w:rsid w:val="3F5605BF"/>
    <w:rsid w:val="3F9B06C8"/>
    <w:rsid w:val="3FC25C55"/>
    <w:rsid w:val="3FC4377B"/>
    <w:rsid w:val="3FC512A1"/>
    <w:rsid w:val="3FD85478"/>
    <w:rsid w:val="3FEB51AC"/>
    <w:rsid w:val="409A0980"/>
    <w:rsid w:val="409B6FCA"/>
    <w:rsid w:val="40B41A41"/>
    <w:rsid w:val="40E439A9"/>
    <w:rsid w:val="40F55BB6"/>
    <w:rsid w:val="418036D2"/>
    <w:rsid w:val="41911D83"/>
    <w:rsid w:val="419B2857"/>
    <w:rsid w:val="41AF045B"/>
    <w:rsid w:val="41C23CEA"/>
    <w:rsid w:val="41D13F2D"/>
    <w:rsid w:val="41D71DA8"/>
    <w:rsid w:val="41E06866"/>
    <w:rsid w:val="41E33C60"/>
    <w:rsid w:val="41E579D9"/>
    <w:rsid w:val="429A6A15"/>
    <w:rsid w:val="42AC04F6"/>
    <w:rsid w:val="42E44134"/>
    <w:rsid w:val="42F223AD"/>
    <w:rsid w:val="430B346F"/>
    <w:rsid w:val="435C3CCA"/>
    <w:rsid w:val="436F7EA2"/>
    <w:rsid w:val="442E5667"/>
    <w:rsid w:val="44476729"/>
    <w:rsid w:val="44935E12"/>
    <w:rsid w:val="44B244EA"/>
    <w:rsid w:val="45091C30"/>
    <w:rsid w:val="454964D0"/>
    <w:rsid w:val="45CF2E79"/>
    <w:rsid w:val="4614088C"/>
    <w:rsid w:val="46250CEB"/>
    <w:rsid w:val="46274A64"/>
    <w:rsid w:val="464E1E8A"/>
    <w:rsid w:val="46BD2CD2"/>
    <w:rsid w:val="46E22739"/>
    <w:rsid w:val="46F10BCE"/>
    <w:rsid w:val="470E352E"/>
    <w:rsid w:val="47176886"/>
    <w:rsid w:val="471825FE"/>
    <w:rsid w:val="472B0583"/>
    <w:rsid w:val="477C2B8D"/>
    <w:rsid w:val="47D26C51"/>
    <w:rsid w:val="47D46525"/>
    <w:rsid w:val="48276F9D"/>
    <w:rsid w:val="48DC7D87"/>
    <w:rsid w:val="493C6A78"/>
    <w:rsid w:val="495D254A"/>
    <w:rsid w:val="49935F6C"/>
    <w:rsid w:val="49940662"/>
    <w:rsid w:val="49E862B8"/>
    <w:rsid w:val="4ADB406F"/>
    <w:rsid w:val="4B7C13AE"/>
    <w:rsid w:val="4B810772"/>
    <w:rsid w:val="4C2757BD"/>
    <w:rsid w:val="4C3C0B3D"/>
    <w:rsid w:val="4C6611ED"/>
    <w:rsid w:val="4CCE3E8B"/>
    <w:rsid w:val="4D1473C4"/>
    <w:rsid w:val="4D1878AA"/>
    <w:rsid w:val="4D225F85"/>
    <w:rsid w:val="4D2717ED"/>
    <w:rsid w:val="4D4E28D6"/>
    <w:rsid w:val="4D537EEC"/>
    <w:rsid w:val="4D5D3BD3"/>
    <w:rsid w:val="4D834C75"/>
    <w:rsid w:val="4DC40DEA"/>
    <w:rsid w:val="4E1E04FA"/>
    <w:rsid w:val="4E265601"/>
    <w:rsid w:val="4E8A3DE2"/>
    <w:rsid w:val="4EB7F892"/>
    <w:rsid w:val="4FAA2CE7"/>
    <w:rsid w:val="4FDA66A3"/>
    <w:rsid w:val="4FFA4F97"/>
    <w:rsid w:val="50760AC1"/>
    <w:rsid w:val="50FE0AB7"/>
    <w:rsid w:val="5124051D"/>
    <w:rsid w:val="514364CA"/>
    <w:rsid w:val="518E5997"/>
    <w:rsid w:val="51B86EB8"/>
    <w:rsid w:val="51C969CF"/>
    <w:rsid w:val="520914C1"/>
    <w:rsid w:val="524424F9"/>
    <w:rsid w:val="526112FD"/>
    <w:rsid w:val="52646DB7"/>
    <w:rsid w:val="526B5CD8"/>
    <w:rsid w:val="533662E6"/>
    <w:rsid w:val="53B86CFB"/>
    <w:rsid w:val="540168F4"/>
    <w:rsid w:val="542B3971"/>
    <w:rsid w:val="5486504B"/>
    <w:rsid w:val="54A86D6F"/>
    <w:rsid w:val="54D73AF9"/>
    <w:rsid w:val="54E81862"/>
    <w:rsid w:val="552A0475"/>
    <w:rsid w:val="552F56E3"/>
    <w:rsid w:val="55630EE8"/>
    <w:rsid w:val="559317CE"/>
    <w:rsid w:val="55CC2F32"/>
    <w:rsid w:val="567333AD"/>
    <w:rsid w:val="56DA167E"/>
    <w:rsid w:val="56DF0A43"/>
    <w:rsid w:val="57603931"/>
    <w:rsid w:val="576F0018"/>
    <w:rsid w:val="578D10CB"/>
    <w:rsid w:val="57C75011"/>
    <w:rsid w:val="57D52571"/>
    <w:rsid w:val="57E26A3C"/>
    <w:rsid w:val="58150BC0"/>
    <w:rsid w:val="581F1A3E"/>
    <w:rsid w:val="58262DCD"/>
    <w:rsid w:val="58417C07"/>
    <w:rsid w:val="58535244"/>
    <w:rsid w:val="587A6C75"/>
    <w:rsid w:val="58BC103B"/>
    <w:rsid w:val="58D36385"/>
    <w:rsid w:val="594B23BF"/>
    <w:rsid w:val="594D5D76"/>
    <w:rsid w:val="59657925"/>
    <w:rsid w:val="597731B4"/>
    <w:rsid w:val="598A2EE8"/>
    <w:rsid w:val="599C2C1B"/>
    <w:rsid w:val="59D4591D"/>
    <w:rsid w:val="59F20A8D"/>
    <w:rsid w:val="5A37717F"/>
    <w:rsid w:val="5A5915AC"/>
    <w:rsid w:val="5A871B1D"/>
    <w:rsid w:val="5A981634"/>
    <w:rsid w:val="5ABBC979"/>
    <w:rsid w:val="5AF56A87"/>
    <w:rsid w:val="5B351579"/>
    <w:rsid w:val="5B80134A"/>
    <w:rsid w:val="5B863B83"/>
    <w:rsid w:val="5BFC7B3B"/>
    <w:rsid w:val="5C5F68AD"/>
    <w:rsid w:val="5C661EEB"/>
    <w:rsid w:val="5CA6628A"/>
    <w:rsid w:val="5D1256CE"/>
    <w:rsid w:val="5D1C654D"/>
    <w:rsid w:val="5D3513BC"/>
    <w:rsid w:val="5D6E48CE"/>
    <w:rsid w:val="5D901D26"/>
    <w:rsid w:val="5D9F0F2C"/>
    <w:rsid w:val="5DC82230"/>
    <w:rsid w:val="5E021BE6"/>
    <w:rsid w:val="5E115985"/>
    <w:rsid w:val="5E77C7C6"/>
    <w:rsid w:val="5E820631"/>
    <w:rsid w:val="5F13572D"/>
    <w:rsid w:val="5F1C6CD8"/>
    <w:rsid w:val="5F3F29C6"/>
    <w:rsid w:val="5F8751DE"/>
    <w:rsid w:val="5FFFAAE0"/>
    <w:rsid w:val="600A4D82"/>
    <w:rsid w:val="6054424F"/>
    <w:rsid w:val="60793CB6"/>
    <w:rsid w:val="60830691"/>
    <w:rsid w:val="608E7761"/>
    <w:rsid w:val="60996106"/>
    <w:rsid w:val="60AF1ED3"/>
    <w:rsid w:val="612C0D28"/>
    <w:rsid w:val="61642270"/>
    <w:rsid w:val="61EB2991"/>
    <w:rsid w:val="61F75025"/>
    <w:rsid w:val="622F0AD0"/>
    <w:rsid w:val="623460E6"/>
    <w:rsid w:val="62B40FD5"/>
    <w:rsid w:val="62CA07F9"/>
    <w:rsid w:val="62F87114"/>
    <w:rsid w:val="6311467A"/>
    <w:rsid w:val="63212B0F"/>
    <w:rsid w:val="63343EC4"/>
    <w:rsid w:val="638C3D00"/>
    <w:rsid w:val="638D1F52"/>
    <w:rsid w:val="64151F48"/>
    <w:rsid w:val="646F3406"/>
    <w:rsid w:val="646F78AA"/>
    <w:rsid w:val="64850E7B"/>
    <w:rsid w:val="64BC23C3"/>
    <w:rsid w:val="64D8544F"/>
    <w:rsid w:val="64D94D23"/>
    <w:rsid w:val="64F32289"/>
    <w:rsid w:val="65744A4C"/>
    <w:rsid w:val="65815AE7"/>
    <w:rsid w:val="66347B2F"/>
    <w:rsid w:val="665E1984"/>
    <w:rsid w:val="666B22F3"/>
    <w:rsid w:val="667FD72C"/>
    <w:rsid w:val="66B94E0C"/>
    <w:rsid w:val="67277FC8"/>
    <w:rsid w:val="6764121C"/>
    <w:rsid w:val="67E4410B"/>
    <w:rsid w:val="68000819"/>
    <w:rsid w:val="68103152"/>
    <w:rsid w:val="681E586F"/>
    <w:rsid w:val="682E5386"/>
    <w:rsid w:val="68444BA9"/>
    <w:rsid w:val="684B418A"/>
    <w:rsid w:val="688431F8"/>
    <w:rsid w:val="690600B1"/>
    <w:rsid w:val="692844CB"/>
    <w:rsid w:val="69531548"/>
    <w:rsid w:val="69C97A5C"/>
    <w:rsid w:val="69D837FB"/>
    <w:rsid w:val="6A12486A"/>
    <w:rsid w:val="6A331379"/>
    <w:rsid w:val="6A527A52"/>
    <w:rsid w:val="6A554E4C"/>
    <w:rsid w:val="6ABE64BE"/>
    <w:rsid w:val="6B1116BB"/>
    <w:rsid w:val="6B3B6738"/>
    <w:rsid w:val="6B3E1D84"/>
    <w:rsid w:val="6B5F16C5"/>
    <w:rsid w:val="6B80239C"/>
    <w:rsid w:val="6C0905E4"/>
    <w:rsid w:val="6C1D408F"/>
    <w:rsid w:val="6C315445"/>
    <w:rsid w:val="6C727F37"/>
    <w:rsid w:val="6C7D68DC"/>
    <w:rsid w:val="6C9F6852"/>
    <w:rsid w:val="6CF3EA5A"/>
    <w:rsid w:val="6D156B14"/>
    <w:rsid w:val="6D6F4477"/>
    <w:rsid w:val="6DA90639"/>
    <w:rsid w:val="6DD62748"/>
    <w:rsid w:val="6DD864C0"/>
    <w:rsid w:val="6DE05374"/>
    <w:rsid w:val="6DFE57FA"/>
    <w:rsid w:val="6E470F4F"/>
    <w:rsid w:val="6E6E472E"/>
    <w:rsid w:val="6E8E6B7E"/>
    <w:rsid w:val="6E970129"/>
    <w:rsid w:val="6ECE341F"/>
    <w:rsid w:val="6F8F2BAE"/>
    <w:rsid w:val="6F906926"/>
    <w:rsid w:val="6FA7614A"/>
    <w:rsid w:val="6FBF3C48"/>
    <w:rsid w:val="6FE0340A"/>
    <w:rsid w:val="70587444"/>
    <w:rsid w:val="708741CD"/>
    <w:rsid w:val="70AB7EBB"/>
    <w:rsid w:val="70ED2282"/>
    <w:rsid w:val="70F01D72"/>
    <w:rsid w:val="711F4406"/>
    <w:rsid w:val="713E2ADE"/>
    <w:rsid w:val="71526589"/>
    <w:rsid w:val="71573B9F"/>
    <w:rsid w:val="71641E18"/>
    <w:rsid w:val="71BB2380"/>
    <w:rsid w:val="71E511AB"/>
    <w:rsid w:val="71F907B3"/>
    <w:rsid w:val="722A3062"/>
    <w:rsid w:val="72606A84"/>
    <w:rsid w:val="72785B7B"/>
    <w:rsid w:val="729D1A86"/>
    <w:rsid w:val="72C2773E"/>
    <w:rsid w:val="72E43211"/>
    <w:rsid w:val="73102258"/>
    <w:rsid w:val="733C4DFB"/>
    <w:rsid w:val="73840550"/>
    <w:rsid w:val="73BA21C4"/>
    <w:rsid w:val="742C1313"/>
    <w:rsid w:val="743E1047"/>
    <w:rsid w:val="74597C2E"/>
    <w:rsid w:val="74D472B5"/>
    <w:rsid w:val="753C4E9B"/>
    <w:rsid w:val="75986535"/>
    <w:rsid w:val="759E7FEF"/>
    <w:rsid w:val="762229CE"/>
    <w:rsid w:val="76805946"/>
    <w:rsid w:val="768A40CF"/>
    <w:rsid w:val="769B7804"/>
    <w:rsid w:val="76E97048"/>
    <w:rsid w:val="777A05E8"/>
    <w:rsid w:val="77933457"/>
    <w:rsid w:val="779C055E"/>
    <w:rsid w:val="779FCBF0"/>
    <w:rsid w:val="77E67A2B"/>
    <w:rsid w:val="77F7E21B"/>
    <w:rsid w:val="781113A7"/>
    <w:rsid w:val="786848E4"/>
    <w:rsid w:val="78A07BDA"/>
    <w:rsid w:val="78B418D7"/>
    <w:rsid w:val="78CC09CF"/>
    <w:rsid w:val="7919798C"/>
    <w:rsid w:val="791D122B"/>
    <w:rsid w:val="791E6510"/>
    <w:rsid w:val="79211912"/>
    <w:rsid w:val="794A5D98"/>
    <w:rsid w:val="798017B9"/>
    <w:rsid w:val="79927E6B"/>
    <w:rsid w:val="79A27982"/>
    <w:rsid w:val="79E1494E"/>
    <w:rsid w:val="79E2F975"/>
    <w:rsid w:val="79E65AC0"/>
    <w:rsid w:val="79F93A46"/>
    <w:rsid w:val="7A2F56B9"/>
    <w:rsid w:val="7A6510DB"/>
    <w:rsid w:val="7A792DD8"/>
    <w:rsid w:val="7A7C6425"/>
    <w:rsid w:val="7A7E03EF"/>
    <w:rsid w:val="7AA5597C"/>
    <w:rsid w:val="7AAA11E4"/>
    <w:rsid w:val="7AAC6D0A"/>
    <w:rsid w:val="7AC35E02"/>
    <w:rsid w:val="7B14665D"/>
    <w:rsid w:val="7B3BDBF2"/>
    <w:rsid w:val="7B4A647D"/>
    <w:rsid w:val="7B8E6410"/>
    <w:rsid w:val="7B9C6D7F"/>
    <w:rsid w:val="7C8D4A41"/>
    <w:rsid w:val="7CED7166"/>
    <w:rsid w:val="7CF14EA8"/>
    <w:rsid w:val="7D1C7A4B"/>
    <w:rsid w:val="7D256900"/>
    <w:rsid w:val="7D747887"/>
    <w:rsid w:val="7DEE3196"/>
    <w:rsid w:val="7DF52776"/>
    <w:rsid w:val="7E074257"/>
    <w:rsid w:val="7E094473"/>
    <w:rsid w:val="7E3C65F7"/>
    <w:rsid w:val="7E640205"/>
    <w:rsid w:val="7E725B75"/>
    <w:rsid w:val="7E9C0E44"/>
    <w:rsid w:val="7EBA751C"/>
    <w:rsid w:val="7EBDCBBF"/>
    <w:rsid w:val="7EC74CC1"/>
    <w:rsid w:val="7ED00AED"/>
    <w:rsid w:val="7EE6408F"/>
    <w:rsid w:val="7EEF18BB"/>
    <w:rsid w:val="7F0013D2"/>
    <w:rsid w:val="7F160BF6"/>
    <w:rsid w:val="7F3EB32E"/>
    <w:rsid w:val="7F5F3F3B"/>
    <w:rsid w:val="7F5FE5E8"/>
    <w:rsid w:val="7F7FC8C5"/>
    <w:rsid w:val="7F8C2C66"/>
    <w:rsid w:val="7FC543CA"/>
    <w:rsid w:val="7FE72592"/>
    <w:rsid w:val="7FEE3921"/>
    <w:rsid w:val="7FFDE9AB"/>
    <w:rsid w:val="7FFEB77D"/>
    <w:rsid w:val="7FFFADA2"/>
    <w:rsid w:val="9ED5792A"/>
    <w:rsid w:val="AEFFB886"/>
    <w:rsid w:val="BEFF7926"/>
    <w:rsid w:val="CF12F568"/>
    <w:rsid w:val="D5FA1A43"/>
    <w:rsid w:val="DEBF7731"/>
    <w:rsid w:val="E39F96A6"/>
    <w:rsid w:val="E6DFCF67"/>
    <w:rsid w:val="EBB76B61"/>
    <w:rsid w:val="EF5D853A"/>
    <w:rsid w:val="F6D78CAF"/>
    <w:rsid w:val="F7DA3342"/>
    <w:rsid w:val="FBD266D3"/>
    <w:rsid w:val="FBFF7914"/>
    <w:rsid w:val="FDBFA637"/>
    <w:rsid w:val="FE6B70D4"/>
    <w:rsid w:val="FF2C1D8F"/>
    <w:rsid w:val="FF7BB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beforeLines="0" w:afterLines="0"/>
      <w:ind w:firstLine="420"/>
    </w:pPr>
    <w:rPr>
      <w:rFonts w:hint="default"/>
      <w:sz w:val="32"/>
    </w:rPr>
  </w:style>
  <w:style w:type="paragraph" w:styleId="3">
    <w:name w:val="Body Text Indent"/>
    <w:basedOn w:val="1"/>
    <w:unhideWhenUsed/>
    <w:qFormat/>
    <w:uiPriority w:val="0"/>
    <w:pPr>
      <w:spacing w:beforeLines="0" w:afterLines="0"/>
      <w:ind w:firstLine="640" w:firstLineChars="200"/>
    </w:pPr>
    <w:rPr>
      <w:rFonts w:hint="default"/>
      <w:sz w:val="32"/>
    </w:rPr>
  </w:style>
  <w:style w:type="paragraph" w:styleId="5">
    <w:name w:val="Body Text"/>
    <w:basedOn w:val="1"/>
    <w:qFormat/>
    <w:uiPriority w:val="0"/>
    <w:pPr>
      <w:widowControl w:val="0"/>
      <w:jc w:val="both"/>
    </w:pPr>
    <w:rPr>
      <w:rFonts w:ascii="Times New Roman" w:hAnsi="Times New Roman" w:eastAsia="楷体_GB2312" w:cs="Times New Roman"/>
      <w:kern w:val="2"/>
      <w:sz w:val="21"/>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标题1"/>
    <w:basedOn w:val="4"/>
    <w:qFormat/>
    <w:uiPriority w:val="0"/>
    <w:rPr>
      <w:rFonts w:eastAsia="黑体"/>
    </w:rPr>
  </w:style>
  <w:style w:type="paragraph" w:customStyle="1" w:styleId="13">
    <w:name w:val="首行缩进"/>
    <w:basedOn w:val="1"/>
    <w:qFormat/>
    <w:uiPriority w:val="0"/>
    <w:pPr>
      <w:ind w:firstLine="480" w:firstLineChars="200"/>
    </w:pPr>
    <w:rPr>
      <w:lang w:val="zh-CN"/>
    </w:rPr>
  </w:style>
  <w:style w:type="paragraph" w:customStyle="1" w:styleId="14">
    <w:name w:val="BodyText"/>
    <w:basedOn w:val="1"/>
    <w:qFormat/>
    <w:uiPriority w:val="0"/>
    <w:pPr>
      <w:jc w:val="both"/>
      <w:textAlignment w:val="baseline"/>
    </w:pPr>
  </w:style>
  <w:style w:type="paragraph" w:customStyle="1" w:styleId="15">
    <w:name w:val="无间隔"/>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5453</Words>
  <Characters>5840</Characters>
  <Lines>0</Lines>
  <Paragraphs>0</Paragraphs>
  <TotalTime>10</TotalTime>
  <ScaleCrop>false</ScaleCrop>
  <LinksUpToDate>false</LinksUpToDate>
  <CharactersWithSpaces>6036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2024-02-24T02:03:00Z</dcterms:created>
  <dc:creator>1402836399</dc:creator>
  <cp:lastModifiedBy>WPS_1621561607</cp:lastModifiedBy>
  <cp:lastPrinted>2025-04-11T02:25:00Z</cp:lastPrinted>
  <dcterms:modified xsi:type="dcterms:W3CDTF">2025-09-12T08:27:57Z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2E59967559EAD85B47E0F5671AAD0169_43</vt:lpwstr>
  </property>
  <property fmtid="{D5CDD505-2E9C-101B-9397-08002B2CF9AE}" pid="4" name="KSOTemplateDocerSaveRecord">
    <vt:lpwstr>eyJoZGlkIjoiMWRkMTc4MmFlNmUxZWVhNzFlZDkxNWE1OWRlZTgxN2QiLCJ1c2VySWQiOiIxMjE0NTQ1Mjc2In0=</vt:lpwstr>
  </property>
</Properties>
</file>