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D44B8F">
      <w:pPr>
        <w:pStyle w:val="12"/>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6DDF200A">
      <w:pPr>
        <w:pStyle w:val="12"/>
        <w:jc w:val="center"/>
        <w:rPr>
          <w:rFonts w:ascii="Times New Roman" w:hAnsi="Times New Roman" w:cs="Times New Roman"/>
          <w:sz w:val="56"/>
          <w:szCs w:val="56"/>
        </w:rPr>
      </w:pPr>
    </w:p>
    <w:p w14:paraId="18DBF576">
      <w:pPr>
        <w:pStyle w:val="12"/>
        <w:jc w:val="center"/>
        <w:rPr>
          <w:rFonts w:ascii="Times New Roman" w:hAnsi="Times New Roman" w:cs="Times New Roman"/>
          <w:sz w:val="84"/>
          <w:szCs w:val="84"/>
        </w:rPr>
      </w:pPr>
    </w:p>
    <w:p w14:paraId="3C0EA0D9">
      <w:pPr>
        <w:pStyle w:val="12"/>
        <w:jc w:val="center"/>
        <w:rPr>
          <w:rFonts w:ascii="Times New Roman" w:hAnsi="Times New Roman" w:cs="Times New Roman"/>
          <w:sz w:val="84"/>
          <w:szCs w:val="84"/>
        </w:rPr>
      </w:pPr>
    </w:p>
    <w:p w14:paraId="34C25A2F">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5953069D">
      <w:pPr>
        <w:pStyle w:val="12"/>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eastAsia="zh-CN"/>
        </w:rPr>
        <w:t>中国共产党怀化市委员会办公室</w:t>
      </w:r>
      <w:r>
        <w:rPr>
          <w:rFonts w:ascii="Times New Roman" w:hAnsi="Times New Roman" w:eastAsia="方正小标宋简体" w:cs="Times New Roman"/>
          <w:sz w:val="72"/>
          <w:szCs w:val="72"/>
        </w:rPr>
        <w:t>部门决算</w:t>
      </w:r>
    </w:p>
    <w:p w14:paraId="7B9FA101">
      <w:pPr>
        <w:pStyle w:val="12"/>
        <w:jc w:val="center"/>
        <w:rPr>
          <w:rFonts w:ascii="Times New Roman" w:hAnsi="Times New Roman" w:eastAsia="方正小标宋_GBK" w:cs="Times New Roman"/>
          <w:sz w:val="56"/>
          <w:szCs w:val="56"/>
        </w:rPr>
      </w:pPr>
    </w:p>
    <w:p w14:paraId="71835DB2">
      <w:pPr>
        <w:pStyle w:val="12"/>
        <w:jc w:val="center"/>
        <w:rPr>
          <w:rFonts w:ascii="Times New Roman" w:hAnsi="Times New Roman" w:cs="Times New Roman"/>
          <w:sz w:val="56"/>
          <w:szCs w:val="56"/>
        </w:rPr>
      </w:pPr>
    </w:p>
    <w:p w14:paraId="045B647C">
      <w:pPr>
        <w:pStyle w:val="12"/>
        <w:rPr>
          <w:rFonts w:ascii="Times New Roman" w:hAnsi="Times New Roman" w:cs="Times New Roman"/>
          <w:sz w:val="56"/>
          <w:szCs w:val="56"/>
        </w:rPr>
      </w:pPr>
    </w:p>
    <w:p w14:paraId="6894400C">
      <w:pPr>
        <w:pStyle w:val="12"/>
        <w:jc w:val="center"/>
        <w:rPr>
          <w:rFonts w:ascii="Times New Roman" w:hAnsi="Times New Roman" w:cs="Times New Roman"/>
          <w:sz w:val="32"/>
          <w:szCs w:val="32"/>
        </w:rPr>
      </w:pPr>
    </w:p>
    <w:p w14:paraId="0BB9500D">
      <w:pPr>
        <w:pStyle w:val="12"/>
        <w:jc w:val="center"/>
        <w:rPr>
          <w:rFonts w:ascii="Times New Roman" w:hAnsi="Times New Roman" w:cs="Times New Roman"/>
          <w:sz w:val="32"/>
          <w:szCs w:val="32"/>
        </w:rPr>
      </w:pPr>
    </w:p>
    <w:p w14:paraId="253C4F21">
      <w:pPr>
        <w:pStyle w:val="12"/>
        <w:jc w:val="center"/>
        <w:rPr>
          <w:rFonts w:ascii="Times New Roman" w:hAnsi="Times New Roman" w:cs="Times New Roman"/>
          <w:sz w:val="32"/>
          <w:szCs w:val="32"/>
        </w:rPr>
      </w:pPr>
    </w:p>
    <w:p w14:paraId="5ED64877">
      <w:pPr>
        <w:pStyle w:val="12"/>
        <w:jc w:val="center"/>
        <w:rPr>
          <w:rFonts w:ascii="Times New Roman" w:hAnsi="Times New Roman" w:cs="Times New Roman"/>
          <w:sz w:val="32"/>
          <w:szCs w:val="32"/>
        </w:rPr>
      </w:pPr>
    </w:p>
    <w:p w14:paraId="3F53D80F">
      <w:pPr>
        <w:pStyle w:val="12"/>
        <w:jc w:val="center"/>
        <w:rPr>
          <w:rFonts w:ascii="Times New Roman" w:hAnsi="Times New Roman" w:cs="Times New Roman"/>
          <w:sz w:val="32"/>
          <w:szCs w:val="32"/>
        </w:rPr>
      </w:pPr>
    </w:p>
    <w:p w14:paraId="43DD088E">
      <w:pPr>
        <w:pStyle w:val="12"/>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6C3BFBE9">
      <w:pPr>
        <w:pStyle w:val="12"/>
        <w:spacing w:line="600" w:lineRule="exact"/>
        <w:jc w:val="both"/>
        <w:rPr>
          <w:rFonts w:ascii="Times New Roman" w:hAnsi="Times New Roman" w:cs="Times New Roman"/>
          <w:b/>
          <w:sz w:val="36"/>
          <w:szCs w:val="28"/>
        </w:rPr>
      </w:pPr>
    </w:p>
    <w:p w14:paraId="16C392B2">
      <w:pPr>
        <w:pStyle w:val="12"/>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09AB3FAC">
      <w:pPr>
        <w:pStyle w:val="12"/>
        <w:spacing w:line="600" w:lineRule="exact"/>
        <w:jc w:val="center"/>
        <w:rPr>
          <w:rFonts w:ascii="Times New Roman" w:hAnsi="Times New Roman" w:cs="Times New Roman"/>
          <w:b/>
          <w:sz w:val="36"/>
          <w:szCs w:val="28"/>
        </w:rPr>
      </w:pPr>
    </w:p>
    <w:p w14:paraId="37F3E808">
      <w:pPr>
        <w:pStyle w:val="12"/>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中国共产党怀化市委员会办公室</w:t>
      </w:r>
      <w:r>
        <w:rPr>
          <w:rFonts w:ascii="Times New Roman" w:hAnsi="Times New Roman" w:cs="Times New Roman"/>
          <w:bCs/>
          <w:sz w:val="32"/>
          <w:szCs w:val="32"/>
        </w:rPr>
        <w:t>概况</w:t>
      </w:r>
    </w:p>
    <w:p w14:paraId="26E2B1B2">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758FFA95">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4B65E192">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4D87F3EB">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3B05EB71">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2DB5B9E2">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5FC16557">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2B5B5A8A">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59A04722">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049742AC">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6B640497">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53C7B2F3">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57147141">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09A8EBAB">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56C66974">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708F2B1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488659C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253F755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0ABA1F5C">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7346C59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0CAB3C0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4B42472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24EEF30C">
      <w:pPr>
        <w:autoSpaceDE w:val="0"/>
        <w:autoSpaceDN w:val="0"/>
        <w:adjustRightInd w:val="0"/>
        <w:spacing w:line="600" w:lineRule="exact"/>
        <w:jc w:val="left"/>
        <w:rPr>
          <w:rFonts w:hint="default" w:ascii="Times New Roman" w:hAnsi="Times New Roman" w:eastAsia="仿宋_GB2312" w:cs="Times New Roman"/>
          <w:color w:val="000000"/>
          <w:kern w:val="0"/>
          <w:sz w:val="32"/>
          <w:szCs w:val="32"/>
          <w:lang w:val="en-US" w:eastAsia="zh-CN"/>
        </w:rPr>
      </w:pPr>
      <w:r>
        <w:rPr>
          <w:rFonts w:hint="eastAsia" w:ascii="Times New Roman" w:hAnsi="Times New Roman" w:eastAsia="仿宋_GB2312" w:cs="Times New Roman"/>
          <w:color w:val="000000"/>
          <w:kern w:val="0"/>
          <w:sz w:val="32"/>
          <w:szCs w:val="32"/>
          <w:lang w:val="en-US" w:eastAsia="zh-CN"/>
        </w:rPr>
        <w:t>九、国有资本经营预算收入支出决算情况</w:t>
      </w:r>
    </w:p>
    <w:p w14:paraId="399D84F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十</w:t>
      </w:r>
      <w:r>
        <w:rPr>
          <w:rFonts w:ascii="Times New Roman" w:hAnsi="Times New Roman" w:eastAsia="仿宋_GB2312" w:cs="Times New Roman"/>
          <w:color w:val="000000"/>
          <w:kern w:val="0"/>
          <w:sz w:val="32"/>
          <w:szCs w:val="32"/>
        </w:rPr>
        <w:t>、关于机关运行经费支出说明</w:t>
      </w:r>
    </w:p>
    <w:p w14:paraId="1E50B5C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val="en-US" w:eastAsia="zh-CN"/>
        </w:rPr>
        <w:t>一</w:t>
      </w:r>
      <w:r>
        <w:rPr>
          <w:rFonts w:ascii="Times New Roman" w:hAnsi="Times New Roman" w:eastAsia="仿宋_GB2312" w:cs="Times New Roman"/>
          <w:color w:val="000000"/>
          <w:kern w:val="0"/>
          <w:sz w:val="32"/>
          <w:szCs w:val="32"/>
        </w:rPr>
        <w:t>、一般性支出情况说明</w:t>
      </w:r>
    </w:p>
    <w:p w14:paraId="2E4CC2F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val="en-US" w:eastAsia="zh-CN"/>
        </w:rPr>
        <w:t>二</w:t>
      </w:r>
      <w:r>
        <w:rPr>
          <w:rFonts w:ascii="Times New Roman" w:hAnsi="Times New Roman" w:eastAsia="仿宋_GB2312" w:cs="Times New Roman"/>
          <w:color w:val="000000"/>
          <w:kern w:val="0"/>
          <w:sz w:val="32"/>
          <w:szCs w:val="32"/>
        </w:rPr>
        <w:t>、关于政府采购支出说明</w:t>
      </w:r>
    </w:p>
    <w:p w14:paraId="38EE26D0">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val="en-US" w:eastAsia="zh-CN"/>
        </w:rPr>
        <w:t>三</w:t>
      </w:r>
      <w:r>
        <w:rPr>
          <w:rFonts w:ascii="Times New Roman" w:hAnsi="Times New Roman" w:eastAsia="仿宋_GB2312" w:cs="Times New Roman"/>
          <w:sz w:val="32"/>
          <w:szCs w:val="32"/>
        </w:rPr>
        <w:t>、关于国有资产占用情况说明</w:t>
      </w:r>
    </w:p>
    <w:p w14:paraId="6CF72BE7">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val="en-US" w:eastAsia="zh-CN"/>
        </w:rPr>
        <w:t>四</w:t>
      </w:r>
      <w:r>
        <w:rPr>
          <w:rFonts w:ascii="Times New Roman" w:hAnsi="Times New Roman" w:eastAsia="仿宋_GB2312" w:cs="Times New Roman"/>
          <w:sz w:val="32"/>
          <w:szCs w:val="32"/>
        </w:rPr>
        <w:t>、关于202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2C816DEB">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2F9F77F8">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1A86583F">
      <w:pPr>
        <w:pStyle w:val="12"/>
        <w:spacing w:line="600" w:lineRule="exact"/>
        <w:rPr>
          <w:rFonts w:ascii="Times New Roman" w:hAnsi="Times New Roman" w:cs="Times New Roman"/>
          <w:bCs/>
          <w:sz w:val="28"/>
          <w:szCs w:val="28"/>
        </w:rPr>
      </w:pPr>
    </w:p>
    <w:p w14:paraId="574D5B21">
      <w:pPr>
        <w:jc w:val="center"/>
        <w:rPr>
          <w:rFonts w:ascii="Times New Roman" w:hAnsi="Times New Roman" w:cs="Times New Roman"/>
          <w:sz w:val="72"/>
          <w:szCs w:val="72"/>
        </w:rPr>
      </w:pPr>
    </w:p>
    <w:p w14:paraId="71B8F120">
      <w:pPr>
        <w:jc w:val="center"/>
        <w:rPr>
          <w:rFonts w:ascii="Times New Roman" w:hAnsi="Times New Roman" w:cs="Times New Roman"/>
          <w:sz w:val="72"/>
          <w:szCs w:val="72"/>
        </w:rPr>
      </w:pPr>
    </w:p>
    <w:p w14:paraId="477085C6">
      <w:pPr>
        <w:pStyle w:val="2"/>
        <w:rPr>
          <w:rFonts w:ascii="Times New Roman" w:hAnsi="Times New Roman" w:cs="Times New Roman"/>
        </w:rPr>
        <w:sectPr>
          <w:footerReference r:id="rId5"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448FD4CC">
      <w:pPr>
        <w:rPr>
          <w:rFonts w:ascii="Times New Roman" w:hAnsi="Times New Roman" w:eastAsia="方正小标宋_GBK" w:cs="Times New Roman"/>
          <w:sz w:val="72"/>
          <w:szCs w:val="72"/>
        </w:rPr>
      </w:pPr>
    </w:p>
    <w:p w14:paraId="5C41A952">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240FDBFD">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中国共产党怀化市委员会办公室</w:t>
      </w:r>
      <w:r>
        <w:rPr>
          <w:rFonts w:ascii="Times New Roman" w:hAnsi="Times New Roman" w:eastAsia="方正小标宋_GBK" w:cs="Times New Roman"/>
          <w:sz w:val="52"/>
          <w:szCs w:val="52"/>
        </w:rPr>
        <w:t>概况</w:t>
      </w:r>
    </w:p>
    <w:p w14:paraId="42540DD0">
      <w:pPr>
        <w:pStyle w:val="3"/>
        <w:ind w:left="0" w:leftChars="0" w:firstLine="0" w:firstLineChars="0"/>
        <w:rPr>
          <w:rFonts w:ascii="Times New Roman" w:hAnsi="Times New Roman" w:cs="Times New Roman"/>
        </w:rPr>
      </w:pPr>
    </w:p>
    <w:p w14:paraId="4508C42B">
      <w:pPr>
        <w:pStyle w:val="13"/>
        <w:spacing w:line="600" w:lineRule="exact"/>
        <w:ind w:firstLine="640" w:firstLineChars="20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3D4F1A6A">
      <w:pPr>
        <w:widowControl/>
        <w:spacing w:line="60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一</w:t>
      </w:r>
      <w:r>
        <w:rPr>
          <w:rFonts w:hint="eastAsia" w:ascii="Times New Roman" w:hAnsi="Times New Roman" w:eastAsia="仿宋_GB2312" w:cs="Times New Roman"/>
          <w:sz w:val="32"/>
          <w:szCs w:val="32"/>
          <w:lang w:eastAsia="zh-CN"/>
        </w:rPr>
        <w:t>）负责市委重要会议的准备和组织协调工作，负责组织安排市委领导同志公务活动，办理市委领导同志交办的事项；</w:t>
      </w:r>
    </w:p>
    <w:p w14:paraId="2EE55E18">
      <w:pPr>
        <w:widowControl/>
        <w:spacing w:line="60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二</w:t>
      </w:r>
      <w:r>
        <w:rPr>
          <w:rFonts w:hint="eastAsia" w:ascii="Times New Roman" w:hAnsi="Times New Roman" w:eastAsia="仿宋_GB2312" w:cs="Times New Roman"/>
          <w:sz w:val="32"/>
          <w:szCs w:val="32"/>
          <w:lang w:eastAsia="zh-CN"/>
        </w:rPr>
        <w:t>）负责市委日常文书的处理，负责市委文件和市委领导同志文稿的起草、校核、印发工作；负责党委（党组）规范性文件的审核、备案、清理，服务市委领导地方立法工作，协调市委法律顾问服务相关的职能；</w:t>
      </w:r>
    </w:p>
    <w:p w14:paraId="4DAEF8CE">
      <w:pPr>
        <w:widowControl/>
        <w:spacing w:line="60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三</w:t>
      </w:r>
      <w:r>
        <w:rPr>
          <w:rFonts w:hint="eastAsia" w:ascii="Times New Roman" w:hAnsi="Times New Roman" w:eastAsia="仿宋_GB2312" w:cs="Times New Roman"/>
          <w:sz w:val="32"/>
          <w:szCs w:val="32"/>
          <w:lang w:eastAsia="zh-CN"/>
        </w:rPr>
        <w:t>）负责省委重大方针政策和省委、市委重要工作部署贯彻落实的督促检查，负责省、市委重要指示及省、市委领导同志重要批示的传达、催办、落实；组织办理人大代表有关建议、政协委员有关提案；</w:t>
      </w:r>
    </w:p>
    <w:p w14:paraId="7E0B85A0">
      <w:pPr>
        <w:widowControl/>
        <w:spacing w:line="60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四</w:t>
      </w:r>
      <w:r>
        <w:rPr>
          <w:rFonts w:hint="eastAsia" w:ascii="Times New Roman" w:hAnsi="Times New Roman" w:eastAsia="仿宋_GB2312" w:cs="Times New Roman"/>
          <w:sz w:val="32"/>
          <w:szCs w:val="32"/>
          <w:lang w:eastAsia="zh-CN"/>
        </w:rPr>
        <w:t>）围绕省、市委工作部署，收集意见，及时、准确、全面地向中央、省委、市委报送信息，反映有关动态，综合调研等；负责以市委名义向省委请示报告工作的归口、把关工作，负责统筹、指导、督促全市党组织重大事项报告工作的职能；</w:t>
      </w:r>
    </w:p>
    <w:p w14:paraId="5C39CC84">
      <w:pPr>
        <w:widowControl/>
        <w:spacing w:line="60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五</w:t>
      </w:r>
      <w:r>
        <w:rPr>
          <w:rFonts w:hint="eastAsia" w:ascii="Times New Roman" w:hAnsi="Times New Roman" w:eastAsia="仿宋_GB2312" w:cs="Times New Roman"/>
          <w:sz w:val="32"/>
          <w:szCs w:val="32"/>
          <w:lang w:eastAsia="zh-CN"/>
        </w:rPr>
        <w:t>）负责市委及市委各部委年度督查检查考核计划的归口审核和全市性年度督查检查考核计划的统一报批、监督实施的职能；</w:t>
      </w:r>
    </w:p>
    <w:p w14:paraId="43993B06">
      <w:pPr>
        <w:widowControl/>
        <w:spacing w:line="60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六</w:t>
      </w:r>
      <w:r>
        <w:rPr>
          <w:rFonts w:hint="eastAsia" w:ascii="Times New Roman" w:hAnsi="Times New Roman" w:eastAsia="仿宋_GB2312" w:cs="Times New Roman"/>
          <w:sz w:val="32"/>
          <w:szCs w:val="32"/>
          <w:lang w:eastAsia="zh-CN"/>
        </w:rPr>
        <w:t>）负责市委值班工作，及时向市委领导同志报送重要情况，协助处理市直各部门和各县（市、区）向市委反映的重要问题，协调有关部门的工作关系；</w:t>
      </w:r>
    </w:p>
    <w:p w14:paraId="4D0D230C">
      <w:pPr>
        <w:widowControl/>
        <w:spacing w:line="60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七</w:t>
      </w:r>
      <w:r>
        <w:rPr>
          <w:rFonts w:hint="eastAsia" w:ascii="Times New Roman" w:hAnsi="Times New Roman" w:eastAsia="仿宋_GB2312" w:cs="Times New Roman"/>
          <w:sz w:val="32"/>
          <w:szCs w:val="32"/>
          <w:lang w:eastAsia="zh-CN"/>
        </w:rPr>
        <w:t>）负责全市DDZWNW、</w:t>
      </w:r>
      <w:r>
        <w:rPr>
          <w:rFonts w:hint="eastAsia" w:ascii="Times New Roman Regular" w:hAnsi="Times New Roman Regular" w:eastAsia="仿宋" w:cs="Times New Roman Regular"/>
          <w:color w:val="auto"/>
          <w:sz w:val="32"/>
          <w:szCs w:val="32"/>
          <w:highlight w:val="none"/>
          <w:lang w:val="en-US" w:eastAsia="zh-CN"/>
        </w:rPr>
        <w:t>DZZYTX</w:t>
      </w:r>
      <w:r>
        <w:rPr>
          <w:rFonts w:hint="eastAsia" w:ascii="Times New Roman" w:hAnsi="Times New Roman" w:eastAsia="仿宋_GB2312" w:cs="Times New Roman"/>
          <w:sz w:val="32"/>
          <w:szCs w:val="32"/>
          <w:lang w:eastAsia="zh-CN"/>
        </w:rPr>
        <w:t>网规划、建设和管理，负责全市电子文件管理工作，做好党政机关电子公文系统安全可靠应用推进、市直单位信息化建设项目前置审查工作的职能；负责中央、省委文件和党、政、军领导机关机要件的传递工作；</w:t>
      </w:r>
    </w:p>
    <w:p w14:paraId="31C9B7EB">
      <w:pPr>
        <w:widowControl/>
        <w:spacing w:line="60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八</w:t>
      </w:r>
      <w:r>
        <w:rPr>
          <w:rFonts w:hint="eastAsia" w:ascii="Times New Roman" w:hAnsi="Times New Roman" w:eastAsia="仿宋_GB2312" w:cs="Times New Roman"/>
          <w:sz w:val="32"/>
          <w:szCs w:val="32"/>
          <w:lang w:eastAsia="zh-CN"/>
        </w:rPr>
        <w:t>）负责全市保密工作的规划、宣传教育、指导协调、监督管理和失泄密案件的查处工作等；</w:t>
      </w:r>
    </w:p>
    <w:p w14:paraId="42F84BC1">
      <w:pPr>
        <w:widowControl/>
        <w:spacing w:line="60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九</w:t>
      </w:r>
      <w:r>
        <w:rPr>
          <w:rFonts w:hint="eastAsia" w:ascii="Times New Roman" w:hAnsi="Times New Roman" w:eastAsia="仿宋_GB2312" w:cs="Times New Roman"/>
          <w:sz w:val="32"/>
          <w:szCs w:val="32"/>
          <w:lang w:eastAsia="zh-CN"/>
        </w:rPr>
        <w:t>）负责全市外事工作和对台、港澳事务管理的工作；</w:t>
      </w:r>
    </w:p>
    <w:p w14:paraId="342614CD">
      <w:pPr>
        <w:widowControl/>
        <w:spacing w:line="60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十</w:t>
      </w:r>
      <w:r>
        <w:rPr>
          <w:rFonts w:hint="eastAsia" w:ascii="Times New Roman" w:hAnsi="Times New Roman" w:eastAsia="仿宋_GB2312" w:cs="Times New Roman"/>
          <w:sz w:val="32"/>
          <w:szCs w:val="32"/>
          <w:lang w:eastAsia="zh-CN"/>
        </w:rPr>
        <w:t>）负责全市档案事业的发展规划、组织协调，全市档案工作的监督和指导，全市档案法规的宣传教育以及依法查处档案违法行为的职能。</w:t>
      </w:r>
    </w:p>
    <w:p w14:paraId="7847CA76">
      <w:pPr>
        <w:widowControl/>
        <w:spacing w:line="600" w:lineRule="exact"/>
        <w:ind w:firstLine="640" w:firstLineChars="200"/>
        <w:rPr>
          <w:rFonts w:ascii="Times New Roman" w:hAnsi="Times New Roman" w:eastAsia="黑体" w:cs="Times New Roman"/>
          <w:bCs/>
          <w:kern w:val="0"/>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十一</w:t>
      </w:r>
      <w:r>
        <w:rPr>
          <w:rFonts w:hint="eastAsia" w:ascii="Times New Roman" w:hAnsi="Times New Roman" w:eastAsia="仿宋_GB2312" w:cs="Times New Roman"/>
          <w:sz w:val="32"/>
          <w:szCs w:val="32"/>
          <w:lang w:eastAsia="zh-CN"/>
        </w:rPr>
        <w:t>）管理市机关事务管理局和管理市档案馆。</w:t>
      </w:r>
    </w:p>
    <w:p w14:paraId="35F7880D">
      <w:pPr>
        <w:widowControl/>
        <w:spacing w:line="600" w:lineRule="exact"/>
        <w:ind w:firstLine="640" w:firstLineChars="200"/>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632BC8DA">
      <w:pPr>
        <w:widowControl/>
        <w:spacing w:line="600" w:lineRule="exact"/>
        <w:ind w:firstLine="640" w:firstLineChars="200"/>
        <w:rPr>
          <w:rFonts w:hint="eastAsia"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r>
        <w:rPr>
          <w:rFonts w:hint="eastAsia" w:ascii="Times New Roman" w:hAnsi="Times New Roman" w:eastAsia="仿宋_GB2312" w:cs="Times New Roman"/>
          <w:bCs/>
          <w:kern w:val="0"/>
          <w:sz w:val="32"/>
          <w:szCs w:val="32"/>
          <w:lang w:eastAsia="zh-CN"/>
        </w:rPr>
        <w:t>中国共产党怀化市委员会办公室</w:t>
      </w:r>
      <w:r>
        <w:rPr>
          <w:rFonts w:hint="eastAsia" w:ascii="Times New Roman" w:hAnsi="Times New Roman" w:eastAsia="仿宋_GB2312" w:cs="Times New Roman"/>
          <w:bCs/>
          <w:kern w:val="0"/>
          <w:sz w:val="32"/>
          <w:szCs w:val="32"/>
        </w:rPr>
        <w:t>作为</w:t>
      </w:r>
      <w:r>
        <w:rPr>
          <w:rFonts w:hint="eastAsia" w:ascii="Times New Roman" w:hAnsi="Times New Roman" w:eastAsia="仿宋_GB2312" w:cs="Times New Roman"/>
          <w:bCs/>
          <w:kern w:val="0"/>
          <w:sz w:val="32"/>
          <w:szCs w:val="32"/>
          <w:lang w:val="en-US" w:eastAsia="zh-CN"/>
        </w:rPr>
        <w:t>一</w:t>
      </w:r>
      <w:r>
        <w:rPr>
          <w:rFonts w:hint="eastAsia" w:ascii="Times New Roman" w:hAnsi="Times New Roman" w:eastAsia="仿宋_GB2312" w:cs="Times New Roman"/>
          <w:bCs/>
          <w:kern w:val="0"/>
          <w:sz w:val="32"/>
          <w:szCs w:val="32"/>
        </w:rPr>
        <w:t>级部门预算单位，现有16个内设职能科室和4个事业单位。内设科室为：秘书一科、秘书二科、秘书三科、综合调研科、督查室（市委督查室）、办文科（市委法规室）、值班和信息科（信访科）、秘书四科、外事科（港澳事务科）、对台工作科、档案行政管理科、密码通信科、密码管理科、ZWNW管理科、综合科、干部科；4个事业单位分别为：对外友好协会办公室、市ZYTX局、信息技术中心、保密技术服务中心。</w:t>
      </w:r>
    </w:p>
    <w:p w14:paraId="70CAF0DD">
      <w:pPr>
        <w:widowControl/>
        <w:spacing w:line="600" w:lineRule="exact"/>
        <w:ind w:firstLine="640" w:firstLineChars="200"/>
        <w:rPr>
          <w:rFonts w:hint="eastAsia" w:ascii="Times New Roman" w:hAnsi="Times New Roman" w:eastAsia="仿宋_GB2312" w:cs="Times New Roman"/>
          <w:bCs/>
          <w:kern w:val="0"/>
          <w:sz w:val="32"/>
          <w:szCs w:val="32"/>
          <w:lang w:eastAsia="zh-CN"/>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Times New Roman"/>
          <w:bCs/>
          <w:kern w:val="0"/>
          <w:sz w:val="32"/>
          <w:szCs w:val="32"/>
          <w:lang w:eastAsia="zh-CN"/>
        </w:rPr>
        <w:t>中国共产党怀化市委员会办公室</w:t>
      </w:r>
      <w:r>
        <w:rPr>
          <w:rFonts w:ascii="Times New Roman" w:hAnsi="Times New Roman" w:eastAsia="仿宋_GB2312" w:cs="Times New Roman"/>
          <w:bCs/>
          <w:kern w:val="0"/>
          <w:sz w:val="32"/>
          <w:szCs w:val="32"/>
        </w:rPr>
        <w:t>202</w:t>
      </w:r>
      <w:r>
        <w:rPr>
          <w:rFonts w:hint="eastAsia" w:ascii="Times New Roman" w:hAnsi="Times New Roman" w:eastAsia="仿宋_GB2312" w:cs="Times New Roman"/>
          <w:bCs/>
          <w:kern w:val="0"/>
          <w:sz w:val="32"/>
          <w:szCs w:val="32"/>
          <w:lang w:val="en-US" w:eastAsia="zh-CN"/>
        </w:rPr>
        <w:t>5</w:t>
      </w:r>
      <w:r>
        <w:rPr>
          <w:rFonts w:ascii="Times New Roman" w:hAnsi="Times New Roman" w:eastAsia="仿宋_GB2312" w:cs="Times New Roman"/>
          <w:bCs/>
          <w:kern w:val="0"/>
          <w:sz w:val="32"/>
          <w:szCs w:val="32"/>
        </w:rPr>
        <w:t>年部门决算汇总公开单位构成包括：</w:t>
      </w:r>
      <w:r>
        <w:rPr>
          <w:rFonts w:hint="eastAsia" w:ascii="Times New Roman" w:hAnsi="Times New Roman" w:eastAsia="仿宋_GB2312" w:cs="Times New Roman"/>
          <w:bCs/>
          <w:kern w:val="0"/>
          <w:sz w:val="32"/>
          <w:szCs w:val="32"/>
          <w:lang w:eastAsia="zh-CN"/>
        </w:rPr>
        <w:t>中国共产党怀化市委员会办公室</w:t>
      </w:r>
      <w:r>
        <w:rPr>
          <w:rFonts w:ascii="Times New Roman" w:hAnsi="Times New Roman" w:eastAsia="仿宋_GB2312" w:cs="Times New Roman"/>
          <w:bCs/>
          <w:kern w:val="0"/>
          <w:sz w:val="32"/>
          <w:szCs w:val="32"/>
        </w:rPr>
        <w:t>本级</w:t>
      </w:r>
      <w:r>
        <w:rPr>
          <w:rFonts w:hint="eastAsia" w:ascii="Times New Roman" w:hAnsi="Times New Roman" w:eastAsia="仿宋_GB2312" w:cs="Times New Roman"/>
          <w:bCs/>
          <w:kern w:val="0"/>
          <w:sz w:val="32"/>
          <w:szCs w:val="32"/>
          <w:lang w:eastAsia="zh-CN"/>
        </w:rPr>
        <w:t>。</w:t>
      </w:r>
    </w:p>
    <w:p w14:paraId="42E37C4A">
      <w:pPr>
        <w:jc w:val="left"/>
        <w:rPr>
          <w:rFonts w:ascii="Times New Roman" w:hAnsi="Times New Roman" w:eastAsia="仿宋_GB2312" w:cs="Times New Roman"/>
          <w:sz w:val="28"/>
          <w:szCs w:val="32"/>
        </w:rPr>
      </w:pPr>
    </w:p>
    <w:p w14:paraId="3C6BE804">
      <w:pPr>
        <w:jc w:val="center"/>
        <w:rPr>
          <w:rFonts w:ascii="Times New Roman" w:hAnsi="Times New Roman" w:eastAsia="黑体" w:cs="Times New Roman"/>
          <w:sz w:val="28"/>
          <w:szCs w:val="28"/>
        </w:rPr>
      </w:pPr>
    </w:p>
    <w:p w14:paraId="4B4E3961">
      <w:pPr>
        <w:jc w:val="center"/>
        <w:rPr>
          <w:rFonts w:ascii="Times New Roman" w:hAnsi="Times New Roman" w:eastAsia="黑体" w:cs="Times New Roman"/>
          <w:sz w:val="28"/>
          <w:szCs w:val="28"/>
        </w:rPr>
      </w:pPr>
    </w:p>
    <w:p w14:paraId="48FFFA79">
      <w:pPr>
        <w:jc w:val="center"/>
        <w:rPr>
          <w:rFonts w:ascii="Times New Roman" w:hAnsi="Times New Roman" w:eastAsia="黑体" w:cs="Times New Roman"/>
          <w:sz w:val="28"/>
          <w:szCs w:val="28"/>
        </w:rPr>
      </w:pPr>
    </w:p>
    <w:p w14:paraId="2A438565">
      <w:pPr>
        <w:jc w:val="center"/>
        <w:rPr>
          <w:rFonts w:ascii="Times New Roman" w:hAnsi="Times New Roman" w:eastAsia="黑体" w:cs="Times New Roman"/>
          <w:sz w:val="28"/>
          <w:szCs w:val="28"/>
        </w:rPr>
      </w:pPr>
    </w:p>
    <w:p w14:paraId="6A7D625D">
      <w:pPr>
        <w:jc w:val="center"/>
        <w:rPr>
          <w:rFonts w:ascii="Times New Roman" w:hAnsi="Times New Roman" w:eastAsia="黑体" w:cs="Times New Roman"/>
          <w:sz w:val="28"/>
          <w:szCs w:val="28"/>
        </w:rPr>
      </w:pPr>
    </w:p>
    <w:p w14:paraId="19146867">
      <w:pPr>
        <w:pStyle w:val="2"/>
        <w:rPr>
          <w:rFonts w:ascii="Times New Roman" w:hAnsi="Times New Roman" w:cs="Times New Roman"/>
        </w:rPr>
        <w:sectPr>
          <w:footerReference r:id="rId6"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27AE0E7F">
      <w:pPr>
        <w:pStyle w:val="12"/>
        <w:spacing w:line="360" w:lineRule="auto"/>
        <w:jc w:val="center"/>
        <w:rPr>
          <w:rFonts w:ascii="Times New Roman" w:hAnsi="Times New Roman" w:eastAsia="方正小标宋_GBK" w:cs="Times New Roman"/>
          <w:sz w:val="52"/>
          <w:szCs w:val="52"/>
        </w:rPr>
      </w:pPr>
    </w:p>
    <w:p w14:paraId="01B3FB35">
      <w:pPr>
        <w:pStyle w:val="12"/>
        <w:spacing w:line="360" w:lineRule="auto"/>
        <w:jc w:val="center"/>
        <w:rPr>
          <w:rFonts w:ascii="Times New Roman" w:hAnsi="Times New Roman" w:eastAsia="方正小标宋_GBK" w:cs="Times New Roman"/>
          <w:sz w:val="52"/>
          <w:szCs w:val="52"/>
        </w:rPr>
      </w:pPr>
    </w:p>
    <w:p w14:paraId="0231DA5D">
      <w:pPr>
        <w:pStyle w:val="12"/>
        <w:spacing w:line="360" w:lineRule="auto"/>
        <w:jc w:val="center"/>
        <w:rPr>
          <w:rFonts w:ascii="Times New Roman" w:hAnsi="Times New Roman" w:eastAsia="方正小标宋_GBK" w:cs="Times New Roman"/>
          <w:sz w:val="52"/>
          <w:szCs w:val="52"/>
        </w:rPr>
      </w:pPr>
    </w:p>
    <w:p w14:paraId="100400C0">
      <w:pPr>
        <w:pStyle w:val="12"/>
        <w:spacing w:line="360" w:lineRule="auto"/>
        <w:jc w:val="center"/>
        <w:rPr>
          <w:rFonts w:ascii="Times New Roman" w:hAnsi="Times New Roman" w:eastAsia="方正小标宋_GBK" w:cs="Times New Roman"/>
          <w:sz w:val="52"/>
          <w:szCs w:val="52"/>
        </w:rPr>
      </w:pPr>
    </w:p>
    <w:p w14:paraId="219100A6">
      <w:pPr>
        <w:pStyle w:val="12"/>
        <w:spacing w:line="360" w:lineRule="auto"/>
        <w:jc w:val="center"/>
        <w:rPr>
          <w:rFonts w:ascii="Times New Roman" w:hAnsi="Times New Roman" w:eastAsia="方正小标宋_GBK" w:cs="Times New Roman"/>
          <w:sz w:val="52"/>
          <w:szCs w:val="52"/>
        </w:rPr>
      </w:pPr>
    </w:p>
    <w:p w14:paraId="48170822">
      <w:pPr>
        <w:pStyle w:val="12"/>
        <w:spacing w:line="360" w:lineRule="auto"/>
        <w:jc w:val="both"/>
        <w:rPr>
          <w:rFonts w:ascii="Times New Roman" w:hAnsi="Times New Roman" w:eastAsia="方正小标宋_GBK" w:cs="Times New Roman"/>
          <w:sz w:val="52"/>
          <w:szCs w:val="52"/>
        </w:rPr>
      </w:pPr>
    </w:p>
    <w:p w14:paraId="15E849D1">
      <w:pPr>
        <w:pStyle w:val="12"/>
        <w:spacing w:line="360" w:lineRule="auto"/>
        <w:jc w:val="center"/>
        <w:rPr>
          <w:rFonts w:ascii="Times New Roman" w:hAnsi="Times New Roman" w:eastAsia="方正小标宋_GBK" w:cs="Times New Roman"/>
          <w:sz w:val="52"/>
          <w:szCs w:val="52"/>
        </w:rPr>
      </w:pPr>
    </w:p>
    <w:p w14:paraId="03EA0D35">
      <w:pPr>
        <w:pStyle w:val="12"/>
        <w:spacing w:line="360" w:lineRule="auto"/>
        <w:jc w:val="center"/>
        <w:rPr>
          <w:rFonts w:ascii="Times New Roman" w:hAnsi="Times New Roman" w:eastAsia="方正小标宋_GBK" w:cs="Times New Roman"/>
          <w:sz w:val="52"/>
          <w:szCs w:val="52"/>
        </w:rPr>
      </w:pPr>
    </w:p>
    <w:p w14:paraId="6F5988E0">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w:t>
      </w:r>
    </w:p>
    <w:p w14:paraId="1231FDBB">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2025年度</w:t>
      </w:r>
      <w:r>
        <w:rPr>
          <w:rFonts w:ascii="Times New Roman" w:hAnsi="Times New Roman" w:eastAsia="方正小标宋_GBK" w:cs="Times New Roman"/>
          <w:sz w:val="52"/>
          <w:szCs w:val="52"/>
        </w:rPr>
        <w:t>部门决算表</w:t>
      </w:r>
    </w:p>
    <w:p w14:paraId="57F94BC2">
      <w:pPr>
        <w:pStyle w:val="12"/>
        <w:spacing w:line="360" w:lineRule="auto"/>
        <w:jc w:val="center"/>
        <w:rPr>
          <w:rFonts w:hint="eastAsia" w:ascii="Times New Roman" w:hAnsi="Times New Roman" w:eastAsia="方正小标宋_GBK" w:cs="Times New Roman"/>
          <w:sz w:val="52"/>
          <w:szCs w:val="52"/>
          <w:lang w:eastAsia="zh-CN"/>
        </w:rPr>
      </w:pPr>
      <w:r>
        <w:rPr>
          <w:rFonts w:hint="eastAsia" w:ascii="Times New Roman" w:hAnsi="Times New Roman" w:eastAsia="方正小标宋_GBK" w:cs="Times New Roman"/>
          <w:sz w:val="52"/>
          <w:szCs w:val="52"/>
          <w:lang w:eastAsia="zh-CN"/>
        </w:rPr>
        <w:t>（</w:t>
      </w:r>
      <w:r>
        <w:rPr>
          <w:rFonts w:hint="eastAsia" w:ascii="Times New Roman" w:hAnsi="Times New Roman" w:eastAsia="方正小标宋_GBK" w:cs="Times New Roman"/>
          <w:sz w:val="52"/>
          <w:szCs w:val="52"/>
          <w:lang w:val="en-US" w:eastAsia="zh-CN"/>
        </w:rPr>
        <w:t>详见附表</w:t>
      </w:r>
      <w:r>
        <w:rPr>
          <w:rFonts w:hint="eastAsia" w:ascii="Times New Roman" w:hAnsi="Times New Roman" w:eastAsia="方正小标宋_GBK" w:cs="Times New Roman"/>
          <w:sz w:val="52"/>
          <w:szCs w:val="52"/>
          <w:lang w:eastAsia="zh-CN"/>
        </w:rPr>
        <w:t>）</w:t>
      </w:r>
    </w:p>
    <w:p w14:paraId="0F694798">
      <w:pPr>
        <w:rPr>
          <w:rFonts w:ascii="Times New Roman" w:hAnsi="Times New Roman" w:cs="Times New Roman"/>
          <w:sz w:val="72"/>
          <w:szCs w:val="72"/>
        </w:rPr>
      </w:pPr>
      <w:r>
        <w:rPr>
          <w:rFonts w:ascii="Times New Roman" w:hAnsi="Times New Roman" w:cs="Times New Roman"/>
          <w:sz w:val="72"/>
          <w:szCs w:val="72"/>
        </w:rPr>
        <w:br w:type="page"/>
      </w:r>
    </w:p>
    <w:p w14:paraId="0FDA0A98">
      <w:pPr>
        <w:pStyle w:val="12"/>
        <w:rPr>
          <w:rFonts w:ascii="Times New Roman" w:hAnsi="Times New Roman" w:cs="Times New Roman"/>
          <w:sz w:val="72"/>
          <w:szCs w:val="72"/>
        </w:rPr>
      </w:pPr>
    </w:p>
    <w:p w14:paraId="1872C2DC">
      <w:pPr>
        <w:pStyle w:val="12"/>
        <w:rPr>
          <w:rFonts w:ascii="Times New Roman" w:hAnsi="Times New Roman" w:cs="Times New Roman"/>
          <w:sz w:val="72"/>
          <w:szCs w:val="72"/>
        </w:rPr>
      </w:pPr>
    </w:p>
    <w:p w14:paraId="3B705C58">
      <w:pPr>
        <w:pStyle w:val="12"/>
        <w:rPr>
          <w:rFonts w:ascii="Times New Roman" w:hAnsi="Times New Roman" w:cs="Times New Roman"/>
          <w:sz w:val="72"/>
          <w:szCs w:val="72"/>
        </w:rPr>
      </w:pPr>
    </w:p>
    <w:p w14:paraId="10F3B1A8">
      <w:pPr>
        <w:pStyle w:val="12"/>
        <w:jc w:val="center"/>
        <w:rPr>
          <w:rFonts w:ascii="Times New Roman" w:hAnsi="Times New Roman" w:cs="Times New Roman"/>
          <w:sz w:val="72"/>
          <w:szCs w:val="72"/>
        </w:rPr>
      </w:pPr>
    </w:p>
    <w:p w14:paraId="3E8F623C">
      <w:pPr>
        <w:pStyle w:val="12"/>
        <w:jc w:val="center"/>
        <w:rPr>
          <w:rFonts w:ascii="Times New Roman" w:hAnsi="Times New Roman" w:eastAsia="方正小标宋_GBK" w:cs="Times New Roman"/>
          <w:sz w:val="72"/>
          <w:szCs w:val="72"/>
        </w:rPr>
      </w:pPr>
    </w:p>
    <w:p w14:paraId="2F3F20F9">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2CF92A4C">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7D0EAD6F">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00301A3D">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5D05E9F5">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rPr>
        <w:t>2</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619.59</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55.63</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2.08</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rPr>
        <w:t>本年度项目经费收入减少，项目支出减少。</w:t>
      </w:r>
    </w:p>
    <w:p w14:paraId="0B4A0876">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DZZYTX建设及维护等重点支出，体现在有关支出科目中。</w:t>
      </w:r>
    </w:p>
    <w:p w14:paraId="275FB39F">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7B21EE23">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rPr>
        <w:t>2</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619.59</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rPr>
        <w:t>2</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619.59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663F0ED4">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52F4D158">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rPr>
        <w:t>2</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619.59</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rPr>
        <w:t>2</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256.33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86.13</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rPr>
        <w:t>363.26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13.87</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6157A3E0">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5D426EED">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rPr>
        <w:t>2</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619.59</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val="en-US" w:eastAsia="zh-CN"/>
        </w:rPr>
        <w:t>减少55.63</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降低2.08</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rPr>
        <w:t>本年度项目经费收入减少，项目支出减少。</w:t>
      </w:r>
    </w:p>
    <w:p w14:paraId="29E2747E">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364A9729">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1A0F6647">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rPr>
        <w:t>2</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619.59</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w:t>
      </w:r>
      <w:r>
        <w:rPr>
          <w:rFonts w:hint="eastAsia" w:ascii="Times New Roman" w:hAnsi="Times New Roman" w:eastAsia="仿宋_GB2312" w:cs="Times New Roman"/>
          <w:sz w:val="32"/>
          <w:szCs w:val="32"/>
          <w:lang w:val="en-US" w:eastAsia="zh-CN"/>
        </w:rPr>
        <w:t>减少55.63</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降低2.08</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rPr>
        <w:t>本年度项目经费收入减少，项目支出减少。</w:t>
      </w:r>
    </w:p>
    <w:p w14:paraId="60964E4A">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35F6317A">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rPr>
        <w:t>2</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619.59</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rPr>
        <w:t>2</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509.79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95.81</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社会保障和就业（类）支出99.16万元，占</w:t>
      </w:r>
      <w:r>
        <w:rPr>
          <w:rFonts w:hint="eastAsia" w:ascii="Times New Roman" w:hAnsi="Times New Roman" w:eastAsia="仿宋_GB2312" w:cs="Times New Roman"/>
          <w:sz w:val="32"/>
          <w:szCs w:val="32"/>
          <w:lang w:val="en-US" w:eastAsia="zh-CN"/>
        </w:rPr>
        <w:t>3.79</w:t>
      </w:r>
      <w:r>
        <w:rPr>
          <w:rFonts w:hint="eastAsia" w:ascii="Times New Roman" w:hAnsi="Times New Roman" w:eastAsia="仿宋_GB2312" w:cs="Times New Roman"/>
          <w:sz w:val="32"/>
          <w:szCs w:val="32"/>
        </w:rPr>
        <w:t>%；卫生健康（类）支出1.75万元，占</w:t>
      </w:r>
      <w:r>
        <w:rPr>
          <w:rFonts w:hint="eastAsia" w:ascii="Times New Roman" w:hAnsi="Times New Roman" w:eastAsia="仿宋_GB2312" w:cs="Times New Roman"/>
          <w:sz w:val="32"/>
          <w:szCs w:val="32"/>
          <w:lang w:val="en-US" w:eastAsia="zh-CN"/>
        </w:rPr>
        <w:t>0.07</w:t>
      </w:r>
      <w:r>
        <w:rPr>
          <w:rFonts w:hint="eastAsia" w:ascii="Times New Roman" w:hAnsi="Times New Roman" w:eastAsia="仿宋_GB2312" w:cs="Times New Roman"/>
          <w:sz w:val="32"/>
          <w:szCs w:val="32"/>
        </w:rPr>
        <w:t>%；住房保障（类）支出8.89万元，占</w:t>
      </w:r>
      <w:r>
        <w:rPr>
          <w:rFonts w:hint="eastAsia" w:ascii="Times New Roman" w:hAnsi="Times New Roman" w:eastAsia="仿宋_GB2312" w:cs="Times New Roman"/>
          <w:sz w:val="32"/>
          <w:szCs w:val="32"/>
          <w:lang w:val="en-US" w:eastAsia="zh-CN"/>
        </w:rPr>
        <w:t>0.34</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 xml:space="preserve"> </w:t>
      </w:r>
    </w:p>
    <w:p w14:paraId="52B9EE22">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hint="eastAsia" w:ascii="Times New Roman" w:hAnsi="Times New Roman" w:eastAsia="仿宋_GB2312" w:cs="Times New Roman"/>
          <w:sz w:val="32"/>
          <w:szCs w:val="32"/>
          <w:lang w:val="en-US" w:eastAsia="zh-CN"/>
        </w:rPr>
        <w:t xml:space="preserve"> </w:t>
      </w:r>
      <w:r>
        <w:rPr>
          <w:rFonts w:ascii="Times New Roman" w:hAnsi="Times New Roman" w:eastAsia="楷体_GB2312" w:cs="Times New Roman"/>
          <w:b/>
          <w:sz w:val="32"/>
          <w:szCs w:val="32"/>
        </w:rPr>
        <w:t>（三）一般公共预算财政拨款支出决算具体情况</w:t>
      </w:r>
    </w:p>
    <w:p w14:paraId="705E74F4">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rPr>
        <w:t>2</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493.6</w:t>
      </w:r>
      <w:r>
        <w:rPr>
          <w:rFonts w:hint="eastAsia" w:ascii="Times New Roman" w:hAnsi="Times New Roman" w:eastAsia="仿宋_GB2312" w:cs="Times New Roman"/>
          <w:sz w:val="32"/>
          <w:szCs w:val="32"/>
          <w:lang w:val="en-US" w:eastAsia="zh-CN"/>
        </w:rPr>
        <w:t>7</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rPr>
        <w:t>2</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619.59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105.05</w:t>
      </w:r>
      <w:r>
        <w:rPr>
          <w:rFonts w:ascii="Times New Roman" w:hAnsi="Times New Roman" w:eastAsia="仿宋_GB2312" w:cs="Times New Roman"/>
          <w:sz w:val="32"/>
          <w:szCs w:val="32"/>
        </w:rPr>
        <w:t>%，其中：</w:t>
      </w:r>
    </w:p>
    <w:p w14:paraId="6583C31D">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w:t>
      </w:r>
      <w:r>
        <w:rPr>
          <w:rFonts w:hint="eastAsia" w:ascii="Times New Roman" w:hAnsi="Times New Roman" w:eastAsia="仿宋_GB2312" w:cs="Times New Roman"/>
          <w:sz w:val="32"/>
          <w:szCs w:val="32"/>
        </w:rPr>
        <w:t>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政府办公厅（室）及相关机构事务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机关服务</w:t>
      </w:r>
      <w:r>
        <w:rPr>
          <w:rFonts w:ascii="Times New Roman" w:hAnsi="Times New Roman" w:eastAsia="仿宋_GB2312" w:cs="Times New Roman"/>
          <w:sz w:val="32"/>
          <w:szCs w:val="32"/>
        </w:rPr>
        <w:t>（项）。</w:t>
      </w:r>
    </w:p>
    <w:p w14:paraId="4AC12EDC">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59.14</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因预算数为零，无法计算百分比</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年中追加市委迎宾馆会议室升级改造项目。</w:t>
      </w:r>
    </w:p>
    <w:p w14:paraId="00BCB1A1">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、一般公共服务</w:t>
      </w:r>
      <w:r>
        <w:rPr>
          <w:rFonts w:hint="eastAsia" w:ascii="Times New Roman" w:hAnsi="Times New Roman" w:eastAsia="仿宋_GB2312" w:cs="Times New Roman"/>
          <w:sz w:val="32"/>
          <w:szCs w:val="32"/>
        </w:rPr>
        <w:t>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党委办公厅（室）及相关机构事务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行政运行</w:t>
      </w:r>
      <w:r>
        <w:rPr>
          <w:rFonts w:ascii="Times New Roman" w:hAnsi="Times New Roman" w:eastAsia="仿宋_GB2312" w:cs="Times New Roman"/>
          <w:sz w:val="32"/>
          <w:szCs w:val="32"/>
        </w:rPr>
        <w:t>（项）。</w:t>
      </w:r>
    </w:p>
    <w:p w14:paraId="3F10EC26">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年初预算为1</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741.93万元，支出决算为1</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790.6</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102.79</w:t>
      </w:r>
      <w:r>
        <w:rPr>
          <w:rFonts w:hint="eastAsia"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2025年在职人员工资提标。</w:t>
      </w:r>
    </w:p>
    <w:p w14:paraId="54C014B6">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、一般公共服务</w:t>
      </w:r>
      <w:r>
        <w:rPr>
          <w:rFonts w:hint="eastAsia" w:ascii="Times New Roman" w:hAnsi="Times New Roman" w:eastAsia="仿宋_GB2312" w:cs="Times New Roman"/>
          <w:sz w:val="32"/>
          <w:szCs w:val="32"/>
        </w:rPr>
        <w:t>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党委办公厅（室）及相关机构事务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其他党委办公厅（室）及相关机构事务支出</w:t>
      </w:r>
      <w:r>
        <w:rPr>
          <w:rFonts w:ascii="Times New Roman" w:hAnsi="Times New Roman" w:eastAsia="仿宋_GB2312" w:cs="Times New Roman"/>
          <w:sz w:val="32"/>
          <w:szCs w:val="32"/>
        </w:rPr>
        <w:t>（项）。</w:t>
      </w:r>
    </w:p>
    <w:p w14:paraId="28E6620C">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年初预算为652.65万元，支出决算为529.38万元，完成年初预算的</w:t>
      </w:r>
      <w:r>
        <w:rPr>
          <w:rFonts w:hint="eastAsia" w:ascii="Times New Roman" w:hAnsi="Times New Roman" w:eastAsia="仿宋_GB2312" w:cs="Times New Roman"/>
          <w:sz w:val="32"/>
          <w:szCs w:val="32"/>
          <w:lang w:val="en-US" w:eastAsia="zh-CN"/>
        </w:rPr>
        <w:t>81.11</w:t>
      </w:r>
      <w:r>
        <w:rPr>
          <w:rFonts w:hint="eastAsia"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小</w:t>
      </w:r>
      <w:r>
        <w:rPr>
          <w:rFonts w:hint="eastAsia" w:ascii="Times New Roman" w:hAnsi="Times New Roman" w:eastAsia="仿宋_GB2312" w:cs="Times New Roman"/>
          <w:sz w:val="32"/>
          <w:szCs w:val="32"/>
        </w:rPr>
        <w:t>于年初预算数的主要原因是：本年度项目经费收入减少，项目支出减少</w:t>
      </w:r>
      <w:r>
        <w:rPr>
          <w:rFonts w:hint="eastAsia" w:ascii="Times New Roman" w:hAnsi="Times New Roman" w:eastAsia="仿宋_GB2312" w:cs="Times New Roman"/>
          <w:sz w:val="32"/>
          <w:szCs w:val="32"/>
          <w:lang w:eastAsia="zh-CN"/>
        </w:rPr>
        <w:t>。</w:t>
      </w:r>
    </w:p>
    <w:p w14:paraId="736FBB2E">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、一般公共服务</w:t>
      </w:r>
      <w:r>
        <w:rPr>
          <w:rFonts w:hint="eastAsia" w:ascii="Times New Roman" w:hAnsi="Times New Roman" w:eastAsia="仿宋_GB2312" w:cs="Times New Roman"/>
          <w:sz w:val="32"/>
          <w:szCs w:val="32"/>
        </w:rPr>
        <w:t>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其他一般公共服务支出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其他一般公共服务支出</w:t>
      </w:r>
      <w:r>
        <w:rPr>
          <w:rFonts w:ascii="Times New Roman" w:hAnsi="Times New Roman" w:eastAsia="仿宋_GB2312" w:cs="Times New Roman"/>
          <w:sz w:val="32"/>
          <w:szCs w:val="32"/>
        </w:rPr>
        <w:t>（项）。</w:t>
      </w:r>
    </w:p>
    <w:p w14:paraId="06AE2F6B">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130.68</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因预算数为零，无法计算百分比</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年终</w:t>
      </w:r>
      <w:r>
        <w:rPr>
          <w:rFonts w:hint="eastAsia" w:ascii="Times New Roman" w:hAnsi="Times New Roman" w:eastAsia="仿宋_GB2312" w:cs="Times New Roman"/>
          <w:sz w:val="32"/>
          <w:szCs w:val="32"/>
        </w:rPr>
        <w:t>预发202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年年度考核奖</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年中追加市委会议费、软硬设备采购经费。</w:t>
      </w:r>
    </w:p>
    <w:p w14:paraId="1C2E9D19">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、社会保障和就业支出（类）行政事业单位养老支出（款）行政单位离退休（项）。</w:t>
      </w:r>
    </w:p>
    <w:p w14:paraId="20809387">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年初预算为99.08万元，支出决算为98.14万元，完成年初预算的</w:t>
      </w:r>
      <w:r>
        <w:rPr>
          <w:rFonts w:hint="eastAsia" w:ascii="Times New Roman" w:hAnsi="Times New Roman" w:eastAsia="仿宋_GB2312" w:cs="Times New Roman"/>
          <w:sz w:val="32"/>
          <w:szCs w:val="32"/>
          <w:lang w:val="en-US" w:eastAsia="zh-CN"/>
        </w:rPr>
        <w:t>99.05</w:t>
      </w:r>
      <w:r>
        <w:rPr>
          <w:rFonts w:hint="eastAsia"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小</w:t>
      </w:r>
      <w:r>
        <w:rPr>
          <w:rFonts w:hint="eastAsia"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val="en-US" w:eastAsia="zh-CN"/>
        </w:rPr>
        <w:t>离退休人员春节一次性生活补助较年初预算减少</w:t>
      </w:r>
      <w:r>
        <w:rPr>
          <w:rFonts w:hint="eastAsia" w:ascii="Times New Roman" w:hAnsi="Times New Roman" w:eastAsia="仿宋_GB2312" w:cs="Times New Roman"/>
          <w:sz w:val="32"/>
          <w:szCs w:val="32"/>
        </w:rPr>
        <w:t>。</w:t>
      </w:r>
    </w:p>
    <w:p w14:paraId="6F0826F1">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6</w:t>
      </w:r>
      <w:r>
        <w:rPr>
          <w:rFonts w:hint="eastAsia" w:ascii="Times New Roman" w:hAnsi="Times New Roman" w:eastAsia="仿宋_GB2312" w:cs="Times New Roman"/>
          <w:sz w:val="32"/>
          <w:szCs w:val="32"/>
        </w:rPr>
        <w:t>、社会保障和就业支出（类）行政事业单位养老支出（款）机关事业单位基本养老保险缴费支出（项）。</w:t>
      </w:r>
    </w:p>
    <w:p w14:paraId="54AA1618">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万元，支出决算为1.02万元，因预算数为零，无法计算百分比</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年中追加</w:t>
      </w:r>
      <w:r>
        <w:rPr>
          <w:rFonts w:hint="eastAsia" w:ascii="Times New Roman" w:hAnsi="Times New Roman" w:eastAsia="仿宋_GB2312" w:cs="Times New Roman"/>
          <w:sz w:val="32"/>
          <w:szCs w:val="32"/>
        </w:rPr>
        <w:t>基本养老保险</w:t>
      </w:r>
      <w:r>
        <w:rPr>
          <w:rFonts w:hint="eastAsia" w:ascii="Times New Roman" w:hAnsi="Times New Roman" w:eastAsia="仿宋_GB2312" w:cs="Times New Roman"/>
          <w:sz w:val="32"/>
          <w:szCs w:val="32"/>
          <w:lang w:val="en-US" w:eastAsia="zh-CN"/>
        </w:rPr>
        <w:t>财政配套资金</w:t>
      </w:r>
      <w:r>
        <w:rPr>
          <w:rFonts w:hint="eastAsia" w:ascii="Times New Roman" w:hAnsi="Times New Roman" w:eastAsia="仿宋_GB2312" w:cs="Times New Roman"/>
          <w:sz w:val="32"/>
          <w:szCs w:val="32"/>
        </w:rPr>
        <w:t>。</w:t>
      </w:r>
    </w:p>
    <w:p w14:paraId="55CF127C">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7</w:t>
      </w:r>
      <w:r>
        <w:rPr>
          <w:rFonts w:hint="eastAsia" w:ascii="Times New Roman" w:hAnsi="Times New Roman" w:eastAsia="仿宋_GB2312" w:cs="Times New Roman"/>
          <w:sz w:val="32"/>
          <w:szCs w:val="32"/>
        </w:rPr>
        <w:t>、卫生健康支出（类）行政事业单位医疗（款）行政单位医疗（项）。</w:t>
      </w:r>
    </w:p>
    <w:p w14:paraId="1EFAC694">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万元，支出决算为1.75万元，因预算数为零，无法计算百分比</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大于</w:t>
      </w:r>
      <w:r>
        <w:rPr>
          <w:rFonts w:hint="eastAsia" w:ascii="Times New Roman" w:hAnsi="Times New Roman" w:eastAsia="仿宋_GB2312" w:cs="Times New Roman"/>
          <w:sz w:val="32"/>
          <w:szCs w:val="32"/>
        </w:rPr>
        <w:t>年初预算数的主要原因是：</w:t>
      </w:r>
      <w:r>
        <w:rPr>
          <w:rFonts w:hint="eastAsia" w:ascii="Times New Roman" w:hAnsi="Times New Roman" w:eastAsia="仿宋_GB2312" w:cs="Times New Roman"/>
          <w:sz w:val="32"/>
          <w:szCs w:val="32"/>
          <w:lang w:val="en-US" w:eastAsia="zh-CN"/>
        </w:rPr>
        <w:t>年中追加</w:t>
      </w:r>
      <w:r>
        <w:rPr>
          <w:rFonts w:hint="eastAsia" w:ascii="Times New Roman" w:hAnsi="Times New Roman" w:eastAsia="仿宋_GB2312" w:cs="Times New Roman"/>
          <w:sz w:val="32"/>
          <w:szCs w:val="32"/>
        </w:rPr>
        <w:t>职工基本医疗保险</w:t>
      </w:r>
      <w:r>
        <w:rPr>
          <w:rFonts w:hint="eastAsia" w:ascii="Times New Roman" w:hAnsi="Times New Roman" w:eastAsia="仿宋_GB2312" w:cs="Times New Roman"/>
          <w:sz w:val="32"/>
          <w:szCs w:val="32"/>
          <w:lang w:val="en-US" w:eastAsia="zh-CN"/>
        </w:rPr>
        <w:t>财政配套资金</w:t>
      </w:r>
      <w:r>
        <w:rPr>
          <w:rFonts w:hint="eastAsia" w:ascii="Times New Roman" w:hAnsi="Times New Roman" w:eastAsia="仿宋_GB2312" w:cs="Times New Roman"/>
          <w:sz w:val="32"/>
          <w:szCs w:val="32"/>
        </w:rPr>
        <w:t>。</w:t>
      </w:r>
    </w:p>
    <w:p w14:paraId="28DC8537">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8</w:t>
      </w:r>
      <w:r>
        <w:rPr>
          <w:rFonts w:hint="eastAsia" w:ascii="Times New Roman" w:hAnsi="Times New Roman" w:eastAsia="仿宋_GB2312" w:cs="Times New Roman"/>
          <w:sz w:val="32"/>
          <w:szCs w:val="32"/>
        </w:rPr>
        <w:t>、住房保障支出（类）住房改革支出（款）住房公积金（项）。</w:t>
      </w:r>
    </w:p>
    <w:p w14:paraId="12866CD3">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万元，支出决算为8.89万元，因预算数为零，无法计算百分比</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年中追加</w:t>
      </w:r>
      <w:r>
        <w:rPr>
          <w:rFonts w:hint="eastAsia" w:ascii="Times New Roman" w:hAnsi="Times New Roman" w:eastAsia="仿宋_GB2312" w:cs="Times New Roman"/>
          <w:sz w:val="32"/>
          <w:szCs w:val="32"/>
        </w:rPr>
        <w:t>住房公积金财政配套</w:t>
      </w:r>
      <w:r>
        <w:rPr>
          <w:rFonts w:hint="eastAsia" w:ascii="Times New Roman" w:hAnsi="Times New Roman" w:eastAsia="仿宋_GB2312" w:cs="Times New Roman"/>
          <w:sz w:val="32"/>
          <w:szCs w:val="32"/>
          <w:lang w:val="en-US" w:eastAsia="zh-CN"/>
        </w:rPr>
        <w:t>资金</w:t>
      </w:r>
      <w:r>
        <w:rPr>
          <w:rFonts w:hint="eastAsia" w:ascii="Times New Roman" w:hAnsi="Times New Roman" w:eastAsia="仿宋_GB2312" w:cs="Times New Roman"/>
          <w:sz w:val="32"/>
          <w:szCs w:val="32"/>
        </w:rPr>
        <w:t>。</w:t>
      </w:r>
    </w:p>
    <w:p w14:paraId="7C2F086C">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3126213F">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rPr>
        <w:t>2</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256.33</w:t>
      </w:r>
      <w:r>
        <w:rPr>
          <w:rFonts w:ascii="Times New Roman" w:hAnsi="Times New Roman" w:eastAsia="仿宋_GB2312" w:cs="Times New Roman"/>
          <w:sz w:val="32"/>
          <w:szCs w:val="32"/>
        </w:rPr>
        <w:t>万元，其中：</w:t>
      </w:r>
    </w:p>
    <w:p w14:paraId="1FDBF33D">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rPr>
        <w:t>1</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791.41</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79.39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主要包括</w:t>
      </w:r>
      <w:r>
        <w:rPr>
          <w:rFonts w:hint="eastAsia" w:ascii="Times New Roman" w:hAnsi="Times New Roman" w:eastAsia="仿宋_GB2312" w:cs="Times New Roman"/>
          <w:sz w:val="32"/>
          <w:szCs w:val="32"/>
        </w:rPr>
        <w:t xml:space="preserve">  基本工资</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津贴补贴</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奖金</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伙食补助费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机关事业单位基本养老保险缴费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职工基本医疗保险缴费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其他社会保障缴费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住房公积金</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医疗费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抚恤金</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生活补助</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医疗费补助</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奖励金</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其他对个人和家庭的补助</w:t>
      </w:r>
      <w:r>
        <w:rPr>
          <w:rFonts w:ascii="Times New Roman" w:hAnsi="Times New Roman" w:eastAsia="仿宋_GB2312" w:cs="Times New Roman"/>
          <w:sz w:val="32"/>
          <w:szCs w:val="32"/>
        </w:rPr>
        <w:t>。</w:t>
      </w:r>
    </w:p>
    <w:p w14:paraId="5B7C8EE3">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rPr>
        <w:t>464.92</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20.61</w:t>
      </w:r>
      <w:r>
        <w:rPr>
          <w:rFonts w:ascii="Times New Roman" w:hAnsi="Times New Roman" w:eastAsia="仿宋_GB2312" w:cs="Times New Roman"/>
          <w:sz w:val="32"/>
          <w:szCs w:val="32"/>
        </w:rPr>
        <w:t>%，主要包括</w:t>
      </w:r>
      <w:r>
        <w:rPr>
          <w:rFonts w:hint="eastAsia" w:ascii="Times New Roman" w:hAnsi="Times New Roman" w:eastAsia="仿宋_GB2312" w:cs="Times New Roman"/>
          <w:sz w:val="32"/>
          <w:szCs w:val="32"/>
        </w:rPr>
        <w:t>办公费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印刷费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邮电费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差旅费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维修（护）费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会议费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培训费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公务接待费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劳务费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委托业务费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工会经费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公务用车运行维护费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其他交通费用</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其他商品和服务支出</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办公设备购置</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信息网络及软件购置更新</w:t>
      </w:r>
      <w:r>
        <w:rPr>
          <w:rFonts w:ascii="Times New Roman" w:hAnsi="Times New Roman" w:eastAsia="仿宋_GB2312" w:cs="Times New Roman"/>
          <w:sz w:val="32"/>
          <w:szCs w:val="32"/>
        </w:rPr>
        <w:t>。</w:t>
      </w:r>
    </w:p>
    <w:p w14:paraId="08AF02EF">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七、财政拨款“三公”经费支出决算情况说明</w:t>
      </w:r>
    </w:p>
    <w:p w14:paraId="486710CC">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23ED20E4">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45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38.40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85.33</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减少2.22</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降低5.47</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eastAsia="zh-CN"/>
        </w:rPr>
        <w:t>严控支出，厉行节约</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小</w:t>
      </w:r>
      <w:r>
        <w:rPr>
          <w:rFonts w:ascii="Times New Roman" w:hAnsi="Times New Roman" w:eastAsia="仿宋_GB2312" w:cs="Times New Roman"/>
          <w:sz w:val="32"/>
          <w:szCs w:val="32"/>
        </w:rPr>
        <w:t>于上年数的主要原因是</w:t>
      </w:r>
      <w:r>
        <w:rPr>
          <w:rFonts w:hint="eastAsia" w:ascii="仿宋" w:hAnsi="仿宋" w:eastAsia="仿宋" w:cs="仿宋"/>
          <w:sz w:val="32"/>
          <w:szCs w:val="32"/>
          <w:highlight w:val="none"/>
          <w:lang w:eastAsia="zh-CN"/>
        </w:rPr>
        <w:t>严控支出，厉行节约</w:t>
      </w:r>
      <w:r>
        <w:rPr>
          <w:rFonts w:ascii="Times New Roman" w:hAnsi="Times New Roman" w:eastAsia="仿宋_GB2312" w:cs="Times New Roman"/>
          <w:sz w:val="32"/>
          <w:szCs w:val="32"/>
        </w:rPr>
        <w:t>。</w:t>
      </w:r>
    </w:p>
    <w:p w14:paraId="68ED4769">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158A463F">
      <w:pPr>
        <w:pStyle w:val="12"/>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因预算数为零，无法计算百分比</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金额一致</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无增减</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lang w:eastAsia="zh-CN"/>
        </w:rPr>
        <w:t>严控支出，厉行节约</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上年数的主要原因是</w:t>
      </w:r>
      <w:r>
        <w:rPr>
          <w:rFonts w:hint="eastAsia" w:ascii="Times New Roman" w:hAnsi="Times New Roman" w:eastAsia="仿宋_GB2312" w:cs="Times New Roman"/>
          <w:sz w:val="32"/>
          <w:szCs w:val="32"/>
          <w:lang w:val="en-US" w:eastAsia="zh-CN"/>
        </w:rPr>
        <w:t>我单位无因公出国（境）支出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hint="eastAsia" w:ascii="Times New Roman" w:hAnsi="Times New Roman" w:eastAsia="仿宋_GB2312" w:cs="Times New Roman"/>
          <w:sz w:val="32"/>
          <w:szCs w:val="32"/>
          <w:lang w:eastAsia="zh-CN"/>
        </w:rPr>
        <w:t>。</w:t>
      </w:r>
    </w:p>
    <w:p w14:paraId="186C19FD">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42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37.95</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完成预算的</w:t>
      </w:r>
      <w:r>
        <w:rPr>
          <w:rFonts w:hint="eastAsia" w:ascii="Times New Roman" w:hAnsi="Times New Roman" w:eastAsia="仿宋_GB2312" w:cs="Times New Roman"/>
          <w:sz w:val="32"/>
          <w:szCs w:val="32"/>
          <w:lang w:val="en-US" w:eastAsia="zh-CN"/>
        </w:rPr>
        <w:t>90.36%</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1.28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3.26</w:t>
      </w:r>
      <w:r>
        <w:rPr>
          <w:rFonts w:ascii="Times New Roman" w:hAnsi="Times New Roman" w:eastAsia="仿宋_GB2312" w:cs="Times New Roman"/>
          <w:sz w:val="32"/>
          <w:szCs w:val="32"/>
        </w:rPr>
        <w:t>%。其中：</w:t>
      </w:r>
    </w:p>
    <w:p w14:paraId="2100581B">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因预算数为零，无法计算百分比</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金额一致</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无增减</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lang w:eastAsia="zh-CN"/>
        </w:rPr>
        <w:t>严控支出，厉行节约</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上年数的主要原因是</w:t>
      </w:r>
      <w:r>
        <w:rPr>
          <w:rFonts w:hint="eastAsia" w:ascii="Times New Roman" w:hAnsi="Times New Roman" w:eastAsia="仿宋_GB2312" w:cs="Times New Roman"/>
          <w:sz w:val="32"/>
          <w:szCs w:val="32"/>
          <w:lang w:val="en-US" w:eastAsia="zh-CN"/>
        </w:rPr>
        <w:t>我单位无</w:t>
      </w:r>
      <w:r>
        <w:rPr>
          <w:rFonts w:ascii="Times New Roman" w:hAnsi="Times New Roman" w:eastAsia="仿宋_GB2312" w:cs="Times New Roman"/>
          <w:sz w:val="32"/>
          <w:szCs w:val="32"/>
        </w:rPr>
        <w:t>公务用车购置费支出。</w:t>
      </w:r>
      <w:r>
        <w:rPr>
          <w:rFonts w:hint="eastAsia" w:ascii="Times New Roman" w:hAnsi="Times New Roman" w:eastAsia="仿宋_GB2312" w:cs="Times New Roman"/>
          <w:sz w:val="32"/>
          <w:szCs w:val="32"/>
          <w:lang w:eastAsia="zh-CN"/>
        </w:rPr>
        <w:t>中国共产党怀化市委员会办公室</w:t>
      </w:r>
      <w:r>
        <w:rPr>
          <w:rFonts w:ascii="Times New Roman" w:hAnsi="Times New Roman" w:eastAsia="仿宋_GB2312" w:cs="Times New Roman"/>
          <w:sz w:val="32"/>
          <w:szCs w:val="32"/>
        </w:rPr>
        <w:t>更新公务用车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r>
        <w:rPr>
          <w:rFonts w:ascii="Times New Roman" w:hAnsi="Times New Roman" w:eastAsia="仿宋_GB2312" w:cs="Times New Roman"/>
          <w:color w:val="000000" w:themeColor="text1"/>
          <w:sz w:val="32"/>
          <w:szCs w:val="32"/>
          <w14:textFill>
            <w14:solidFill>
              <w14:schemeClr w14:val="tx1"/>
            </w14:solidFill>
          </w14:textFill>
        </w:rPr>
        <w:t>。</w:t>
      </w:r>
    </w:p>
    <w:p w14:paraId="49AB8B70">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42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37.95</w:t>
      </w:r>
      <w:r>
        <w:rPr>
          <w:rFonts w:ascii="Times New Roman" w:hAnsi="Times New Roman" w:eastAsia="仿宋_GB2312" w:cs="Times New Roman"/>
          <w:sz w:val="32"/>
          <w:szCs w:val="32"/>
        </w:rPr>
        <w:t>万元，主要是</w:t>
      </w:r>
      <w:r>
        <w:rPr>
          <w:rFonts w:hint="eastAsia" w:ascii="Times New Roman" w:hAnsi="Times New Roman" w:eastAsia="仿宋_GB2312" w:cs="Times New Roman"/>
          <w:sz w:val="32"/>
          <w:szCs w:val="32"/>
        </w:rPr>
        <w:t>车辆燃油费、保险费、维修费</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90.36</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1.28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3.26</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小于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lang w:eastAsia="zh-CN"/>
        </w:rPr>
        <w:t>厉行节约，压缩控制公车运行维护费开支</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eastAsia="zh-CN"/>
        </w:rPr>
        <w:t>压减运维开支</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12</w:t>
      </w:r>
      <w:r>
        <w:rPr>
          <w:rFonts w:ascii="Times New Roman" w:hAnsi="Times New Roman" w:eastAsia="仿宋_GB2312" w:cs="Times New Roman"/>
          <w:sz w:val="32"/>
          <w:szCs w:val="32"/>
        </w:rPr>
        <w:t>辆。</w:t>
      </w:r>
    </w:p>
    <w:p w14:paraId="6A68AEE0">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0.44</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14.67</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减少0.95</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降低68.35</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小于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lang w:eastAsia="zh-CN"/>
        </w:rPr>
        <w:t>严格把关，厉行节约</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小于</w:t>
      </w:r>
      <w:r>
        <w:rPr>
          <w:rFonts w:ascii="Times New Roman" w:hAnsi="Times New Roman" w:eastAsia="仿宋_GB2312" w:cs="Times New Roman"/>
          <w:sz w:val="32"/>
          <w:szCs w:val="32"/>
        </w:rPr>
        <w:t>上年数的主要原因是</w:t>
      </w:r>
      <w:r>
        <w:rPr>
          <w:rFonts w:hint="eastAsia" w:ascii="Times New Roman" w:hAnsi="Times New Roman" w:eastAsia="仿宋_GB2312" w:cs="Times New Roman"/>
          <w:sz w:val="32"/>
          <w:szCs w:val="32"/>
          <w:lang w:val="en-US" w:eastAsia="zh-CN"/>
        </w:rPr>
        <w:t>严格按照省公务接待管理规定，规范开展公务接待活动，</w:t>
      </w:r>
      <w:r>
        <w:rPr>
          <w:rFonts w:hint="eastAsia" w:ascii="Times New Roman" w:hAnsi="Times New Roman" w:eastAsia="仿宋_GB2312" w:cs="Times New Roman"/>
          <w:sz w:val="32"/>
          <w:szCs w:val="32"/>
          <w:lang w:eastAsia="zh-CN"/>
        </w:rPr>
        <w:t>厉行节约</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13</w:t>
      </w:r>
      <w:r>
        <w:rPr>
          <w:rFonts w:ascii="Times New Roman" w:hAnsi="Times New Roman" w:eastAsia="仿宋_GB2312" w:cs="Times New Roman"/>
          <w:sz w:val="32"/>
          <w:szCs w:val="32"/>
        </w:rPr>
        <w:t>人次，</w:t>
      </w:r>
      <w:r>
        <w:rPr>
          <w:rFonts w:ascii="Times New Roman" w:hAnsi="Times New Roman" w:eastAsia="仿宋_GB2312" w:cs="Times New Roman"/>
          <w:sz w:val="32"/>
          <w:szCs w:val="32"/>
          <w:highlight w:val="none"/>
        </w:rPr>
        <w:t>主要是</w:t>
      </w:r>
      <w:r>
        <w:rPr>
          <w:rFonts w:hint="eastAsia" w:ascii="Times New Roman" w:hAnsi="Times New Roman" w:eastAsia="仿宋_GB2312" w:cs="Times New Roman"/>
          <w:sz w:val="32"/>
          <w:szCs w:val="32"/>
          <w:highlight w:val="none"/>
          <w:lang w:val="en-US" w:eastAsia="zh-CN"/>
        </w:rPr>
        <w:t>外省来我单位</w:t>
      </w:r>
      <w:r>
        <w:rPr>
          <w:rFonts w:hint="eastAsia" w:ascii="Times New Roman" w:hAnsi="Times New Roman" w:eastAsia="仿宋_GB2312" w:cs="Times New Roman"/>
          <w:sz w:val="32"/>
          <w:szCs w:val="32"/>
          <w:highlight w:val="none"/>
        </w:rPr>
        <w:t>对接</w:t>
      </w:r>
      <w:r>
        <w:rPr>
          <w:rFonts w:hint="eastAsia" w:ascii="Times New Roman" w:hAnsi="Times New Roman" w:eastAsia="仿宋_GB2312" w:cs="Times New Roman"/>
          <w:sz w:val="32"/>
          <w:szCs w:val="32"/>
          <w:highlight w:val="none"/>
          <w:lang w:val="en-US" w:eastAsia="zh-CN"/>
        </w:rPr>
        <w:t>业务</w:t>
      </w:r>
      <w:r>
        <w:rPr>
          <w:rFonts w:ascii="Times New Roman" w:hAnsi="Times New Roman" w:eastAsia="仿宋_GB2312" w:cs="Times New Roman"/>
          <w:sz w:val="32"/>
          <w:szCs w:val="32"/>
          <w:highlight w:val="none"/>
        </w:rPr>
        <w:t>发生的接待支出。</w:t>
      </w:r>
    </w:p>
    <w:p w14:paraId="0D626AB0">
      <w:pPr>
        <w:pStyle w:val="12"/>
        <w:overflowPunct w:val="0"/>
        <w:autoSpaceDE/>
        <w:autoSpaceDN/>
        <w:spacing w:line="600" w:lineRule="exact"/>
        <w:ind w:firstLine="640" w:firstLineChars="200"/>
        <w:jc w:val="both"/>
        <w:rPr>
          <w:rFonts w:ascii="Times New Roman" w:hAnsi="Times New Roman" w:cs="Times New Roman"/>
          <w:bCs/>
          <w:sz w:val="32"/>
          <w:szCs w:val="32"/>
          <w:highlight w:val="none"/>
        </w:rPr>
      </w:pPr>
      <w:r>
        <w:rPr>
          <w:rFonts w:ascii="Times New Roman" w:hAnsi="Times New Roman" w:cs="Times New Roman"/>
          <w:bCs/>
          <w:sz w:val="32"/>
          <w:szCs w:val="32"/>
          <w:highlight w:val="none"/>
        </w:rPr>
        <w:t>八、政府性基金预算收入支出决算情况</w:t>
      </w:r>
    </w:p>
    <w:p w14:paraId="31338C51">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年度政府性基金预算财政拨款收入0万元；年初结转和结余0万元；支出0万元，其中基本支出0万元，项目支出0万元；年末结转和结余0万元。本单位无政府性基金收支。</w:t>
      </w:r>
    </w:p>
    <w:p w14:paraId="2E1DA72C">
      <w:pPr>
        <w:pStyle w:val="12"/>
        <w:overflowPunct w:val="0"/>
        <w:autoSpaceDE/>
        <w:autoSpaceDN/>
        <w:spacing w:line="600" w:lineRule="exact"/>
        <w:ind w:firstLine="640" w:firstLineChars="200"/>
        <w:jc w:val="both"/>
        <w:rPr>
          <w:rFonts w:hint="eastAsia" w:ascii="Times New Roman" w:hAnsi="Times New Roman" w:cs="Times New Roman"/>
          <w:bCs/>
          <w:sz w:val="32"/>
          <w:szCs w:val="32"/>
        </w:rPr>
      </w:pPr>
      <w:r>
        <w:rPr>
          <w:rFonts w:hint="eastAsia" w:ascii="Times New Roman" w:hAnsi="Times New Roman" w:cs="Times New Roman"/>
          <w:bCs/>
          <w:sz w:val="32"/>
          <w:szCs w:val="32"/>
          <w:lang w:val="en-US" w:eastAsia="zh-CN"/>
        </w:rPr>
        <w:t>九、国有资本经营预算</w:t>
      </w:r>
      <w:r>
        <w:rPr>
          <w:rFonts w:hint="eastAsia" w:ascii="Times New Roman" w:hAnsi="Times New Roman" w:cs="Times New Roman"/>
          <w:bCs/>
          <w:sz w:val="32"/>
          <w:szCs w:val="32"/>
        </w:rPr>
        <w:t>收入支出决算情况</w:t>
      </w:r>
    </w:p>
    <w:p w14:paraId="68D87B10">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2025年度国有资本经营预算财政拨款收入0万元；支出0万元，其中基本支出0万元，项目支出0万元。本单位无国有资本经营收支。</w:t>
      </w:r>
    </w:p>
    <w:p w14:paraId="2C8A65AC">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cs="Times New Roman"/>
          <w:bCs/>
          <w:sz w:val="32"/>
          <w:szCs w:val="32"/>
          <w:lang w:val="en-US" w:eastAsia="zh-CN"/>
        </w:rPr>
        <w:t>十</w:t>
      </w:r>
      <w:r>
        <w:rPr>
          <w:rFonts w:ascii="Times New Roman" w:hAnsi="Times New Roman" w:cs="Times New Roman"/>
          <w:bCs/>
          <w:sz w:val="32"/>
          <w:szCs w:val="32"/>
        </w:rPr>
        <w:t>、关于机关运行经费支出说明</w:t>
      </w:r>
    </w:p>
    <w:p w14:paraId="5D8F79BC">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rPr>
        <w:t>464</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92</w:t>
      </w:r>
      <w:r>
        <w:rPr>
          <w:rFonts w:ascii="Times New Roman" w:hAnsi="Times New Roman" w:eastAsia="仿宋_GB2312" w:cs="Times New Roman"/>
          <w:sz w:val="32"/>
          <w:szCs w:val="32"/>
        </w:rPr>
        <w:t>万元，比上年决算数</w:t>
      </w:r>
      <w:r>
        <w:rPr>
          <w:rFonts w:hint="eastAsia" w:ascii="Times New Roman" w:hAnsi="Times New Roman" w:eastAsia="仿宋_GB2312" w:cs="Times New Roman"/>
          <w:sz w:val="32"/>
          <w:szCs w:val="32"/>
          <w:lang w:val="en-US" w:eastAsia="zh-CN"/>
        </w:rPr>
        <w:t>减少32.40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降低6.51</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val="en-US" w:eastAsia="zh-CN"/>
        </w:rPr>
        <w:t>认真贯彻落实中央八项规定要求，厉行节约。</w:t>
      </w:r>
    </w:p>
    <w:p w14:paraId="6978D2EB">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val="en-US" w:eastAsia="zh-CN"/>
        </w:rPr>
        <w:t>一</w:t>
      </w:r>
      <w:r>
        <w:rPr>
          <w:rFonts w:ascii="Times New Roman" w:hAnsi="Times New Roman" w:cs="Times New Roman"/>
          <w:bCs/>
          <w:sz w:val="32"/>
          <w:szCs w:val="32"/>
        </w:rPr>
        <w:t>、一般性支出情况说明</w:t>
      </w:r>
    </w:p>
    <w:p w14:paraId="431EAB15">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年本部门开支会议费</w:t>
      </w:r>
      <w:r>
        <w:rPr>
          <w:rFonts w:hint="eastAsia" w:ascii="Times New Roman" w:hAnsi="Times New Roman" w:eastAsia="仿宋_GB2312" w:cs="Times New Roman"/>
          <w:sz w:val="32"/>
          <w:szCs w:val="32"/>
          <w:highlight w:val="none"/>
          <w:lang w:val="en-US" w:eastAsia="zh-CN"/>
        </w:rPr>
        <w:t>33.75</w:t>
      </w:r>
      <w:r>
        <w:rPr>
          <w:rFonts w:ascii="Times New Roman" w:hAnsi="Times New Roman" w:eastAsia="仿宋_GB2312" w:cs="Times New Roman"/>
          <w:sz w:val="32"/>
          <w:szCs w:val="32"/>
          <w:highlight w:val="none"/>
        </w:rPr>
        <w:t>万元，用于召开</w:t>
      </w:r>
      <w:r>
        <w:rPr>
          <w:rFonts w:hint="eastAsia" w:ascii="Times New Roman" w:hAnsi="Times New Roman" w:eastAsia="仿宋_GB2312" w:cs="Times New Roman"/>
          <w:sz w:val="32"/>
          <w:szCs w:val="32"/>
          <w:highlight w:val="none"/>
        </w:rPr>
        <w:t>部门业务工作会议</w:t>
      </w:r>
      <w:r>
        <w:rPr>
          <w:rFonts w:ascii="Times New Roman" w:hAnsi="Times New Roman" w:eastAsia="仿宋_GB2312" w:cs="Times New Roman"/>
          <w:sz w:val="32"/>
          <w:szCs w:val="32"/>
          <w:highlight w:val="none"/>
        </w:rPr>
        <w:t>，人数</w:t>
      </w:r>
      <w:r>
        <w:rPr>
          <w:rFonts w:hint="eastAsia" w:ascii="Times New Roman" w:hAnsi="Times New Roman" w:eastAsia="仿宋_GB2312" w:cs="Times New Roman"/>
          <w:sz w:val="32"/>
          <w:szCs w:val="32"/>
          <w:highlight w:val="none"/>
          <w:lang w:val="en-US" w:eastAsia="zh-CN"/>
        </w:rPr>
        <w:t>2372</w:t>
      </w:r>
      <w:bookmarkStart w:id="0" w:name="_GoBack"/>
      <w:bookmarkEnd w:id="0"/>
      <w:r>
        <w:rPr>
          <w:rFonts w:ascii="Times New Roman" w:hAnsi="Times New Roman" w:eastAsia="仿宋_GB2312" w:cs="Times New Roman"/>
          <w:sz w:val="32"/>
          <w:szCs w:val="32"/>
          <w:highlight w:val="none"/>
        </w:rPr>
        <w:t>人，内容为</w:t>
      </w:r>
      <w:r>
        <w:rPr>
          <w:rFonts w:hint="eastAsia" w:ascii="Times New Roman" w:hAnsi="Times New Roman" w:eastAsia="仿宋_GB2312" w:cs="Times New Roman"/>
          <w:sz w:val="32"/>
          <w:szCs w:val="32"/>
          <w:highlight w:val="none"/>
        </w:rPr>
        <w:t>各项业务指导会议</w:t>
      </w:r>
      <w:r>
        <w:rPr>
          <w:rFonts w:hint="eastAsia" w:ascii="Times New Roman" w:hAnsi="Times New Roman" w:eastAsia="仿宋_GB2312" w:cs="Times New Roman"/>
          <w:sz w:val="32"/>
          <w:szCs w:val="32"/>
          <w:highlight w:val="none"/>
          <w:lang w:eastAsia="zh-CN"/>
        </w:rPr>
        <w:t>；</w:t>
      </w:r>
      <w:r>
        <w:rPr>
          <w:rFonts w:ascii="Times New Roman" w:hAnsi="Times New Roman" w:eastAsia="仿宋_GB2312" w:cs="Times New Roman"/>
          <w:sz w:val="32"/>
          <w:szCs w:val="32"/>
          <w:highlight w:val="none"/>
        </w:rPr>
        <w:t>开支培训费</w:t>
      </w:r>
      <w:r>
        <w:rPr>
          <w:rFonts w:hint="eastAsia" w:ascii="Times New Roman" w:hAnsi="Times New Roman" w:eastAsia="仿宋_GB2312" w:cs="Times New Roman"/>
          <w:sz w:val="32"/>
          <w:szCs w:val="32"/>
          <w:highlight w:val="none"/>
          <w:lang w:val="en-US" w:eastAsia="zh-CN"/>
        </w:rPr>
        <w:t>2.27</w:t>
      </w:r>
      <w:r>
        <w:rPr>
          <w:rFonts w:ascii="Times New Roman" w:hAnsi="Times New Roman" w:eastAsia="仿宋_GB2312" w:cs="Times New Roman"/>
          <w:sz w:val="32"/>
          <w:szCs w:val="32"/>
          <w:highlight w:val="none"/>
        </w:rPr>
        <w:t>万元，用于开展</w:t>
      </w:r>
      <w:r>
        <w:rPr>
          <w:rFonts w:hint="eastAsia" w:ascii="Times New Roman" w:hAnsi="Times New Roman" w:eastAsia="仿宋_GB2312" w:cs="Times New Roman"/>
          <w:sz w:val="32"/>
          <w:szCs w:val="32"/>
          <w:highlight w:val="none"/>
        </w:rPr>
        <w:t>业务工作培训班</w:t>
      </w:r>
      <w:r>
        <w:rPr>
          <w:rFonts w:ascii="Times New Roman" w:hAnsi="Times New Roman" w:eastAsia="仿宋_GB2312" w:cs="Times New Roman"/>
          <w:sz w:val="32"/>
          <w:szCs w:val="32"/>
          <w:highlight w:val="none"/>
        </w:rPr>
        <w:t>，人数</w:t>
      </w:r>
      <w:r>
        <w:rPr>
          <w:rFonts w:hint="eastAsia" w:ascii="Times New Roman" w:hAnsi="Times New Roman" w:eastAsia="仿宋_GB2312" w:cs="Times New Roman"/>
          <w:sz w:val="32"/>
          <w:szCs w:val="32"/>
          <w:highlight w:val="none"/>
          <w:lang w:val="en-US" w:eastAsia="zh-CN"/>
        </w:rPr>
        <w:t>517</w:t>
      </w:r>
      <w:r>
        <w:rPr>
          <w:rFonts w:ascii="Times New Roman" w:hAnsi="Times New Roman" w:eastAsia="仿宋_GB2312" w:cs="Times New Roman"/>
          <w:sz w:val="32"/>
          <w:szCs w:val="32"/>
          <w:highlight w:val="none"/>
        </w:rPr>
        <w:t>人，内容为</w:t>
      </w:r>
      <w:r>
        <w:rPr>
          <w:rFonts w:hint="eastAsia" w:ascii="Times New Roman" w:hAnsi="Times New Roman" w:eastAsia="仿宋_GB2312" w:cs="Times New Roman"/>
          <w:sz w:val="32"/>
          <w:szCs w:val="32"/>
          <w:highlight w:val="none"/>
        </w:rPr>
        <w:t>各项业务培训</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val="en-US" w:eastAsia="zh-CN"/>
        </w:rPr>
        <w:t>未</w:t>
      </w:r>
      <w:r>
        <w:rPr>
          <w:rFonts w:ascii="Times New Roman" w:hAnsi="Times New Roman" w:eastAsia="仿宋_GB2312" w:cs="Times New Roman"/>
          <w:sz w:val="32"/>
          <w:szCs w:val="32"/>
          <w:highlight w:val="none"/>
        </w:rPr>
        <w:t>举办节庆、晚会、论坛、赛事活动，开支</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w:t>
      </w:r>
    </w:p>
    <w:p w14:paraId="26E04C2B">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val="en-US" w:eastAsia="zh-CN"/>
        </w:rPr>
        <w:t>二</w:t>
      </w:r>
      <w:r>
        <w:rPr>
          <w:rFonts w:ascii="Times New Roman" w:hAnsi="Times New Roman" w:cs="Times New Roman"/>
          <w:bCs/>
          <w:sz w:val="32"/>
          <w:szCs w:val="32"/>
        </w:rPr>
        <w:t>、关于政府采购支出说明</w:t>
      </w:r>
    </w:p>
    <w:p w14:paraId="25219C6E">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highlight w:val="none"/>
          <w:shd w:val="clear"/>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highlight w:val="none"/>
          <w:shd w:val="clear"/>
          <w:lang w:val="en-US" w:eastAsia="zh-CN"/>
        </w:rPr>
        <w:t>0</w:t>
      </w:r>
      <w:r>
        <w:rPr>
          <w:rFonts w:ascii="Times New Roman" w:hAnsi="Times New Roman" w:eastAsia="仿宋_GB2312" w:cs="Times New Roman"/>
          <w:color w:val="auto"/>
          <w:sz w:val="32"/>
          <w:szCs w:val="32"/>
          <w:highlight w:val="none"/>
          <w:shd w:val="clear"/>
        </w:rPr>
        <w:t>%，工程采购授予中小企业合同金额占工程支出金额的</w:t>
      </w:r>
      <w:r>
        <w:rPr>
          <w:rFonts w:hint="eastAsia" w:ascii="Times New Roman" w:hAnsi="Times New Roman" w:eastAsia="仿宋_GB2312" w:cs="Times New Roman"/>
          <w:color w:val="auto"/>
          <w:sz w:val="32"/>
          <w:szCs w:val="32"/>
          <w:highlight w:val="none"/>
          <w:shd w:val="clear"/>
          <w:lang w:val="en-US" w:eastAsia="zh-CN"/>
        </w:rPr>
        <w:t>0</w:t>
      </w:r>
      <w:r>
        <w:rPr>
          <w:rFonts w:ascii="Times New Roman" w:hAnsi="Times New Roman" w:eastAsia="仿宋_GB2312" w:cs="Times New Roman"/>
          <w:color w:val="auto"/>
          <w:sz w:val="32"/>
          <w:szCs w:val="32"/>
          <w:highlight w:val="none"/>
          <w:shd w:val="clear"/>
        </w:rPr>
        <w:t>%，服务采购授予中小企业合同金额占服务支出金额的</w:t>
      </w:r>
      <w:r>
        <w:rPr>
          <w:rFonts w:hint="eastAsia" w:ascii="Times New Roman" w:hAnsi="Times New Roman" w:eastAsia="仿宋_GB2312" w:cs="Times New Roman"/>
          <w:color w:val="auto"/>
          <w:sz w:val="32"/>
          <w:szCs w:val="32"/>
          <w:highlight w:val="none"/>
          <w:shd w:val="clear"/>
          <w:lang w:val="en-US" w:eastAsia="zh-CN"/>
        </w:rPr>
        <w:t>0</w:t>
      </w:r>
      <w:r>
        <w:rPr>
          <w:rFonts w:ascii="Times New Roman" w:hAnsi="Times New Roman" w:eastAsia="仿宋_GB2312" w:cs="Times New Roman"/>
          <w:color w:val="auto"/>
          <w:sz w:val="32"/>
          <w:szCs w:val="32"/>
          <w:highlight w:val="none"/>
          <w:shd w:val="clear"/>
        </w:rPr>
        <w:t>%。</w:t>
      </w:r>
    </w:p>
    <w:p w14:paraId="5EA4E768">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val="en-US" w:eastAsia="zh-CN"/>
        </w:rPr>
        <w:t>三</w:t>
      </w:r>
      <w:r>
        <w:rPr>
          <w:rFonts w:ascii="Times New Roman" w:hAnsi="Times New Roman" w:cs="Times New Roman"/>
          <w:bCs/>
          <w:color w:val="auto"/>
          <w:sz w:val="32"/>
          <w:szCs w:val="32"/>
        </w:rPr>
        <w:t>、关于国有资产占用情况说明</w:t>
      </w:r>
    </w:p>
    <w:p w14:paraId="333624F4">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w:t>
      </w:r>
      <w:r>
        <w:rPr>
          <w:rFonts w:hint="eastAsia" w:ascii="Times New Roman" w:hAnsi="Times New Roman" w:eastAsia="仿宋_GB2312" w:cs="Times New Roman"/>
          <w:color w:val="auto"/>
          <w:sz w:val="32"/>
          <w:szCs w:val="32"/>
          <w:lang w:val="en-US" w:eastAsia="zh-CN"/>
        </w:rPr>
        <w:t>本</w:t>
      </w:r>
      <w:r>
        <w:rPr>
          <w:rFonts w:ascii="Times New Roman" w:hAnsi="Times New Roman" w:eastAsia="仿宋_GB2312" w:cs="Times New Roman"/>
          <w:color w:val="auto"/>
          <w:sz w:val="32"/>
          <w:szCs w:val="32"/>
        </w:rPr>
        <w:t>部门共有车辆</w:t>
      </w:r>
      <w:r>
        <w:rPr>
          <w:rFonts w:hint="eastAsia" w:ascii="Times New Roman" w:hAnsi="Times New Roman" w:eastAsia="仿宋_GB2312" w:cs="Times New Roman"/>
          <w:color w:val="auto"/>
          <w:sz w:val="32"/>
          <w:szCs w:val="32"/>
          <w:lang w:val="en-US" w:eastAsia="zh-CN"/>
        </w:rPr>
        <w:t>12</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12</w:t>
      </w:r>
      <w:r>
        <w:rPr>
          <w:rFonts w:ascii="Times New Roman" w:hAnsi="Times New Roman" w:eastAsia="仿宋_GB2312" w:cs="Times New Roman"/>
          <w:color w:val="auto"/>
          <w:sz w:val="32"/>
          <w:szCs w:val="32"/>
        </w:rPr>
        <w:t>辆</w:t>
      </w:r>
      <w:r>
        <w:rPr>
          <w:rFonts w:hint="eastAsia" w:ascii="Times New Roman" w:hAnsi="Times New Roman" w:eastAsia="仿宋_GB2312" w:cs="Times New Roman"/>
          <w:color w:val="auto"/>
          <w:sz w:val="32"/>
          <w:szCs w:val="32"/>
          <w:lang w:eastAsia="zh-CN"/>
        </w:rPr>
        <w:t>，其他用车主要是公务用车</w:t>
      </w:r>
      <w:r>
        <w:rPr>
          <w:rFonts w:ascii="Times New Roman" w:hAnsi="Times New Roman" w:eastAsia="仿宋_GB2312" w:cs="Times New Roman"/>
          <w:color w:val="auto"/>
          <w:sz w:val="32"/>
          <w:szCs w:val="32"/>
          <w:highlight w:val="none"/>
        </w:rPr>
        <w:t>；单位价值100万元以上设备（不含车辆）</w:t>
      </w:r>
      <w:r>
        <w:rPr>
          <w:rFonts w:hint="eastAsia" w:ascii="Times New Roman" w:hAnsi="Times New Roman" w:eastAsia="仿宋_GB2312" w:cs="Times New Roman"/>
          <w:color w:val="auto"/>
          <w:sz w:val="32"/>
          <w:szCs w:val="32"/>
          <w:highlight w:val="none"/>
          <w:lang w:val="en-US" w:eastAsia="zh-CN"/>
        </w:rPr>
        <w:t>1</w:t>
      </w:r>
      <w:r>
        <w:rPr>
          <w:rFonts w:ascii="Times New Roman" w:hAnsi="Times New Roman" w:eastAsia="仿宋_GB2312" w:cs="Times New Roman"/>
          <w:color w:val="auto"/>
          <w:sz w:val="32"/>
          <w:szCs w:val="32"/>
          <w:highlight w:val="none"/>
        </w:rPr>
        <w:t>台（套）。</w:t>
      </w:r>
    </w:p>
    <w:p w14:paraId="5E77A72E">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val="en-US" w:eastAsia="zh-CN"/>
        </w:rPr>
        <w:t>四</w:t>
      </w:r>
      <w:r>
        <w:rPr>
          <w:rFonts w:ascii="Times New Roman" w:hAnsi="Times New Roman" w:cs="Times New Roman"/>
          <w:bCs/>
          <w:color w:val="auto"/>
          <w:sz w:val="32"/>
          <w:szCs w:val="32"/>
        </w:rPr>
        <w:t>、关于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3EBFEE28">
      <w:p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年度本部门整体支出开展绩效自评，涉及项目</w:t>
      </w:r>
      <w:r>
        <w:rPr>
          <w:rFonts w:hint="eastAsia" w:ascii="Times New Roman" w:hAnsi="Times New Roman" w:eastAsia="仿宋_GB2312" w:cs="Times New Roman"/>
          <w:kern w:val="0"/>
          <w:sz w:val="32"/>
          <w:szCs w:val="32"/>
          <w:lang w:val="en-US" w:eastAsia="zh-CN"/>
        </w:rPr>
        <w:t>10</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rPr>
        <w:t>363.26</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10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rPr>
        <w:t>363.26</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13.87</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万元，占国有资本经营预算支出总额</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二是部门评价开展情况。</w:t>
      </w:r>
      <w:r>
        <w:rPr>
          <w:rFonts w:ascii="Times New Roman" w:hAnsi="Times New Roman" w:eastAsia="仿宋_GB2312" w:cs="Times New Roman"/>
          <w:kern w:val="0"/>
          <w:sz w:val="32"/>
          <w:szCs w:val="32"/>
        </w:rPr>
        <w:t>组织对所属单位202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rPr>
        <w:t>市本级DZZYTX二级网运行维护费</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个项目开展了部门评价，涉及一般公共预算支出</w:t>
      </w:r>
      <w:r>
        <w:rPr>
          <w:rFonts w:hint="eastAsia" w:ascii="Times New Roman Regular" w:hAnsi="Times New Roman Regular" w:eastAsia="仿宋" w:cs="Times New Roman Regular"/>
          <w:color w:val="auto"/>
          <w:sz w:val="32"/>
          <w:szCs w:val="32"/>
          <w:highlight w:val="none"/>
          <w:lang w:val="en-US" w:eastAsia="zh-CN"/>
        </w:rPr>
        <w:t>104.05</w:t>
      </w:r>
      <w:r>
        <w:rPr>
          <w:rFonts w:ascii="Times New Roman" w:hAnsi="Times New Roman" w:eastAsia="仿宋_GB2312" w:cs="Times New Roman"/>
          <w:kern w:val="0"/>
          <w:sz w:val="32"/>
          <w:szCs w:val="32"/>
        </w:rPr>
        <w:t>万元，政府性基金预算支出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万元，国有资本经营预算支出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万元，社会保险基金预算支出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p>
    <w:p w14:paraId="38A8B5EB">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kern w:val="0"/>
          <w:sz w:val="32"/>
          <w:szCs w:val="32"/>
        </w:rPr>
        <w:t>3,336.69</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rPr>
        <w:t>2,619.59</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78.51</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rPr>
        <w:t>97.85</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w:t>
      </w:r>
      <w:r>
        <w:rPr>
          <w:rFonts w:ascii="Times New Roman" w:hAnsi="Times New Roman" w:eastAsia="仿宋_GB2312" w:cs="Times New Roman"/>
          <w:sz w:val="32"/>
          <w:szCs w:val="32"/>
        </w:rPr>
        <w:t>”。绩效目标完成情况：</w:t>
      </w:r>
      <w:r>
        <w:rPr>
          <w:rFonts w:hint="eastAsia" w:ascii="Times New Roman" w:hAnsi="Times New Roman" w:eastAsia="仿宋_GB2312" w:cs="Times New Roman"/>
          <w:sz w:val="32"/>
          <w:szCs w:val="32"/>
        </w:rPr>
        <w:t>2025年以来，在市委的坚强领导下，市委办坚持以习近平新时代中国特色社会主义思想为指导，深入学习贯彻党的二十大和二十届三中、四中全会精神及习近平总书记关于办公厅工作的重要指示批示精神，认真落实全国、全省党委和政府秘书长会议精神，深入践行“五个坚持”“四个政治”的重要要求，按照市委许忠建书记提出的当好“总参谋部、总调度室、总督查室、总服务部”和争当忠诚可靠、勤学善思、恪尽职守、崇德修身表率的要求，始终围绕中心、服务大局，有效发挥统筹协调、参谋助手、督促检查、服务保障等职能作用，“三服务”工作质效不断提升。市委办荣获第五届湖南旅游发展大会筹办工作集体二等功</w:t>
      </w:r>
      <w:r>
        <w:rPr>
          <w:rFonts w:ascii="Times New Roman" w:hAnsi="Times New Roman" w:eastAsia="仿宋_GB2312" w:cs="Times New Roman"/>
          <w:sz w:val="32"/>
          <w:szCs w:val="32"/>
        </w:rPr>
        <w:t>。发现的主要问题及原因：</w:t>
      </w:r>
      <w:r>
        <w:rPr>
          <w:rFonts w:hint="eastAsia" w:ascii="Times New Roman" w:hAnsi="Times New Roman" w:eastAsia="仿宋_GB2312" w:cs="Times New Roman"/>
          <w:sz w:val="32"/>
          <w:szCs w:val="32"/>
        </w:rPr>
        <w:t>一是部门预算项目支出编制和整体支出绩效目标、绩效指标细化程度需提高；二是绩效结果应用和运行监控不足，预算执行动态监控措施需进一步完善，以确保各项工作按进度完成。</w:t>
      </w:r>
      <w:r>
        <w:rPr>
          <w:rFonts w:ascii="Times New Roman" w:hAnsi="Times New Roman" w:eastAsia="仿宋_GB2312" w:cs="Times New Roman"/>
          <w:sz w:val="32"/>
          <w:szCs w:val="32"/>
        </w:rPr>
        <w:t>下一步改进措施：</w:t>
      </w:r>
      <w:r>
        <w:rPr>
          <w:rFonts w:hint="eastAsia" w:ascii="Times New Roman" w:hAnsi="Times New Roman" w:eastAsia="仿宋_GB2312" w:cs="Times New Roman"/>
          <w:sz w:val="32"/>
          <w:szCs w:val="32"/>
        </w:rPr>
        <w:t>严格预算绩效管理。严格按照预算绩效管理有关规定，结合年度工作任务，制定整体支出和项目支出绩效目标，进一步细化绩效指标设置。加强部门整体支出和项目支出管理，不断提升财政资金支出绩效管理水平，提高财政资金使用效益</w:t>
      </w:r>
      <w:r>
        <w:rPr>
          <w:rFonts w:ascii="Times New Roman" w:hAnsi="Times New Roman" w:eastAsia="仿宋_GB2312" w:cs="Times New Roman"/>
          <w:sz w:val="32"/>
          <w:szCs w:val="32"/>
        </w:rPr>
        <w:t>。</w:t>
      </w:r>
      <w:r>
        <w:rPr>
          <w:rFonts w:ascii="Times New Roman" w:hAnsi="Times New Roman" w:eastAsia="仿宋_GB2312" w:cs="Times New Roman"/>
          <w:b/>
          <w:bCs/>
          <w:kern w:val="0"/>
          <w:sz w:val="32"/>
          <w:szCs w:val="32"/>
        </w:rPr>
        <w:t>二是部门评价结果。</w:t>
      </w:r>
      <w:r>
        <w:rPr>
          <w:rFonts w:hint="eastAsia" w:ascii="Times New Roman" w:hAnsi="Times New Roman" w:eastAsia="仿宋_GB2312" w:cs="Times New Roman"/>
          <w:sz w:val="32"/>
          <w:szCs w:val="32"/>
        </w:rPr>
        <w:t>市本级DZZYTX二级网运行维护费</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127</w:t>
      </w:r>
      <w:r>
        <w:rPr>
          <w:rFonts w:ascii="Times New Roman" w:hAnsi="Times New Roman" w:eastAsia="仿宋_GB2312" w:cs="Times New Roman"/>
          <w:sz w:val="32"/>
          <w:szCs w:val="32"/>
        </w:rPr>
        <w:t>万元，执行数</w:t>
      </w:r>
      <w:r>
        <w:rPr>
          <w:rFonts w:hint="eastAsia" w:ascii="Times New Roman Regular" w:hAnsi="Times New Roman Regular" w:eastAsia="仿宋" w:cs="Times New Roman Regular"/>
          <w:color w:val="auto"/>
          <w:sz w:val="32"/>
          <w:szCs w:val="32"/>
          <w:highlight w:val="none"/>
          <w:lang w:val="en-US" w:eastAsia="zh-CN"/>
        </w:rPr>
        <w:t>104.05</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81.93</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98.19</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val="en-US" w:eastAsia="zh-CN"/>
        </w:rPr>
        <w:t>优</w:t>
      </w:r>
      <w:r>
        <w:rPr>
          <w:rFonts w:ascii="Times New Roman" w:hAnsi="Times New Roman" w:eastAsia="仿宋_GB2312" w:cs="Times New Roman"/>
          <w:sz w:val="32"/>
          <w:szCs w:val="32"/>
        </w:rPr>
        <w:t>”。发现的主要问题</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原因</w:t>
      </w:r>
      <w:r>
        <w:rPr>
          <w:rFonts w:hint="eastAsia" w:ascii="Times New Roman" w:hAnsi="Times New Roman" w:eastAsia="仿宋_GB2312" w:cs="Times New Roman"/>
          <w:sz w:val="32"/>
          <w:szCs w:val="32"/>
          <w:lang w:eastAsia="zh-CN"/>
        </w:rPr>
        <w:t>：绩效指标难以量化，影响绩效评价质量；未能充分发挥绩效评价结果对推动单位管理的作用。</w:t>
      </w:r>
      <w:r>
        <w:rPr>
          <w:rFonts w:hint="eastAsia" w:ascii="Times New Roman" w:hAnsi="Times New Roman" w:eastAsia="仿宋_GB2312" w:cs="Times New Roman"/>
          <w:sz w:val="32"/>
          <w:szCs w:val="32"/>
          <w:lang w:val="en-US" w:eastAsia="zh-CN"/>
        </w:rPr>
        <w:t>下一步工作措施：严格按照项目的绩效目标执行，对绩效目标切实做好细化和量化，在计划内完成项目的实施，跟踪实施情况，明确项目实施效益。加强对绩效评价工作的培训与指导，优化项目绩效考核指标体系，将合理性和可操作性进行有机统一，不断提升单位绩效管理水平。</w:t>
      </w:r>
    </w:p>
    <w:p w14:paraId="14C6C87B">
      <w:pPr>
        <w:pStyle w:val="12"/>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eastAsia="zh-CN"/>
        </w:rPr>
      </w:pPr>
      <w:r>
        <w:rPr>
          <w:rFonts w:ascii="Times New Roman" w:hAnsi="Times New Roman" w:eastAsia="楷体_GB2312" w:cs="Times New Roman"/>
          <w:b/>
          <w:bCs/>
          <w:color w:val="auto"/>
          <w:kern w:val="2"/>
          <w:sz w:val="32"/>
          <w:szCs w:val="32"/>
        </w:rPr>
        <w:t>（三）评价结果应用情况。</w:t>
      </w:r>
      <w:r>
        <w:rPr>
          <w:rFonts w:hint="eastAsia" w:ascii="Times New Roman" w:hAnsi="Times New Roman" w:eastAsia="仿宋_GB2312" w:cs="Times New Roman"/>
          <w:color w:val="auto"/>
          <w:sz w:val="32"/>
          <w:szCs w:val="32"/>
        </w:rPr>
        <w:t>根据绩效自评情况，我办绩效评价小组重点就自评中发现的问题督促各科室提出整改措施并及时落实到位。部门绩效自评报告严格按市财政局要求的时间节点及时在财政门户网站上公开，保证信息资料真实、完整、准确，接受社会公众监督。</w:t>
      </w:r>
    </w:p>
    <w:p w14:paraId="38E46814">
      <w:pPr>
        <w:pStyle w:val="12"/>
        <w:overflowPunct w:val="0"/>
        <w:autoSpaceDE/>
        <w:autoSpaceDN/>
        <w:spacing w:line="600" w:lineRule="exact"/>
        <w:ind w:firstLine="1440" w:firstLineChars="200"/>
        <w:jc w:val="both"/>
        <w:rPr>
          <w:rFonts w:ascii="Times New Roman" w:hAnsi="Times New Roman" w:eastAsia="仿宋_GB2312" w:cs="Times New Roman"/>
          <w:color w:val="auto"/>
          <w:sz w:val="72"/>
          <w:szCs w:val="72"/>
        </w:rPr>
      </w:pPr>
    </w:p>
    <w:p w14:paraId="071CE427">
      <w:pPr>
        <w:pStyle w:val="12"/>
        <w:spacing w:line="360" w:lineRule="auto"/>
        <w:jc w:val="center"/>
        <w:rPr>
          <w:rFonts w:ascii="Times New Roman" w:hAnsi="Times New Roman" w:eastAsia="方正小标宋_GBK" w:cs="Times New Roman"/>
          <w:sz w:val="52"/>
          <w:szCs w:val="52"/>
        </w:rPr>
      </w:pPr>
    </w:p>
    <w:p w14:paraId="66C3FBCC">
      <w:pPr>
        <w:pStyle w:val="12"/>
        <w:spacing w:line="360" w:lineRule="auto"/>
        <w:jc w:val="center"/>
        <w:rPr>
          <w:rFonts w:ascii="Times New Roman" w:hAnsi="Times New Roman" w:eastAsia="方正小标宋_GBK" w:cs="Times New Roman"/>
          <w:sz w:val="52"/>
          <w:szCs w:val="52"/>
        </w:rPr>
      </w:pPr>
    </w:p>
    <w:p w14:paraId="7089708E">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7BE13CEC">
      <w:pPr>
        <w:widowControl/>
        <w:jc w:val="left"/>
        <w:rPr>
          <w:rFonts w:ascii="Times New Roman" w:hAnsi="Times New Roman" w:cs="Times New Roman"/>
          <w:color w:val="000000"/>
          <w:kern w:val="0"/>
          <w:sz w:val="32"/>
          <w:szCs w:val="32"/>
        </w:rPr>
      </w:pPr>
    </w:p>
    <w:p w14:paraId="18399561">
      <w:pPr>
        <w:pStyle w:val="12"/>
        <w:spacing w:line="600" w:lineRule="exact"/>
        <w:ind w:firstLine="640"/>
        <w:rPr>
          <w:rFonts w:hint="eastAsia" w:ascii="仿宋" w:hAnsi="仿宋" w:eastAsia="仿宋" w:cs="仿宋"/>
          <w:color w:val="000000"/>
          <w:sz w:val="32"/>
          <w:szCs w:val="32"/>
          <w:lang w:val="en-US" w:eastAsia="zh-CN"/>
        </w:rPr>
      </w:pPr>
      <w:r>
        <w:rPr>
          <w:rFonts w:hint="eastAsia" w:ascii="仿宋" w:hAnsi="仿宋" w:eastAsia="仿宋" w:cs="仿宋"/>
          <w:b/>
          <w:bCs/>
          <w:color w:val="000000"/>
          <w:sz w:val="32"/>
          <w:szCs w:val="32"/>
          <w:lang w:val="en-US" w:eastAsia="zh-CN"/>
        </w:rPr>
        <w:t>一、机关运行经费：</w:t>
      </w:r>
      <w:r>
        <w:rPr>
          <w:rFonts w:hint="eastAsia" w:ascii="仿宋" w:hAnsi="仿宋" w:eastAsia="仿宋" w:cs="仿宋"/>
          <w:color w:val="000000"/>
          <w:sz w:val="32"/>
          <w:szCs w:val="32"/>
          <w:lang w:val="en-US" w:eastAsia="zh-CN"/>
        </w:rPr>
        <w:t>为保障行政单位（包括参照公务员法管理的事业单位）运行，用一般公共预算财政拨款安排，用于购买货物和服务的各项资金，包括办公及印刷费、邮电费、差旅费、会议费、福利费、日常维修费、办公用房水电费、办公用房取暖费、办公用房物业管理费、公务用车运行维护费以及其他费用，即为行政单位和参照公务员法管理事业单位一般公共预算财政拨款基本支出中的公用经费支出。</w:t>
      </w:r>
    </w:p>
    <w:p w14:paraId="70B80270">
      <w:pPr>
        <w:pStyle w:val="12"/>
        <w:spacing w:line="600" w:lineRule="exact"/>
        <w:ind w:firstLine="640"/>
        <w:rPr>
          <w:rFonts w:hint="eastAsia" w:ascii="仿宋" w:hAnsi="仿宋" w:eastAsia="仿宋" w:cs="仿宋"/>
          <w:color w:val="000000"/>
          <w:sz w:val="32"/>
          <w:szCs w:val="32"/>
          <w:lang w:val="en-US" w:eastAsia="zh-CN"/>
        </w:rPr>
      </w:pPr>
      <w:r>
        <w:rPr>
          <w:rFonts w:hint="eastAsia" w:ascii="仿宋" w:hAnsi="仿宋" w:eastAsia="仿宋" w:cs="仿宋"/>
          <w:b/>
          <w:bCs/>
          <w:color w:val="000000"/>
          <w:sz w:val="32"/>
          <w:szCs w:val="32"/>
          <w:lang w:val="en-US" w:eastAsia="zh-CN"/>
        </w:rPr>
        <w:t>二、“三公”经费：</w:t>
      </w:r>
      <w:r>
        <w:rPr>
          <w:rFonts w:hint="eastAsia" w:ascii="仿宋" w:hAnsi="仿宋" w:eastAsia="仿宋" w:cs="仿宋"/>
          <w:color w:val="000000"/>
          <w:sz w:val="32"/>
          <w:szCs w:val="32"/>
          <w:lang w:val="en-US" w:eastAsia="zh-CN"/>
        </w:rPr>
        <w:t>纳入财政预算管理的“三公”经费，是指用财政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20B774C7">
      <w:pPr>
        <w:pStyle w:val="12"/>
        <w:jc w:val="center"/>
        <w:rPr>
          <w:rFonts w:ascii="Times New Roman" w:hAnsi="Times New Roman" w:cs="Times New Roman"/>
          <w:sz w:val="72"/>
          <w:szCs w:val="72"/>
        </w:rPr>
      </w:pPr>
    </w:p>
    <w:p w14:paraId="51FFCB9C">
      <w:pPr>
        <w:pStyle w:val="12"/>
        <w:jc w:val="center"/>
        <w:rPr>
          <w:rFonts w:ascii="Times New Roman" w:hAnsi="Times New Roman" w:cs="Times New Roman"/>
          <w:sz w:val="72"/>
          <w:szCs w:val="72"/>
        </w:rPr>
      </w:pPr>
    </w:p>
    <w:p w14:paraId="07812022">
      <w:pPr>
        <w:pStyle w:val="12"/>
        <w:spacing w:line="360" w:lineRule="auto"/>
        <w:jc w:val="center"/>
        <w:rPr>
          <w:rFonts w:ascii="Times New Roman" w:hAnsi="Times New Roman" w:eastAsia="方正小标宋_GBK" w:cs="Times New Roman"/>
          <w:sz w:val="52"/>
          <w:szCs w:val="52"/>
        </w:rPr>
      </w:pPr>
    </w:p>
    <w:p w14:paraId="29AEEFC8">
      <w:pPr>
        <w:pStyle w:val="12"/>
        <w:spacing w:line="360" w:lineRule="auto"/>
        <w:jc w:val="center"/>
        <w:rPr>
          <w:rFonts w:ascii="Times New Roman" w:hAnsi="Times New Roman" w:eastAsia="方正小标宋_GBK" w:cs="Times New Roman"/>
          <w:sz w:val="52"/>
          <w:szCs w:val="52"/>
        </w:rPr>
      </w:pPr>
    </w:p>
    <w:p w14:paraId="3AA7BDA1">
      <w:pPr>
        <w:pStyle w:val="12"/>
        <w:spacing w:line="360" w:lineRule="auto"/>
        <w:jc w:val="center"/>
        <w:rPr>
          <w:rFonts w:ascii="Times New Roman" w:hAnsi="Times New Roman" w:eastAsia="方正小标宋_GBK" w:cs="Times New Roman"/>
          <w:sz w:val="52"/>
          <w:szCs w:val="52"/>
        </w:rPr>
      </w:pPr>
    </w:p>
    <w:p w14:paraId="075D179A">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14A0AD5D">
      <w:pPr>
        <w:pStyle w:val="12"/>
        <w:spacing w:line="600" w:lineRule="exact"/>
        <w:rPr>
          <w:rFonts w:ascii="Times New Roman" w:hAnsi="Times New Roman" w:eastAsia="仿宋_GB2312" w:cs="Times New Roman"/>
          <w:sz w:val="32"/>
          <w:szCs w:val="32"/>
        </w:rPr>
      </w:pPr>
    </w:p>
    <w:p w14:paraId="3526364F">
      <w:pPr>
        <w:pStyle w:val="12"/>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一、</w:t>
      </w:r>
      <w:r>
        <w:rPr>
          <w:rFonts w:hint="eastAsia" w:ascii="Times New Roman" w:hAnsi="Times New Roman" w:eastAsia="仿宋_GB2312" w:cs="Times New Roman"/>
          <w:sz w:val="32"/>
          <w:szCs w:val="32"/>
          <w:lang w:eastAsia="zh-CN"/>
        </w:rPr>
        <w:t>中国共产党怀化市委员会办公室</w:t>
      </w:r>
      <w:r>
        <w:rPr>
          <w:rFonts w:hint="eastAsia"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w:t>
      </w:r>
      <w:r>
        <w:rPr>
          <w:rFonts w:hint="eastAsia" w:ascii="Times New Roman" w:hAnsi="Times New Roman" w:eastAsia="仿宋_GB2312" w:cs="Times New Roman"/>
          <w:sz w:val="32"/>
          <w:szCs w:val="32"/>
          <w:lang w:val="en-US" w:eastAsia="zh-CN"/>
        </w:rPr>
        <w:t>部门</w:t>
      </w:r>
      <w:r>
        <w:rPr>
          <w:rFonts w:hint="eastAsia" w:ascii="Times New Roman" w:hAnsi="Times New Roman" w:eastAsia="仿宋_GB2312" w:cs="Times New Roman"/>
          <w:sz w:val="32"/>
          <w:szCs w:val="32"/>
        </w:rPr>
        <w:t>决算表</w:t>
      </w:r>
    </w:p>
    <w:p w14:paraId="5038904D">
      <w:pPr>
        <w:pStyle w:val="12"/>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b/>
          <w:bCs/>
          <w:sz w:val="32"/>
          <w:szCs w:val="32"/>
          <w:lang w:val="en-US" w:eastAsia="zh-CN"/>
        </w:rPr>
        <w:t>二</w:t>
      </w:r>
      <w:r>
        <w:rPr>
          <w:rFonts w:ascii="Times New Roman" w:hAnsi="Times New Roman" w:eastAsia="仿宋_GB2312" w:cs="Times New Roman"/>
          <w:b/>
          <w:bCs/>
          <w:sz w:val="32"/>
          <w:szCs w:val="32"/>
        </w:rPr>
        <w:t>、</w:t>
      </w:r>
      <w:r>
        <w:rPr>
          <w:rFonts w:hint="eastAsia" w:ascii="Times New Roman" w:hAnsi="Times New Roman" w:eastAsia="仿宋_GB2312" w:cs="Times New Roman"/>
          <w:sz w:val="32"/>
          <w:szCs w:val="32"/>
          <w:lang w:eastAsia="zh-CN"/>
        </w:rPr>
        <w:t>中国共产党怀化市委员会办公室</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w:t>
      </w:r>
      <w:r>
        <w:rPr>
          <w:rFonts w:hint="eastAsia" w:ascii="Times New Roman" w:hAnsi="Times New Roman" w:eastAsia="仿宋_GB2312" w:cs="Times New Roman"/>
          <w:sz w:val="32"/>
          <w:szCs w:val="32"/>
          <w:lang w:val="en-US" w:eastAsia="zh-CN"/>
        </w:rPr>
        <w:t>部门</w:t>
      </w:r>
      <w:r>
        <w:rPr>
          <w:rFonts w:ascii="Times New Roman" w:hAnsi="Times New Roman" w:eastAsia="仿宋_GB2312" w:cs="Times New Roman"/>
          <w:sz w:val="32"/>
          <w:szCs w:val="32"/>
        </w:rPr>
        <w:t>整体支出绩效自评报告</w:t>
      </w:r>
    </w:p>
    <w:p w14:paraId="51861E63">
      <w:pPr>
        <w:pStyle w:val="12"/>
        <w:spacing w:line="600" w:lineRule="exact"/>
        <w:ind w:firstLine="640" w:firstLineChars="200"/>
        <w:rPr>
          <w:rFonts w:ascii="Times New Roman" w:hAnsi="Times New Roman" w:eastAsia="仿宋_GB2312" w:cs="Times New Roman"/>
          <w:sz w:val="32"/>
          <w:szCs w:val="32"/>
        </w:rPr>
      </w:pPr>
    </w:p>
    <w:p w14:paraId="6E1D0F21">
      <w:pPr>
        <w:pStyle w:val="12"/>
        <w:jc w:val="center"/>
        <w:rPr>
          <w:rFonts w:ascii="Times New Roman" w:hAnsi="Times New Roman" w:cs="Times New Roman"/>
          <w:sz w:val="72"/>
          <w:szCs w:val="72"/>
        </w:rPr>
      </w:pPr>
    </w:p>
    <w:p w14:paraId="202AFC47">
      <w:pPr>
        <w:pStyle w:val="12"/>
        <w:jc w:val="center"/>
        <w:rPr>
          <w:rFonts w:ascii="Times New Roman" w:hAnsi="Times New Roman" w:cs="Times New Roman"/>
          <w:sz w:val="72"/>
          <w:szCs w:val="72"/>
        </w:rPr>
      </w:pPr>
    </w:p>
    <w:p w14:paraId="125E0D95">
      <w:pPr>
        <w:jc w:val="left"/>
        <w:rPr>
          <w:rFonts w:ascii="Times New Roman" w:hAnsi="Times New Roman" w:cs="Times New Roman"/>
          <w:color w:val="000000"/>
          <w:kern w:val="0"/>
          <w:sz w:val="32"/>
          <w:szCs w:val="32"/>
        </w:rPr>
      </w:pPr>
    </w:p>
    <w:sectPr>
      <w:pgSz w:w="11906" w:h="16838"/>
      <w:pgMar w:top="1417" w:right="1588" w:bottom="1417" w:left="1588" w:header="851" w:footer="992" w:gutter="0"/>
      <w:pgBorders>
        <w:top w:val="none" w:sz="0" w:space="0"/>
        <w:left w:val="none" w:sz="0" w:space="0"/>
        <w:bottom w:val="none" w:sz="0" w:space="0"/>
        <w:right w:val="none" w:sz="0" w:space="0"/>
      </w:pgBorders>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2585BD9-727F-4AE7-A657-4DCAF061344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2" w:fontKey="{6638DA7C-8A55-4822-96A8-69036313C167}"/>
  </w:font>
  <w:font w:name="方正小标宋_GBK">
    <w:altName w:val="微软雅黑"/>
    <w:panose1 w:val="03000509000000000000"/>
    <w:charset w:val="86"/>
    <w:family w:val="script"/>
    <w:pitch w:val="default"/>
    <w:sig w:usb0="00000000" w:usb1="00000000" w:usb2="00000000" w:usb3="00000000" w:csb0="00040000" w:csb1="00000000"/>
    <w:embedRegular r:id="rId3" w:fontKey="{43C072CF-F9A0-4AFE-99DA-547DDDBAA618}"/>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embedRegular r:id="rId4" w:fontKey="{02DF0FC3-0C40-4CE1-B5E9-84F1AD98C5AD}"/>
  </w:font>
  <w:font w:name="仿宋">
    <w:panose1 w:val="02010609060101010101"/>
    <w:charset w:val="86"/>
    <w:family w:val="auto"/>
    <w:pitch w:val="default"/>
    <w:sig w:usb0="800002BF" w:usb1="38CF7CFA" w:usb2="00000016" w:usb3="00000000" w:csb0="00040001" w:csb1="00000000"/>
    <w:embedRegular r:id="rId5" w:fontKey="{5635D53A-6D4E-488D-A5D6-079FB162E0BE}"/>
  </w:font>
  <w:font w:name="Times New Roman Regular">
    <w:altName w:val="Times New Roman"/>
    <w:panose1 w:val="02020603050405020304"/>
    <w:charset w:val="00"/>
    <w:family w:val="auto"/>
    <w:pitch w:val="default"/>
    <w:sig w:usb0="00000000" w:usb1="00000000" w:usb2="00000009" w:usb3="00000000" w:csb0="400001FF" w:csb1="FFFF0000"/>
    <w:embedRegular r:id="rId6" w:fontKey="{040838CB-C4AB-4497-B138-7C90263C8324}"/>
  </w:font>
  <w:font w:name="楷体_GB2312">
    <w:altName w:val="楷体"/>
    <w:panose1 w:val="02010609030101010101"/>
    <w:charset w:val="86"/>
    <w:family w:val="modern"/>
    <w:pitch w:val="default"/>
    <w:sig w:usb0="00000000" w:usb1="00000000" w:usb2="00000000" w:usb3="00000000" w:csb0="00040000" w:csb1="00000000"/>
    <w:embedRegular r:id="rId7" w:fontKey="{21774006-91C9-49B5-9BBE-59DF5CB5A4A3}"/>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7C9EEE">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03CB1B">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813725">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32268">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B3695C">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78B3695C">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002F"/>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58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36276"/>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5063D"/>
    <w:rsid w:val="00D63780"/>
    <w:rsid w:val="00D644EE"/>
    <w:rsid w:val="00DD06FF"/>
    <w:rsid w:val="00DD5FE9"/>
    <w:rsid w:val="00E00C7A"/>
    <w:rsid w:val="00E37D6C"/>
    <w:rsid w:val="00E55B68"/>
    <w:rsid w:val="00E561AE"/>
    <w:rsid w:val="00E67BE6"/>
    <w:rsid w:val="00E8683C"/>
    <w:rsid w:val="00EA2B72"/>
    <w:rsid w:val="00ED1E2A"/>
    <w:rsid w:val="00F74360"/>
    <w:rsid w:val="00F76805"/>
    <w:rsid w:val="00F907CF"/>
    <w:rsid w:val="00FA00A3"/>
    <w:rsid w:val="00FB462F"/>
    <w:rsid w:val="00FE16FA"/>
    <w:rsid w:val="00FE328A"/>
    <w:rsid w:val="00FE6269"/>
    <w:rsid w:val="00FF5CD6"/>
    <w:rsid w:val="012B4701"/>
    <w:rsid w:val="01763BCE"/>
    <w:rsid w:val="023A2E4D"/>
    <w:rsid w:val="024C0DD3"/>
    <w:rsid w:val="02873320"/>
    <w:rsid w:val="02AB5AF9"/>
    <w:rsid w:val="02CB3B34"/>
    <w:rsid w:val="02FF5E45"/>
    <w:rsid w:val="030376E3"/>
    <w:rsid w:val="032558AB"/>
    <w:rsid w:val="034D4E02"/>
    <w:rsid w:val="03FE7EAB"/>
    <w:rsid w:val="04567CE7"/>
    <w:rsid w:val="0462668B"/>
    <w:rsid w:val="04741368"/>
    <w:rsid w:val="04B05B7C"/>
    <w:rsid w:val="04C609C8"/>
    <w:rsid w:val="04DD3090"/>
    <w:rsid w:val="04E452F2"/>
    <w:rsid w:val="04E470A0"/>
    <w:rsid w:val="04F069BD"/>
    <w:rsid w:val="04FC263C"/>
    <w:rsid w:val="053242B0"/>
    <w:rsid w:val="05502988"/>
    <w:rsid w:val="055204AE"/>
    <w:rsid w:val="057523EE"/>
    <w:rsid w:val="05B25F1A"/>
    <w:rsid w:val="05C375FE"/>
    <w:rsid w:val="05DB4947"/>
    <w:rsid w:val="05F504EE"/>
    <w:rsid w:val="06471FDD"/>
    <w:rsid w:val="06473D8B"/>
    <w:rsid w:val="0696261C"/>
    <w:rsid w:val="06C278B5"/>
    <w:rsid w:val="06CA3863"/>
    <w:rsid w:val="06CE0008"/>
    <w:rsid w:val="07225ECD"/>
    <w:rsid w:val="072E6CF9"/>
    <w:rsid w:val="07310D24"/>
    <w:rsid w:val="07372051"/>
    <w:rsid w:val="074958E1"/>
    <w:rsid w:val="075449B1"/>
    <w:rsid w:val="07DB478B"/>
    <w:rsid w:val="07EA70C4"/>
    <w:rsid w:val="07F12200"/>
    <w:rsid w:val="07F817E1"/>
    <w:rsid w:val="07F95559"/>
    <w:rsid w:val="083130B2"/>
    <w:rsid w:val="083640B7"/>
    <w:rsid w:val="08517F8B"/>
    <w:rsid w:val="08AB4BF2"/>
    <w:rsid w:val="08F0070A"/>
    <w:rsid w:val="09201577"/>
    <w:rsid w:val="0926412B"/>
    <w:rsid w:val="09265ED9"/>
    <w:rsid w:val="092A6EDD"/>
    <w:rsid w:val="094D16B8"/>
    <w:rsid w:val="09532A47"/>
    <w:rsid w:val="09BC4A90"/>
    <w:rsid w:val="09D5345C"/>
    <w:rsid w:val="09FA1F21"/>
    <w:rsid w:val="0A2543E3"/>
    <w:rsid w:val="0A326B00"/>
    <w:rsid w:val="0A5E653D"/>
    <w:rsid w:val="0A6E5D8A"/>
    <w:rsid w:val="0A732EFB"/>
    <w:rsid w:val="0A805ABD"/>
    <w:rsid w:val="0A8A693C"/>
    <w:rsid w:val="0ADB0F46"/>
    <w:rsid w:val="0AF64C86"/>
    <w:rsid w:val="0AF67B2D"/>
    <w:rsid w:val="0B0D0BD3"/>
    <w:rsid w:val="0B293A5F"/>
    <w:rsid w:val="0B596481"/>
    <w:rsid w:val="0B662F05"/>
    <w:rsid w:val="0B923CFA"/>
    <w:rsid w:val="0B9A670B"/>
    <w:rsid w:val="0BE65DF4"/>
    <w:rsid w:val="0C460641"/>
    <w:rsid w:val="0C476893"/>
    <w:rsid w:val="0C60671B"/>
    <w:rsid w:val="0C762CD4"/>
    <w:rsid w:val="0C873133"/>
    <w:rsid w:val="0C8A49D1"/>
    <w:rsid w:val="0C8C0749"/>
    <w:rsid w:val="0CC06645"/>
    <w:rsid w:val="0CF85DDF"/>
    <w:rsid w:val="0D8B27AF"/>
    <w:rsid w:val="0DE93979"/>
    <w:rsid w:val="0E1A1D85"/>
    <w:rsid w:val="0E341099"/>
    <w:rsid w:val="0E377A47"/>
    <w:rsid w:val="0E455054"/>
    <w:rsid w:val="0EBB3568"/>
    <w:rsid w:val="0ED463D8"/>
    <w:rsid w:val="0F2033CB"/>
    <w:rsid w:val="0F2D3646"/>
    <w:rsid w:val="0F3A0931"/>
    <w:rsid w:val="0F83329A"/>
    <w:rsid w:val="0FCC70AF"/>
    <w:rsid w:val="10042CED"/>
    <w:rsid w:val="100D7DF3"/>
    <w:rsid w:val="101A2510"/>
    <w:rsid w:val="103332B1"/>
    <w:rsid w:val="10516B8B"/>
    <w:rsid w:val="106D4AF0"/>
    <w:rsid w:val="10B4026F"/>
    <w:rsid w:val="10BE6ECD"/>
    <w:rsid w:val="10C20BDE"/>
    <w:rsid w:val="10DB4EBB"/>
    <w:rsid w:val="111B209C"/>
    <w:rsid w:val="11B93718"/>
    <w:rsid w:val="11BC06EC"/>
    <w:rsid w:val="11C40985"/>
    <w:rsid w:val="11D31A19"/>
    <w:rsid w:val="11EB4164"/>
    <w:rsid w:val="12906AB9"/>
    <w:rsid w:val="12BC78AF"/>
    <w:rsid w:val="13432B9A"/>
    <w:rsid w:val="13C46A1B"/>
    <w:rsid w:val="13CC3B21"/>
    <w:rsid w:val="13D749A0"/>
    <w:rsid w:val="13E64393"/>
    <w:rsid w:val="13E744B7"/>
    <w:rsid w:val="14067033"/>
    <w:rsid w:val="14495687"/>
    <w:rsid w:val="148B12E6"/>
    <w:rsid w:val="14922675"/>
    <w:rsid w:val="14AB7BDB"/>
    <w:rsid w:val="14EF5D19"/>
    <w:rsid w:val="15542020"/>
    <w:rsid w:val="15712BD2"/>
    <w:rsid w:val="15766F10"/>
    <w:rsid w:val="15B12FCF"/>
    <w:rsid w:val="16041350"/>
    <w:rsid w:val="165322D8"/>
    <w:rsid w:val="169A3A63"/>
    <w:rsid w:val="16D50F3F"/>
    <w:rsid w:val="16DC22CD"/>
    <w:rsid w:val="171E28E6"/>
    <w:rsid w:val="1720040C"/>
    <w:rsid w:val="175723F4"/>
    <w:rsid w:val="17575DF8"/>
    <w:rsid w:val="175B7696"/>
    <w:rsid w:val="17A32DEB"/>
    <w:rsid w:val="17F62E6C"/>
    <w:rsid w:val="18475E6C"/>
    <w:rsid w:val="184B14B9"/>
    <w:rsid w:val="18694035"/>
    <w:rsid w:val="18982249"/>
    <w:rsid w:val="18ED07C2"/>
    <w:rsid w:val="18ED2570"/>
    <w:rsid w:val="192835A8"/>
    <w:rsid w:val="1941466A"/>
    <w:rsid w:val="19467ED2"/>
    <w:rsid w:val="194D237F"/>
    <w:rsid w:val="19704F4F"/>
    <w:rsid w:val="19966E0F"/>
    <w:rsid w:val="1998697F"/>
    <w:rsid w:val="1A057D8D"/>
    <w:rsid w:val="1A2226ED"/>
    <w:rsid w:val="1A450189"/>
    <w:rsid w:val="1A4A1B64"/>
    <w:rsid w:val="1A4C1518"/>
    <w:rsid w:val="1A512FD2"/>
    <w:rsid w:val="1A5403CD"/>
    <w:rsid w:val="1A5D3725"/>
    <w:rsid w:val="1AAC0209"/>
    <w:rsid w:val="1AB23A71"/>
    <w:rsid w:val="1ACC4407"/>
    <w:rsid w:val="1B8D3B96"/>
    <w:rsid w:val="1BE614F8"/>
    <w:rsid w:val="1BEF65FF"/>
    <w:rsid w:val="1C073948"/>
    <w:rsid w:val="1C2838BF"/>
    <w:rsid w:val="1C940F54"/>
    <w:rsid w:val="1CA4563B"/>
    <w:rsid w:val="1CD203FA"/>
    <w:rsid w:val="1CD66224"/>
    <w:rsid w:val="1CDD28FB"/>
    <w:rsid w:val="1CDF0421"/>
    <w:rsid w:val="1CED6FE2"/>
    <w:rsid w:val="1D100F23"/>
    <w:rsid w:val="1D156539"/>
    <w:rsid w:val="1D17405F"/>
    <w:rsid w:val="1D195EFE"/>
    <w:rsid w:val="1D6848BB"/>
    <w:rsid w:val="1D813BCE"/>
    <w:rsid w:val="1D97DEFF"/>
    <w:rsid w:val="1DDC7057"/>
    <w:rsid w:val="1DEA3522"/>
    <w:rsid w:val="1DF60118"/>
    <w:rsid w:val="1DFF72E5"/>
    <w:rsid w:val="1E032835"/>
    <w:rsid w:val="1E1405E7"/>
    <w:rsid w:val="1E1467F1"/>
    <w:rsid w:val="1E733517"/>
    <w:rsid w:val="1E805C34"/>
    <w:rsid w:val="1E9B2A6E"/>
    <w:rsid w:val="1EB4768C"/>
    <w:rsid w:val="1EC73863"/>
    <w:rsid w:val="1ED61CF8"/>
    <w:rsid w:val="1EFC6F07"/>
    <w:rsid w:val="1F2D1C55"/>
    <w:rsid w:val="1F3B3AC3"/>
    <w:rsid w:val="1F505606"/>
    <w:rsid w:val="1F533349"/>
    <w:rsid w:val="1F95570F"/>
    <w:rsid w:val="1FB060A5"/>
    <w:rsid w:val="1FB262C1"/>
    <w:rsid w:val="20346CD6"/>
    <w:rsid w:val="204314A8"/>
    <w:rsid w:val="20547378"/>
    <w:rsid w:val="205E01F7"/>
    <w:rsid w:val="206A094A"/>
    <w:rsid w:val="206D3F96"/>
    <w:rsid w:val="209E5A50"/>
    <w:rsid w:val="20AE647B"/>
    <w:rsid w:val="211C60E8"/>
    <w:rsid w:val="212208DA"/>
    <w:rsid w:val="212A1E87"/>
    <w:rsid w:val="215238B8"/>
    <w:rsid w:val="215F3F23"/>
    <w:rsid w:val="21681934"/>
    <w:rsid w:val="21701F90"/>
    <w:rsid w:val="21731A80"/>
    <w:rsid w:val="21AB121A"/>
    <w:rsid w:val="21C3118C"/>
    <w:rsid w:val="22304CAA"/>
    <w:rsid w:val="223E124F"/>
    <w:rsid w:val="22511DC1"/>
    <w:rsid w:val="225E44DE"/>
    <w:rsid w:val="2266797F"/>
    <w:rsid w:val="226715E5"/>
    <w:rsid w:val="22B83BEE"/>
    <w:rsid w:val="22CE51C0"/>
    <w:rsid w:val="22DD3655"/>
    <w:rsid w:val="22EC1AEA"/>
    <w:rsid w:val="232030F2"/>
    <w:rsid w:val="23713D9D"/>
    <w:rsid w:val="23735D67"/>
    <w:rsid w:val="237A5348"/>
    <w:rsid w:val="23A75A11"/>
    <w:rsid w:val="23F549CE"/>
    <w:rsid w:val="2419690F"/>
    <w:rsid w:val="24863878"/>
    <w:rsid w:val="24D13C4A"/>
    <w:rsid w:val="24D6035C"/>
    <w:rsid w:val="24DB0068"/>
    <w:rsid w:val="24F42ED8"/>
    <w:rsid w:val="25207829"/>
    <w:rsid w:val="25341526"/>
    <w:rsid w:val="25552AA0"/>
    <w:rsid w:val="2580651A"/>
    <w:rsid w:val="258203C2"/>
    <w:rsid w:val="258B55EA"/>
    <w:rsid w:val="258E50DA"/>
    <w:rsid w:val="25DF1492"/>
    <w:rsid w:val="260929B3"/>
    <w:rsid w:val="26211AAB"/>
    <w:rsid w:val="262A4E03"/>
    <w:rsid w:val="26325A66"/>
    <w:rsid w:val="265E2CFF"/>
    <w:rsid w:val="2674607E"/>
    <w:rsid w:val="26D66D39"/>
    <w:rsid w:val="270513CC"/>
    <w:rsid w:val="27673E35"/>
    <w:rsid w:val="27736336"/>
    <w:rsid w:val="27822A1D"/>
    <w:rsid w:val="27893DAB"/>
    <w:rsid w:val="279F537D"/>
    <w:rsid w:val="27D52B4D"/>
    <w:rsid w:val="27FB16AD"/>
    <w:rsid w:val="283F090E"/>
    <w:rsid w:val="283F26BC"/>
    <w:rsid w:val="28435545"/>
    <w:rsid w:val="285717B4"/>
    <w:rsid w:val="28AF1E4A"/>
    <w:rsid w:val="28B60BD0"/>
    <w:rsid w:val="29051210"/>
    <w:rsid w:val="290D6316"/>
    <w:rsid w:val="29235B3A"/>
    <w:rsid w:val="29341AF5"/>
    <w:rsid w:val="295977AD"/>
    <w:rsid w:val="29915199"/>
    <w:rsid w:val="2A13795C"/>
    <w:rsid w:val="2A39337C"/>
    <w:rsid w:val="2A8105E2"/>
    <w:rsid w:val="2AA131BA"/>
    <w:rsid w:val="2AAB0EBC"/>
    <w:rsid w:val="2AAB228B"/>
    <w:rsid w:val="2AD27817"/>
    <w:rsid w:val="2B083239"/>
    <w:rsid w:val="2B6C1A1A"/>
    <w:rsid w:val="2B807273"/>
    <w:rsid w:val="2C013BC2"/>
    <w:rsid w:val="2C351E0C"/>
    <w:rsid w:val="2C752B50"/>
    <w:rsid w:val="2C815051"/>
    <w:rsid w:val="2CBC077F"/>
    <w:rsid w:val="2CC0182B"/>
    <w:rsid w:val="2D3E73E6"/>
    <w:rsid w:val="2D485B6F"/>
    <w:rsid w:val="2D5E1836"/>
    <w:rsid w:val="2D642184"/>
    <w:rsid w:val="2D8E5A2D"/>
    <w:rsid w:val="2DBB4A92"/>
    <w:rsid w:val="2DE735DA"/>
    <w:rsid w:val="2E044DC1"/>
    <w:rsid w:val="2E0777D8"/>
    <w:rsid w:val="2E093550"/>
    <w:rsid w:val="2E5A1FFE"/>
    <w:rsid w:val="2E6609A2"/>
    <w:rsid w:val="2E7E3F56"/>
    <w:rsid w:val="2EA35999"/>
    <w:rsid w:val="2EC61441"/>
    <w:rsid w:val="2EF60594"/>
    <w:rsid w:val="2F0957D2"/>
    <w:rsid w:val="2F124686"/>
    <w:rsid w:val="2F2B5748"/>
    <w:rsid w:val="2F974B8C"/>
    <w:rsid w:val="2FAA0D63"/>
    <w:rsid w:val="2FAB0475"/>
    <w:rsid w:val="2FC50223"/>
    <w:rsid w:val="2FD46A0A"/>
    <w:rsid w:val="2FDF85B8"/>
    <w:rsid w:val="2FFFEE04"/>
    <w:rsid w:val="30377F88"/>
    <w:rsid w:val="304E7940"/>
    <w:rsid w:val="308C0468"/>
    <w:rsid w:val="30C65728"/>
    <w:rsid w:val="30F57DBC"/>
    <w:rsid w:val="310149B3"/>
    <w:rsid w:val="310224D9"/>
    <w:rsid w:val="31244B45"/>
    <w:rsid w:val="31374878"/>
    <w:rsid w:val="313C1E8F"/>
    <w:rsid w:val="318A2BFA"/>
    <w:rsid w:val="318C0784"/>
    <w:rsid w:val="318F6462"/>
    <w:rsid w:val="3192385D"/>
    <w:rsid w:val="31973569"/>
    <w:rsid w:val="31A37635"/>
    <w:rsid w:val="31D40319"/>
    <w:rsid w:val="32036508"/>
    <w:rsid w:val="322C3CB1"/>
    <w:rsid w:val="325D20BC"/>
    <w:rsid w:val="32AE46C6"/>
    <w:rsid w:val="32B65B01"/>
    <w:rsid w:val="32BF3B8D"/>
    <w:rsid w:val="32C40510"/>
    <w:rsid w:val="32C409AB"/>
    <w:rsid w:val="32EB76C8"/>
    <w:rsid w:val="333F5C66"/>
    <w:rsid w:val="33484B1B"/>
    <w:rsid w:val="335039CF"/>
    <w:rsid w:val="336F654B"/>
    <w:rsid w:val="33705E1F"/>
    <w:rsid w:val="33904E70"/>
    <w:rsid w:val="33A855B9"/>
    <w:rsid w:val="33AF6948"/>
    <w:rsid w:val="33F24A86"/>
    <w:rsid w:val="340A69E9"/>
    <w:rsid w:val="345E211C"/>
    <w:rsid w:val="34A43FD3"/>
    <w:rsid w:val="34DF85B0"/>
    <w:rsid w:val="35035E5B"/>
    <w:rsid w:val="351A6043"/>
    <w:rsid w:val="3569521C"/>
    <w:rsid w:val="35926521"/>
    <w:rsid w:val="35AB1391"/>
    <w:rsid w:val="35C506A4"/>
    <w:rsid w:val="35C81F43"/>
    <w:rsid w:val="35ED46B6"/>
    <w:rsid w:val="35ED7BFB"/>
    <w:rsid w:val="3619279E"/>
    <w:rsid w:val="361B02C4"/>
    <w:rsid w:val="361E7DB5"/>
    <w:rsid w:val="36266C69"/>
    <w:rsid w:val="36483084"/>
    <w:rsid w:val="36484E32"/>
    <w:rsid w:val="366C0B20"/>
    <w:rsid w:val="36766BEF"/>
    <w:rsid w:val="36B83D65"/>
    <w:rsid w:val="36CF7301"/>
    <w:rsid w:val="36DA1F2E"/>
    <w:rsid w:val="36F6663C"/>
    <w:rsid w:val="36FD3E6E"/>
    <w:rsid w:val="37294C63"/>
    <w:rsid w:val="374E0226"/>
    <w:rsid w:val="37585548"/>
    <w:rsid w:val="375B510B"/>
    <w:rsid w:val="378325C5"/>
    <w:rsid w:val="37A60062"/>
    <w:rsid w:val="37E16728"/>
    <w:rsid w:val="380968DD"/>
    <w:rsid w:val="382B67B9"/>
    <w:rsid w:val="38445E31"/>
    <w:rsid w:val="38D17360"/>
    <w:rsid w:val="38EE1CC0"/>
    <w:rsid w:val="390A4620"/>
    <w:rsid w:val="39111E53"/>
    <w:rsid w:val="393D2C48"/>
    <w:rsid w:val="39556F51"/>
    <w:rsid w:val="39643D30"/>
    <w:rsid w:val="3971469F"/>
    <w:rsid w:val="397D1296"/>
    <w:rsid w:val="39900FC9"/>
    <w:rsid w:val="39AF48A0"/>
    <w:rsid w:val="39D23390"/>
    <w:rsid w:val="3A0E1EEE"/>
    <w:rsid w:val="3A5E69D2"/>
    <w:rsid w:val="3A6A5C99"/>
    <w:rsid w:val="3A8D5509"/>
    <w:rsid w:val="3AA27206"/>
    <w:rsid w:val="3AA840F1"/>
    <w:rsid w:val="3AC0768C"/>
    <w:rsid w:val="3AE01ADD"/>
    <w:rsid w:val="3AEC1CA2"/>
    <w:rsid w:val="3AED7D56"/>
    <w:rsid w:val="3B1E5785"/>
    <w:rsid w:val="3B3B4F65"/>
    <w:rsid w:val="3B8F36BC"/>
    <w:rsid w:val="3BA26809"/>
    <w:rsid w:val="3BAD2186"/>
    <w:rsid w:val="3BBB7E54"/>
    <w:rsid w:val="3BD57167"/>
    <w:rsid w:val="3BD827B4"/>
    <w:rsid w:val="3BDC6748"/>
    <w:rsid w:val="3BED0027"/>
    <w:rsid w:val="3BFD221A"/>
    <w:rsid w:val="3C100A4F"/>
    <w:rsid w:val="3C892C03"/>
    <w:rsid w:val="3CD61C4C"/>
    <w:rsid w:val="3D267223"/>
    <w:rsid w:val="3D402D06"/>
    <w:rsid w:val="3D801355"/>
    <w:rsid w:val="3D931088"/>
    <w:rsid w:val="3D98044D"/>
    <w:rsid w:val="3DED69EA"/>
    <w:rsid w:val="3E015FF2"/>
    <w:rsid w:val="3E03620E"/>
    <w:rsid w:val="3E09134A"/>
    <w:rsid w:val="3E0C6080"/>
    <w:rsid w:val="3E0E070F"/>
    <w:rsid w:val="3E246184"/>
    <w:rsid w:val="3E55633E"/>
    <w:rsid w:val="3E5A7DF8"/>
    <w:rsid w:val="3E5F71BC"/>
    <w:rsid w:val="3E7C147D"/>
    <w:rsid w:val="3E921340"/>
    <w:rsid w:val="3E946E66"/>
    <w:rsid w:val="3EBF1A09"/>
    <w:rsid w:val="3EE55913"/>
    <w:rsid w:val="3F03352F"/>
    <w:rsid w:val="3FA23805"/>
    <w:rsid w:val="3FEE07F8"/>
    <w:rsid w:val="400022D9"/>
    <w:rsid w:val="409D5D7A"/>
    <w:rsid w:val="40E340D5"/>
    <w:rsid w:val="41160006"/>
    <w:rsid w:val="415058B4"/>
    <w:rsid w:val="418A27A2"/>
    <w:rsid w:val="419D3F2B"/>
    <w:rsid w:val="41C31810"/>
    <w:rsid w:val="41DB1250"/>
    <w:rsid w:val="41FD4D22"/>
    <w:rsid w:val="422229DB"/>
    <w:rsid w:val="42334BE8"/>
    <w:rsid w:val="424C78B1"/>
    <w:rsid w:val="42982C9D"/>
    <w:rsid w:val="42B31885"/>
    <w:rsid w:val="42C5318D"/>
    <w:rsid w:val="434C41B3"/>
    <w:rsid w:val="43505326"/>
    <w:rsid w:val="437B23A2"/>
    <w:rsid w:val="43BF488C"/>
    <w:rsid w:val="440A1978"/>
    <w:rsid w:val="44110F59"/>
    <w:rsid w:val="442E38B9"/>
    <w:rsid w:val="44427364"/>
    <w:rsid w:val="44531571"/>
    <w:rsid w:val="446056EA"/>
    <w:rsid w:val="44965F1A"/>
    <w:rsid w:val="449A71A0"/>
    <w:rsid w:val="449B5BEB"/>
    <w:rsid w:val="44A1052F"/>
    <w:rsid w:val="44A139EE"/>
    <w:rsid w:val="44C1472D"/>
    <w:rsid w:val="44E126D9"/>
    <w:rsid w:val="44EB79FC"/>
    <w:rsid w:val="452A0524"/>
    <w:rsid w:val="46026DAB"/>
    <w:rsid w:val="46194606"/>
    <w:rsid w:val="46AC31BB"/>
    <w:rsid w:val="46BF4C9C"/>
    <w:rsid w:val="46C618E2"/>
    <w:rsid w:val="47046B53"/>
    <w:rsid w:val="4707684D"/>
    <w:rsid w:val="471A7957"/>
    <w:rsid w:val="47282841"/>
    <w:rsid w:val="47596E9F"/>
    <w:rsid w:val="47637A0A"/>
    <w:rsid w:val="477D2F10"/>
    <w:rsid w:val="4792415F"/>
    <w:rsid w:val="47AB5220"/>
    <w:rsid w:val="47C307BC"/>
    <w:rsid w:val="47CB7671"/>
    <w:rsid w:val="47D74267"/>
    <w:rsid w:val="47EB386F"/>
    <w:rsid w:val="485E04E5"/>
    <w:rsid w:val="48A73C3A"/>
    <w:rsid w:val="48AB372A"/>
    <w:rsid w:val="48B620CF"/>
    <w:rsid w:val="48C7608A"/>
    <w:rsid w:val="490746D8"/>
    <w:rsid w:val="490B2EAF"/>
    <w:rsid w:val="491FF225"/>
    <w:rsid w:val="494D316B"/>
    <w:rsid w:val="495F0D2E"/>
    <w:rsid w:val="49B760FE"/>
    <w:rsid w:val="49C600F0"/>
    <w:rsid w:val="49CF169A"/>
    <w:rsid w:val="49DE7B2F"/>
    <w:rsid w:val="49E62540"/>
    <w:rsid w:val="49F66C27"/>
    <w:rsid w:val="4A0D21C2"/>
    <w:rsid w:val="4A0D5D1E"/>
    <w:rsid w:val="4A113A61"/>
    <w:rsid w:val="4A123335"/>
    <w:rsid w:val="4A145D12"/>
    <w:rsid w:val="4A38723F"/>
    <w:rsid w:val="4A547DF1"/>
    <w:rsid w:val="4A842484"/>
    <w:rsid w:val="4AA04DE4"/>
    <w:rsid w:val="4ABB39CC"/>
    <w:rsid w:val="4AD36F68"/>
    <w:rsid w:val="4AFF7D5D"/>
    <w:rsid w:val="4B096863"/>
    <w:rsid w:val="4B127EE0"/>
    <w:rsid w:val="4B2E419E"/>
    <w:rsid w:val="4B38501D"/>
    <w:rsid w:val="4BC82845"/>
    <w:rsid w:val="4BD411EA"/>
    <w:rsid w:val="4BE62CCB"/>
    <w:rsid w:val="4C806C7C"/>
    <w:rsid w:val="4CB676CE"/>
    <w:rsid w:val="4D153868"/>
    <w:rsid w:val="4D3A0F31"/>
    <w:rsid w:val="4D5C4E4F"/>
    <w:rsid w:val="4D7353EA"/>
    <w:rsid w:val="4D8B0BA1"/>
    <w:rsid w:val="4DB0533F"/>
    <w:rsid w:val="4DD94895"/>
    <w:rsid w:val="4E4A12EF"/>
    <w:rsid w:val="4E585736"/>
    <w:rsid w:val="4E604FB7"/>
    <w:rsid w:val="4E7E543D"/>
    <w:rsid w:val="4EA56E6D"/>
    <w:rsid w:val="4EE01C53"/>
    <w:rsid w:val="4EEF00E8"/>
    <w:rsid w:val="4EFC6A7C"/>
    <w:rsid w:val="4F0E4A13"/>
    <w:rsid w:val="4F473A81"/>
    <w:rsid w:val="4F644633"/>
    <w:rsid w:val="4F714FA1"/>
    <w:rsid w:val="4F820F5D"/>
    <w:rsid w:val="4F895E47"/>
    <w:rsid w:val="4F9B5B7A"/>
    <w:rsid w:val="4FA113E3"/>
    <w:rsid w:val="4FA74392"/>
    <w:rsid w:val="4FB629B4"/>
    <w:rsid w:val="4FE30D90"/>
    <w:rsid w:val="4FFC0D0F"/>
    <w:rsid w:val="4FFD214C"/>
    <w:rsid w:val="501222E0"/>
    <w:rsid w:val="50281B04"/>
    <w:rsid w:val="503A5393"/>
    <w:rsid w:val="506A211C"/>
    <w:rsid w:val="50720FD1"/>
    <w:rsid w:val="50A418A0"/>
    <w:rsid w:val="50CF1F80"/>
    <w:rsid w:val="5164532F"/>
    <w:rsid w:val="51E77C7B"/>
    <w:rsid w:val="51EF2EE2"/>
    <w:rsid w:val="51F50BB6"/>
    <w:rsid w:val="52A31916"/>
    <w:rsid w:val="52BC6534"/>
    <w:rsid w:val="52D40E84"/>
    <w:rsid w:val="52F61A46"/>
    <w:rsid w:val="53424C8B"/>
    <w:rsid w:val="53603363"/>
    <w:rsid w:val="537B0E37"/>
    <w:rsid w:val="53E977FC"/>
    <w:rsid w:val="53F02939"/>
    <w:rsid w:val="5404179D"/>
    <w:rsid w:val="54342CB7"/>
    <w:rsid w:val="543C11D1"/>
    <w:rsid w:val="548465C9"/>
    <w:rsid w:val="54901A26"/>
    <w:rsid w:val="54B319F0"/>
    <w:rsid w:val="54B971CF"/>
    <w:rsid w:val="54BD2ECD"/>
    <w:rsid w:val="54C3004D"/>
    <w:rsid w:val="54D2203E"/>
    <w:rsid w:val="54E83610"/>
    <w:rsid w:val="54F226E1"/>
    <w:rsid w:val="54F63F7F"/>
    <w:rsid w:val="54F75F49"/>
    <w:rsid w:val="55286102"/>
    <w:rsid w:val="55543C38"/>
    <w:rsid w:val="555D5DAC"/>
    <w:rsid w:val="558275C0"/>
    <w:rsid w:val="55992B5C"/>
    <w:rsid w:val="55C71578"/>
    <w:rsid w:val="55D63DB0"/>
    <w:rsid w:val="55DA73FC"/>
    <w:rsid w:val="56116B96"/>
    <w:rsid w:val="56515DC5"/>
    <w:rsid w:val="56715F54"/>
    <w:rsid w:val="56AC5F5C"/>
    <w:rsid w:val="56E10C5F"/>
    <w:rsid w:val="56FC33A3"/>
    <w:rsid w:val="5712706A"/>
    <w:rsid w:val="575B7C3A"/>
    <w:rsid w:val="5777D4F5"/>
    <w:rsid w:val="58207565"/>
    <w:rsid w:val="58247055"/>
    <w:rsid w:val="58612DB0"/>
    <w:rsid w:val="58847AF3"/>
    <w:rsid w:val="5896670C"/>
    <w:rsid w:val="58DB068A"/>
    <w:rsid w:val="58E862D4"/>
    <w:rsid w:val="58E95BA9"/>
    <w:rsid w:val="5915074C"/>
    <w:rsid w:val="592B4A0E"/>
    <w:rsid w:val="596F4300"/>
    <w:rsid w:val="59C5414A"/>
    <w:rsid w:val="59CC52AE"/>
    <w:rsid w:val="59DD8326"/>
    <w:rsid w:val="59DE4FE1"/>
    <w:rsid w:val="59E3084A"/>
    <w:rsid w:val="5A0B7EF0"/>
    <w:rsid w:val="5A205D3C"/>
    <w:rsid w:val="5A9009D2"/>
    <w:rsid w:val="5AB87F28"/>
    <w:rsid w:val="5AE20B01"/>
    <w:rsid w:val="5AF42E28"/>
    <w:rsid w:val="5B0B26B5"/>
    <w:rsid w:val="5B157129"/>
    <w:rsid w:val="5B1769FD"/>
    <w:rsid w:val="5B3E7729"/>
    <w:rsid w:val="5B894436"/>
    <w:rsid w:val="5BB57FC4"/>
    <w:rsid w:val="5BDC37A3"/>
    <w:rsid w:val="5C401F83"/>
    <w:rsid w:val="5C5645CA"/>
    <w:rsid w:val="5C8400C2"/>
    <w:rsid w:val="5C91458D"/>
    <w:rsid w:val="5CAE3391"/>
    <w:rsid w:val="5CBF734C"/>
    <w:rsid w:val="5CE56FC0"/>
    <w:rsid w:val="5CF52D6E"/>
    <w:rsid w:val="5D105DFA"/>
    <w:rsid w:val="5D7F0889"/>
    <w:rsid w:val="5D8660BC"/>
    <w:rsid w:val="5D9247C3"/>
    <w:rsid w:val="5DD93D2E"/>
    <w:rsid w:val="5DE74DAC"/>
    <w:rsid w:val="5DEF592A"/>
    <w:rsid w:val="5DFE41AE"/>
    <w:rsid w:val="5E0C65C1"/>
    <w:rsid w:val="5E1436C8"/>
    <w:rsid w:val="5E8E5228"/>
    <w:rsid w:val="5EEE216B"/>
    <w:rsid w:val="5F0B0627"/>
    <w:rsid w:val="5F296CFF"/>
    <w:rsid w:val="5F322057"/>
    <w:rsid w:val="5F593A88"/>
    <w:rsid w:val="5F685A79"/>
    <w:rsid w:val="5FA82319"/>
    <w:rsid w:val="5FC1162D"/>
    <w:rsid w:val="5FC6BB1E"/>
    <w:rsid w:val="5FDC6467"/>
    <w:rsid w:val="5FF62959"/>
    <w:rsid w:val="5FF720F1"/>
    <w:rsid w:val="6017749F"/>
    <w:rsid w:val="60206AF9"/>
    <w:rsid w:val="6030345D"/>
    <w:rsid w:val="60563B24"/>
    <w:rsid w:val="606C1599"/>
    <w:rsid w:val="609A21B5"/>
    <w:rsid w:val="60E1459E"/>
    <w:rsid w:val="619012B7"/>
    <w:rsid w:val="61970898"/>
    <w:rsid w:val="62467BC8"/>
    <w:rsid w:val="624C4995"/>
    <w:rsid w:val="625C20CD"/>
    <w:rsid w:val="62892B0F"/>
    <w:rsid w:val="628A3F58"/>
    <w:rsid w:val="628D57F7"/>
    <w:rsid w:val="62DD052C"/>
    <w:rsid w:val="631D301E"/>
    <w:rsid w:val="634B7B8C"/>
    <w:rsid w:val="637623B5"/>
    <w:rsid w:val="63A252D2"/>
    <w:rsid w:val="63A63014"/>
    <w:rsid w:val="63B141AA"/>
    <w:rsid w:val="63B75288"/>
    <w:rsid w:val="63D47B81"/>
    <w:rsid w:val="63FE2D33"/>
    <w:rsid w:val="644B5969"/>
    <w:rsid w:val="6480250D"/>
    <w:rsid w:val="64C37BF6"/>
    <w:rsid w:val="64C9520C"/>
    <w:rsid w:val="651F307E"/>
    <w:rsid w:val="653F727C"/>
    <w:rsid w:val="65640A91"/>
    <w:rsid w:val="65647C5B"/>
    <w:rsid w:val="656F5086"/>
    <w:rsid w:val="65BD63F3"/>
    <w:rsid w:val="65BF03BD"/>
    <w:rsid w:val="65CD0D2C"/>
    <w:rsid w:val="65D200F0"/>
    <w:rsid w:val="66124991"/>
    <w:rsid w:val="662446C4"/>
    <w:rsid w:val="662B7800"/>
    <w:rsid w:val="664B39FF"/>
    <w:rsid w:val="66CD08B8"/>
    <w:rsid w:val="66ED4AB6"/>
    <w:rsid w:val="67277FC8"/>
    <w:rsid w:val="67550ECB"/>
    <w:rsid w:val="6760797E"/>
    <w:rsid w:val="6768047C"/>
    <w:rsid w:val="67E73BFB"/>
    <w:rsid w:val="67FF5C0B"/>
    <w:rsid w:val="68091DC3"/>
    <w:rsid w:val="682B1D3A"/>
    <w:rsid w:val="683D4DCE"/>
    <w:rsid w:val="68580655"/>
    <w:rsid w:val="685F7C35"/>
    <w:rsid w:val="68975621"/>
    <w:rsid w:val="68F24605"/>
    <w:rsid w:val="692A3D9F"/>
    <w:rsid w:val="694A2693"/>
    <w:rsid w:val="69AB391E"/>
    <w:rsid w:val="69F34AD9"/>
    <w:rsid w:val="69F85C4B"/>
    <w:rsid w:val="6A503CD9"/>
    <w:rsid w:val="6AD06BC8"/>
    <w:rsid w:val="6B0B3764"/>
    <w:rsid w:val="6B2C02A3"/>
    <w:rsid w:val="6B4355EC"/>
    <w:rsid w:val="6B454EC0"/>
    <w:rsid w:val="6B4B624F"/>
    <w:rsid w:val="6B5275DD"/>
    <w:rsid w:val="6B737C7F"/>
    <w:rsid w:val="6BAE0CB8"/>
    <w:rsid w:val="6BD526E8"/>
    <w:rsid w:val="6BEC358E"/>
    <w:rsid w:val="6BFF1513"/>
    <w:rsid w:val="6C3D16F7"/>
    <w:rsid w:val="6CC83FFB"/>
    <w:rsid w:val="6D192AA9"/>
    <w:rsid w:val="6D2F407A"/>
    <w:rsid w:val="6D720588"/>
    <w:rsid w:val="6DA32372"/>
    <w:rsid w:val="6E0E3C8F"/>
    <w:rsid w:val="6E184B0E"/>
    <w:rsid w:val="6E6E0BD2"/>
    <w:rsid w:val="6E755ABD"/>
    <w:rsid w:val="6E8C2E06"/>
    <w:rsid w:val="6E8D72AA"/>
    <w:rsid w:val="6E900B48"/>
    <w:rsid w:val="6EB4324A"/>
    <w:rsid w:val="6EBA5BC5"/>
    <w:rsid w:val="6EFC0924"/>
    <w:rsid w:val="6F045092"/>
    <w:rsid w:val="6F1277AF"/>
    <w:rsid w:val="6F305A7B"/>
    <w:rsid w:val="6F331CC9"/>
    <w:rsid w:val="6F40256E"/>
    <w:rsid w:val="6FA50623"/>
    <w:rsid w:val="6FB74722"/>
    <w:rsid w:val="6FBB7E47"/>
    <w:rsid w:val="6FEF8B7E"/>
    <w:rsid w:val="70521005"/>
    <w:rsid w:val="7060279C"/>
    <w:rsid w:val="70AE175A"/>
    <w:rsid w:val="70B54896"/>
    <w:rsid w:val="70D72A5F"/>
    <w:rsid w:val="70E4517B"/>
    <w:rsid w:val="70FE448F"/>
    <w:rsid w:val="710B1A7B"/>
    <w:rsid w:val="714B6FA9"/>
    <w:rsid w:val="714F4CEB"/>
    <w:rsid w:val="715262DC"/>
    <w:rsid w:val="71A6591B"/>
    <w:rsid w:val="71B903B6"/>
    <w:rsid w:val="71E81BD2"/>
    <w:rsid w:val="72021D5D"/>
    <w:rsid w:val="720A2F78"/>
    <w:rsid w:val="723B701D"/>
    <w:rsid w:val="729A1F96"/>
    <w:rsid w:val="72DA4A88"/>
    <w:rsid w:val="72E254FD"/>
    <w:rsid w:val="730275C0"/>
    <w:rsid w:val="731735E6"/>
    <w:rsid w:val="733F6699"/>
    <w:rsid w:val="735E7467"/>
    <w:rsid w:val="737D59BA"/>
    <w:rsid w:val="73E21E46"/>
    <w:rsid w:val="73F25E01"/>
    <w:rsid w:val="73FC27DC"/>
    <w:rsid w:val="7440173D"/>
    <w:rsid w:val="74650381"/>
    <w:rsid w:val="74940C67"/>
    <w:rsid w:val="74BF5CE3"/>
    <w:rsid w:val="74C96B62"/>
    <w:rsid w:val="753D4E5A"/>
    <w:rsid w:val="75422471"/>
    <w:rsid w:val="754B57C9"/>
    <w:rsid w:val="75866801"/>
    <w:rsid w:val="75A03D67"/>
    <w:rsid w:val="75B55338"/>
    <w:rsid w:val="75BA64AB"/>
    <w:rsid w:val="75C33E5B"/>
    <w:rsid w:val="75D24FEA"/>
    <w:rsid w:val="75DB4D9F"/>
    <w:rsid w:val="75DF4163"/>
    <w:rsid w:val="75EF084A"/>
    <w:rsid w:val="75F33BEA"/>
    <w:rsid w:val="75F41852"/>
    <w:rsid w:val="75F47C0F"/>
    <w:rsid w:val="76065B94"/>
    <w:rsid w:val="76200A04"/>
    <w:rsid w:val="7625426C"/>
    <w:rsid w:val="762F0C47"/>
    <w:rsid w:val="763E532E"/>
    <w:rsid w:val="764010A6"/>
    <w:rsid w:val="76426BCC"/>
    <w:rsid w:val="76C515AB"/>
    <w:rsid w:val="770025E3"/>
    <w:rsid w:val="77664B3C"/>
    <w:rsid w:val="778E4093"/>
    <w:rsid w:val="77C11D73"/>
    <w:rsid w:val="77C37683"/>
    <w:rsid w:val="77EC05FB"/>
    <w:rsid w:val="78210A63"/>
    <w:rsid w:val="78322C70"/>
    <w:rsid w:val="78546D1C"/>
    <w:rsid w:val="786A240A"/>
    <w:rsid w:val="78CC09CF"/>
    <w:rsid w:val="78D83818"/>
    <w:rsid w:val="78E26444"/>
    <w:rsid w:val="79A27982"/>
    <w:rsid w:val="79AB4A88"/>
    <w:rsid w:val="79B17BC5"/>
    <w:rsid w:val="79D19834"/>
    <w:rsid w:val="79FF515B"/>
    <w:rsid w:val="7A456C8B"/>
    <w:rsid w:val="7A5073DE"/>
    <w:rsid w:val="7A7A445B"/>
    <w:rsid w:val="7AE545D7"/>
    <w:rsid w:val="7B0703E4"/>
    <w:rsid w:val="7B116B6D"/>
    <w:rsid w:val="7B1448AF"/>
    <w:rsid w:val="7B713AB0"/>
    <w:rsid w:val="7B7D2454"/>
    <w:rsid w:val="7BAB0D70"/>
    <w:rsid w:val="7BB155BC"/>
    <w:rsid w:val="7BC260B9"/>
    <w:rsid w:val="7BD227A0"/>
    <w:rsid w:val="7BF549BF"/>
    <w:rsid w:val="7C014E34"/>
    <w:rsid w:val="7C2154D6"/>
    <w:rsid w:val="7C5F1B5A"/>
    <w:rsid w:val="7CB023B6"/>
    <w:rsid w:val="7CB71996"/>
    <w:rsid w:val="7CD12A58"/>
    <w:rsid w:val="7CD460A4"/>
    <w:rsid w:val="7D0A41BC"/>
    <w:rsid w:val="7D1A1F06"/>
    <w:rsid w:val="7D5611AF"/>
    <w:rsid w:val="7D9F4904"/>
    <w:rsid w:val="7DBB54B6"/>
    <w:rsid w:val="7DC12ACC"/>
    <w:rsid w:val="7E156974"/>
    <w:rsid w:val="7E5C0A47"/>
    <w:rsid w:val="7E720CEC"/>
    <w:rsid w:val="7E857F9E"/>
    <w:rsid w:val="7E8D0C00"/>
    <w:rsid w:val="7E9755DB"/>
    <w:rsid w:val="7E9E1962"/>
    <w:rsid w:val="7E9F11B4"/>
    <w:rsid w:val="7EB97C47"/>
    <w:rsid w:val="7F364DF4"/>
    <w:rsid w:val="7F37EC1E"/>
    <w:rsid w:val="7F58120E"/>
    <w:rsid w:val="7F7DCD9D"/>
    <w:rsid w:val="7F89546E"/>
    <w:rsid w:val="7F9452D1"/>
    <w:rsid w:val="7F970A6F"/>
    <w:rsid w:val="7FC1FFF3"/>
    <w:rsid w:val="7FC69637"/>
    <w:rsid w:val="7FDF106F"/>
    <w:rsid w:val="7FDF8620"/>
    <w:rsid w:val="7FE8C8F7"/>
    <w:rsid w:val="7FF37189"/>
    <w:rsid w:val="7FF8479F"/>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4"/>
    <w:semiHidden/>
    <w:unhideWhenUsed/>
    <w:qFormat/>
    <w:uiPriority w:val="99"/>
    <w:rPr>
      <w:sz w:val="18"/>
      <w:szCs w:val="18"/>
    </w:rPr>
  </w:style>
  <w:style w:type="paragraph" w:styleId="6">
    <w:name w:val="footer"/>
    <w:basedOn w:val="1"/>
    <w:link w:val="11"/>
    <w:unhideWhenUsed/>
    <w:qFormat/>
    <w:uiPriority w:val="99"/>
    <w:pPr>
      <w:tabs>
        <w:tab w:val="center" w:pos="4153"/>
        <w:tab w:val="right" w:pos="8306"/>
      </w:tabs>
      <w:snapToGrid w:val="0"/>
      <w:jc w:val="left"/>
    </w:pPr>
    <w:rPr>
      <w:sz w:val="18"/>
      <w:szCs w:val="18"/>
    </w:rPr>
  </w:style>
  <w:style w:type="paragraph" w:styleId="7">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0">
    <w:name w:val="页眉 Char"/>
    <w:basedOn w:val="9"/>
    <w:link w:val="7"/>
    <w:qFormat/>
    <w:uiPriority w:val="99"/>
    <w:rPr>
      <w:sz w:val="18"/>
      <w:szCs w:val="18"/>
    </w:rPr>
  </w:style>
  <w:style w:type="character" w:customStyle="1" w:styleId="11">
    <w:name w:val="页脚 Char"/>
    <w:basedOn w:val="9"/>
    <w:link w:val="6"/>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5"/>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71931d01-ac94-4bf8-b3ed-b04fac3bc8b2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6583C31D</paraID>
      <start>0</start>
      <end>2</end>
      <status>ignored</status>
      <modifiedWord/>
      <trackRevisions>false</trackRevisions>
    </reviewItem>
    <reviewItem>
      <errorID>2d09279f-d897-4a6e-a203-68ca698945d5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BCB1A1</paraID>
      <start>0</start>
      <end>2</end>
      <status>ignored</status>
      <modifiedWord/>
      <trackRevisions>false</trackRevisions>
    </reviewItem>
    <reviewItem>
      <errorID>37751a9c-1a41-44b3-a1e7-cefa51b5aa67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54C014B6</paraID>
      <start>0</start>
      <end>2</end>
      <status>ignored</status>
      <modifiedWord/>
      <trackRevisions>false</trackRevisions>
    </reviewItem>
    <reviewItem>
      <errorID>44e5b01d-faac-4f6a-90de-a571e103a380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736FBB2E</paraID>
      <start>0</start>
      <end>2</end>
      <status>ignored</status>
      <modifiedWord/>
      <trackRevisions>false</trackRevisions>
    </reviewItem>
    <reviewItem>
      <errorID>c6aa384f-2d5a-4887-bf77-62fc4db4e3ca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1C2E9D19</paraID>
      <start>0</start>
      <end>2</end>
      <status>ignored</status>
      <modifiedWord/>
      <trackRevisions>false</trackRevisions>
    </reviewItem>
    <reviewItem>
      <errorID>116f61a0-405d-49d9-bc82-f8d7d4cf7a12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6F0826F1</paraID>
      <start>0</start>
      <end>2</end>
      <status>ignored</status>
      <modifiedWord/>
      <trackRevisions>false</trackRevisions>
    </reviewItem>
    <reviewItem>
      <errorID>9bc8e4a5-7a31-4655-88c8-fd47874cd67a</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55CF127C</paraID>
      <start>0</start>
      <end>2</end>
      <status>ignored</status>
      <modifiedWord/>
      <trackRevisions>false</trackRevisions>
    </reviewItem>
    <reviewItem>
      <errorID>e8fa7454-7104-4f56-bc20-bc3ae1f881d7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28DC8537</paraID>
      <start>0</start>
      <end>2</end>
      <status>ignored</status>
      <modifiedWord/>
      <trackRevisions>false</trackRevisions>
    </reviewItem>
    <reviewItem>
      <errorID>8648d970-b641-4a85-b90d-41dffe4c8453</errorID>
      <errorWord>截止</errorWord>
      <group>L1_Word</group>
      <groupName>字词问题</groupName>
      <ability>L2_Typo</ability>
      <abilityName>字词错误</abilityName>
      <candidateList>
        <item>截至</item>
      </candidateList>
      <explain>存在发音相同字词的误用。</explain>
      <paraID>49AB8B70</paraID>
      <start>139</start>
      <end>141</end>
      <status>ignored</status>
      <modifiedWord/>
      <trackRevisions>false</trackRevisions>
    </reviewItem>
    <reviewItem>
      <errorID>316390e4-c877-45a9-a91b-109daabbc2ae</errorID>
      <errorWord>落实中央“八项”规定</errorWord>
      <group>L1_Political</group>
      <groupName>政治性问题</groupName>
      <ability>L2_Keyword</ability>
      <abilityName>固定表述</abilityName>
      <candidateList>
        <item>落实中央八项规定</item>
      </candidateList>
      <explain>注意检查当前固定表述标点是否使用规范。</explain>
      <paraID>5D8F79BC</paraID>
      <start>60</start>
      <end>68</end>
      <status>modified</status>
      <modifiedWord>落实中央八项规定</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368c524-5caa-46aa-ad17-b2bb62e4d6cd}">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19</Pages>
  <Words>6533</Words>
  <Characters>7093</Characters>
  <Lines>69</Lines>
  <Paragraphs>19</Paragraphs>
  <TotalTime>8</TotalTime>
  <ScaleCrop>false</ScaleCrop>
  <LinksUpToDate>false</LinksUpToDate>
  <CharactersWithSpaces>7112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笔记</cp:lastModifiedBy>
  <cp:lastPrinted>2024-08-10T02:20:00Z</cp:lastPrinted>
  <dcterms:modified xsi:type="dcterms:W3CDTF">2026-09-15T03:09:08Z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4F0B27C0AAC35EFA9177686ADDD5E058</vt:lpwstr>
  </property>
  <property fmtid="{D5CDD505-2E9C-101B-9397-08002B2CF9AE}" pid="4" name="KSOTemplateDocerSaveRecord">
    <vt:lpwstr>eyJoZGlkIjoiMzEwNTM5NzYwMDRjMzkwZTVkZjY2ODkwMGIxNGU0OTUiLCJ1c2VySWQiOiIzNDQwMDQzNTQifQ==</vt:lpwstr>
  </property>
</Properties>
</file>