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80DD">
      <w:pPr>
        <w:pStyle w:val="13"/>
        <w:jc w:val="center"/>
        <w:rPr>
          <w:sz w:val="84"/>
          <w:szCs w:val="84"/>
        </w:rPr>
      </w:pPr>
    </w:p>
    <w:p w14:paraId="73D4BEA3">
      <w:pPr>
        <w:pStyle w:val="13"/>
        <w:jc w:val="center"/>
        <w:rPr>
          <w:rFonts w:hint="eastAsia"/>
          <w:sz w:val="84"/>
          <w:szCs w:val="84"/>
        </w:rPr>
      </w:pPr>
    </w:p>
    <w:p w14:paraId="2AD8E53F">
      <w:pPr>
        <w:pStyle w:val="13"/>
        <w:jc w:val="center"/>
        <w:rPr>
          <w:rFonts w:hint="eastAsia"/>
          <w:sz w:val="84"/>
          <w:szCs w:val="84"/>
        </w:rPr>
      </w:pPr>
    </w:p>
    <w:p w14:paraId="73CAE869">
      <w:pPr>
        <w:pStyle w:val="13"/>
        <w:jc w:val="center"/>
        <w:rPr>
          <w:rFonts w:hint="eastAsia"/>
          <w:sz w:val="84"/>
          <w:szCs w:val="84"/>
        </w:rPr>
      </w:pPr>
    </w:p>
    <w:p w14:paraId="60E2093B">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2022年度</w:t>
      </w:r>
    </w:p>
    <w:p w14:paraId="532581EB">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中共怀化市委办公室</w:t>
      </w:r>
    </w:p>
    <w:p w14:paraId="13046E79">
      <w:pPr>
        <w:pStyle w:val="13"/>
        <w:jc w:val="center"/>
        <w:rPr>
          <w:sz w:val="84"/>
          <w:szCs w:val="84"/>
        </w:rPr>
      </w:pPr>
      <w:r>
        <w:rPr>
          <w:rFonts w:hint="eastAsia" w:ascii="方正小标宋_GBK" w:hAnsi="方正小标宋_GBK" w:eastAsia="方正小标宋_GBK" w:cs="方正小标宋_GBK"/>
          <w:sz w:val="84"/>
          <w:szCs w:val="84"/>
          <w:lang w:val="en-US" w:eastAsia="zh-CN"/>
        </w:rPr>
        <w:t>部门决算</w:t>
      </w:r>
    </w:p>
    <w:p w14:paraId="382543D9">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5F44C659">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41175CA1">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30C6000A">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654D85FA">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68C0BE42">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789D2C1B">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32A46D19">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56454063">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69390C9E">
      <w:pPr>
        <w:pStyle w:val="13"/>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b/>
          <w:sz w:val="32"/>
          <w:szCs w:val="32"/>
        </w:rPr>
      </w:pPr>
    </w:p>
    <w:p w14:paraId="312E428D">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354DA803">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r>
        <w:rPr>
          <w:rFonts w:hint="eastAsia" w:ascii="黑体" w:hAnsi="黑体" w:eastAsia="黑体" w:cs="黑体"/>
          <w:b/>
          <w:sz w:val="32"/>
          <w:szCs w:val="32"/>
        </w:rPr>
        <w:t>目</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录</w:t>
      </w:r>
    </w:p>
    <w:p w14:paraId="3BB8507B">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b/>
          <w:sz w:val="28"/>
          <w:szCs w:val="28"/>
        </w:rPr>
      </w:pPr>
      <w:r>
        <w:rPr>
          <w:rFonts w:hint="eastAsia" w:ascii="黑体" w:hAnsi="黑体" w:eastAsia="黑体" w:cs="黑体"/>
          <w:b/>
          <w:sz w:val="28"/>
          <w:szCs w:val="28"/>
        </w:rPr>
        <w:t>第一部分</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lang w:eastAsia="zh-CN"/>
        </w:rPr>
        <w:t>中共怀化市委办公室</w:t>
      </w:r>
      <w:r>
        <w:rPr>
          <w:rFonts w:hint="eastAsia" w:ascii="黑体" w:hAnsi="黑体" w:eastAsia="黑体" w:cs="黑体"/>
          <w:b/>
          <w:sz w:val="28"/>
          <w:szCs w:val="28"/>
        </w:rPr>
        <w:t>单位概况</w:t>
      </w:r>
    </w:p>
    <w:p w14:paraId="5B6A5C16">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一、部门职责</w:t>
      </w:r>
    </w:p>
    <w:p w14:paraId="374A5786">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14:paraId="120D9992">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b/>
          <w:sz w:val="28"/>
          <w:szCs w:val="28"/>
        </w:rPr>
      </w:pPr>
      <w:r>
        <w:rPr>
          <w:rFonts w:hint="eastAsia" w:ascii="黑体" w:hAnsi="黑体" w:eastAsia="黑体" w:cs="黑体"/>
          <w:b/>
          <w:sz w:val="28"/>
          <w:szCs w:val="28"/>
        </w:rPr>
        <w:t>第二部分</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部门决算表</w:t>
      </w:r>
    </w:p>
    <w:p w14:paraId="14807671">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14:paraId="03CE35B7">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14:paraId="50B9EBE2">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14:paraId="253F2ED3">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2DA41F1C">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7B2CBE78">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07699F62">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6B9DDCD3">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01B852FB">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3EB319B6">
      <w:pPr>
        <w:pStyle w:val="13"/>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textAlignment w:val="auto"/>
        <w:rPr>
          <w:rFonts w:hint="eastAsia" w:ascii="仿宋" w:hAnsi="仿宋" w:eastAsia="仿宋" w:cs="仿宋"/>
          <w:b/>
          <w:sz w:val="28"/>
          <w:szCs w:val="28"/>
        </w:rPr>
      </w:pPr>
      <w:r>
        <w:rPr>
          <w:rFonts w:hint="eastAsia" w:ascii="黑体" w:hAnsi="黑体" w:eastAsia="黑体" w:cs="黑体"/>
          <w:b/>
          <w:sz w:val="28"/>
          <w:szCs w:val="28"/>
        </w:rPr>
        <w:t>第三部分</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部门决算情况说明</w:t>
      </w:r>
    </w:p>
    <w:p w14:paraId="76024568">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一、收入支出决算总体情况说明</w:t>
      </w:r>
    </w:p>
    <w:p w14:paraId="244299F6">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二、收入决算情况说明</w:t>
      </w:r>
    </w:p>
    <w:p w14:paraId="3A1A6D44">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三、支出决算情况说明</w:t>
      </w:r>
    </w:p>
    <w:p w14:paraId="27900FED">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四、财政拨款收入支出决算总体情况说明</w:t>
      </w:r>
    </w:p>
    <w:p w14:paraId="52591A1A">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五、一般公共预算财政拨款支出决算情况说明</w:t>
      </w:r>
    </w:p>
    <w:p w14:paraId="1C3FA468">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六、一般公共预算财政拨款基本支出决算情况说明</w:t>
      </w:r>
    </w:p>
    <w:p w14:paraId="3C55B983">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七、一般公共预算财政拨款三公经费支出决算情况说明</w:t>
      </w:r>
    </w:p>
    <w:p w14:paraId="11CE52E0">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八、政府性基金预算收入支出决算情况说明</w:t>
      </w:r>
    </w:p>
    <w:p w14:paraId="6D3289F3">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九、国有资本经营预算财政拨款支出决算情况说明</w:t>
      </w:r>
    </w:p>
    <w:p w14:paraId="38B7DABD">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十、关于机关运行经费支出说明</w:t>
      </w:r>
    </w:p>
    <w:p w14:paraId="71F3975C">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十一、一般性支出情况说明</w:t>
      </w:r>
    </w:p>
    <w:p w14:paraId="051FF950">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十二、关于政府采购支出说明</w:t>
      </w:r>
    </w:p>
    <w:p w14:paraId="613B54CB">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十三、关于国有资产占用情况说明</w:t>
      </w:r>
    </w:p>
    <w:p w14:paraId="22C1471A">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十四、关于预算绩效情况的说明</w:t>
      </w:r>
    </w:p>
    <w:p w14:paraId="65D50B89">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名词解释</w:t>
      </w:r>
    </w:p>
    <w:p w14:paraId="0EE92D4D">
      <w:pPr>
        <w:keepNext w:val="0"/>
        <w:keepLines w:val="0"/>
        <w:pageBreakBefore w:val="0"/>
        <w:widowControl w:val="0"/>
        <w:kinsoku/>
        <w:wordWrap/>
        <w:overflowPunct/>
        <w:topLinePunct w:val="0"/>
        <w:autoSpaceDE w:val="0"/>
        <w:autoSpaceDN w:val="0"/>
        <w:bidi w:val="0"/>
        <w:adjustRightInd w:val="0"/>
        <w:snapToGrid/>
        <w:spacing w:line="470" w:lineRule="exact"/>
        <w:ind w:firstLine="560" w:firstLineChars="200"/>
        <w:jc w:val="left"/>
        <w:textAlignment w:val="auto"/>
        <w:rPr>
          <w:rFonts w:hint="eastAsia" w:ascii="仿宋" w:hAnsi="仿宋" w:eastAsia="仿宋" w:cs="仿宋"/>
          <w:b/>
          <w:color w:val="000000"/>
          <w:kern w:val="0"/>
          <w:sz w:val="32"/>
          <w:szCs w:val="32"/>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14:paraId="47EF91B9">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675A4745">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ED8647E">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BA91046">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D54B737">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F9AC4D8">
      <w:pPr>
        <w:pStyle w:val="13"/>
        <w:jc w:val="both"/>
        <w:rPr>
          <w:rFonts w:hint="eastAsia" w:ascii="方正小标宋_GBK" w:hAnsi="方正小标宋_GBK" w:eastAsia="方正小标宋_GBK" w:cs="方正小标宋_GBK"/>
          <w:sz w:val="84"/>
          <w:szCs w:val="84"/>
        </w:rPr>
      </w:pPr>
    </w:p>
    <w:p w14:paraId="4B14D4C8">
      <w:pPr>
        <w:pStyle w:val="13"/>
        <w:jc w:val="center"/>
        <w:rPr>
          <w:rFonts w:hint="eastAsia" w:ascii="方正小标宋_GBK" w:hAnsi="方正小标宋_GBK" w:eastAsia="方正小标宋_GBK" w:cs="方正小标宋_GBK"/>
          <w:sz w:val="84"/>
          <w:szCs w:val="84"/>
        </w:rPr>
      </w:pPr>
    </w:p>
    <w:p w14:paraId="564D265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EC6147D">
      <w:pPr>
        <w:pStyle w:val="13"/>
        <w:jc w:val="center"/>
        <w:rPr>
          <w:rFonts w:hint="eastAsia" w:ascii="方正小标宋_GBK" w:hAnsi="方正小标宋_GBK" w:eastAsia="方正小标宋_GBK" w:cs="方正小标宋_GBK"/>
          <w:sz w:val="52"/>
          <w:szCs w:val="52"/>
        </w:rPr>
      </w:pPr>
    </w:p>
    <w:p w14:paraId="3C5D183C">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中共怀化市委办公室</w:t>
      </w:r>
    </w:p>
    <w:p w14:paraId="3EFE3B58">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单位概况</w:t>
      </w:r>
    </w:p>
    <w:p w14:paraId="48DA703B">
      <w:pPr>
        <w:pStyle w:val="13"/>
        <w:keepNext w:val="0"/>
        <w:keepLines w:val="0"/>
        <w:pageBreakBefore w:val="0"/>
        <w:kinsoku/>
        <w:wordWrap/>
        <w:overflowPunct/>
        <w:topLinePunct w:val="0"/>
        <w:bidi w:val="0"/>
        <w:snapToGrid/>
        <w:spacing w:line="600" w:lineRule="exact"/>
        <w:jc w:val="both"/>
        <w:textAlignment w:val="auto"/>
        <w:rPr>
          <w:rFonts w:hint="default" w:ascii="黑体" w:hAnsi="黑体" w:eastAsia="黑体" w:cs="黑体"/>
          <w:b/>
          <w:bCs/>
          <w:sz w:val="44"/>
          <w:szCs w:val="44"/>
          <w:lang w:val="en-US" w:eastAsia="zh-CN"/>
        </w:rPr>
      </w:pPr>
    </w:p>
    <w:p w14:paraId="69898D34">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E1EC0C4">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AC2C83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99D75B0">
      <w:pPr>
        <w:pStyle w:val="1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部门职责</w:t>
      </w:r>
    </w:p>
    <w:p w14:paraId="42DFBA2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负责市委重要会议的准备和组织协调工作，负责组织安排市委领导同志公务活动，办理市委领导同志交办的事项。</w:t>
      </w:r>
    </w:p>
    <w:p w14:paraId="611D0A2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负责市委日常文书的处理，负责市委文件和市委领导同志文稿的起草、校核、印发工作；负责党委（党组）规范性文件的审核、备案、清理，服务市委领导地方立法工作，协调市委法律顾问服务相关的职能。</w:t>
      </w:r>
    </w:p>
    <w:p w14:paraId="55A10CB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负责中央、省委重大方针政策和中央、省委、市委重要工作部署贯彻落实的督促检查，负责省、市委重要指示及省、市委领导同志重要批示的传达、催办、落实；组织办理人大代表有关建议、政协委员有关提案。负责市委及市委各部委年度督查检查考核计划的归口审核和全市性年度督查检查考核计划的统一报批、监督实施的职能。</w:t>
      </w:r>
    </w:p>
    <w:p w14:paraId="0C9F9E5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围绕省、市委工作部署，收集意见，及时、准确、全面地向中央、省委、市委报送信息，反映有关动态，综合调研等；负责以市委名义向省委请示报告工作的归口、把关工作，负责统筹、指导、督促全市党组织重大事项报告工作的职能；</w:t>
      </w:r>
    </w:p>
    <w:p w14:paraId="4207014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负责统筹协调全市年度绩效评估工作。承担省对市州绩效评估的日常工作，负责目标任务分解、日常调度分析、专项督查督办。具体组织实施市对县市区绩效评估工作，制定年度绩效评估实施方案，推进绩效评估信息化管理工作。</w:t>
      </w:r>
    </w:p>
    <w:p w14:paraId="37C6C0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负责市委值班工作，及时向市委领导同志报送重要情况，协助处理市直各部门和各县（市、区）向市委反映的重要问题，协调有关部门的工作关系。</w:t>
      </w:r>
    </w:p>
    <w:p w14:paraId="68B47CA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负责负责全市电子政务内网、党政专用通信网规划、建设和管理，负责全市电子文件管理工作，做好党政机关电子公文系统安全可靠应用推进、市直单位信息化建设项目前置审查工作的职能；负责中央、省委文件和党、政、军领导机关机要件的传递工作。</w:t>
      </w:r>
    </w:p>
    <w:p w14:paraId="2E5E59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负责全市保密工作的规划、宣传教育、指导协调、监督管理和失泄密案件的查处工作等。</w:t>
      </w:r>
    </w:p>
    <w:p w14:paraId="35E5781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负责市委外事工作委员会办公室的日常工作。负责全市涉外事务的管理、协调和指导工作。负责全市因公出国（境）的管理和指导工作，并配合对外宣传部门做好涉外新闻报道工作。管理协调和指导全市港澳事务，负责我市与港澳地区的联络工作和我市人员因公赴港澳的审核、报批工作和港澳地区来我市团组的接待。</w:t>
      </w:r>
    </w:p>
    <w:p w14:paraId="38E2E3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负责督促、检查全市各地各部门贯彻执行党和国家对台方针、政策和各项涉台法律法规以及国台办、省台办有关对台交流交往精神；负责全市（除经贸类）因公应邀赴台审批工作和指导全市涉台交流交往工作以及全市海峡两岸交流基地管理工作和对台新闻宣传工作。</w:t>
      </w:r>
    </w:p>
    <w:p w14:paraId="309CAA8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负责全市档案事业的发展规划、组织协调，全市档案工作的监督和指导，全市档案法规的宣传教育以及依法查处档案违法行为的职能。负责管理市档案馆。</w:t>
      </w:r>
    </w:p>
    <w:p w14:paraId="556DB1D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黑体" w:hAnsi="黑体" w:eastAsia="黑体" w:cs="黑体"/>
          <w:bCs/>
          <w:kern w:val="0"/>
          <w:sz w:val="32"/>
          <w:szCs w:val="32"/>
        </w:rPr>
        <w:t>二、机构设置及决算单位构成</w:t>
      </w:r>
    </w:p>
    <w:p w14:paraId="3A846FB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highlight w:val="none"/>
        </w:rPr>
      </w:pPr>
      <w:r>
        <w:rPr>
          <w:rFonts w:hint="eastAsia" w:ascii="仿宋" w:hAnsi="仿宋" w:eastAsia="仿宋" w:cs="仿宋"/>
          <w:b/>
          <w:bCs w:val="0"/>
          <w:kern w:val="0"/>
          <w:sz w:val="32"/>
          <w:szCs w:val="32"/>
        </w:rPr>
        <w:t>（一）</w:t>
      </w:r>
      <w:r>
        <w:rPr>
          <w:rFonts w:hint="eastAsia" w:ascii="仿宋" w:hAnsi="仿宋" w:eastAsia="仿宋" w:cs="仿宋"/>
          <w:bCs/>
          <w:kern w:val="0"/>
          <w:sz w:val="32"/>
          <w:szCs w:val="32"/>
          <w:highlight w:val="none"/>
        </w:rPr>
        <w:t>市委办作为一级部门预算单位，现有2</w:t>
      </w:r>
      <w:r>
        <w:rPr>
          <w:rFonts w:hint="eastAsia" w:ascii="仿宋" w:hAnsi="仿宋" w:eastAsia="仿宋" w:cs="仿宋"/>
          <w:bCs/>
          <w:kern w:val="0"/>
          <w:sz w:val="32"/>
          <w:szCs w:val="32"/>
          <w:highlight w:val="none"/>
          <w:lang w:val="en-US" w:eastAsia="zh-CN"/>
        </w:rPr>
        <w:t>3</w:t>
      </w:r>
      <w:r>
        <w:rPr>
          <w:rFonts w:hint="eastAsia" w:ascii="仿宋" w:hAnsi="仿宋" w:eastAsia="仿宋" w:cs="仿宋"/>
          <w:bCs/>
          <w:kern w:val="0"/>
          <w:sz w:val="32"/>
          <w:szCs w:val="32"/>
          <w:highlight w:val="none"/>
        </w:rPr>
        <w:t>个内设职能科室和</w:t>
      </w:r>
      <w:r>
        <w:rPr>
          <w:rFonts w:hint="eastAsia" w:ascii="仿宋" w:hAnsi="仿宋" w:eastAsia="仿宋" w:cs="仿宋"/>
          <w:bCs/>
          <w:kern w:val="0"/>
          <w:sz w:val="32"/>
          <w:szCs w:val="32"/>
          <w:highlight w:val="none"/>
          <w:lang w:val="en-US" w:eastAsia="zh-CN"/>
        </w:rPr>
        <w:t>4</w:t>
      </w:r>
      <w:r>
        <w:rPr>
          <w:rFonts w:hint="eastAsia" w:ascii="仿宋" w:hAnsi="仿宋" w:eastAsia="仿宋" w:cs="仿宋"/>
          <w:bCs/>
          <w:kern w:val="0"/>
          <w:sz w:val="32"/>
          <w:szCs w:val="32"/>
          <w:highlight w:val="none"/>
        </w:rPr>
        <w:t>个事业单位（市人民对外友好协会办公室、信息服务中心、专用通信局、保密技术服务中心）。编制情况为7</w:t>
      </w:r>
      <w:r>
        <w:rPr>
          <w:rFonts w:hint="eastAsia" w:ascii="仿宋" w:hAnsi="仿宋" w:eastAsia="仿宋" w:cs="仿宋"/>
          <w:bCs/>
          <w:kern w:val="0"/>
          <w:sz w:val="32"/>
          <w:szCs w:val="32"/>
          <w:highlight w:val="none"/>
          <w:lang w:val="en-US" w:eastAsia="zh-CN"/>
        </w:rPr>
        <w:t>0</w:t>
      </w:r>
      <w:r>
        <w:rPr>
          <w:rFonts w:hint="eastAsia" w:ascii="仿宋" w:hAnsi="仿宋" w:eastAsia="仿宋" w:cs="仿宋"/>
          <w:bCs/>
          <w:kern w:val="0"/>
          <w:sz w:val="32"/>
          <w:szCs w:val="32"/>
          <w:highlight w:val="none"/>
        </w:rPr>
        <w:t>个行政编（含市保密办），1</w:t>
      </w:r>
      <w:r>
        <w:rPr>
          <w:rFonts w:hint="eastAsia" w:ascii="仿宋" w:hAnsi="仿宋" w:eastAsia="仿宋" w:cs="仿宋"/>
          <w:bCs/>
          <w:kern w:val="0"/>
          <w:sz w:val="32"/>
          <w:szCs w:val="32"/>
          <w:highlight w:val="none"/>
          <w:lang w:val="en-US" w:eastAsia="zh-CN"/>
        </w:rPr>
        <w:t>0</w:t>
      </w:r>
      <w:r>
        <w:rPr>
          <w:rFonts w:hint="eastAsia" w:ascii="仿宋" w:hAnsi="仿宋" w:eastAsia="仿宋" w:cs="仿宋"/>
          <w:bCs/>
          <w:kern w:val="0"/>
          <w:sz w:val="32"/>
          <w:szCs w:val="32"/>
          <w:highlight w:val="none"/>
        </w:rPr>
        <w:t>个工勤编，1</w:t>
      </w:r>
      <w:r>
        <w:rPr>
          <w:rFonts w:hint="eastAsia" w:ascii="仿宋" w:hAnsi="仿宋" w:eastAsia="仿宋" w:cs="仿宋"/>
          <w:bCs/>
          <w:kern w:val="0"/>
          <w:sz w:val="32"/>
          <w:szCs w:val="32"/>
          <w:highlight w:val="none"/>
          <w:lang w:val="en-US" w:eastAsia="zh-CN"/>
        </w:rPr>
        <w:t>8</w:t>
      </w:r>
      <w:r>
        <w:rPr>
          <w:rFonts w:hint="eastAsia" w:ascii="仿宋" w:hAnsi="仿宋" w:eastAsia="仿宋" w:cs="仿宋"/>
          <w:bCs/>
          <w:kern w:val="0"/>
          <w:sz w:val="32"/>
          <w:szCs w:val="32"/>
          <w:highlight w:val="none"/>
        </w:rPr>
        <w:t>个事业编。</w:t>
      </w:r>
    </w:p>
    <w:p w14:paraId="0F5D801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rPr>
        <w:t>（二）决算单位构成</w:t>
      </w:r>
      <w:r>
        <w:rPr>
          <w:rFonts w:hint="eastAsia" w:ascii="仿宋" w:hAnsi="仿宋" w:eastAsia="仿宋" w:cs="仿宋"/>
          <w:b/>
          <w:bCs w:val="0"/>
          <w:kern w:val="0"/>
          <w:sz w:val="32"/>
          <w:szCs w:val="32"/>
          <w:lang w:eastAsia="zh-CN"/>
        </w:rPr>
        <w:t>：</w:t>
      </w:r>
      <w:r>
        <w:rPr>
          <w:rFonts w:hint="eastAsia" w:ascii="仿宋" w:hAnsi="仿宋" w:eastAsia="仿宋" w:cs="仿宋"/>
          <w:bCs/>
          <w:kern w:val="0"/>
          <w:sz w:val="32"/>
          <w:szCs w:val="32"/>
        </w:rPr>
        <w:t>市委办202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年部门决算汇总公开单位只有本级，没有其他二级单位。因此，纳入202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年部门决算编制范围的只有市委办本级。</w:t>
      </w:r>
    </w:p>
    <w:p w14:paraId="7D8F5F44">
      <w:pPr>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4D90DF33">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0B9C1F13">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686991B1">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6506CF0E">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20E13DDA">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1E840629">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7C6AD48A">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0A7F01D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C8457EE">
      <w:pPr>
        <w:pStyle w:val="13"/>
        <w:jc w:val="center"/>
        <w:rPr>
          <w:rFonts w:hint="eastAsia" w:ascii="方正小标宋_GBK" w:hAnsi="方正小标宋_GBK" w:eastAsia="方正小标宋_GBK" w:cs="方正小标宋_GBK"/>
          <w:sz w:val="48"/>
          <w:szCs w:val="48"/>
        </w:rPr>
      </w:pPr>
    </w:p>
    <w:p w14:paraId="597C873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BE73F82">
      <w:pPr>
        <w:pStyle w:val="13"/>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sz w:val="52"/>
          <w:szCs w:val="5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52"/>
          <w:szCs w:val="52"/>
          <w:lang w:val="en-US" w:eastAsia="zh-CN"/>
        </w:rPr>
        <w:t xml:space="preserve"> </w:t>
      </w:r>
    </w:p>
    <w:p w14:paraId="31369289">
      <w:pPr>
        <w:pStyle w:val="13"/>
        <w:keepNext w:val="0"/>
        <w:keepLines w:val="0"/>
        <w:pageBreakBefore w:val="0"/>
        <w:kinsoku/>
        <w:wordWrap/>
        <w:overflowPunct/>
        <w:topLinePunct w:val="0"/>
        <w:bidi w:val="0"/>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52"/>
          <w:szCs w:val="52"/>
          <w:lang w:val="en-US" w:eastAsia="zh-CN"/>
        </w:rPr>
        <w:t>见附件</w:t>
      </w:r>
    </w:p>
    <w:p w14:paraId="4A7D1BA4">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52300B1">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7766E80">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0F9E5A6">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73053FE">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77EBAA1">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A5D094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CC97955">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6EDFE4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C22E79D">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85B8CB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63EDB95">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2A96411">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866DAD7">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6D97F76">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B9340DF">
      <w:pPr>
        <w:pStyle w:val="13"/>
        <w:keepNext w:val="0"/>
        <w:keepLines w:val="0"/>
        <w:pageBreakBefore w:val="0"/>
        <w:kinsoku/>
        <w:wordWrap/>
        <w:overflowPunct/>
        <w:topLinePunct w:val="0"/>
        <w:bidi w:val="0"/>
        <w:snapToGrid/>
        <w:spacing w:line="600" w:lineRule="exact"/>
        <w:jc w:val="both"/>
        <w:textAlignment w:val="auto"/>
        <w:rPr>
          <w:rFonts w:hint="eastAsia" w:ascii="黑体" w:hAnsi="黑体" w:eastAsia="黑体" w:cs="黑体"/>
          <w:b/>
          <w:bCs/>
          <w:sz w:val="44"/>
          <w:szCs w:val="44"/>
        </w:rPr>
      </w:pPr>
    </w:p>
    <w:p w14:paraId="7B101258">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228BE7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A805162">
      <w:pPr>
        <w:pStyle w:val="13"/>
        <w:jc w:val="center"/>
        <w:rPr>
          <w:rFonts w:hint="eastAsia" w:ascii="方正小标宋_GBK" w:hAnsi="方正小标宋_GBK" w:eastAsia="方正小标宋_GBK" w:cs="方正小标宋_GBK"/>
          <w:sz w:val="70"/>
          <w:szCs w:val="70"/>
          <w:lang w:val="en-US" w:eastAsia="zh-CN"/>
        </w:rPr>
      </w:pPr>
    </w:p>
    <w:p w14:paraId="2EC542A9">
      <w:pPr>
        <w:pStyle w:val="13"/>
        <w:jc w:val="center"/>
        <w:rPr>
          <w:rFonts w:hint="default"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2022年度部门决算情况说明</w:t>
      </w:r>
    </w:p>
    <w:p w14:paraId="06C91205">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46188B0C">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34C3B79">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5C5006ED">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52A2F982">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2622CAED">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78B25EF1">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FAF786E">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1947251A">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480DD7F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55225E90">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343AFCA4">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一、收入支出决算总体情况说明</w:t>
      </w:r>
    </w:p>
    <w:p w14:paraId="7597687E">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度</w:t>
      </w:r>
      <w:r>
        <w:rPr>
          <w:rFonts w:hint="eastAsia" w:ascii="仿宋" w:hAnsi="仿宋" w:eastAsia="仿宋" w:cs="仿宋"/>
          <w:sz w:val="32"/>
          <w:szCs w:val="32"/>
          <w:highlight w:val="none"/>
        </w:rPr>
        <w:t>收入支出总计</w:t>
      </w:r>
      <w:r>
        <w:rPr>
          <w:rFonts w:hint="eastAsia" w:ascii="仿宋" w:hAnsi="仿宋" w:eastAsia="仿宋" w:cs="仿宋"/>
          <w:sz w:val="32"/>
          <w:szCs w:val="32"/>
          <w:highlight w:val="none"/>
          <w:lang w:val="en-US" w:eastAsia="zh-CN"/>
        </w:rPr>
        <w:t>均为3,800.77</w:t>
      </w:r>
      <w:r>
        <w:rPr>
          <w:rFonts w:hint="eastAsia" w:ascii="仿宋" w:hAnsi="仿宋" w:eastAsia="仿宋" w:cs="仿宋"/>
          <w:sz w:val="32"/>
          <w:szCs w:val="32"/>
          <w:highlight w:val="none"/>
        </w:rPr>
        <w:t>万元，比上年</w:t>
      </w:r>
      <w:r>
        <w:rPr>
          <w:rFonts w:hint="eastAsia" w:ascii="仿宋" w:hAnsi="仿宋" w:eastAsia="仿宋" w:cs="仿宋"/>
          <w:sz w:val="32"/>
          <w:szCs w:val="32"/>
          <w:highlight w:val="none"/>
          <w:lang w:val="en-US" w:eastAsia="zh-CN"/>
        </w:rPr>
        <w:t>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2,807.76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42.49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主要是因为上年收入支出数含年初结转和结余，与之相比</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lang w:eastAsia="zh-CN"/>
        </w:rPr>
        <w:t>收入支出减少，部分建设项目已完工</w:t>
      </w:r>
      <w:r>
        <w:rPr>
          <w:rFonts w:hint="eastAsia" w:ascii="仿宋" w:hAnsi="仿宋" w:eastAsia="仿宋" w:cs="仿宋"/>
          <w:sz w:val="32"/>
          <w:szCs w:val="32"/>
          <w:highlight w:val="none"/>
        </w:rPr>
        <w:t>。</w:t>
      </w:r>
    </w:p>
    <w:p w14:paraId="746F03FC">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14:paraId="2204BCE6">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年度收入合计</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万元，其中：财政拨款收入</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1494F090">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三、支出决算情况说明</w:t>
      </w:r>
    </w:p>
    <w:p w14:paraId="7D492953">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年度支出合计</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万元，其中：基本支出2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352.3</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61.89</w:t>
      </w:r>
      <w:r>
        <w:rPr>
          <w:rFonts w:hint="eastAsia" w:ascii="仿宋" w:hAnsi="仿宋" w:eastAsia="仿宋" w:cs="仿宋"/>
          <w:sz w:val="32"/>
          <w:szCs w:val="32"/>
          <w:highlight w:val="none"/>
        </w:rPr>
        <w:t>%；项目支出1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448.43万元，占</w:t>
      </w:r>
      <w:r>
        <w:rPr>
          <w:rFonts w:hint="eastAsia" w:ascii="仿宋" w:hAnsi="仿宋" w:eastAsia="仿宋" w:cs="仿宋"/>
          <w:sz w:val="32"/>
          <w:szCs w:val="32"/>
          <w:highlight w:val="none"/>
          <w:lang w:val="en-US" w:eastAsia="zh-CN"/>
        </w:rPr>
        <w:t>38.11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4499EB3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四、财政拨款收入支出决算总体情况说明</w:t>
      </w:r>
    </w:p>
    <w:p w14:paraId="6F0A0D3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年度财政拨款</w:t>
      </w:r>
      <w:r>
        <w:rPr>
          <w:rFonts w:hint="eastAsia" w:ascii="仿宋" w:hAnsi="仿宋" w:eastAsia="仿宋"/>
          <w:sz w:val="32"/>
          <w:szCs w:val="32"/>
          <w:highlight w:val="none"/>
        </w:rPr>
        <w:t>收、支总计</w:t>
      </w:r>
      <w:r>
        <w:rPr>
          <w:rFonts w:hint="eastAsia" w:ascii="仿宋" w:hAnsi="仿宋" w:eastAsia="仿宋" w:cs="仿宋"/>
          <w:sz w:val="32"/>
          <w:szCs w:val="32"/>
          <w:highlight w:val="none"/>
        </w:rPr>
        <w:t>均为</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w:t>
      </w:r>
      <w:r>
        <w:rPr>
          <w:rFonts w:hint="eastAsia" w:ascii="仿宋" w:hAnsi="仿宋" w:eastAsia="仿宋"/>
          <w:sz w:val="32"/>
          <w:szCs w:val="32"/>
          <w:highlight w:val="none"/>
        </w:rPr>
        <w:t>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rPr>
        <w:t>了</w:t>
      </w:r>
      <w:r>
        <w:rPr>
          <w:rFonts w:hint="eastAsia" w:ascii="仿宋" w:hAnsi="仿宋" w:eastAsia="仿宋" w:cs="仿宋"/>
          <w:sz w:val="32"/>
          <w:szCs w:val="32"/>
          <w:highlight w:val="none"/>
          <w:lang w:val="en-US" w:eastAsia="zh-CN"/>
        </w:rPr>
        <w:t>2,774.30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减少42.19%，</w:t>
      </w:r>
      <w:r>
        <w:rPr>
          <w:rFonts w:hint="eastAsia" w:ascii="仿宋" w:hAnsi="仿宋" w:eastAsia="仿宋" w:cs="仿宋"/>
          <w:sz w:val="32"/>
          <w:szCs w:val="32"/>
          <w:highlight w:val="none"/>
          <w:lang w:eastAsia="zh-CN"/>
        </w:rPr>
        <w:t>主要是因为上年</w:t>
      </w:r>
      <w:r>
        <w:rPr>
          <w:rFonts w:hint="eastAsia" w:ascii="仿宋" w:hAnsi="仿宋" w:eastAsia="仿宋" w:cs="仿宋"/>
          <w:sz w:val="32"/>
          <w:szCs w:val="32"/>
          <w:highlight w:val="none"/>
        </w:rPr>
        <w:t>财政拨款</w:t>
      </w:r>
      <w:r>
        <w:rPr>
          <w:rFonts w:hint="eastAsia" w:ascii="仿宋" w:hAnsi="仿宋" w:eastAsia="仿宋"/>
          <w:sz w:val="32"/>
          <w:szCs w:val="32"/>
          <w:highlight w:val="none"/>
        </w:rPr>
        <w:t>收、支总计</w:t>
      </w:r>
      <w:r>
        <w:rPr>
          <w:rFonts w:hint="eastAsia" w:ascii="仿宋" w:hAnsi="仿宋" w:eastAsia="仿宋" w:cs="仿宋"/>
          <w:sz w:val="32"/>
          <w:szCs w:val="32"/>
          <w:highlight w:val="none"/>
          <w:lang w:eastAsia="zh-CN"/>
        </w:rPr>
        <w:t>含年初结转和结余，与之相比</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财政拨款</w:t>
      </w:r>
      <w:r>
        <w:rPr>
          <w:rFonts w:hint="eastAsia" w:ascii="仿宋" w:hAnsi="仿宋" w:eastAsia="仿宋"/>
          <w:sz w:val="32"/>
          <w:szCs w:val="32"/>
          <w:highlight w:val="none"/>
        </w:rPr>
        <w:t>收、支</w:t>
      </w:r>
      <w:r>
        <w:rPr>
          <w:rFonts w:hint="eastAsia" w:ascii="仿宋" w:hAnsi="仿宋" w:eastAsia="仿宋" w:cs="仿宋"/>
          <w:sz w:val="32"/>
          <w:szCs w:val="32"/>
          <w:highlight w:val="none"/>
          <w:lang w:eastAsia="zh-CN"/>
        </w:rPr>
        <w:t>减少，部分建设项目已完工</w:t>
      </w:r>
      <w:r>
        <w:rPr>
          <w:rFonts w:hint="eastAsia" w:ascii="仿宋" w:hAnsi="仿宋" w:eastAsia="仿宋" w:cs="仿宋"/>
          <w:sz w:val="32"/>
          <w:szCs w:val="32"/>
          <w:highlight w:val="none"/>
        </w:rPr>
        <w:t>。</w:t>
      </w:r>
    </w:p>
    <w:p w14:paraId="6C66691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3F107BB9">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（一）财政拨款支出决算总体情况</w:t>
      </w:r>
    </w:p>
    <w:p w14:paraId="288513A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年度财政拨款支出</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万元，占本年支出合计的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上</w:t>
      </w:r>
      <w:r>
        <w:rPr>
          <w:rFonts w:hint="eastAsia" w:ascii="仿宋" w:hAnsi="仿宋" w:eastAsia="仿宋" w:cs="仿宋"/>
          <w:sz w:val="32"/>
          <w:szCs w:val="32"/>
          <w:highlight w:val="none"/>
        </w:rPr>
        <w:t>年相比，财政拨款支出</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867.94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18.59</w:t>
      </w:r>
      <w:r>
        <w:rPr>
          <w:rFonts w:hint="eastAsia" w:ascii="仿宋" w:hAnsi="仿宋" w:eastAsia="仿宋" w:cs="仿宋"/>
          <w:sz w:val="32"/>
          <w:szCs w:val="32"/>
          <w:highlight w:val="none"/>
        </w:rPr>
        <w:t>%，主要是</w:t>
      </w:r>
      <w:r>
        <w:rPr>
          <w:rFonts w:hint="eastAsia" w:ascii="仿宋" w:hAnsi="仿宋" w:eastAsia="仿宋" w:cs="仿宋"/>
          <w:sz w:val="32"/>
          <w:szCs w:val="32"/>
          <w:highlight w:val="none"/>
          <w:lang w:eastAsia="zh-CN"/>
        </w:rPr>
        <w:t>因为项目支出相比上年度减少</w:t>
      </w:r>
      <w:r>
        <w:rPr>
          <w:rFonts w:hint="eastAsia" w:ascii="仿宋" w:hAnsi="仿宋" w:eastAsia="仿宋" w:cs="仿宋"/>
          <w:sz w:val="32"/>
          <w:szCs w:val="32"/>
          <w:highlight w:val="none"/>
        </w:rPr>
        <w:t>。</w:t>
      </w:r>
    </w:p>
    <w:p w14:paraId="185568DA">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（二）财政拨款支出决算结构情况</w:t>
      </w:r>
    </w:p>
    <w:p w14:paraId="447EECE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年度财政拨款支出</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万元，主要用于以下方面：一般公共服务</w:t>
      </w:r>
      <w:r>
        <w:rPr>
          <w:rFonts w:hint="eastAsia" w:ascii="仿宋" w:hAnsi="仿宋" w:eastAsia="仿宋"/>
          <w:sz w:val="32"/>
          <w:szCs w:val="32"/>
          <w:highlight w:val="none"/>
        </w:rPr>
        <w:t>（类）</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3,572.63</w:t>
      </w:r>
      <w:r>
        <w:rPr>
          <w:rFonts w:hint="eastAsia" w:ascii="仿宋" w:hAnsi="仿宋" w:eastAsia="仿宋" w:cs="仿宋"/>
          <w:sz w:val="32"/>
          <w:szCs w:val="32"/>
          <w:highlight w:val="none"/>
        </w:rPr>
        <w:t>万元，占9</w:t>
      </w:r>
      <w:r>
        <w:rPr>
          <w:rFonts w:hint="eastAsia" w:ascii="仿宋" w:hAnsi="仿宋" w:eastAsia="仿宋" w:cs="仿宋"/>
          <w:sz w:val="32"/>
          <w:szCs w:val="32"/>
          <w:highlight w:val="none"/>
          <w:lang w:val="en-US" w:eastAsia="zh-CN"/>
        </w:rPr>
        <w:t>4.00</w:t>
      </w:r>
      <w:r>
        <w:rPr>
          <w:rFonts w:hint="eastAsia" w:ascii="仿宋" w:hAnsi="仿宋" w:eastAsia="仿宋" w:cs="仿宋"/>
          <w:sz w:val="32"/>
          <w:szCs w:val="32"/>
          <w:highlight w:val="none"/>
        </w:rPr>
        <w:t>%;科学技术</w:t>
      </w:r>
      <w:r>
        <w:rPr>
          <w:rFonts w:hint="eastAsia" w:ascii="仿宋" w:hAnsi="仿宋" w:eastAsia="仿宋"/>
          <w:sz w:val="32"/>
          <w:szCs w:val="32"/>
          <w:highlight w:val="none"/>
        </w:rPr>
        <w:t>（类）</w:t>
      </w:r>
      <w:r>
        <w:rPr>
          <w:rFonts w:hint="eastAsia" w:ascii="仿宋" w:hAnsi="仿宋" w:eastAsia="仿宋" w:cs="仿宋"/>
          <w:sz w:val="32"/>
          <w:szCs w:val="32"/>
          <w:highlight w:val="none"/>
        </w:rPr>
        <w:t>支出3万元，占0.0</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%；社会保障和就业</w:t>
      </w:r>
      <w:r>
        <w:rPr>
          <w:rFonts w:hint="eastAsia" w:ascii="仿宋" w:hAnsi="仿宋" w:eastAsia="仿宋"/>
          <w:sz w:val="32"/>
          <w:szCs w:val="32"/>
          <w:highlight w:val="none"/>
        </w:rPr>
        <w:t>（类）</w:t>
      </w:r>
      <w:r>
        <w:rPr>
          <w:rFonts w:hint="eastAsia" w:ascii="仿宋" w:hAnsi="仿宋" w:eastAsia="仿宋" w:cs="仿宋"/>
          <w:sz w:val="32"/>
          <w:szCs w:val="32"/>
          <w:highlight w:val="none"/>
        </w:rPr>
        <w:t>支出17</w:t>
      </w:r>
      <w:r>
        <w:rPr>
          <w:rFonts w:hint="eastAsia" w:ascii="仿宋" w:hAnsi="仿宋" w:eastAsia="仿宋" w:cs="仿宋"/>
          <w:sz w:val="32"/>
          <w:szCs w:val="32"/>
          <w:highlight w:val="none"/>
          <w:lang w:val="en-US" w:eastAsia="zh-CN"/>
        </w:rPr>
        <w:t>3.30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4.56</w:t>
      </w:r>
      <w:r>
        <w:rPr>
          <w:rFonts w:hint="eastAsia" w:ascii="仿宋" w:hAnsi="仿宋" w:eastAsia="仿宋" w:cs="仿宋"/>
          <w:sz w:val="32"/>
          <w:szCs w:val="32"/>
          <w:highlight w:val="none"/>
        </w:rPr>
        <w:t>%；卫生健康</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支出</w:t>
      </w:r>
      <w:r>
        <w:rPr>
          <w:rFonts w:hint="eastAsia" w:ascii="仿宋" w:hAnsi="仿宋" w:eastAsia="仿宋" w:cs="仿宋"/>
          <w:sz w:val="32"/>
          <w:szCs w:val="32"/>
          <w:highlight w:val="none"/>
          <w:lang w:val="en-US" w:eastAsia="zh-CN"/>
        </w:rPr>
        <w:t>51.84</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1.36</w:t>
      </w:r>
      <w:r>
        <w:rPr>
          <w:rFonts w:hint="eastAsia" w:ascii="仿宋" w:hAnsi="仿宋" w:eastAsia="仿宋" w:cs="仿宋"/>
          <w:sz w:val="32"/>
          <w:szCs w:val="32"/>
          <w:highlight w:val="none"/>
        </w:rPr>
        <w:t>%。</w:t>
      </w:r>
    </w:p>
    <w:p w14:paraId="6F5F514D">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（三）财政拨款支出决算具体情况</w:t>
      </w:r>
    </w:p>
    <w:p w14:paraId="3401F1DC">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年度财政拨款支出年初预算数为</w:t>
      </w:r>
      <w:r>
        <w:rPr>
          <w:rFonts w:hint="eastAsia" w:ascii="仿宋" w:hAnsi="仿宋" w:eastAsia="仿宋" w:cs="仿宋"/>
          <w:sz w:val="32"/>
          <w:szCs w:val="32"/>
          <w:highlight w:val="none"/>
          <w:lang w:val="en-US" w:eastAsia="zh-CN"/>
        </w:rPr>
        <w:t>1,984.37</w:t>
      </w:r>
      <w:r>
        <w:rPr>
          <w:rFonts w:hint="eastAsia" w:ascii="仿宋" w:hAnsi="仿宋" w:eastAsia="仿宋" w:cs="仿宋"/>
          <w:sz w:val="32"/>
          <w:szCs w:val="32"/>
          <w:highlight w:val="none"/>
        </w:rPr>
        <w:t>万元，支出决算数为</w:t>
      </w:r>
      <w:r>
        <w:rPr>
          <w:rFonts w:hint="eastAsia" w:ascii="仿宋" w:hAnsi="仿宋" w:eastAsia="仿宋" w:cs="仿宋"/>
          <w:sz w:val="32"/>
          <w:szCs w:val="32"/>
          <w:highlight w:val="none"/>
          <w:lang w:val="en-US" w:eastAsia="zh-CN"/>
        </w:rPr>
        <w:t>3,800.77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191.54</w:t>
      </w:r>
      <w:r>
        <w:rPr>
          <w:rFonts w:hint="eastAsia" w:ascii="仿宋" w:hAnsi="仿宋" w:eastAsia="仿宋" w:cs="仿宋"/>
          <w:sz w:val="32"/>
          <w:szCs w:val="32"/>
          <w:highlight w:val="none"/>
        </w:rPr>
        <w:t>%，其中：</w:t>
      </w:r>
    </w:p>
    <w:p w14:paraId="264D005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1、一般公共服务支出（类）政府办公厅（室）及相关机构事务（款）其他政府办公厅（室）及相关机构事务支出（项）。</w:t>
      </w:r>
    </w:p>
    <w:p w14:paraId="5E6556F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574.4</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此项目为年中追加的项目经费，此项目经费未纳入年初预算。</w:t>
      </w:r>
    </w:p>
    <w:p w14:paraId="6ABCC76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2、一般公共服务支出（类）党委办公厅（室）及相关机构事务（款）行政运行（项）。</w:t>
      </w:r>
    </w:p>
    <w:p w14:paraId="019477F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1,316.32</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1,304.71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99.12</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eastAsia="zh-CN"/>
        </w:rPr>
        <w:t>小于</w:t>
      </w:r>
      <w:r>
        <w:rPr>
          <w:rFonts w:hint="eastAsia" w:ascii="仿宋" w:hAnsi="仿宋" w:eastAsia="仿宋" w:cs="仿宋"/>
          <w:sz w:val="32"/>
          <w:szCs w:val="32"/>
          <w:highlight w:val="none"/>
        </w:rPr>
        <w:t>年初预算数的主要原因是：</w:t>
      </w:r>
      <w:r>
        <w:rPr>
          <w:rFonts w:hint="eastAsia" w:ascii="仿宋" w:hAnsi="仿宋" w:eastAsia="仿宋" w:cs="仿宋"/>
          <w:sz w:val="32"/>
          <w:szCs w:val="32"/>
          <w:highlight w:val="none"/>
          <w:lang w:eastAsia="zh-CN"/>
        </w:rPr>
        <w:t>严控支出，厉行节约。</w:t>
      </w:r>
    </w:p>
    <w:p w14:paraId="4C58D7C2">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、一般公共服务支出（类）党委办公厅（室）及相关机构事务（款）其他党委办公厅（室）及相关机构事务支出（项）。</w:t>
      </w:r>
    </w:p>
    <w:p w14:paraId="1BAC94C1">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625.66</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1,693.52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完成年初预算的270.68%，</w:t>
      </w:r>
      <w:r>
        <w:rPr>
          <w:rFonts w:hint="eastAsia" w:ascii="仿宋" w:hAnsi="仿宋" w:eastAsia="仿宋" w:cs="仿宋"/>
          <w:sz w:val="32"/>
          <w:szCs w:val="32"/>
          <w:highlight w:val="none"/>
        </w:rPr>
        <w:t>决算数大于年初预算数的主要原因是：</w:t>
      </w:r>
      <w:r>
        <w:rPr>
          <w:rFonts w:hint="eastAsia" w:ascii="仿宋" w:hAnsi="仿宋" w:eastAsia="仿宋" w:cs="仿宋"/>
          <w:sz w:val="32"/>
          <w:szCs w:val="32"/>
          <w:highlight w:val="none"/>
          <w:lang w:eastAsia="zh-CN"/>
        </w:rPr>
        <w:t>年中调整预算，开支单位基本支出和项目支出。</w:t>
      </w:r>
    </w:p>
    <w:p w14:paraId="2B3CF5A0">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科学技术支出（类）社会科学（款）其他社会科学支出（项）。</w:t>
      </w:r>
    </w:p>
    <w:p w14:paraId="0616DFFD">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年中下达预算，用于单位公用经费开支。</w:t>
      </w:r>
    </w:p>
    <w:p w14:paraId="6698909B">
      <w:pPr>
        <w:pStyle w:val="13"/>
        <w:keepNext w:val="0"/>
        <w:keepLines w:val="0"/>
        <w:pageBreakBefore w:val="0"/>
        <w:numPr>
          <w:ilvl w:val="0"/>
          <w:numId w:val="0"/>
        </w:numPr>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、社会保障和就业支出（类）行政事业单位养老支出（款）行政单位离退休（项）。</w:t>
      </w:r>
    </w:p>
    <w:p w14:paraId="2BE49F91">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42.39</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9.84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23.21</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小</w:t>
      </w:r>
      <w:r>
        <w:rPr>
          <w:rFonts w:hint="eastAsia" w:ascii="仿宋" w:hAnsi="仿宋" w:eastAsia="仿宋" w:cs="仿宋"/>
          <w:sz w:val="32"/>
          <w:szCs w:val="32"/>
          <w:highlight w:val="none"/>
        </w:rPr>
        <w:t>于年初预算数的主要原因是：</w:t>
      </w:r>
      <w:r>
        <w:rPr>
          <w:rFonts w:hint="eastAsia" w:ascii="仿宋" w:hAnsi="仿宋" w:eastAsia="仿宋" w:cs="仿宋"/>
          <w:sz w:val="32"/>
          <w:szCs w:val="32"/>
          <w:highlight w:val="none"/>
          <w:lang w:eastAsia="zh-CN"/>
        </w:rPr>
        <w:t>年初预算此项为离退休人员经费，开支退休人员活动经费，退休人员其他经费实际列支一般公共服务支出（类）党委办公厅（室）及相关机构事务（款）行政运行（项）。</w:t>
      </w:r>
    </w:p>
    <w:p w14:paraId="72AA382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、社会保障和就业支出（类）行政事业单位养老支出（款）机关事业单位基本养老保险缴费支出（项）。</w:t>
      </w:r>
    </w:p>
    <w:p w14:paraId="01BA8A83">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103.31</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此项支出为</w:t>
      </w:r>
      <w:r>
        <w:rPr>
          <w:rFonts w:hint="eastAsia" w:ascii="仿宋" w:hAnsi="仿宋" w:eastAsia="仿宋" w:cs="仿宋"/>
          <w:sz w:val="32"/>
          <w:szCs w:val="32"/>
          <w:highlight w:val="none"/>
        </w:rPr>
        <w:t>单位基本养老保险缴费支出</w:t>
      </w:r>
      <w:r>
        <w:rPr>
          <w:rFonts w:hint="eastAsia" w:ascii="仿宋" w:hAnsi="仿宋" w:eastAsia="仿宋" w:cs="仿宋"/>
          <w:sz w:val="32"/>
          <w:szCs w:val="32"/>
          <w:highlight w:val="none"/>
          <w:lang w:eastAsia="zh-CN"/>
        </w:rPr>
        <w:t>，预算时未纳入部门财政预算，实际支出列入部门预算。</w:t>
      </w:r>
    </w:p>
    <w:p w14:paraId="1196A4F6">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、社会保障和就业支出（类）行政事业单位养老支出（款）机关事其他行政事业单位养老支出（项）。</w:t>
      </w:r>
    </w:p>
    <w:p w14:paraId="266F77B7">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60.15</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此项支出预算时未纳入部门财政预算，实际支出列入部门预算。</w:t>
      </w:r>
    </w:p>
    <w:p w14:paraId="55420627">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、卫生健康支出（类）行政事业单位医疗（款）行政单位医疗（项）。</w:t>
      </w:r>
    </w:p>
    <w:p w14:paraId="50BEC59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51.84</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此项支出为</w:t>
      </w:r>
      <w:r>
        <w:rPr>
          <w:rFonts w:hint="eastAsia" w:ascii="仿宋" w:hAnsi="仿宋" w:eastAsia="仿宋" w:cs="仿宋"/>
          <w:sz w:val="32"/>
          <w:szCs w:val="32"/>
          <w:highlight w:val="none"/>
        </w:rPr>
        <w:t>行政单位医疗</w:t>
      </w:r>
      <w:r>
        <w:rPr>
          <w:rFonts w:hint="eastAsia" w:ascii="仿宋" w:hAnsi="仿宋" w:eastAsia="仿宋" w:cs="仿宋"/>
          <w:sz w:val="32"/>
          <w:szCs w:val="32"/>
          <w:highlight w:val="none"/>
          <w:lang w:eastAsia="zh-CN"/>
        </w:rPr>
        <w:t>保险，预算时未纳入部门财政预算，实际支出列入部门预算。</w:t>
      </w:r>
    </w:p>
    <w:p w14:paraId="7916BBC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5DE30DA6">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年度财政拨款基本支出2,352.3</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万元，其中：</w:t>
      </w:r>
    </w:p>
    <w:p w14:paraId="620A574B">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rPr>
        <w:t>人员经费</w:t>
      </w:r>
      <w:r>
        <w:rPr>
          <w:rFonts w:hint="eastAsia" w:ascii="仿宋" w:hAnsi="仿宋" w:eastAsia="仿宋" w:cs="仿宋"/>
          <w:sz w:val="32"/>
          <w:szCs w:val="32"/>
          <w:highlight w:val="none"/>
          <w:lang w:val="en-US" w:eastAsia="zh-CN"/>
        </w:rPr>
        <w:t>1,713.04</w:t>
      </w:r>
      <w:r>
        <w:rPr>
          <w:rFonts w:hint="eastAsia" w:ascii="仿宋" w:hAnsi="仿宋" w:eastAsia="仿宋" w:cs="仿宋"/>
          <w:sz w:val="32"/>
          <w:szCs w:val="32"/>
          <w:highlight w:val="none"/>
        </w:rPr>
        <w:t>万元，占基本支出的</w:t>
      </w:r>
      <w:r>
        <w:rPr>
          <w:rFonts w:hint="eastAsia" w:ascii="仿宋" w:hAnsi="仿宋" w:eastAsia="仿宋" w:cs="仿宋"/>
          <w:sz w:val="32"/>
          <w:szCs w:val="32"/>
          <w:highlight w:val="none"/>
          <w:lang w:val="en-US" w:eastAsia="zh-CN"/>
        </w:rPr>
        <w:t>72.82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主要包括基本工资、津贴补贴、奖金</w:t>
      </w:r>
      <w:r>
        <w:rPr>
          <w:rFonts w:hint="eastAsia" w:ascii="仿宋" w:hAnsi="仿宋" w:eastAsia="仿宋" w:cs="仿宋"/>
          <w:sz w:val="32"/>
          <w:szCs w:val="32"/>
          <w:highlight w:val="none"/>
          <w:lang w:eastAsia="zh-CN"/>
        </w:rPr>
        <w:t>、机关事业单位基本养老保险缴费、职工基本医疗保险缴费、其他社会保障缴费等。</w:t>
      </w:r>
    </w:p>
    <w:p w14:paraId="6FC7C984">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i/>
          <w:color w:val="FF0000"/>
          <w:sz w:val="32"/>
          <w:szCs w:val="32"/>
          <w:highlight w:val="none"/>
        </w:rPr>
      </w:pPr>
      <w:r>
        <w:rPr>
          <w:rFonts w:hint="eastAsia" w:ascii="仿宋" w:hAnsi="仿宋" w:eastAsia="仿宋" w:cs="仿宋"/>
          <w:sz w:val="32"/>
          <w:szCs w:val="32"/>
          <w:highlight w:val="none"/>
        </w:rPr>
        <w:t>公用经费</w:t>
      </w:r>
      <w:r>
        <w:rPr>
          <w:rFonts w:hint="eastAsia" w:ascii="仿宋" w:hAnsi="仿宋" w:eastAsia="仿宋" w:cs="仿宋"/>
          <w:sz w:val="32"/>
          <w:szCs w:val="32"/>
          <w:highlight w:val="none"/>
          <w:lang w:val="en-US" w:eastAsia="zh-CN"/>
        </w:rPr>
        <w:t>639.29</w:t>
      </w:r>
      <w:r>
        <w:rPr>
          <w:rFonts w:hint="eastAsia" w:ascii="仿宋" w:hAnsi="仿宋" w:eastAsia="仿宋" w:cs="仿宋"/>
          <w:sz w:val="32"/>
          <w:szCs w:val="32"/>
          <w:highlight w:val="none"/>
        </w:rPr>
        <w:t>万元，占基本支出的</w:t>
      </w:r>
      <w:r>
        <w:rPr>
          <w:rFonts w:hint="eastAsia" w:ascii="仿宋" w:hAnsi="仿宋" w:eastAsia="仿宋" w:cs="仿宋"/>
          <w:sz w:val="32"/>
          <w:szCs w:val="32"/>
          <w:highlight w:val="none"/>
          <w:lang w:val="en-US" w:eastAsia="zh-CN"/>
        </w:rPr>
        <w:t>27.18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主要包括办公费、印刷费、咨询费、</w:t>
      </w:r>
      <w:r>
        <w:rPr>
          <w:rFonts w:hint="eastAsia" w:ascii="仿宋" w:hAnsi="仿宋" w:eastAsia="仿宋" w:cs="仿宋"/>
          <w:sz w:val="32"/>
          <w:szCs w:val="32"/>
          <w:highlight w:val="none"/>
          <w:lang w:eastAsia="zh-CN"/>
        </w:rPr>
        <w:t>差旅费、维护（修）费、会议费、培训费、公务接待费、公务用车运行维护费等</w:t>
      </w:r>
      <w:r>
        <w:rPr>
          <w:rFonts w:hint="eastAsia" w:ascii="仿宋" w:hAnsi="仿宋" w:eastAsia="仿宋" w:cs="仿宋"/>
          <w:sz w:val="32"/>
          <w:szCs w:val="32"/>
          <w:highlight w:val="none"/>
        </w:rPr>
        <w:t>。</w:t>
      </w:r>
    </w:p>
    <w:p w14:paraId="0714B26B">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七、一般公共预算财政拨款“三公”经费支出决算情况说明</w:t>
      </w:r>
    </w:p>
    <w:p w14:paraId="7D02CF2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（一）“三公”经费财政拨款支出决算总体情况说明</w:t>
      </w:r>
    </w:p>
    <w:p w14:paraId="353A34EE">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年度“三公”经费财政拨款支出预算为</w:t>
      </w:r>
      <w:r>
        <w:rPr>
          <w:rFonts w:hint="eastAsia" w:ascii="仿宋" w:hAnsi="仿宋" w:eastAsia="仿宋" w:cs="仿宋"/>
          <w:sz w:val="32"/>
          <w:szCs w:val="32"/>
          <w:highlight w:val="none"/>
          <w:lang w:val="en-US" w:eastAsia="zh-CN"/>
        </w:rPr>
        <w:t>53.36</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53.36</w:t>
      </w:r>
      <w:r>
        <w:rPr>
          <w:rFonts w:hint="eastAsia" w:ascii="仿宋" w:hAnsi="仿宋" w:eastAsia="仿宋" w:cs="仿宋"/>
          <w:sz w:val="32"/>
          <w:szCs w:val="32"/>
          <w:highlight w:val="none"/>
        </w:rPr>
        <w:t>万元，完成预算的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等于</w:t>
      </w:r>
      <w:r>
        <w:rPr>
          <w:rFonts w:hint="eastAsia" w:ascii="Times New Roman" w:hAnsi="Times New Roman" w:eastAsia="仿宋_GB2312"/>
          <w:sz w:val="32"/>
          <w:szCs w:val="32"/>
          <w:highlight w:val="none"/>
        </w:rPr>
        <w:t>预算数的主要原因是</w:t>
      </w:r>
      <w:r>
        <w:rPr>
          <w:rFonts w:hint="eastAsia" w:ascii="仿宋" w:hAnsi="仿宋" w:eastAsia="仿宋"/>
          <w:sz w:val="32"/>
          <w:szCs w:val="32"/>
          <w:highlight w:val="none"/>
          <w:lang w:val="en-US" w:eastAsia="zh-CN"/>
        </w:rPr>
        <w:t>严格按预算执行</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6.36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下降10.65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减少的主要原因是</w:t>
      </w:r>
      <w:r>
        <w:rPr>
          <w:rFonts w:hint="eastAsia" w:ascii="仿宋" w:hAnsi="仿宋" w:eastAsia="仿宋"/>
          <w:sz w:val="32"/>
          <w:szCs w:val="32"/>
          <w:highlight w:val="none"/>
        </w:rPr>
        <w:t>落实过“紧日子”要求，严格执行开支标准</w:t>
      </w:r>
      <w:r>
        <w:rPr>
          <w:rFonts w:hint="eastAsia" w:ascii="仿宋" w:hAnsi="仿宋" w:eastAsia="仿宋"/>
          <w:sz w:val="32"/>
          <w:szCs w:val="32"/>
          <w:highlight w:val="none"/>
          <w:lang w:eastAsia="zh-CN"/>
        </w:rPr>
        <w:t>，</w:t>
      </w:r>
      <w:r>
        <w:rPr>
          <w:rFonts w:hint="eastAsia" w:ascii="Times New Roman" w:hAnsi="Times New Roman" w:eastAsia="仿宋_GB2312"/>
          <w:sz w:val="32"/>
          <w:szCs w:val="32"/>
          <w:highlight w:val="none"/>
          <w:lang w:val="en-US" w:eastAsia="zh-CN"/>
        </w:rPr>
        <w:t>厉行节约</w:t>
      </w:r>
      <w:r>
        <w:rPr>
          <w:rFonts w:hint="eastAsia" w:ascii="Times New Roman" w:hAnsi="Times New Roman" w:eastAsia="仿宋_GB2312"/>
          <w:sz w:val="32"/>
          <w:szCs w:val="32"/>
          <w:highlight w:val="none"/>
        </w:rPr>
        <w:t>。</w:t>
      </w:r>
      <w:r>
        <w:rPr>
          <w:rFonts w:hint="eastAsia" w:ascii="仿宋" w:hAnsi="仿宋" w:eastAsia="仿宋" w:cs="仿宋"/>
          <w:sz w:val="32"/>
          <w:szCs w:val="32"/>
          <w:highlight w:val="none"/>
        </w:rPr>
        <w:t>其中：</w:t>
      </w:r>
    </w:p>
    <w:p w14:paraId="37F98273">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因公出国（境）费支出预算为0万元，支出决算为0万元，</w:t>
      </w:r>
      <w:r>
        <w:rPr>
          <w:rFonts w:hint="eastAsia" w:ascii="仿宋_GB2312" w:hAnsi="仿宋_GB2312" w:eastAsia="仿宋_GB2312" w:cs="仿宋_GB2312"/>
          <w:sz w:val="32"/>
          <w:szCs w:val="32"/>
          <w:highlight w:val="none"/>
        </w:rPr>
        <w:t>预算决算金额均</w:t>
      </w:r>
      <w:r>
        <w:rPr>
          <w:rFonts w:hint="eastAsia" w:ascii="仿宋_GB2312" w:hAnsi="仿宋_GB2312" w:eastAsia="仿宋_GB2312" w:cs="仿宋_GB2312"/>
          <w:sz w:val="32"/>
          <w:szCs w:val="32"/>
          <w:highlight w:val="none"/>
          <w:lang w:val="en-US" w:eastAsia="zh-CN"/>
        </w:rPr>
        <w:t>为0万元</w:t>
      </w:r>
      <w:r>
        <w:rPr>
          <w:rFonts w:hint="eastAsia" w:ascii="仿宋_GB2312" w:hAnsi="仿宋_GB2312" w:eastAsia="仿宋_GB2312" w:cs="仿宋_GB2312"/>
          <w:sz w:val="32"/>
          <w:szCs w:val="32"/>
          <w:highlight w:val="none"/>
        </w:rPr>
        <w:t>，无法计算完成百分比，主要原因</w:t>
      </w:r>
      <w:r>
        <w:rPr>
          <w:rFonts w:hint="eastAsia" w:ascii="仿宋_GB2312" w:hAnsi="仿宋_GB2312" w:eastAsia="仿宋_GB2312" w:cs="仿宋_GB2312"/>
          <w:sz w:val="32"/>
          <w:szCs w:val="32"/>
          <w:highlight w:val="none"/>
          <w:lang w:val="en-US" w:eastAsia="zh-CN"/>
        </w:rPr>
        <w:t>是单位未</w:t>
      </w:r>
      <w:r>
        <w:rPr>
          <w:rFonts w:hint="eastAsia" w:ascii="仿宋_GB2312" w:hAnsi="仿宋_GB2312" w:eastAsia="仿宋_GB2312" w:cs="仿宋_GB2312"/>
          <w:sz w:val="32"/>
          <w:szCs w:val="32"/>
          <w:highlight w:val="none"/>
        </w:rPr>
        <w:t>因公出国（境）</w:t>
      </w:r>
      <w:r>
        <w:rPr>
          <w:rFonts w:hint="eastAsia" w:ascii="仿宋" w:hAnsi="仿宋" w:eastAsia="仿宋" w:cs="仿宋"/>
          <w:sz w:val="32"/>
          <w:szCs w:val="32"/>
          <w:highlight w:val="none"/>
        </w:rPr>
        <w:t>，与上年数持平</w:t>
      </w:r>
      <w:r>
        <w:rPr>
          <w:rFonts w:hint="eastAsia" w:ascii="仿宋_GB2312" w:hAnsi="仿宋_GB2312" w:eastAsia="仿宋_GB2312" w:cs="仿宋_GB2312"/>
          <w:sz w:val="32"/>
          <w:szCs w:val="32"/>
          <w:highlight w:val="none"/>
          <w:lang w:val="en-US" w:eastAsia="zh-CN"/>
        </w:rPr>
        <w:t>均为0万元，</w:t>
      </w:r>
      <w:r>
        <w:rPr>
          <w:rFonts w:hint="eastAsia" w:ascii="仿宋_GB2312" w:hAnsi="仿宋_GB2312" w:eastAsia="仿宋_GB2312" w:cs="仿宋_GB2312"/>
          <w:sz w:val="32"/>
          <w:szCs w:val="32"/>
          <w:highlight w:val="none"/>
        </w:rPr>
        <w:t>无法计算完成百分比</w:t>
      </w:r>
      <w:r>
        <w:rPr>
          <w:rFonts w:hint="eastAsia" w:ascii="仿宋" w:hAnsi="仿宋" w:eastAsia="仿宋" w:cs="仿宋"/>
          <w:sz w:val="32"/>
          <w:szCs w:val="32"/>
          <w:highlight w:val="none"/>
        </w:rPr>
        <w:t>，主要原因本年度未安排因公出国（境）。</w:t>
      </w:r>
    </w:p>
    <w:p w14:paraId="4BAB2E3E">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公务接待费支出预算为</w:t>
      </w:r>
      <w:r>
        <w:rPr>
          <w:rFonts w:hint="eastAsia" w:ascii="仿宋" w:hAnsi="仿宋" w:eastAsia="仿宋" w:cs="仿宋"/>
          <w:sz w:val="32"/>
          <w:szCs w:val="32"/>
          <w:highlight w:val="none"/>
          <w:lang w:val="en-US" w:eastAsia="zh-CN"/>
        </w:rPr>
        <w:t>2.56</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2.56</w:t>
      </w:r>
      <w:r>
        <w:rPr>
          <w:rFonts w:hint="eastAsia" w:ascii="仿宋" w:hAnsi="仿宋" w:eastAsia="仿宋" w:cs="仿宋"/>
          <w:sz w:val="32"/>
          <w:szCs w:val="32"/>
          <w:highlight w:val="none"/>
        </w:rPr>
        <w:t>万元，完成预算的完成预算的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等于</w:t>
      </w:r>
      <w:r>
        <w:rPr>
          <w:rFonts w:hint="eastAsia" w:ascii="Times New Roman" w:hAnsi="Times New Roman" w:eastAsia="仿宋_GB2312"/>
          <w:sz w:val="32"/>
          <w:szCs w:val="32"/>
          <w:highlight w:val="none"/>
        </w:rPr>
        <w:t>预算数的主要原因是</w:t>
      </w:r>
      <w:r>
        <w:rPr>
          <w:rFonts w:hint="eastAsia" w:ascii="仿宋" w:hAnsi="仿宋" w:eastAsia="仿宋"/>
          <w:sz w:val="32"/>
          <w:szCs w:val="32"/>
          <w:highlight w:val="none"/>
          <w:lang w:val="en-US" w:eastAsia="zh-CN"/>
        </w:rPr>
        <w:t>严格按预算执行</w:t>
      </w:r>
      <w:r>
        <w:rPr>
          <w:rFonts w:hint="eastAsia" w:ascii="Times New Roman" w:hAnsi="Times New Roman" w:eastAsia="仿宋_GB2312"/>
          <w:sz w:val="32"/>
          <w:szCs w:val="32"/>
          <w:highlight w:val="none"/>
          <w:lang w:val="en-US" w:eastAsia="zh-CN"/>
        </w:rPr>
        <w:t>。</w:t>
      </w:r>
      <w:r>
        <w:rPr>
          <w:rFonts w:hint="eastAsia" w:ascii="仿宋" w:hAnsi="仿宋" w:eastAsia="仿宋" w:cs="仿宋"/>
          <w:sz w:val="32"/>
          <w:szCs w:val="32"/>
          <w:highlight w:val="none"/>
        </w:rPr>
        <w:t>与上年相比减少</w:t>
      </w:r>
      <w:r>
        <w:rPr>
          <w:rFonts w:hint="eastAsia" w:ascii="仿宋" w:hAnsi="仿宋" w:eastAsia="仿宋" w:cs="仿宋"/>
          <w:sz w:val="32"/>
          <w:szCs w:val="32"/>
          <w:highlight w:val="none"/>
          <w:lang w:val="en-US" w:eastAsia="zh-CN"/>
        </w:rPr>
        <w:t>6.88</w:t>
      </w:r>
      <w:r>
        <w:rPr>
          <w:rFonts w:hint="eastAsia" w:ascii="仿宋" w:hAnsi="仿宋" w:eastAsia="仿宋" w:cs="仿宋"/>
          <w:sz w:val="32"/>
          <w:szCs w:val="32"/>
          <w:highlight w:val="none"/>
        </w:rPr>
        <w:t>万元，减少</w:t>
      </w:r>
      <w:r>
        <w:rPr>
          <w:rFonts w:hint="eastAsia" w:ascii="仿宋" w:hAnsi="仿宋" w:eastAsia="仿宋" w:cs="仿宋"/>
          <w:sz w:val="32"/>
          <w:szCs w:val="32"/>
          <w:highlight w:val="none"/>
          <w:lang w:val="en-US" w:eastAsia="zh-CN"/>
        </w:rPr>
        <w:t>72.88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减少的主要原因是严控公务接待经费开支。</w:t>
      </w:r>
    </w:p>
    <w:p w14:paraId="59710107">
      <w:pPr>
        <w:pStyle w:val="13"/>
        <w:keepNext w:val="0"/>
        <w:keepLines w:val="0"/>
        <w:pageBreakBefore w:val="0"/>
        <w:kinsoku/>
        <w:wordWrap/>
        <w:topLinePunct w:val="0"/>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公务用车购置费支出预算为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万元，预算决算金额均</w:t>
      </w:r>
      <w:r>
        <w:rPr>
          <w:rFonts w:hint="eastAsia" w:ascii="仿宋_GB2312" w:hAnsi="仿宋_GB2312" w:eastAsia="仿宋_GB2312" w:cs="仿宋_GB2312"/>
          <w:sz w:val="32"/>
          <w:szCs w:val="32"/>
          <w:highlight w:val="none"/>
          <w:lang w:val="en-US" w:eastAsia="zh-CN"/>
        </w:rPr>
        <w:t>为0万元</w:t>
      </w:r>
      <w:r>
        <w:rPr>
          <w:rFonts w:hint="eastAsia" w:ascii="仿宋_GB2312" w:hAnsi="仿宋_GB2312" w:eastAsia="仿宋_GB2312" w:cs="仿宋_GB2312"/>
          <w:sz w:val="32"/>
          <w:szCs w:val="32"/>
          <w:highlight w:val="none"/>
        </w:rPr>
        <w:t>，无法计算完成百分比，主要原因</w:t>
      </w:r>
      <w:r>
        <w:rPr>
          <w:rFonts w:hint="eastAsia" w:ascii="仿宋_GB2312" w:hAnsi="仿宋_GB2312" w:eastAsia="仿宋_GB2312" w:cs="仿宋_GB2312"/>
          <w:sz w:val="32"/>
          <w:szCs w:val="32"/>
          <w:highlight w:val="none"/>
          <w:lang w:val="en-US" w:eastAsia="zh-CN"/>
        </w:rPr>
        <w:t>是未</w:t>
      </w:r>
      <w:r>
        <w:rPr>
          <w:rFonts w:hint="eastAsia" w:ascii="仿宋_GB2312" w:hAnsi="仿宋_GB2312" w:eastAsia="仿宋_GB2312" w:cs="仿宋_GB2312"/>
          <w:sz w:val="32"/>
          <w:szCs w:val="32"/>
          <w:highlight w:val="none"/>
        </w:rPr>
        <w:t>购置公务用车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与上年相比持平均为0万元，</w:t>
      </w:r>
      <w:r>
        <w:rPr>
          <w:rFonts w:hint="eastAsia" w:ascii="仿宋_GB2312" w:hAnsi="仿宋_GB2312" w:eastAsia="仿宋_GB2312" w:cs="仿宋_GB2312"/>
          <w:sz w:val="32"/>
          <w:szCs w:val="32"/>
          <w:highlight w:val="none"/>
        </w:rPr>
        <w:t>无法计算完成百分比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val="en-US" w:eastAsia="zh-CN"/>
        </w:rPr>
        <w:t>是未</w:t>
      </w:r>
      <w:r>
        <w:rPr>
          <w:rFonts w:hint="eastAsia" w:ascii="仿宋_GB2312" w:hAnsi="仿宋_GB2312" w:eastAsia="仿宋_GB2312" w:cs="仿宋_GB2312"/>
          <w:sz w:val="32"/>
          <w:szCs w:val="32"/>
          <w:highlight w:val="none"/>
        </w:rPr>
        <w:t>购置公务用车</w:t>
      </w:r>
      <w:r>
        <w:rPr>
          <w:rFonts w:hint="eastAsia" w:ascii="仿宋_GB2312" w:hAnsi="仿宋_GB2312" w:eastAsia="仿宋_GB2312" w:cs="仿宋_GB2312"/>
          <w:sz w:val="32"/>
          <w:szCs w:val="32"/>
          <w:highlight w:val="none"/>
          <w:lang w:eastAsia="zh-CN"/>
        </w:rPr>
        <w:t>。</w:t>
      </w:r>
    </w:p>
    <w:p w14:paraId="49B61D15">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公务用车运行维护费支出预算为</w:t>
      </w:r>
      <w:r>
        <w:rPr>
          <w:rFonts w:hint="eastAsia" w:ascii="仿宋" w:hAnsi="仿宋" w:eastAsia="仿宋" w:cs="仿宋"/>
          <w:sz w:val="32"/>
          <w:szCs w:val="32"/>
          <w:highlight w:val="none"/>
          <w:lang w:val="en-US" w:eastAsia="zh-CN"/>
        </w:rPr>
        <w:t>50.8</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50.8</w:t>
      </w:r>
      <w:r>
        <w:rPr>
          <w:rFonts w:hint="eastAsia" w:ascii="仿宋" w:hAnsi="仿宋" w:eastAsia="仿宋" w:cs="仿宋"/>
          <w:sz w:val="32"/>
          <w:szCs w:val="32"/>
          <w:highlight w:val="none"/>
        </w:rPr>
        <w:t>万元，完成预算的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等于</w:t>
      </w:r>
      <w:r>
        <w:rPr>
          <w:rFonts w:hint="eastAsia" w:ascii="Times New Roman" w:hAnsi="Times New Roman" w:eastAsia="仿宋_GB2312"/>
          <w:sz w:val="32"/>
          <w:szCs w:val="32"/>
          <w:highlight w:val="none"/>
        </w:rPr>
        <w:t>预算数的主要原因是</w:t>
      </w:r>
      <w:r>
        <w:rPr>
          <w:rFonts w:hint="eastAsia" w:ascii="仿宋" w:hAnsi="仿宋" w:eastAsia="仿宋"/>
          <w:sz w:val="32"/>
          <w:szCs w:val="32"/>
          <w:highlight w:val="none"/>
          <w:lang w:val="en-US" w:eastAsia="zh-CN"/>
        </w:rPr>
        <w:t>严格按预算执行</w:t>
      </w:r>
      <w:r>
        <w:rPr>
          <w:rFonts w:hint="eastAsia" w:ascii="Times New Roman" w:hAnsi="Times New Roman" w:eastAsia="仿宋_GB2312"/>
          <w:sz w:val="32"/>
          <w:szCs w:val="32"/>
          <w:highlight w:val="none"/>
          <w:lang w:val="en-US" w:eastAsia="zh-CN"/>
        </w:rPr>
        <w:t>。</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0.53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1.05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的主要原因是</w:t>
      </w:r>
      <w:r>
        <w:rPr>
          <w:rFonts w:hint="eastAsia" w:ascii="仿宋" w:hAnsi="仿宋" w:eastAsia="仿宋" w:cs="仿宋"/>
          <w:sz w:val="32"/>
          <w:szCs w:val="32"/>
          <w:highlight w:val="none"/>
          <w:lang w:eastAsia="zh-CN"/>
        </w:rPr>
        <w:t>公车使用时间较长，维护费较高</w:t>
      </w:r>
      <w:r>
        <w:rPr>
          <w:rFonts w:hint="eastAsia" w:ascii="仿宋" w:hAnsi="仿宋" w:eastAsia="仿宋" w:cs="仿宋"/>
          <w:sz w:val="32"/>
          <w:szCs w:val="32"/>
          <w:highlight w:val="none"/>
        </w:rPr>
        <w:t>。</w:t>
      </w:r>
    </w:p>
    <w:p w14:paraId="5A364AC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（二）“三公”经费财政拨款支出决算具体情况说明</w:t>
      </w:r>
    </w:p>
    <w:p w14:paraId="2B83E60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年度“三公”经费财政拨款支出决算中，公务接待费支出决算</w:t>
      </w:r>
      <w:r>
        <w:rPr>
          <w:rFonts w:hint="eastAsia" w:ascii="仿宋" w:hAnsi="仿宋" w:eastAsia="仿宋" w:cs="仿宋"/>
          <w:sz w:val="32"/>
          <w:szCs w:val="32"/>
          <w:highlight w:val="none"/>
          <w:lang w:val="en-US" w:eastAsia="zh-CN"/>
        </w:rPr>
        <w:t>2.56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因公出国（境）费支出决算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万元，公务用车购置费及运行维护费支出决算</w:t>
      </w:r>
      <w:r>
        <w:rPr>
          <w:rFonts w:hint="eastAsia" w:ascii="仿宋" w:hAnsi="仿宋" w:eastAsia="仿宋" w:cs="仿宋"/>
          <w:sz w:val="32"/>
          <w:szCs w:val="32"/>
          <w:highlight w:val="none"/>
          <w:lang w:val="en-US" w:eastAsia="zh-CN"/>
        </w:rPr>
        <w:t>50.8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95.2</w:t>
      </w:r>
      <w:r>
        <w:rPr>
          <w:rFonts w:hint="eastAsia" w:ascii="仿宋" w:hAnsi="仿宋" w:eastAsia="仿宋" w:cs="仿宋"/>
          <w:sz w:val="32"/>
          <w:szCs w:val="32"/>
          <w:highlight w:val="none"/>
        </w:rPr>
        <w:t>%。其中：</w:t>
      </w:r>
    </w:p>
    <w:p w14:paraId="0964423E">
      <w:pPr>
        <w:pStyle w:val="2"/>
        <w:keepNext w:val="0"/>
        <w:keepLines w:val="0"/>
        <w:pageBreakBefore w:val="0"/>
        <w:tabs>
          <w:tab w:val="left" w:pos="3864"/>
          <w:tab w:val="left" w:pos="6248"/>
          <w:tab w:val="left" w:pos="7386"/>
        </w:tabs>
        <w:kinsoku/>
        <w:wordWrap/>
        <w:overflowPunct w:val="0"/>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1、因公出国（境）费支出决算为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万元，全年安排因公出国（境）团组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个，累计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人次</w:t>
      </w:r>
      <w:r>
        <w:rPr>
          <w:rFonts w:hint="eastAsia" w:ascii="仿宋" w:hAnsi="仿宋" w:eastAsia="仿宋" w:cs="仿宋"/>
          <w:sz w:val="32"/>
          <w:szCs w:val="32"/>
          <w:highlight w:val="none"/>
          <w:lang w:eastAsia="zh-CN"/>
        </w:rPr>
        <w:t>，</w:t>
      </w:r>
      <w:r>
        <w:rPr>
          <w:rFonts w:hint="eastAsia" w:ascii="仿宋" w:hAnsi="仿宋" w:eastAsia="仿宋" w:cs="仿宋"/>
          <w:highlight w:val="none"/>
        </w:rPr>
        <w:t>主要是</w:t>
      </w:r>
      <w:bookmarkStart w:id="0" w:name="THERR_YGCGJFY_ZYYY"/>
      <w:r>
        <w:rPr>
          <w:rFonts w:hint="eastAsia" w:ascii="仿宋" w:hAnsi="仿宋" w:eastAsia="仿宋" w:cs="仿宋"/>
          <w:highlight w:val="none"/>
        </w:rPr>
        <w:t>2022年我单位没有因公出国（境）费支出</w:t>
      </w:r>
      <w:bookmarkEnd w:id="0"/>
      <w:bookmarkStart w:id="1" w:name="END_THERR_YGCGJFY_AMT"/>
      <w:bookmarkEnd w:id="1"/>
      <w:r>
        <w:rPr>
          <w:rFonts w:hint="eastAsia" w:ascii="仿宋" w:hAnsi="仿宋" w:eastAsia="仿宋" w:cs="仿宋"/>
          <w:highlight w:val="none"/>
        </w:rPr>
        <w:t>。</w:t>
      </w:r>
    </w:p>
    <w:p w14:paraId="5896B31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2、公务接待费支出决算为</w:t>
      </w:r>
      <w:r>
        <w:rPr>
          <w:rFonts w:hint="eastAsia" w:ascii="仿宋" w:hAnsi="仿宋" w:eastAsia="仿宋" w:cs="仿宋"/>
          <w:sz w:val="32"/>
          <w:szCs w:val="32"/>
          <w:highlight w:val="none"/>
          <w:lang w:val="en-US" w:eastAsia="zh-CN"/>
        </w:rPr>
        <w:t>2.56</w:t>
      </w:r>
      <w:r>
        <w:rPr>
          <w:rFonts w:hint="eastAsia" w:ascii="仿宋" w:hAnsi="仿宋" w:eastAsia="仿宋" w:cs="仿宋"/>
          <w:sz w:val="32"/>
          <w:szCs w:val="32"/>
          <w:highlight w:val="none"/>
        </w:rPr>
        <w:t>万元，全年共接待来访团组</w:t>
      </w:r>
      <w:r>
        <w:rPr>
          <w:rFonts w:hint="eastAsia" w:ascii="仿宋" w:hAnsi="仿宋" w:eastAsia="仿宋" w:cs="仿宋"/>
          <w:sz w:val="32"/>
          <w:szCs w:val="32"/>
          <w:highlight w:val="none"/>
          <w:lang w:val="en-US" w:eastAsia="zh-CN"/>
        </w:rPr>
        <w:t>36</w:t>
      </w:r>
      <w:r>
        <w:rPr>
          <w:rFonts w:hint="eastAsia" w:ascii="仿宋" w:hAnsi="仿宋" w:eastAsia="仿宋" w:cs="仿宋"/>
          <w:sz w:val="32"/>
          <w:szCs w:val="32"/>
          <w:highlight w:val="none"/>
        </w:rPr>
        <w:t>个、来宾</w:t>
      </w:r>
      <w:r>
        <w:rPr>
          <w:rFonts w:hint="eastAsia" w:ascii="仿宋" w:hAnsi="仿宋" w:eastAsia="仿宋" w:cs="仿宋"/>
          <w:sz w:val="32"/>
          <w:szCs w:val="32"/>
          <w:highlight w:val="none"/>
          <w:lang w:val="en-US" w:eastAsia="zh-CN"/>
        </w:rPr>
        <w:t>216</w:t>
      </w:r>
      <w:r>
        <w:rPr>
          <w:rFonts w:hint="eastAsia" w:ascii="仿宋" w:hAnsi="仿宋" w:eastAsia="仿宋" w:cs="仿宋"/>
          <w:sz w:val="32"/>
          <w:szCs w:val="32"/>
          <w:highlight w:val="none"/>
        </w:rPr>
        <w:t>人次，主要是指导工作、调研等工作发生的接待支出。</w:t>
      </w:r>
    </w:p>
    <w:p w14:paraId="29E816BD">
      <w:pPr>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3、公务用车购置费及运行维护费支出决算为</w:t>
      </w:r>
      <w:r>
        <w:rPr>
          <w:rFonts w:hint="eastAsia" w:ascii="仿宋" w:hAnsi="仿宋" w:eastAsia="仿宋" w:cs="仿宋"/>
          <w:sz w:val="32"/>
          <w:szCs w:val="32"/>
          <w:highlight w:val="none"/>
          <w:lang w:val="en-US" w:eastAsia="zh-CN"/>
        </w:rPr>
        <w:t>50.8</w:t>
      </w:r>
      <w:r>
        <w:rPr>
          <w:rFonts w:hint="eastAsia" w:ascii="仿宋" w:hAnsi="仿宋" w:eastAsia="仿宋" w:cs="仿宋"/>
          <w:sz w:val="32"/>
          <w:szCs w:val="32"/>
          <w:highlight w:val="none"/>
        </w:rPr>
        <w:t>万元，其中：公务用车购置费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Times New Roman" w:hAnsi="Times New Roman" w:eastAsia="仿宋_GB2312"/>
          <w:sz w:val="32"/>
          <w:szCs w:val="32"/>
          <w:highlight w:val="none"/>
        </w:rPr>
        <w:t>更新公务用车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公务用车运行维护费</w:t>
      </w:r>
      <w:r>
        <w:rPr>
          <w:rFonts w:hint="eastAsia" w:ascii="仿宋" w:hAnsi="仿宋" w:eastAsia="仿宋" w:cs="仿宋"/>
          <w:sz w:val="32"/>
          <w:szCs w:val="32"/>
          <w:highlight w:val="none"/>
          <w:lang w:val="en-US" w:eastAsia="zh-CN"/>
        </w:rPr>
        <w:t>50.8</w:t>
      </w:r>
      <w:r>
        <w:rPr>
          <w:rFonts w:hint="eastAsia" w:ascii="仿宋" w:hAnsi="仿宋" w:eastAsia="仿宋" w:cs="仿宋"/>
          <w:sz w:val="32"/>
          <w:szCs w:val="32"/>
          <w:highlight w:val="none"/>
        </w:rPr>
        <w:t>万元，主要是</w:t>
      </w:r>
      <w:r>
        <w:rPr>
          <w:rFonts w:hint="eastAsia" w:ascii="仿宋" w:hAnsi="仿宋" w:eastAsia="仿宋" w:cs="仿宋"/>
          <w:sz w:val="32"/>
          <w:szCs w:val="32"/>
          <w:highlight w:val="none"/>
          <w:lang w:eastAsia="zh-CN"/>
        </w:rPr>
        <w:t>公务用车油料费、维修维护费、保险费等</w:t>
      </w:r>
      <w:r>
        <w:rPr>
          <w:rFonts w:hint="eastAsia" w:ascii="仿宋" w:hAnsi="仿宋" w:eastAsia="仿宋" w:cs="仿宋"/>
          <w:sz w:val="32"/>
          <w:szCs w:val="32"/>
          <w:highlight w:val="none"/>
        </w:rPr>
        <w:t>支出，截止202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年12月31日，我单位开支财政拨款的公务用车保有量为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辆。</w:t>
      </w:r>
    </w:p>
    <w:p w14:paraId="499BF642">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黑体" w:cs="仿宋"/>
          <w:b/>
          <w:sz w:val="32"/>
          <w:szCs w:val="32"/>
          <w:highlight w:val="none"/>
          <w:lang w:val="en-US" w:eastAsia="zh-CN"/>
        </w:rPr>
      </w:pPr>
      <w:r>
        <w:rPr>
          <w:rFonts w:hint="eastAsia" w:ascii="黑体" w:hAnsi="黑体" w:eastAsia="黑体" w:cs="黑体"/>
          <w:b w:val="0"/>
          <w:bCs/>
          <w:sz w:val="32"/>
          <w:szCs w:val="32"/>
          <w:highlight w:val="none"/>
        </w:rPr>
        <w:t>八、政府性基金预算收入支出决算情况</w:t>
      </w:r>
      <w:r>
        <w:rPr>
          <w:rFonts w:hint="eastAsia" w:hAnsi="黑体" w:cs="黑体"/>
          <w:b w:val="0"/>
          <w:bCs/>
          <w:sz w:val="32"/>
          <w:szCs w:val="32"/>
          <w:highlight w:val="none"/>
          <w:lang w:val="en-US" w:eastAsia="zh-CN"/>
        </w:rPr>
        <w:t>说明</w:t>
      </w:r>
    </w:p>
    <w:p w14:paraId="7A8BB10B">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i/>
          <w:color w:val="FF0000"/>
          <w:sz w:val="32"/>
          <w:szCs w:val="32"/>
          <w:highlight w:val="none"/>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无政府性基金收支。</w:t>
      </w:r>
      <w:bookmarkStart w:id="5" w:name="_GoBack"/>
      <w:bookmarkEnd w:id="5"/>
    </w:p>
    <w:p w14:paraId="06412694">
      <w:pPr>
        <w:pStyle w:val="13"/>
        <w:keepNext w:val="0"/>
        <w:keepLines w:val="0"/>
        <w:pageBreakBefore w:val="0"/>
        <w:numPr>
          <w:ilvl w:val="0"/>
          <w:numId w:val="0"/>
        </w:numPr>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color w:val="000000"/>
          <w:kern w:val="0"/>
          <w:sz w:val="32"/>
          <w:szCs w:val="32"/>
          <w:highlight w:val="none"/>
          <w:lang w:val="en-US" w:eastAsia="zh-CN" w:bidi="ar-SA"/>
        </w:rPr>
        <w:t>九、</w:t>
      </w:r>
      <w:r>
        <w:rPr>
          <w:rFonts w:hint="eastAsia" w:ascii="黑体" w:hAnsi="黑体" w:eastAsia="黑体" w:cs="黑体"/>
          <w:b w:val="0"/>
          <w:bCs/>
          <w:sz w:val="32"/>
          <w:szCs w:val="32"/>
          <w:highlight w:val="none"/>
        </w:rPr>
        <w:t>国有资本经营预算财政拨款支出决算情况说明</w:t>
      </w:r>
    </w:p>
    <w:p w14:paraId="0D39930C">
      <w:pPr>
        <w:pStyle w:val="13"/>
        <w:keepNext w:val="0"/>
        <w:keepLines w:val="0"/>
        <w:pageBreakBefore w:val="0"/>
        <w:numPr>
          <w:ilvl w:val="0"/>
          <w:numId w:val="0"/>
        </w:numPr>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lang w:val="en-US" w:eastAsia="zh-CN"/>
        </w:rPr>
      </w:pPr>
      <w:r>
        <w:rPr>
          <w:rFonts w:hint="eastAsia" w:ascii="仿宋" w:hAnsi="仿宋" w:eastAsia="仿宋" w:cs="仿宋"/>
          <w:sz w:val="32"/>
          <w:szCs w:val="32"/>
          <w:highlight w:val="none"/>
          <w:lang w:val="en-US" w:eastAsia="zh-CN"/>
        </w:rPr>
        <w:t>本单位2022年无国有资本经营预算财政拨款支出。</w:t>
      </w:r>
    </w:p>
    <w:p w14:paraId="3DEB01A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十、</w:t>
      </w:r>
      <w:r>
        <w:rPr>
          <w:rFonts w:hint="eastAsia" w:ascii="仿宋" w:hAnsi="仿宋" w:eastAsia="仿宋"/>
          <w:b/>
          <w:sz w:val="32"/>
          <w:szCs w:val="32"/>
          <w:highlight w:val="none"/>
        </w:rPr>
        <w:t>关于</w:t>
      </w:r>
      <w:r>
        <w:rPr>
          <w:rFonts w:hint="eastAsia" w:ascii="黑体" w:hAnsi="黑体" w:eastAsia="黑体" w:cs="黑体"/>
          <w:b w:val="0"/>
          <w:bCs/>
          <w:sz w:val="32"/>
          <w:szCs w:val="32"/>
          <w:highlight w:val="none"/>
        </w:rPr>
        <w:t>机关运行经费支出说明</w:t>
      </w:r>
    </w:p>
    <w:p w14:paraId="1D1BF872">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639.29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比上年减少</w:t>
      </w:r>
      <w:r>
        <w:rPr>
          <w:rFonts w:hint="eastAsia" w:ascii="仿宋" w:hAnsi="仿宋" w:eastAsia="仿宋" w:cs="仿宋"/>
          <w:sz w:val="32"/>
          <w:szCs w:val="32"/>
          <w:highlight w:val="none"/>
          <w:lang w:val="en-US" w:eastAsia="zh-CN"/>
        </w:rPr>
        <w:t>78.86万元，</w:t>
      </w:r>
      <w:r>
        <w:rPr>
          <w:rFonts w:hint="eastAsia" w:ascii="仿宋" w:hAnsi="仿宋" w:eastAsia="仿宋" w:cs="仿宋"/>
          <w:sz w:val="32"/>
          <w:szCs w:val="32"/>
          <w:highlight w:val="none"/>
        </w:rPr>
        <w:t>降低</w:t>
      </w:r>
      <w:r>
        <w:rPr>
          <w:rFonts w:hint="eastAsia" w:ascii="仿宋" w:hAnsi="仿宋" w:eastAsia="仿宋" w:cs="仿宋"/>
          <w:sz w:val="32"/>
          <w:szCs w:val="32"/>
          <w:highlight w:val="none"/>
          <w:lang w:val="en-US" w:eastAsia="zh-CN"/>
        </w:rPr>
        <w:t>10.98</w:t>
      </w:r>
      <w:r>
        <w:rPr>
          <w:rFonts w:hint="eastAsia" w:ascii="仿宋" w:hAnsi="仿宋" w:eastAsia="仿宋" w:cs="仿宋"/>
          <w:sz w:val="32"/>
          <w:szCs w:val="32"/>
          <w:highlight w:val="none"/>
        </w:rPr>
        <w:t>%。主要原因是认真贯彻落实中央“八项”规定要求，厉行节约。</w:t>
      </w:r>
    </w:p>
    <w:p w14:paraId="15FCB878">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一</w:t>
      </w:r>
      <w:r>
        <w:rPr>
          <w:rFonts w:hint="eastAsia" w:ascii="黑体" w:hAnsi="黑体" w:eastAsia="黑体" w:cs="黑体"/>
          <w:b w:val="0"/>
          <w:bCs/>
          <w:sz w:val="32"/>
          <w:szCs w:val="32"/>
          <w:highlight w:val="none"/>
        </w:rPr>
        <w:t>、</w:t>
      </w:r>
      <w:r>
        <w:rPr>
          <w:rFonts w:hint="eastAsia" w:ascii="仿宋" w:hAnsi="仿宋" w:eastAsia="仿宋"/>
          <w:b/>
          <w:sz w:val="32"/>
          <w:szCs w:val="32"/>
          <w:highlight w:val="none"/>
        </w:rPr>
        <w:t>关于</w:t>
      </w:r>
      <w:r>
        <w:rPr>
          <w:rFonts w:hint="eastAsia" w:ascii="黑体" w:hAnsi="黑体" w:eastAsia="黑体" w:cs="黑体"/>
          <w:b w:val="0"/>
          <w:bCs/>
          <w:sz w:val="32"/>
          <w:szCs w:val="32"/>
          <w:highlight w:val="none"/>
        </w:rPr>
        <w:t>一般性支出情况说明</w:t>
      </w:r>
    </w:p>
    <w:p w14:paraId="214239A3">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年本部门开支会议费</w:t>
      </w:r>
      <w:r>
        <w:rPr>
          <w:rFonts w:hint="eastAsia" w:ascii="仿宋" w:hAnsi="仿宋" w:eastAsia="仿宋" w:cs="仿宋"/>
          <w:sz w:val="32"/>
          <w:szCs w:val="32"/>
          <w:highlight w:val="none"/>
          <w:lang w:val="en-US" w:eastAsia="zh-CN"/>
        </w:rPr>
        <w:t>3.53</w:t>
      </w:r>
      <w:r>
        <w:rPr>
          <w:rFonts w:hint="eastAsia" w:ascii="仿宋" w:hAnsi="仿宋" w:eastAsia="仿宋" w:cs="仿宋"/>
          <w:sz w:val="32"/>
          <w:szCs w:val="32"/>
          <w:highlight w:val="none"/>
        </w:rPr>
        <w:t>万元，用于部门业务工作会议人数为300余人，内容为各项业务指导会议；开支培训费为</w:t>
      </w:r>
      <w:r>
        <w:rPr>
          <w:rFonts w:hint="eastAsia" w:ascii="仿宋" w:hAnsi="仿宋" w:eastAsia="仿宋" w:cs="仿宋"/>
          <w:sz w:val="32"/>
          <w:szCs w:val="32"/>
          <w:highlight w:val="none"/>
          <w:lang w:val="en-US" w:eastAsia="zh-CN"/>
        </w:rPr>
        <w:t>18.19</w:t>
      </w:r>
      <w:r>
        <w:rPr>
          <w:rFonts w:hint="eastAsia" w:ascii="仿宋" w:hAnsi="仿宋" w:eastAsia="仿宋" w:cs="仿宋"/>
          <w:sz w:val="32"/>
          <w:szCs w:val="32"/>
          <w:highlight w:val="none"/>
        </w:rPr>
        <w:t>万元，用于开展党办业务培训班，人数500余人，内容为党办系统业务各项培训。</w:t>
      </w:r>
      <w:r>
        <w:rPr>
          <w:rFonts w:hint="eastAsia" w:ascii="仿宋" w:hAnsi="仿宋" w:eastAsia="仿宋" w:cs="仿宋"/>
          <w:sz w:val="32"/>
          <w:szCs w:val="32"/>
          <w:highlight w:val="none"/>
          <w:lang w:val="en-US" w:eastAsia="zh-CN"/>
        </w:rPr>
        <w:t>未举办节庆、晚会、论坛、赛事等活动。</w:t>
      </w:r>
    </w:p>
    <w:p w14:paraId="2BBE12DF">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仿宋" w:hAnsi="仿宋" w:eastAsia="仿宋"/>
          <w:b/>
          <w:sz w:val="32"/>
          <w:szCs w:val="32"/>
          <w:highlight w:val="none"/>
        </w:rPr>
        <w:t>关于</w:t>
      </w:r>
      <w:r>
        <w:rPr>
          <w:rFonts w:hint="eastAsia" w:ascii="黑体" w:hAnsi="黑体" w:eastAsia="黑体" w:cs="黑体"/>
          <w:b w:val="0"/>
          <w:bCs/>
          <w:sz w:val="32"/>
          <w:szCs w:val="32"/>
          <w:highlight w:val="none"/>
        </w:rPr>
        <w:t>政府采购支出说明</w:t>
      </w:r>
    </w:p>
    <w:p w14:paraId="010A0933">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1,322.93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1,322.93</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万元、政府采购服务支出0万元。授予中小企业合同金额</w:t>
      </w:r>
      <w:r>
        <w:rPr>
          <w:rFonts w:hint="eastAsia" w:ascii="仿宋" w:hAnsi="仿宋" w:eastAsia="仿宋" w:cs="仿宋"/>
          <w:sz w:val="32"/>
          <w:szCs w:val="32"/>
          <w:highlight w:val="none"/>
          <w:lang w:val="en-US" w:eastAsia="zh-CN"/>
        </w:rPr>
        <w:t>1,322.93</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无法计算完成百分比</w:t>
      </w:r>
      <w:r>
        <w:rPr>
          <w:rFonts w:hint="eastAsia" w:ascii="仿宋" w:hAnsi="仿宋" w:eastAsia="仿宋" w:cs="仿宋"/>
          <w:sz w:val="32"/>
          <w:szCs w:val="32"/>
          <w:highlight w:val="none"/>
        </w:rPr>
        <w:t>。货物采购授予中小企业合同金额占货物支出金额的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由于工程支出金额为0万元，无法计算工程采购授予中小企业合同金额占工程支出金额的百分比；</w:t>
      </w:r>
      <w:bookmarkStart w:id="2" w:name="END_GP_BGT_CGGC_AMT_1"/>
      <w:bookmarkEnd w:id="2"/>
      <w:bookmarkStart w:id="3" w:name="START_GP_BGT_CGFW_AMT"/>
      <w:bookmarkEnd w:id="3"/>
      <w:bookmarkStart w:id="4" w:name="DIS_MARK_GP_BGT_CGFW_AMT"/>
      <w:r>
        <w:rPr>
          <w:rFonts w:hint="eastAsia" w:ascii="仿宋" w:hAnsi="仿宋" w:eastAsia="仿宋" w:cs="仿宋"/>
          <w:sz w:val="32"/>
          <w:szCs w:val="32"/>
          <w:highlight w:val="none"/>
        </w:rPr>
        <w:t>由于</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支出金额为0万元，无法计算</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采购授予中小企业合同金额占</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支出金额的百分比</w:t>
      </w:r>
      <w:bookmarkEnd w:id="4"/>
      <w:r>
        <w:rPr>
          <w:rFonts w:hint="eastAsia" w:ascii="仿宋" w:hAnsi="仿宋" w:eastAsia="仿宋" w:cs="仿宋"/>
          <w:sz w:val="32"/>
          <w:szCs w:val="32"/>
          <w:highlight w:val="none"/>
          <w:lang w:eastAsia="zh-CN"/>
        </w:rPr>
        <w:t>。</w:t>
      </w:r>
    </w:p>
    <w:p w14:paraId="4C471E81">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w:t>
      </w:r>
      <w:r>
        <w:rPr>
          <w:rFonts w:hint="eastAsia" w:ascii="仿宋" w:hAnsi="仿宋" w:eastAsia="仿宋"/>
          <w:b/>
          <w:sz w:val="32"/>
          <w:szCs w:val="32"/>
          <w:highlight w:val="none"/>
        </w:rPr>
        <w:t>关于</w:t>
      </w:r>
      <w:r>
        <w:rPr>
          <w:rFonts w:hint="eastAsia" w:ascii="黑体" w:hAnsi="黑体" w:eastAsia="黑体" w:cs="黑体"/>
          <w:b w:val="0"/>
          <w:bCs/>
          <w:sz w:val="32"/>
          <w:szCs w:val="32"/>
          <w:highlight w:val="none"/>
        </w:rPr>
        <w:t>国有资产占用情况说明</w:t>
      </w:r>
    </w:p>
    <w:p w14:paraId="27AC4910">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截至2022年12月31日，本单位共有车辆11辆，其中，主要领导干部用车0辆，机要通信用车0辆、应急保障用车0辆、执法执勤用车0辆、特种专业技术用车0辆、其他用车11辆，</w:t>
      </w:r>
      <w:r>
        <w:rPr>
          <w:rFonts w:hint="eastAsia" w:ascii="仿宋" w:hAnsi="仿宋" w:eastAsia="仿宋" w:cs="仿宋"/>
          <w:sz w:val="32"/>
          <w:szCs w:val="32"/>
          <w:highlight w:val="none"/>
        </w:rPr>
        <w:t>其他用车主要是</w:t>
      </w:r>
      <w:r>
        <w:rPr>
          <w:rFonts w:hint="eastAsia" w:ascii="仿宋" w:hAnsi="仿宋" w:eastAsia="仿宋" w:cs="仿宋"/>
          <w:sz w:val="32"/>
          <w:szCs w:val="32"/>
          <w:highlight w:val="none"/>
          <w:lang w:eastAsia="zh-CN"/>
        </w:rPr>
        <w:t>公务用车</w:t>
      </w:r>
      <w:r>
        <w:rPr>
          <w:rFonts w:hint="eastAsia" w:ascii="仿宋" w:hAnsi="仿宋" w:eastAsia="仿宋"/>
          <w:sz w:val="32"/>
          <w:szCs w:val="32"/>
          <w:highlight w:val="none"/>
        </w:rPr>
        <w:t>；单位价值50万元以上通用设备</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台（套）；单位价值100万元以上专用设备0台（套）。</w:t>
      </w:r>
    </w:p>
    <w:p w14:paraId="16431E4D">
      <w:pPr>
        <w:pStyle w:val="13"/>
        <w:keepNext w:val="0"/>
        <w:keepLines w:val="0"/>
        <w:pageBreakBefore w:val="0"/>
        <w:kinsoku/>
        <w:wordWrap/>
        <w:overflowPunct/>
        <w:topLinePunct w:val="0"/>
        <w:bidi w:val="0"/>
        <w:adjustRightInd/>
        <w:snapToGrid/>
        <w:spacing w:line="600" w:lineRule="exact"/>
        <w:ind w:left="0" w:leftChars="0" w:right="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w:t>
      </w:r>
      <w:r>
        <w:rPr>
          <w:rFonts w:hint="eastAsia" w:ascii="仿宋" w:hAnsi="仿宋" w:eastAsia="仿宋"/>
          <w:b/>
          <w:sz w:val="32"/>
          <w:szCs w:val="32"/>
          <w:highlight w:val="none"/>
        </w:rPr>
        <w:t>关于</w:t>
      </w:r>
      <w:r>
        <w:rPr>
          <w:rFonts w:hint="eastAsia" w:ascii="黑体" w:hAnsi="黑体" w:eastAsia="黑体" w:cs="黑体"/>
          <w:b w:val="0"/>
          <w:bCs/>
          <w:sz w:val="32"/>
          <w:szCs w:val="32"/>
          <w:highlight w:val="none"/>
        </w:rPr>
        <w:t>202</w:t>
      </w:r>
      <w:r>
        <w:rPr>
          <w:rFonts w:hint="eastAsia" w:hAnsi="黑体" w:cs="黑体"/>
          <w:b w:val="0"/>
          <w:bCs/>
          <w:sz w:val="32"/>
          <w:szCs w:val="32"/>
          <w:highlight w:val="none"/>
          <w:lang w:val="en-US" w:eastAsia="zh-CN"/>
        </w:rPr>
        <w:t>2</w:t>
      </w:r>
      <w:r>
        <w:rPr>
          <w:rFonts w:hint="eastAsia" w:ascii="黑体" w:hAnsi="黑体" w:eastAsia="黑体" w:cs="黑体"/>
          <w:b w:val="0"/>
          <w:bCs/>
          <w:sz w:val="32"/>
          <w:szCs w:val="32"/>
          <w:highlight w:val="none"/>
        </w:rPr>
        <w:t>年度预算绩效情况说明</w:t>
      </w:r>
    </w:p>
    <w:p w14:paraId="29F79CFB">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left"/>
        <w:textAlignment w:val="auto"/>
        <w:rPr>
          <w:rFonts w:hint="eastAsia" w:ascii="方正小标宋_GBK" w:hAnsi="方正小标宋_GBK" w:eastAsia="方正小标宋_GBK" w:cs="方正小标宋_GBK"/>
          <w:sz w:val="72"/>
          <w:szCs w:val="72"/>
        </w:rPr>
      </w:pPr>
      <w:r>
        <w:rPr>
          <w:rFonts w:hint="eastAsia" w:ascii="仿宋" w:hAnsi="仿宋" w:eastAsia="仿宋" w:cs="仿宋"/>
          <w:color w:val="000000"/>
          <w:kern w:val="0"/>
          <w:sz w:val="32"/>
          <w:szCs w:val="32"/>
          <w:highlight w:val="none"/>
          <w:lang w:eastAsia="zh-CN"/>
        </w:rPr>
        <w:t>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lang w:eastAsia="zh-CN"/>
        </w:rPr>
        <w:t>年我单位根据市财政要求开展了部门绩效自评工作，对部门整体支出绩效做出了客观评价并形成了202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lang w:eastAsia="zh-CN"/>
        </w:rPr>
        <w:t>年部门整体支出绩效评价报告，并予以公开，评价报告</w:t>
      </w:r>
      <w:r>
        <w:rPr>
          <w:rFonts w:hint="eastAsia" w:ascii="仿宋" w:hAnsi="仿宋" w:eastAsia="仿宋" w:cs="仿宋"/>
          <w:color w:val="000000"/>
          <w:kern w:val="0"/>
          <w:sz w:val="32"/>
          <w:szCs w:val="32"/>
          <w:highlight w:val="none"/>
        </w:rPr>
        <w:t>见《</w:t>
      </w:r>
      <w:r>
        <w:rPr>
          <w:rFonts w:hint="eastAsia" w:ascii="仿宋" w:hAnsi="仿宋" w:eastAsia="仿宋" w:cs="仿宋"/>
          <w:color w:val="000000"/>
          <w:kern w:val="0"/>
          <w:sz w:val="32"/>
          <w:szCs w:val="32"/>
          <w:highlight w:val="none"/>
          <w:lang w:eastAsia="zh-CN"/>
        </w:rPr>
        <w:t>中共怀化市委办公室</w:t>
      </w: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年整体支出绩效评价报告》</w:t>
      </w:r>
      <w:r>
        <w:rPr>
          <w:rFonts w:hint="eastAsia" w:ascii="仿宋" w:hAnsi="仿宋" w:eastAsia="仿宋" w:cs="仿宋"/>
          <w:color w:val="000000"/>
          <w:kern w:val="0"/>
          <w:sz w:val="32"/>
          <w:szCs w:val="32"/>
          <w:highlight w:val="none"/>
          <w:lang w:eastAsia="zh-CN"/>
        </w:rPr>
        <w:t>。</w:t>
      </w:r>
    </w:p>
    <w:p w14:paraId="593FEF99">
      <w:pPr>
        <w:pStyle w:val="13"/>
        <w:jc w:val="center"/>
        <w:rPr>
          <w:rFonts w:hint="eastAsia" w:ascii="方正小标宋_GBK" w:hAnsi="方正小标宋_GBK" w:eastAsia="方正小标宋_GBK" w:cs="方正小标宋_GBK"/>
          <w:sz w:val="72"/>
          <w:szCs w:val="72"/>
        </w:rPr>
      </w:pPr>
    </w:p>
    <w:p w14:paraId="6808A962">
      <w:pPr>
        <w:pStyle w:val="13"/>
        <w:jc w:val="center"/>
        <w:rPr>
          <w:rFonts w:hint="eastAsia" w:ascii="方正小标宋_GBK" w:hAnsi="方正小标宋_GBK" w:eastAsia="方正小标宋_GBK" w:cs="方正小标宋_GBK"/>
          <w:sz w:val="72"/>
          <w:szCs w:val="72"/>
        </w:rPr>
      </w:pPr>
    </w:p>
    <w:p w14:paraId="72A81B5F">
      <w:pPr>
        <w:pStyle w:val="13"/>
        <w:jc w:val="center"/>
        <w:rPr>
          <w:rFonts w:hint="eastAsia" w:ascii="方正小标宋_GBK" w:hAnsi="方正小标宋_GBK" w:eastAsia="方正小标宋_GBK" w:cs="方正小标宋_GBK"/>
          <w:sz w:val="72"/>
          <w:szCs w:val="72"/>
        </w:rPr>
      </w:pPr>
    </w:p>
    <w:p w14:paraId="691447B4">
      <w:pPr>
        <w:pStyle w:val="13"/>
        <w:jc w:val="center"/>
        <w:rPr>
          <w:rFonts w:hint="eastAsia" w:ascii="方正小标宋_GBK" w:hAnsi="方正小标宋_GBK" w:eastAsia="方正小标宋_GBK" w:cs="方正小标宋_GBK"/>
          <w:sz w:val="72"/>
          <w:szCs w:val="72"/>
        </w:rPr>
      </w:pPr>
    </w:p>
    <w:p w14:paraId="366C8D43">
      <w:pPr>
        <w:pStyle w:val="13"/>
        <w:jc w:val="center"/>
        <w:rPr>
          <w:rFonts w:hint="eastAsia" w:ascii="方正小标宋_GBK" w:hAnsi="方正小标宋_GBK" w:eastAsia="方正小标宋_GBK" w:cs="方正小标宋_GBK"/>
          <w:sz w:val="72"/>
          <w:szCs w:val="72"/>
        </w:rPr>
      </w:pPr>
    </w:p>
    <w:p w14:paraId="1A999850">
      <w:pPr>
        <w:pStyle w:val="13"/>
        <w:jc w:val="center"/>
        <w:rPr>
          <w:rFonts w:hint="eastAsia" w:ascii="方正小标宋_GBK" w:hAnsi="方正小标宋_GBK" w:eastAsia="方正小标宋_GBK" w:cs="方正小标宋_GBK"/>
          <w:sz w:val="72"/>
          <w:szCs w:val="72"/>
        </w:rPr>
      </w:pPr>
    </w:p>
    <w:p w14:paraId="1F754634">
      <w:pPr>
        <w:pStyle w:val="13"/>
        <w:jc w:val="center"/>
        <w:rPr>
          <w:rFonts w:hint="eastAsia" w:ascii="方正小标宋_GBK" w:hAnsi="方正小标宋_GBK" w:eastAsia="方正小标宋_GBK" w:cs="方正小标宋_GBK"/>
          <w:sz w:val="72"/>
          <w:szCs w:val="72"/>
        </w:rPr>
      </w:pPr>
    </w:p>
    <w:p w14:paraId="5A16182C">
      <w:pPr>
        <w:pStyle w:val="13"/>
        <w:jc w:val="center"/>
        <w:rPr>
          <w:rFonts w:hint="eastAsia" w:ascii="方正小标宋_GBK" w:hAnsi="方正小标宋_GBK" w:eastAsia="方正小标宋_GBK" w:cs="方正小标宋_GBK"/>
          <w:sz w:val="72"/>
          <w:szCs w:val="72"/>
        </w:rPr>
      </w:pPr>
    </w:p>
    <w:p w14:paraId="247AB476">
      <w:pPr>
        <w:pStyle w:val="13"/>
        <w:jc w:val="center"/>
        <w:rPr>
          <w:rFonts w:hint="eastAsia" w:ascii="方正小标宋_GBK" w:hAnsi="方正小标宋_GBK" w:eastAsia="方正小标宋_GBK" w:cs="方正小标宋_GBK"/>
          <w:sz w:val="72"/>
          <w:szCs w:val="72"/>
        </w:rPr>
      </w:pPr>
    </w:p>
    <w:p w14:paraId="2E960A66">
      <w:pPr>
        <w:pStyle w:val="13"/>
        <w:jc w:val="center"/>
        <w:rPr>
          <w:rFonts w:hint="eastAsia" w:ascii="方正小标宋_GBK" w:hAnsi="方正小标宋_GBK" w:eastAsia="方正小标宋_GBK" w:cs="方正小标宋_GBK"/>
          <w:sz w:val="72"/>
          <w:szCs w:val="72"/>
        </w:rPr>
      </w:pPr>
    </w:p>
    <w:p w14:paraId="1C89D40D">
      <w:pPr>
        <w:pStyle w:val="13"/>
        <w:jc w:val="center"/>
        <w:rPr>
          <w:rFonts w:hint="eastAsia" w:ascii="方正小标宋_GBK" w:hAnsi="方正小标宋_GBK" w:eastAsia="方正小标宋_GBK" w:cs="方正小标宋_GBK"/>
          <w:sz w:val="72"/>
          <w:szCs w:val="72"/>
        </w:rPr>
      </w:pPr>
    </w:p>
    <w:p w14:paraId="728B564A">
      <w:pPr>
        <w:pStyle w:val="13"/>
        <w:jc w:val="center"/>
        <w:rPr>
          <w:rFonts w:hint="eastAsia" w:ascii="方正小标宋_GBK" w:hAnsi="方正小标宋_GBK" w:eastAsia="方正小标宋_GBK" w:cs="方正小标宋_GBK"/>
          <w:sz w:val="72"/>
          <w:szCs w:val="72"/>
        </w:rPr>
      </w:pPr>
    </w:p>
    <w:p w14:paraId="03FCA73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997EFA3">
      <w:pPr>
        <w:jc w:val="center"/>
        <w:rPr>
          <w:rFonts w:hint="eastAsia" w:ascii="方正小标宋_GBK" w:hAnsi="方正小标宋_GBK" w:eastAsia="方正小标宋_GBK" w:cs="方正小标宋_GBK"/>
          <w:color w:val="000000"/>
          <w:kern w:val="0"/>
          <w:sz w:val="70"/>
          <w:szCs w:val="70"/>
        </w:rPr>
      </w:pPr>
    </w:p>
    <w:p w14:paraId="1098AE91">
      <w:pPr>
        <w:jc w:val="center"/>
        <w:rPr>
          <w:rFonts w:hint="eastAsia" w:ascii="方正小标宋_GBK" w:hAnsi="方正小标宋_GBK" w:eastAsia="方正小标宋_GBK" w:cs="方正小标宋_GBK"/>
          <w:color w:val="000000"/>
          <w:kern w:val="0"/>
          <w:sz w:val="72"/>
          <w:szCs w:val="72"/>
          <w:lang w:val="en-US" w:eastAsia="zh-CN" w:bidi="ar-SA"/>
        </w:rPr>
      </w:pPr>
      <w:r>
        <w:rPr>
          <w:rFonts w:hint="eastAsia" w:ascii="方正小标宋_GBK" w:hAnsi="方正小标宋_GBK" w:eastAsia="方正小标宋_GBK" w:cs="方正小标宋_GBK"/>
          <w:color w:val="000000"/>
          <w:kern w:val="0"/>
          <w:sz w:val="72"/>
          <w:szCs w:val="72"/>
          <w:lang w:val="en-US" w:eastAsia="zh-CN" w:bidi="ar-SA"/>
        </w:rPr>
        <w:t>名词解释</w:t>
      </w:r>
    </w:p>
    <w:p w14:paraId="591FA91B">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68CABDBB">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076CE16A">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4FA24F5B">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4E38A6F1">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1B49D094">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3F9CA611">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1D3AA69D">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421454A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p>
    <w:p w14:paraId="7AAEE56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r>
        <w:rPr>
          <w:rFonts w:hint="eastAsia" w:ascii="仿宋" w:hAnsi="仿宋" w:eastAsia="仿宋" w:cs="仿宋"/>
          <w:color w:val="auto"/>
          <w:kern w:val="0"/>
          <w:sz w:val="32"/>
          <w:szCs w:val="32"/>
        </w:rPr>
        <w:t>即为行政单位和参照公务员法管理事业单位一般公共预算财政拨款基本支出中的公用经费支出。</w:t>
      </w:r>
    </w:p>
    <w:p w14:paraId="6420529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088D2C6">
      <w:pPr>
        <w:pStyle w:val="13"/>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342BB12C">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8CC679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57BF21D">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1626EAE">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4A49432">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46742F7">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544F46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75EF7A8">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E7E133A">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2A600F5">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D097E7E">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214013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FD8B99A">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C11C11E">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48F245C">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7405CEB">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2BCBCBC">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86C2456">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A78B4C7">
      <w:pPr>
        <w:pStyle w:val="13"/>
        <w:keepNext w:val="0"/>
        <w:keepLines w:val="0"/>
        <w:pageBreakBefore w:val="0"/>
        <w:kinsoku/>
        <w:wordWrap/>
        <w:overflowPunct/>
        <w:topLinePunct w:val="0"/>
        <w:bidi w:val="0"/>
        <w:snapToGrid/>
        <w:spacing w:line="600" w:lineRule="exact"/>
        <w:jc w:val="both"/>
        <w:textAlignment w:val="auto"/>
        <w:rPr>
          <w:rFonts w:hint="eastAsia" w:ascii="黑体" w:hAnsi="黑体" w:eastAsia="黑体" w:cs="黑体"/>
          <w:b/>
          <w:bCs/>
          <w:sz w:val="44"/>
          <w:szCs w:val="44"/>
        </w:rPr>
      </w:pPr>
    </w:p>
    <w:p w14:paraId="6C02CC6D">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EE9E902">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AC089A8">
      <w:pPr>
        <w:pStyle w:val="13"/>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rPr>
        <w:t>第五部分</w:t>
      </w:r>
      <w:r>
        <w:rPr>
          <w:rFonts w:hint="eastAsia" w:ascii="方正小标宋_GBK" w:hAnsi="方正小标宋_GBK" w:eastAsia="方正小标宋_GBK" w:cs="方正小标宋_GBK"/>
          <w:sz w:val="72"/>
          <w:szCs w:val="72"/>
          <w:lang w:val="en-US" w:eastAsia="zh-CN"/>
        </w:rPr>
        <w:t xml:space="preserve"> </w:t>
      </w:r>
    </w:p>
    <w:p w14:paraId="77CB5AFF">
      <w:pPr>
        <w:pStyle w:val="13"/>
        <w:jc w:val="center"/>
        <w:rPr>
          <w:rFonts w:hint="eastAsia" w:ascii="方正小标宋_GBK" w:hAnsi="方正小标宋_GBK" w:eastAsia="方正小标宋_GBK" w:cs="方正小标宋_GBK"/>
          <w:sz w:val="72"/>
          <w:szCs w:val="72"/>
          <w:lang w:val="en-US" w:eastAsia="zh-CN"/>
        </w:rPr>
      </w:pPr>
    </w:p>
    <w:p w14:paraId="476E56C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附件</w:t>
      </w:r>
    </w:p>
    <w:p w14:paraId="75C2821B">
      <w:pPr>
        <w:spacing w:line="600" w:lineRule="exact"/>
        <w:ind w:firstLine="640" w:firstLineChars="200"/>
        <w:rPr>
          <w:rFonts w:ascii="仿宋" w:hAnsi="仿宋" w:eastAsia="仿宋"/>
          <w:sz w:val="32"/>
          <w:szCs w:val="32"/>
        </w:rPr>
      </w:pPr>
    </w:p>
    <w:p w14:paraId="655DC019">
      <w:pPr>
        <w:spacing w:line="600" w:lineRule="exact"/>
        <w:ind w:firstLine="640" w:firstLineChars="200"/>
        <w:rPr>
          <w:rFonts w:ascii="仿宋" w:hAnsi="仿宋" w:eastAsia="仿宋"/>
          <w:sz w:val="32"/>
          <w:szCs w:val="32"/>
        </w:rPr>
      </w:pPr>
    </w:p>
    <w:p w14:paraId="1FB5D220">
      <w:pPr>
        <w:spacing w:line="600" w:lineRule="exact"/>
        <w:ind w:firstLine="640" w:firstLineChars="200"/>
        <w:rPr>
          <w:rFonts w:ascii="仿宋" w:hAnsi="仿宋" w:eastAsia="仿宋"/>
          <w:sz w:val="32"/>
          <w:szCs w:val="32"/>
        </w:rPr>
      </w:pPr>
    </w:p>
    <w:p w14:paraId="00FC4F96">
      <w:pPr>
        <w:spacing w:line="600" w:lineRule="exact"/>
        <w:ind w:firstLine="640" w:firstLineChars="200"/>
        <w:rPr>
          <w:rFonts w:ascii="仿宋" w:hAnsi="仿宋" w:eastAsia="仿宋"/>
          <w:sz w:val="32"/>
          <w:szCs w:val="32"/>
        </w:rPr>
      </w:pPr>
    </w:p>
    <w:p w14:paraId="1DE1F757">
      <w:pPr>
        <w:spacing w:line="600" w:lineRule="exact"/>
        <w:ind w:firstLine="640" w:firstLineChars="200"/>
        <w:rPr>
          <w:rFonts w:ascii="仿宋" w:hAnsi="仿宋" w:eastAsia="仿宋"/>
          <w:sz w:val="32"/>
          <w:szCs w:val="32"/>
        </w:rPr>
      </w:pPr>
    </w:p>
    <w:p w14:paraId="355B5F40">
      <w:pPr>
        <w:spacing w:line="600" w:lineRule="exact"/>
        <w:ind w:firstLine="640" w:firstLineChars="200"/>
        <w:rPr>
          <w:rFonts w:ascii="仿宋" w:hAnsi="仿宋" w:eastAsia="仿宋"/>
          <w:sz w:val="32"/>
          <w:szCs w:val="32"/>
        </w:rPr>
      </w:pPr>
    </w:p>
    <w:p w14:paraId="1FE1C590">
      <w:pPr>
        <w:spacing w:line="600" w:lineRule="exact"/>
        <w:ind w:firstLine="640" w:firstLineChars="200"/>
        <w:rPr>
          <w:rFonts w:ascii="仿宋" w:hAnsi="仿宋" w:eastAsia="仿宋"/>
          <w:sz w:val="32"/>
          <w:szCs w:val="32"/>
        </w:rPr>
      </w:pPr>
    </w:p>
    <w:p w14:paraId="0AE48FAB">
      <w:pPr>
        <w:spacing w:line="600" w:lineRule="exact"/>
        <w:ind w:firstLine="640" w:firstLineChars="200"/>
        <w:rPr>
          <w:rFonts w:ascii="仿宋" w:hAnsi="仿宋" w:eastAsia="仿宋"/>
          <w:sz w:val="32"/>
          <w:szCs w:val="32"/>
        </w:rPr>
      </w:pPr>
    </w:p>
    <w:p w14:paraId="03B30370">
      <w:pPr>
        <w:spacing w:line="600" w:lineRule="exact"/>
        <w:ind w:firstLine="640" w:firstLineChars="200"/>
        <w:rPr>
          <w:rFonts w:ascii="仿宋" w:hAnsi="仿宋" w:eastAsia="仿宋"/>
          <w:sz w:val="32"/>
          <w:szCs w:val="32"/>
        </w:rPr>
      </w:pPr>
    </w:p>
    <w:p w14:paraId="03649FC2">
      <w:pPr>
        <w:spacing w:line="600" w:lineRule="exact"/>
        <w:ind w:firstLine="640" w:firstLineChars="200"/>
        <w:rPr>
          <w:rFonts w:ascii="仿宋" w:hAnsi="仿宋" w:eastAsia="仿宋"/>
          <w:sz w:val="32"/>
          <w:szCs w:val="32"/>
        </w:rPr>
      </w:pPr>
    </w:p>
    <w:p w14:paraId="7F76F5DE">
      <w:pPr>
        <w:spacing w:line="600" w:lineRule="exact"/>
        <w:rPr>
          <w:rFonts w:ascii="仿宋" w:hAnsi="仿宋" w:eastAsia="仿宋"/>
          <w:sz w:val="32"/>
          <w:szCs w:val="32"/>
        </w:rPr>
      </w:pPr>
    </w:p>
    <w:p w14:paraId="2B3EE1A4">
      <w:pPr>
        <w:spacing w:line="600" w:lineRule="exact"/>
        <w:ind w:firstLine="640" w:firstLineChars="200"/>
        <w:rPr>
          <w:rFonts w:ascii="仿宋" w:hAnsi="仿宋" w:eastAsia="仿宋"/>
          <w:sz w:val="32"/>
          <w:szCs w:val="32"/>
        </w:rPr>
      </w:pPr>
      <w:r>
        <w:rPr>
          <w:rFonts w:ascii="仿宋" w:hAnsi="仿宋" w:eastAsia="仿宋"/>
          <w:sz w:val="32"/>
          <w:szCs w:val="32"/>
        </w:rPr>
        <w:t>1、202</w:t>
      </w:r>
      <w:r>
        <w:rPr>
          <w:rFonts w:hint="eastAsia" w:ascii="仿宋" w:hAnsi="仿宋" w:eastAsia="仿宋"/>
          <w:sz w:val="32"/>
          <w:szCs w:val="32"/>
        </w:rPr>
        <w:t>2</w:t>
      </w:r>
      <w:r>
        <w:rPr>
          <w:rFonts w:ascii="仿宋" w:hAnsi="仿宋" w:eastAsia="仿宋"/>
          <w:sz w:val="32"/>
          <w:szCs w:val="32"/>
        </w:rPr>
        <w:t>年度部门决算表</w:t>
      </w:r>
    </w:p>
    <w:p w14:paraId="0127C470">
      <w:pPr>
        <w:spacing w:line="600" w:lineRule="exact"/>
        <w:ind w:firstLine="640" w:firstLineChars="200"/>
        <w:rPr>
          <w:rFonts w:ascii="仿宋" w:hAnsi="仿宋" w:eastAsia="仿宋"/>
          <w:sz w:val="32"/>
          <w:szCs w:val="32"/>
        </w:rPr>
      </w:pPr>
      <w:r>
        <w:rPr>
          <w:rFonts w:ascii="仿宋" w:hAnsi="仿宋" w:eastAsia="仿宋"/>
          <w:sz w:val="32"/>
          <w:szCs w:val="32"/>
        </w:rPr>
        <w:t>2、202</w:t>
      </w:r>
      <w:r>
        <w:rPr>
          <w:rFonts w:hint="eastAsia" w:ascii="仿宋" w:hAnsi="仿宋" w:eastAsia="仿宋"/>
          <w:sz w:val="32"/>
          <w:szCs w:val="32"/>
        </w:rPr>
        <w:t>2</w:t>
      </w:r>
      <w:r>
        <w:rPr>
          <w:rFonts w:ascii="仿宋" w:hAnsi="仿宋" w:eastAsia="仿宋"/>
          <w:sz w:val="32"/>
          <w:szCs w:val="32"/>
        </w:rPr>
        <w:t>年度部门整体支出绩效评价报告</w:t>
      </w:r>
    </w:p>
    <w:p w14:paraId="4688A4CF">
      <w:pPr>
        <w:spacing w:line="600" w:lineRule="exact"/>
        <w:ind w:firstLine="640" w:firstLineChars="200"/>
        <w:rPr>
          <w:rFonts w:ascii="仿宋" w:hAnsi="仿宋" w:eastAsia="仿宋"/>
          <w:sz w:val="32"/>
          <w:szCs w:val="32"/>
        </w:rPr>
      </w:pPr>
      <w:r>
        <w:rPr>
          <w:rFonts w:ascii="仿宋" w:hAnsi="仿宋" w:eastAsia="仿宋"/>
          <w:sz w:val="32"/>
          <w:szCs w:val="32"/>
        </w:rPr>
        <w:t>3、202</w:t>
      </w:r>
      <w:r>
        <w:rPr>
          <w:rFonts w:hint="eastAsia" w:ascii="仿宋" w:hAnsi="仿宋" w:eastAsia="仿宋"/>
          <w:sz w:val="32"/>
          <w:szCs w:val="32"/>
        </w:rPr>
        <w:t>2</w:t>
      </w:r>
      <w:r>
        <w:rPr>
          <w:rFonts w:ascii="仿宋" w:hAnsi="仿宋" w:eastAsia="仿宋"/>
          <w:sz w:val="32"/>
          <w:szCs w:val="32"/>
        </w:rPr>
        <w:t>年度部门专项资金绩效评价报告</w:t>
      </w:r>
    </w:p>
    <w:p w14:paraId="108DEA81">
      <w:pPr>
        <w:keepNext w:val="0"/>
        <w:keepLines w:val="0"/>
        <w:pageBreakBefore w:val="0"/>
        <w:widowControl/>
        <w:kinsoku/>
        <w:wordWrap/>
        <w:overflowPunct/>
        <w:topLinePunct w:val="0"/>
        <w:bidi w:val="0"/>
        <w:snapToGrid/>
        <w:spacing w:line="600" w:lineRule="exact"/>
        <w:jc w:val="left"/>
        <w:textAlignment w:val="auto"/>
        <w:rPr>
          <w:rFonts w:hint="eastAsia" w:ascii="仿宋" w:hAnsi="仿宋" w:eastAsia="仿宋" w:cs="仿宋"/>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482DC-6E5C-481B-AE8A-34C297123F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BA42398-0F1E-462F-AA61-EAFA89F60E84}"/>
  </w:font>
  <w:font w:name="仿宋">
    <w:panose1 w:val="02010609060101010101"/>
    <w:charset w:val="86"/>
    <w:family w:val="auto"/>
    <w:pitch w:val="default"/>
    <w:sig w:usb0="800002BF" w:usb1="38CF7CFA" w:usb2="00000016" w:usb3="00000000" w:csb0="00040001" w:csb1="00000000"/>
    <w:embedRegular r:id="rId3" w:fontKey="{9BC699EC-F6AF-40B9-B501-14DF93F2A098}"/>
  </w:font>
  <w:font w:name="仿宋_GB2312">
    <w:panose1 w:val="02010609030101010101"/>
    <w:charset w:val="86"/>
    <w:family w:val="modern"/>
    <w:pitch w:val="default"/>
    <w:sig w:usb0="00000001" w:usb1="080E0000" w:usb2="00000000" w:usb3="00000000" w:csb0="00040000" w:csb1="00000000"/>
    <w:embedRegular r:id="rId4" w:fontKey="{6EE81277-A19C-4E8A-B8C6-09E99002E38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E1189F"/>
    <w:rsid w:val="028F2887"/>
    <w:rsid w:val="030E018F"/>
    <w:rsid w:val="04417EBE"/>
    <w:rsid w:val="08A8389B"/>
    <w:rsid w:val="0B2F2DC5"/>
    <w:rsid w:val="0C023CCE"/>
    <w:rsid w:val="0C6919BC"/>
    <w:rsid w:val="0C736711"/>
    <w:rsid w:val="0CA1672A"/>
    <w:rsid w:val="0DE76735"/>
    <w:rsid w:val="0E410BD9"/>
    <w:rsid w:val="0F531E03"/>
    <w:rsid w:val="10FD3E02"/>
    <w:rsid w:val="13426931"/>
    <w:rsid w:val="139F3C12"/>
    <w:rsid w:val="140E7E0D"/>
    <w:rsid w:val="14FB4561"/>
    <w:rsid w:val="15C81200"/>
    <w:rsid w:val="16291A91"/>
    <w:rsid w:val="169208F1"/>
    <w:rsid w:val="16D67EBE"/>
    <w:rsid w:val="176E2494"/>
    <w:rsid w:val="17964834"/>
    <w:rsid w:val="18D41507"/>
    <w:rsid w:val="1C006A5E"/>
    <w:rsid w:val="1C2411B4"/>
    <w:rsid w:val="1CED5547"/>
    <w:rsid w:val="1D2F3491"/>
    <w:rsid w:val="1E97797B"/>
    <w:rsid w:val="1EBB25E9"/>
    <w:rsid w:val="1EC975DB"/>
    <w:rsid w:val="207B281D"/>
    <w:rsid w:val="22DC5649"/>
    <w:rsid w:val="22F80E3D"/>
    <w:rsid w:val="232748D0"/>
    <w:rsid w:val="24A67588"/>
    <w:rsid w:val="25AC1A52"/>
    <w:rsid w:val="25B54415"/>
    <w:rsid w:val="263E7950"/>
    <w:rsid w:val="27351CB2"/>
    <w:rsid w:val="28683AFD"/>
    <w:rsid w:val="29E84AAC"/>
    <w:rsid w:val="2AD678D2"/>
    <w:rsid w:val="2AF83F5D"/>
    <w:rsid w:val="2AFB5C85"/>
    <w:rsid w:val="2BA43111"/>
    <w:rsid w:val="2DB61363"/>
    <w:rsid w:val="2FFA3A98"/>
    <w:rsid w:val="306B08C9"/>
    <w:rsid w:val="307B1A8B"/>
    <w:rsid w:val="3184468C"/>
    <w:rsid w:val="324D3433"/>
    <w:rsid w:val="329159E7"/>
    <w:rsid w:val="3350661A"/>
    <w:rsid w:val="33E9550E"/>
    <w:rsid w:val="340A3D84"/>
    <w:rsid w:val="35F44CB1"/>
    <w:rsid w:val="366F2247"/>
    <w:rsid w:val="376C29B8"/>
    <w:rsid w:val="37DF5808"/>
    <w:rsid w:val="37EB254D"/>
    <w:rsid w:val="38910D12"/>
    <w:rsid w:val="38FF1315"/>
    <w:rsid w:val="39294C83"/>
    <w:rsid w:val="39CC2FA3"/>
    <w:rsid w:val="39FA6443"/>
    <w:rsid w:val="3A3B7A62"/>
    <w:rsid w:val="3A6E113B"/>
    <w:rsid w:val="3B05015D"/>
    <w:rsid w:val="3E903F17"/>
    <w:rsid w:val="3E9564A3"/>
    <w:rsid w:val="3EF67510"/>
    <w:rsid w:val="3F0459D3"/>
    <w:rsid w:val="40754A75"/>
    <w:rsid w:val="43395ADF"/>
    <w:rsid w:val="43792ACE"/>
    <w:rsid w:val="44AE6A98"/>
    <w:rsid w:val="45157236"/>
    <w:rsid w:val="46972106"/>
    <w:rsid w:val="474156B1"/>
    <w:rsid w:val="48052D08"/>
    <w:rsid w:val="483F1675"/>
    <w:rsid w:val="4A171B6A"/>
    <w:rsid w:val="4A4C457F"/>
    <w:rsid w:val="4A4D2A16"/>
    <w:rsid w:val="4B2A1534"/>
    <w:rsid w:val="4B95200E"/>
    <w:rsid w:val="4CA77EA9"/>
    <w:rsid w:val="4EA248CB"/>
    <w:rsid w:val="4EDD2544"/>
    <w:rsid w:val="4F041DA9"/>
    <w:rsid w:val="4F942356"/>
    <w:rsid w:val="4FB355BA"/>
    <w:rsid w:val="4FD27EA9"/>
    <w:rsid w:val="51337D81"/>
    <w:rsid w:val="52A6309A"/>
    <w:rsid w:val="546225B7"/>
    <w:rsid w:val="560C6AC4"/>
    <w:rsid w:val="57032339"/>
    <w:rsid w:val="59A2499A"/>
    <w:rsid w:val="5AF51789"/>
    <w:rsid w:val="5C2E75D1"/>
    <w:rsid w:val="5C38658F"/>
    <w:rsid w:val="5D6C356E"/>
    <w:rsid w:val="5D7D48AD"/>
    <w:rsid w:val="60E14311"/>
    <w:rsid w:val="60E57089"/>
    <w:rsid w:val="611B7F0F"/>
    <w:rsid w:val="61904984"/>
    <w:rsid w:val="62BB0DF5"/>
    <w:rsid w:val="62D14D20"/>
    <w:rsid w:val="63780255"/>
    <w:rsid w:val="63C96D02"/>
    <w:rsid w:val="63FF5B52"/>
    <w:rsid w:val="643C0568"/>
    <w:rsid w:val="64777168"/>
    <w:rsid w:val="66691D42"/>
    <w:rsid w:val="67F24C2C"/>
    <w:rsid w:val="68192441"/>
    <w:rsid w:val="696E0FB2"/>
    <w:rsid w:val="6A3028FD"/>
    <w:rsid w:val="6C8C7125"/>
    <w:rsid w:val="6D117DFB"/>
    <w:rsid w:val="6D9A2DB3"/>
    <w:rsid w:val="6DB852B6"/>
    <w:rsid w:val="6DE3150A"/>
    <w:rsid w:val="6EC425A0"/>
    <w:rsid w:val="6FC538C4"/>
    <w:rsid w:val="6FD24C25"/>
    <w:rsid w:val="70F86814"/>
    <w:rsid w:val="714F2592"/>
    <w:rsid w:val="71B4764D"/>
    <w:rsid w:val="71FD116E"/>
    <w:rsid w:val="72054E13"/>
    <w:rsid w:val="732C3097"/>
    <w:rsid w:val="73C97AB8"/>
    <w:rsid w:val="73D561D8"/>
    <w:rsid w:val="74565CA1"/>
    <w:rsid w:val="74A1211B"/>
    <w:rsid w:val="75917CED"/>
    <w:rsid w:val="76361FD5"/>
    <w:rsid w:val="7693517B"/>
    <w:rsid w:val="76AB6DEC"/>
    <w:rsid w:val="7700780C"/>
    <w:rsid w:val="77311D2E"/>
    <w:rsid w:val="77764653"/>
    <w:rsid w:val="77C842CE"/>
    <w:rsid w:val="785676DF"/>
    <w:rsid w:val="78D71016"/>
    <w:rsid w:val="7A2A1819"/>
    <w:rsid w:val="7B4676A7"/>
    <w:rsid w:val="7C823C4F"/>
    <w:rsid w:val="7C9B5288"/>
    <w:rsid w:val="7CA847F2"/>
    <w:rsid w:val="7E594646"/>
    <w:rsid w:val="7F77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5392</Words>
  <Characters>5890</Characters>
  <Lines>69</Lines>
  <Paragraphs>19</Paragraphs>
  <TotalTime>0</TotalTime>
  <ScaleCrop>false</ScaleCrop>
  <LinksUpToDate>false</LinksUpToDate>
  <CharactersWithSpaces>5926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WPS_1668149522</cp:lastModifiedBy>
  <cp:lastPrinted>2022-07-27T12:55:00Z</cp:lastPrinted>
  <dcterms:modified xsi:type="dcterms:W3CDTF">2024-10-31T13:05:50Z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AD871B3346B14522B5A0669973D572FC_13</vt:lpwstr>
  </property>
</Properties>
</file>