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C4EBD">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5397CD10">
      <w:pPr>
        <w:pStyle w:val="14"/>
        <w:jc w:val="center"/>
        <w:rPr>
          <w:rFonts w:ascii="Times New Roman" w:hAnsi="Times New Roman" w:cs="Times New Roman"/>
          <w:sz w:val="56"/>
          <w:szCs w:val="56"/>
        </w:rPr>
      </w:pPr>
    </w:p>
    <w:p w14:paraId="20EFAEEC">
      <w:pPr>
        <w:pStyle w:val="14"/>
        <w:jc w:val="center"/>
        <w:rPr>
          <w:rFonts w:ascii="Times New Roman" w:hAnsi="Times New Roman" w:cs="Times New Roman"/>
          <w:sz w:val="84"/>
          <w:szCs w:val="84"/>
        </w:rPr>
      </w:pPr>
    </w:p>
    <w:p w14:paraId="742FD22F">
      <w:pPr>
        <w:pStyle w:val="14"/>
        <w:jc w:val="center"/>
        <w:rPr>
          <w:rFonts w:ascii="Times New Roman" w:hAnsi="Times New Roman" w:cs="Times New Roman"/>
          <w:sz w:val="84"/>
          <w:szCs w:val="84"/>
        </w:rPr>
      </w:pPr>
    </w:p>
    <w:p w14:paraId="7747824D">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B8FD228">
      <w:pPr>
        <w:pStyle w:val="14"/>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怀化市住房公积金管理中心</w:t>
      </w:r>
    </w:p>
    <w:p w14:paraId="02AADFE9">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0A040D82">
      <w:pPr>
        <w:pStyle w:val="14"/>
        <w:jc w:val="center"/>
        <w:rPr>
          <w:rFonts w:ascii="Times New Roman" w:hAnsi="Times New Roman" w:eastAsia="方正小标宋_GBK" w:cs="Times New Roman"/>
          <w:sz w:val="56"/>
          <w:szCs w:val="56"/>
        </w:rPr>
      </w:pPr>
    </w:p>
    <w:p w14:paraId="7360EFEB">
      <w:pPr>
        <w:pStyle w:val="14"/>
        <w:jc w:val="center"/>
        <w:rPr>
          <w:rFonts w:ascii="Times New Roman" w:hAnsi="Times New Roman" w:cs="Times New Roman"/>
          <w:sz w:val="56"/>
          <w:szCs w:val="56"/>
        </w:rPr>
      </w:pPr>
    </w:p>
    <w:p w14:paraId="544DB369">
      <w:pPr>
        <w:pStyle w:val="14"/>
        <w:rPr>
          <w:rFonts w:ascii="Times New Roman" w:hAnsi="Times New Roman" w:cs="Times New Roman"/>
          <w:sz w:val="56"/>
          <w:szCs w:val="56"/>
        </w:rPr>
      </w:pPr>
    </w:p>
    <w:p w14:paraId="431B7F53">
      <w:pPr>
        <w:pStyle w:val="14"/>
        <w:jc w:val="center"/>
        <w:rPr>
          <w:rFonts w:ascii="Times New Roman" w:hAnsi="Times New Roman" w:cs="Times New Roman"/>
          <w:sz w:val="32"/>
          <w:szCs w:val="32"/>
        </w:rPr>
      </w:pPr>
    </w:p>
    <w:p w14:paraId="0CF8585D">
      <w:pPr>
        <w:pStyle w:val="14"/>
        <w:jc w:val="center"/>
        <w:rPr>
          <w:rFonts w:ascii="Times New Roman" w:hAnsi="Times New Roman" w:cs="Times New Roman"/>
          <w:sz w:val="32"/>
          <w:szCs w:val="32"/>
        </w:rPr>
      </w:pPr>
    </w:p>
    <w:p w14:paraId="718CB2DE">
      <w:pPr>
        <w:pStyle w:val="14"/>
        <w:jc w:val="center"/>
        <w:rPr>
          <w:rFonts w:ascii="Times New Roman" w:hAnsi="Times New Roman" w:cs="Times New Roman"/>
          <w:sz w:val="32"/>
          <w:szCs w:val="32"/>
        </w:rPr>
      </w:pPr>
    </w:p>
    <w:p w14:paraId="75C6398F">
      <w:pPr>
        <w:pStyle w:val="14"/>
        <w:jc w:val="center"/>
        <w:rPr>
          <w:rFonts w:ascii="Times New Roman" w:hAnsi="Times New Roman" w:cs="Times New Roman"/>
          <w:sz w:val="32"/>
          <w:szCs w:val="32"/>
        </w:rPr>
      </w:pPr>
    </w:p>
    <w:p w14:paraId="345AFD70">
      <w:pPr>
        <w:pStyle w:val="14"/>
        <w:jc w:val="center"/>
        <w:rPr>
          <w:rFonts w:ascii="Times New Roman" w:hAnsi="Times New Roman" w:cs="Times New Roman"/>
          <w:sz w:val="32"/>
          <w:szCs w:val="32"/>
        </w:rPr>
      </w:pPr>
    </w:p>
    <w:p w14:paraId="6B249DA4">
      <w:pPr>
        <w:pStyle w:val="14"/>
        <w:jc w:val="center"/>
        <w:rPr>
          <w:rFonts w:ascii="Times New Roman" w:hAnsi="Times New Roman" w:cs="Times New Roman"/>
          <w:sz w:val="32"/>
          <w:szCs w:val="32"/>
        </w:rPr>
      </w:pPr>
    </w:p>
    <w:p w14:paraId="61853E63">
      <w:pPr>
        <w:pStyle w:val="14"/>
        <w:spacing w:line="540" w:lineRule="exact"/>
        <w:jc w:val="center"/>
        <w:rPr>
          <w:rFonts w:ascii="Times New Roman" w:hAnsi="Times New Roman" w:cs="Times New Roman"/>
          <w:sz w:val="56"/>
          <w:szCs w:val="56"/>
        </w:rPr>
      </w:pPr>
    </w:p>
    <w:p w14:paraId="3A3EC1A4">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574C152">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5450E48">
      <w:pPr>
        <w:pStyle w:val="14"/>
        <w:spacing w:line="600" w:lineRule="exact"/>
        <w:jc w:val="both"/>
        <w:rPr>
          <w:rFonts w:ascii="Times New Roman" w:hAnsi="Times New Roman" w:cs="Times New Roman"/>
          <w:b/>
          <w:sz w:val="36"/>
          <w:szCs w:val="28"/>
        </w:rPr>
      </w:pPr>
    </w:p>
    <w:p w14:paraId="0E42FD32">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57615D8">
      <w:pPr>
        <w:pStyle w:val="14"/>
        <w:spacing w:line="600" w:lineRule="exact"/>
        <w:jc w:val="center"/>
        <w:rPr>
          <w:rFonts w:ascii="Times New Roman" w:hAnsi="Times New Roman" w:cs="Times New Roman"/>
          <w:b/>
          <w:sz w:val="36"/>
          <w:szCs w:val="28"/>
        </w:rPr>
      </w:pPr>
    </w:p>
    <w:p w14:paraId="3F4B5693">
      <w:pPr>
        <w:pStyle w:val="14"/>
        <w:spacing w:after="156" w:afterLines="50" w:line="600" w:lineRule="exact"/>
        <w:rPr>
          <w:rFonts w:hint="eastAsia" w:ascii="Times New Roman" w:hAnsi="Times New Roman" w:cs="Times New Roman"/>
          <w:bCs/>
          <w:sz w:val="32"/>
          <w:szCs w:val="32"/>
          <w:lang w:eastAsia="zh-CN"/>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lang w:eastAsia="zh-CN"/>
        </w:rPr>
        <w:t>怀化市住房公积金管理中心概况</w:t>
      </w:r>
    </w:p>
    <w:p w14:paraId="50EA51E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34DB8F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0154ACA">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77E603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C7E870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A88ED8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04C2E8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46E18D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7AEA22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42B423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CE5813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7F8017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F3ADDA6">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C22110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2A4F8F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A99E24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C720C5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B6C5B4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1B47312">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D050AB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194D67B">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eastAsia="zh-CN"/>
        </w:rPr>
      </w:pPr>
      <w:r>
        <w:rPr>
          <w:rFonts w:ascii="Times New Roman" w:hAnsi="Times New Roman" w:eastAsia="仿宋_GB2312" w:cs="Times New Roman"/>
          <w:color w:val="000000"/>
          <w:kern w:val="0"/>
          <w:sz w:val="32"/>
          <w:szCs w:val="32"/>
        </w:rPr>
        <w:t>七</w:t>
      </w:r>
      <w:r>
        <w:rPr>
          <w:rFonts w:hint="eastAsia" w:ascii="Times New Roman" w:hAnsi="Times New Roman" w:eastAsia="仿宋_GB2312" w:cs="Times New Roman"/>
          <w:color w:val="000000"/>
          <w:kern w:val="0"/>
          <w:sz w:val="32"/>
          <w:szCs w:val="32"/>
          <w:lang w:eastAsia="zh-CN"/>
        </w:rPr>
        <w:t>、财政拨款“三公”经费支出决算情况说明</w:t>
      </w:r>
    </w:p>
    <w:p w14:paraId="44690D85">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eastAsia="zh-CN"/>
        </w:rPr>
        <w:t>八、政府性基金预算收入支出决算情况</w:t>
      </w:r>
    </w:p>
    <w:p w14:paraId="167D99FF">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eastAsia="zh-CN"/>
        </w:rPr>
        <w:t>九、国有资本经营预算收入支出决算情况</w:t>
      </w:r>
    </w:p>
    <w:p w14:paraId="79A0D4B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4D184DE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14:paraId="66157A9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sz w:val="32"/>
          <w:szCs w:val="32"/>
        </w:rPr>
        <w:t>十二</w:t>
      </w:r>
      <w:r>
        <w:rPr>
          <w:rFonts w:ascii="Times New Roman" w:hAnsi="Times New Roman" w:eastAsia="仿宋_GB2312" w:cs="Times New Roman"/>
          <w:color w:val="000000"/>
          <w:kern w:val="0"/>
          <w:sz w:val="32"/>
          <w:szCs w:val="32"/>
        </w:rPr>
        <w:t>、关于政府采购支出说明</w:t>
      </w:r>
    </w:p>
    <w:p w14:paraId="64BAF8E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十三、关于国有资产占用情况说明</w:t>
      </w:r>
    </w:p>
    <w:p w14:paraId="5B424207">
      <w:pPr>
        <w:pStyle w:val="14"/>
        <w:spacing w:before="156" w:beforeLines="50" w:after="156" w:afterLines="50"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十四</w:t>
      </w:r>
      <w:r>
        <w:rPr>
          <w:rFonts w:ascii="Times New Roman" w:hAnsi="Times New Roman" w:eastAsia="仿宋_GB2312" w:cs="Times New Roman"/>
          <w:sz w:val="32"/>
          <w:szCs w:val="32"/>
        </w:rPr>
        <w:t>、关于2024年度预算绩效管理情况的说明</w:t>
      </w:r>
    </w:p>
    <w:p w14:paraId="7B1FDC30">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D38BFB5">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00F2EE0">
      <w:pPr>
        <w:pStyle w:val="14"/>
        <w:spacing w:line="600" w:lineRule="exact"/>
        <w:rPr>
          <w:rFonts w:ascii="Times New Roman" w:hAnsi="Times New Roman" w:cs="Times New Roman"/>
          <w:bCs/>
          <w:sz w:val="28"/>
          <w:szCs w:val="28"/>
        </w:rPr>
      </w:pPr>
    </w:p>
    <w:p w14:paraId="5BF7037E">
      <w:pPr>
        <w:jc w:val="center"/>
        <w:rPr>
          <w:rFonts w:ascii="Times New Roman" w:hAnsi="Times New Roman" w:cs="Times New Roman"/>
          <w:sz w:val="72"/>
          <w:szCs w:val="72"/>
        </w:rPr>
      </w:pPr>
    </w:p>
    <w:p w14:paraId="3CE5AFC3">
      <w:pPr>
        <w:jc w:val="center"/>
        <w:rPr>
          <w:rFonts w:ascii="Times New Roman" w:hAnsi="Times New Roman" w:cs="Times New Roman"/>
          <w:sz w:val="72"/>
          <w:szCs w:val="72"/>
        </w:rPr>
      </w:pPr>
    </w:p>
    <w:p w14:paraId="6F0FE02D">
      <w:pPr>
        <w:jc w:val="center"/>
        <w:rPr>
          <w:rFonts w:ascii="Times New Roman" w:hAnsi="Times New Roman" w:cs="Times New Roman"/>
          <w:sz w:val="72"/>
          <w:szCs w:val="72"/>
        </w:rPr>
      </w:pPr>
    </w:p>
    <w:p w14:paraId="33BF9AB3">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326B2D9">
      <w:pPr>
        <w:rPr>
          <w:rFonts w:ascii="Times New Roman" w:hAnsi="Times New Roman" w:eastAsia="方正小标宋_GBK" w:cs="Times New Roman"/>
          <w:sz w:val="72"/>
          <w:szCs w:val="72"/>
        </w:rPr>
      </w:pPr>
    </w:p>
    <w:p w14:paraId="2702FAD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6915EC6">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怀化市住房公积金管理中心</w:t>
      </w:r>
      <w:r>
        <w:rPr>
          <w:rFonts w:ascii="Times New Roman" w:hAnsi="Times New Roman" w:eastAsia="方正小标宋_GBK" w:cs="Times New Roman"/>
          <w:sz w:val="52"/>
          <w:szCs w:val="52"/>
        </w:rPr>
        <w:t>概况</w:t>
      </w:r>
    </w:p>
    <w:p w14:paraId="6FE232EA">
      <w:pPr>
        <w:pStyle w:val="4"/>
        <w:ind w:left="0" w:leftChars="0" w:firstLine="0" w:firstLineChars="0"/>
        <w:rPr>
          <w:rFonts w:ascii="Times New Roman" w:hAnsi="Times New Roman" w:cs="Times New Roman"/>
        </w:rPr>
      </w:pPr>
    </w:p>
    <w:p w14:paraId="2C4AA143">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9DF9F7C">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怀化市住房公积金管理中心</w:t>
      </w:r>
      <w:r>
        <w:rPr>
          <w:rFonts w:hint="eastAsia" w:ascii="Times New Roman" w:hAnsi="Times New Roman" w:eastAsia="仿宋_GB2312" w:cs="Times New Roman"/>
          <w:sz w:val="32"/>
          <w:szCs w:val="32"/>
          <w:lang w:eastAsia="zh-CN"/>
        </w:rPr>
        <w:t>（以下简称“中心”）</w:t>
      </w:r>
      <w:r>
        <w:rPr>
          <w:rFonts w:hint="eastAsia" w:ascii="Times New Roman" w:hAnsi="Times New Roman" w:eastAsia="仿宋_GB2312" w:cs="Times New Roman"/>
          <w:sz w:val="32"/>
          <w:szCs w:val="32"/>
        </w:rPr>
        <w:t>为市人民政府直属公益一类事业单位，机构规格相当于正处级。中心贯彻落实党中央和省委关于住房公积金管理工作的方针政策和决策部署，全面落实市委市政府关于住房公积金管理工作的部署要求，在履行职责过程中坚持和加强党对住房公积金管理工作的集中统一领导。主要职责是：</w:t>
      </w:r>
    </w:p>
    <w:p w14:paraId="70187C79">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（一）贯彻执行国家、省、市关于住房公积金管理的法律法规、政策规定；拟订全市住房公积金事业发展规划；负责住房公积金制度的宣传、建立和推广；负责全市住房公积金的管理运作。</w:t>
      </w:r>
    </w:p>
    <w:p w14:paraId="696D56DF">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（二）拟订全市住房公积金业务操作规程、实施细则并组织实施；对住房公积金管理的法规政策、规章制度执行情况进行监督，对违规行为进行处理。</w:t>
      </w:r>
    </w:p>
    <w:p w14:paraId="50422F1B">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（三）编制、执行全市住房公积金年度归集、使用计划；编制全市住房公积金年度归集、使用计划执行情况报告和增值收益分配方案，经市财政部门审核，报管委会审议后执行。  </w:t>
      </w:r>
    </w:p>
    <w:p w14:paraId="07DDF7CC">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（四）编制全市住房公积金年度预决算，经市财政部门审核，报管委会审议后执行。</w:t>
      </w:r>
    </w:p>
    <w:p w14:paraId="61DA90A2">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（五）编制住房公积金年度报告，经管委会审议后定期向社会公布。</w:t>
      </w:r>
    </w:p>
    <w:p w14:paraId="53CAC49F">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定期核定、调整全市住房公积金的缴存基数、缴存比例，督促缴存单位和个人按时足额缴纳住房公积金；负责记载职工个人住房公积金的缴存、使用、转移、封存、冻结、账户注销等情况以及与缴存单位、个人定期对账。</w:t>
      </w:r>
    </w:p>
    <w:p w14:paraId="68D5CF3A">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（七）审核单位降低住房公积金缴存比例或者缓缴的申请，报管委会批准后执行。</w:t>
      </w:r>
    </w:p>
    <w:p w14:paraId="1E761F5B">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（八）审批个人住房公积金的提取、贷款。</w:t>
      </w:r>
    </w:p>
    <w:p w14:paraId="4290F06E">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（九）负责住房公积金的保值增值和归还。</w:t>
      </w:r>
    </w:p>
    <w:p w14:paraId="76C19E38">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（十）依规办理全市住房公积金呆账核销工作。</w:t>
      </w:r>
    </w:p>
    <w:p w14:paraId="507F9349">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（十一）负责市本级原房改房住房基金及维修基金的管理工作。</w:t>
      </w:r>
    </w:p>
    <w:p w14:paraId="0627A2A4">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（十二）负责建设、维护、管理全市住房公积金业务管理信息系统，建立健全住房公积金业务信息系统互联互通和信息资源共享机制。</w:t>
      </w:r>
    </w:p>
    <w:p w14:paraId="53C6B8BE">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（十三）负责全市住房公积金管理系统思想政治建设、组织文化建设和队伍建设，提高全市住房公积金管理人员的业务能力和综合素质。</w:t>
      </w:r>
    </w:p>
    <w:p w14:paraId="1D68010D">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（十四）负责对各县市区管理部人、财、物的全面管理，直接负责全市住房公积金管理系统人员招录、中层及以下工作人员的考察任免事项。</w:t>
      </w:r>
    </w:p>
    <w:p w14:paraId="7D6C5924">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（十五）承办市委、市政府交办的其他工作。</w:t>
      </w:r>
    </w:p>
    <w:p w14:paraId="7339A881">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13A9F49">
      <w:pPr>
        <w:widowControl/>
        <w:spacing w:line="600" w:lineRule="exac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内设机构设置。中心作为一级部门预算单位，内设科室8个：综合部、人事部、财务部、稽核部、资金核算部、科技信息部、政策法规部、网办政务服务部；下设不具备独立法人资格的正科级分支机构15个：市直管理一部、市直管理二部、沅陵县管理部、辰溪县管理部、溆浦县管理部、麻阳苗族自治县管理部、新晃侗族自治县管理部、芷江侗族自治县管理部、鹤城区管理部、中方县管理部、洪江市管理部、洪江区管理部、会同县管理部、靖州苗族侗族自治县管理部、通道侗族自治县管理部。</w:t>
      </w:r>
    </w:p>
    <w:p w14:paraId="305EAD5E">
      <w:pPr>
        <w:jc w:val="left"/>
        <w:rPr>
          <w:rFonts w:ascii="Times New Roman" w:hAnsi="Times New Roman" w:eastAsia="黑体" w:cs="Times New Roman"/>
          <w:sz w:val="28"/>
          <w:szCs w:val="28"/>
        </w:rPr>
      </w:pPr>
      <w:r>
        <w:rPr>
          <w:rFonts w:hint="eastAsia" w:ascii="Times New Roman" w:hAnsi="Times New Roman" w:eastAsia="仿宋_GB2312" w:cs="Times New Roman"/>
          <w:bCs/>
          <w:kern w:val="0"/>
          <w:sz w:val="32"/>
          <w:szCs w:val="32"/>
        </w:rPr>
        <w:t>（二）决算单位构成。中心202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w:t>
      </w:r>
      <w:r>
        <w:rPr>
          <w:rFonts w:hint="eastAsia" w:ascii="Times New Roman" w:hAnsi="Times New Roman" w:eastAsia="仿宋_GB2312" w:cs="Times New Roman"/>
          <w:bCs/>
          <w:kern w:val="0"/>
          <w:sz w:val="32"/>
          <w:szCs w:val="32"/>
          <w:lang w:eastAsia="zh-CN"/>
        </w:rPr>
        <w:t>成</w:t>
      </w:r>
      <w:r>
        <w:rPr>
          <w:rFonts w:hint="eastAsia" w:ascii="Times New Roman" w:hAnsi="Times New Roman" w:eastAsia="仿宋_GB2312" w:cs="Times New Roman"/>
          <w:bCs/>
          <w:kern w:val="0"/>
          <w:sz w:val="32"/>
          <w:szCs w:val="32"/>
        </w:rPr>
        <w:t>包括：中心本级。</w:t>
      </w:r>
    </w:p>
    <w:p w14:paraId="0A55BD87">
      <w:pPr>
        <w:widowControl/>
        <w:spacing w:line="600" w:lineRule="exact"/>
        <w:ind w:firstLine="420" w:firstLineChars="0"/>
        <w:rPr>
          <w:rFonts w:ascii="Times New Roman" w:hAnsi="Times New Roman" w:eastAsia="仿宋_GB2312" w:cs="Times New Roman"/>
          <w:bCs/>
          <w:kern w:val="0"/>
          <w:sz w:val="32"/>
          <w:szCs w:val="32"/>
        </w:rPr>
      </w:pPr>
    </w:p>
    <w:p w14:paraId="600A2DC4">
      <w:pPr>
        <w:jc w:val="left"/>
        <w:rPr>
          <w:rFonts w:ascii="Times New Roman" w:hAnsi="Times New Roman" w:eastAsia="仿宋_GB2312" w:cs="Times New Roman"/>
          <w:sz w:val="28"/>
          <w:szCs w:val="32"/>
        </w:rPr>
      </w:pPr>
    </w:p>
    <w:p w14:paraId="10555C85">
      <w:pPr>
        <w:jc w:val="center"/>
        <w:rPr>
          <w:rFonts w:ascii="Times New Roman" w:hAnsi="Times New Roman" w:eastAsia="黑体" w:cs="Times New Roman"/>
          <w:sz w:val="28"/>
          <w:szCs w:val="28"/>
        </w:rPr>
      </w:pPr>
    </w:p>
    <w:p w14:paraId="04F8726B">
      <w:pPr>
        <w:jc w:val="center"/>
        <w:rPr>
          <w:rFonts w:ascii="Times New Roman" w:hAnsi="Times New Roman" w:eastAsia="黑体" w:cs="Times New Roman"/>
          <w:sz w:val="28"/>
          <w:szCs w:val="28"/>
        </w:rPr>
      </w:pPr>
    </w:p>
    <w:p w14:paraId="285C11E4">
      <w:pPr>
        <w:jc w:val="center"/>
        <w:rPr>
          <w:rFonts w:ascii="Times New Roman" w:hAnsi="Times New Roman" w:eastAsia="黑体" w:cs="Times New Roman"/>
          <w:sz w:val="28"/>
          <w:szCs w:val="28"/>
        </w:rPr>
      </w:pPr>
    </w:p>
    <w:p w14:paraId="73AF785C">
      <w:pPr>
        <w:jc w:val="center"/>
        <w:rPr>
          <w:rFonts w:ascii="Times New Roman" w:hAnsi="Times New Roman" w:eastAsia="黑体" w:cs="Times New Roman"/>
          <w:sz w:val="28"/>
          <w:szCs w:val="28"/>
        </w:rPr>
      </w:pPr>
    </w:p>
    <w:p w14:paraId="0137E366">
      <w:pPr>
        <w:jc w:val="center"/>
        <w:rPr>
          <w:rFonts w:ascii="Times New Roman" w:hAnsi="Times New Roman" w:eastAsia="黑体" w:cs="Times New Roman"/>
          <w:sz w:val="28"/>
          <w:szCs w:val="28"/>
        </w:rPr>
      </w:pPr>
    </w:p>
    <w:p w14:paraId="63BF5019">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A543B86">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566CE7B">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8156C8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60D8298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怀化市住房公积金管理中心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7D39CC71">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7366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3FCC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DA6F8ED">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48C1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421A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FB5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4EF0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4CA1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11FF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43BEE6E2">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0AB4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2906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4F207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AE23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498F2">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F783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24D97E00">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C81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17B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F096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2624.73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026F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2C0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9C9A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76.55</w:t>
            </w:r>
          </w:p>
        </w:tc>
      </w:tr>
      <w:tr w14:paraId="053C7416">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5799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5E0F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B7B7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494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D9A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33189">
            <w:pPr>
              <w:jc w:val="right"/>
              <w:rPr>
                <w:rFonts w:ascii="Times New Roman" w:hAnsi="Times New Roman" w:eastAsia="仿宋_GB2312" w:cs="Times New Roman"/>
                <w:color w:val="000000"/>
                <w:sz w:val="22"/>
              </w:rPr>
            </w:pPr>
          </w:p>
        </w:tc>
      </w:tr>
      <w:tr w14:paraId="7B07588E">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BA3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7C2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4C0E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CEE2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20C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C7F1">
            <w:pPr>
              <w:jc w:val="right"/>
              <w:rPr>
                <w:rFonts w:ascii="Times New Roman" w:hAnsi="Times New Roman" w:eastAsia="仿宋_GB2312" w:cs="Times New Roman"/>
                <w:color w:val="000000"/>
                <w:sz w:val="22"/>
              </w:rPr>
            </w:pPr>
          </w:p>
        </w:tc>
      </w:tr>
      <w:tr w14:paraId="1F92FF32">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AB43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572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028A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518C3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BC41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2D3AD">
            <w:pPr>
              <w:jc w:val="right"/>
              <w:rPr>
                <w:rFonts w:ascii="Times New Roman" w:hAnsi="Times New Roman" w:eastAsia="仿宋_GB2312" w:cs="Times New Roman"/>
                <w:color w:val="000000"/>
                <w:sz w:val="22"/>
              </w:rPr>
            </w:pPr>
          </w:p>
        </w:tc>
      </w:tr>
      <w:tr w14:paraId="0CDAD2C1">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C51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71C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65D4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AD11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326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C7BA6">
            <w:pPr>
              <w:jc w:val="right"/>
              <w:rPr>
                <w:rFonts w:ascii="Times New Roman" w:hAnsi="Times New Roman" w:eastAsia="仿宋_GB2312" w:cs="Times New Roman"/>
                <w:color w:val="000000"/>
                <w:sz w:val="22"/>
              </w:rPr>
            </w:pPr>
          </w:p>
        </w:tc>
      </w:tr>
      <w:tr w14:paraId="11BEB86D">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C3C5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538E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67EF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6F6E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5AB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B336D">
            <w:pPr>
              <w:jc w:val="right"/>
              <w:rPr>
                <w:rFonts w:ascii="Times New Roman" w:hAnsi="Times New Roman" w:eastAsia="仿宋_GB2312" w:cs="Times New Roman"/>
                <w:color w:val="000000"/>
                <w:sz w:val="22"/>
              </w:rPr>
            </w:pPr>
          </w:p>
        </w:tc>
      </w:tr>
      <w:tr w14:paraId="0FCCA111">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6190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3BF5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5175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330BE">
            <w:pPr>
              <w:widowControl/>
              <w:jc w:val="left"/>
              <w:textAlignment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2DF5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3932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17.6</w:t>
            </w:r>
          </w:p>
        </w:tc>
      </w:tr>
      <w:tr w14:paraId="4B718BD3">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2334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0FD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79E71">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101C1">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90E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3BE2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2530.47</w:t>
            </w:r>
          </w:p>
        </w:tc>
      </w:tr>
      <w:tr w14:paraId="258D36CB">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E31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C2B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4ACA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72414">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C27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95906">
            <w:pPr>
              <w:rPr>
                <w:rFonts w:ascii="Times New Roman" w:hAnsi="Times New Roman" w:eastAsia="仿宋_GB2312" w:cs="Times New Roman"/>
                <w:b/>
                <w:color w:val="000000"/>
                <w:sz w:val="22"/>
              </w:rPr>
            </w:pPr>
          </w:p>
        </w:tc>
      </w:tr>
      <w:tr w14:paraId="71AEFDA1">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2B6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A9F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534D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2624.73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7AC1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547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3702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2624.73</w:t>
            </w:r>
          </w:p>
        </w:tc>
      </w:tr>
      <w:tr w14:paraId="23B77149">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EF67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2CA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A9A6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5A8A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E62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30C3A">
            <w:pPr>
              <w:jc w:val="right"/>
              <w:rPr>
                <w:rFonts w:ascii="Times New Roman" w:hAnsi="Times New Roman" w:eastAsia="仿宋_GB2312" w:cs="Times New Roman"/>
                <w:color w:val="000000"/>
                <w:sz w:val="22"/>
              </w:rPr>
            </w:pPr>
          </w:p>
        </w:tc>
      </w:tr>
      <w:tr w14:paraId="217E76F2">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764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C7F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39D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6E87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F0D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58A6">
            <w:pPr>
              <w:jc w:val="right"/>
              <w:rPr>
                <w:rFonts w:ascii="Times New Roman" w:hAnsi="Times New Roman" w:eastAsia="仿宋_GB2312" w:cs="Times New Roman"/>
                <w:color w:val="000000"/>
                <w:sz w:val="22"/>
              </w:rPr>
            </w:pPr>
          </w:p>
        </w:tc>
      </w:tr>
      <w:tr w14:paraId="34650CB1">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4C8A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AC2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B95D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2624.73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528D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3CB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B31C3">
            <w:pPr>
              <w:jc w:val="right"/>
              <w:rPr>
                <w:rFonts w:hint="default"/>
                <w:lang w:val="en-US" w:eastAsia="zh-CN"/>
              </w:rPr>
            </w:pPr>
            <w:r>
              <w:rPr>
                <w:rFonts w:hint="eastAsia" w:ascii="Times New Roman" w:hAnsi="Times New Roman" w:eastAsia="仿宋_GB2312" w:cs="Times New Roman"/>
                <w:b/>
                <w:color w:val="000000"/>
                <w:sz w:val="22"/>
                <w:lang w:val="en-US" w:eastAsia="zh-CN"/>
              </w:rPr>
              <w:t>2624.73</w:t>
            </w:r>
          </w:p>
        </w:tc>
      </w:tr>
    </w:tbl>
    <w:p w14:paraId="725F6FCE">
      <w:pPr>
        <w:widowControl/>
        <w:jc w:val="left"/>
        <w:textAlignment w:val="center"/>
        <w:rPr>
          <w:rFonts w:ascii="Times New Roman" w:hAnsi="Times New Roman" w:eastAsia="宋体" w:cs="Times New Roman"/>
          <w:color w:val="000000"/>
          <w:kern w:val="0"/>
          <w:sz w:val="24"/>
          <w:szCs w:val="24"/>
          <w:lang w:bidi="ar"/>
        </w:rPr>
      </w:pPr>
    </w:p>
    <w:p w14:paraId="0E300715">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3B26625">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4E629318">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97D556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52819699">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CCD8EBB">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怀化市住房公积金管理中心</w:t>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421"/>
        <w:gridCol w:w="1765"/>
        <w:gridCol w:w="1640"/>
        <w:gridCol w:w="1640"/>
        <w:gridCol w:w="1640"/>
        <w:gridCol w:w="1640"/>
        <w:gridCol w:w="1640"/>
        <w:gridCol w:w="1897"/>
        <w:gridCol w:w="1383"/>
      </w:tblGrid>
      <w:tr w14:paraId="5CFD1C56">
        <w:trPr>
          <w:trHeight w:val="188"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E5F85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F80F0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32837E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275C63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9AF84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A7916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E256F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D0A92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7C8B8D6">
        <w:trPr>
          <w:trHeight w:val="334" w:hRule="exact"/>
          <w:jc w:val="center"/>
        </w:trPr>
        <w:tc>
          <w:tcPr>
            <w:tcW w:w="142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C4B6A3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76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B8B8AB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BFC3A6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3AE19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EB2A77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BDDBCA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BA8774A">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C746F8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5094E34">
            <w:pPr>
              <w:rPr>
                <w:rFonts w:ascii="Times New Roman" w:hAnsi="Times New Roman" w:eastAsia="仿宋_GB2312" w:cs="Times New Roman"/>
                <w:sz w:val="24"/>
                <w:szCs w:val="24"/>
              </w:rPr>
            </w:pPr>
          </w:p>
        </w:tc>
      </w:tr>
      <w:tr w14:paraId="4AC79FC5">
        <w:trPr>
          <w:trHeight w:val="312" w:hRule="atLeast"/>
          <w:jc w:val="center"/>
        </w:trPr>
        <w:tc>
          <w:tcPr>
            <w:tcW w:w="1421" w:type="dxa"/>
            <w:vMerge w:val="continue"/>
            <w:tcBorders>
              <w:top w:val="single" w:color="auto" w:sz="4" w:space="0"/>
              <w:left w:val="single" w:color="auto" w:sz="4" w:space="0"/>
              <w:bottom w:val="single" w:color="auto" w:sz="4" w:space="0"/>
              <w:right w:val="single" w:color="auto" w:sz="4" w:space="0"/>
            </w:tcBorders>
            <w:vAlign w:val="center"/>
          </w:tcPr>
          <w:p w14:paraId="21397766">
            <w:pPr>
              <w:rPr>
                <w:rFonts w:ascii="Times New Roman" w:hAnsi="Times New Roman" w:eastAsia="仿宋_GB2312" w:cs="Times New Roman"/>
                <w:sz w:val="24"/>
                <w:szCs w:val="24"/>
              </w:rPr>
            </w:pPr>
          </w:p>
        </w:tc>
        <w:tc>
          <w:tcPr>
            <w:tcW w:w="1765" w:type="dxa"/>
            <w:vMerge w:val="continue"/>
            <w:tcBorders>
              <w:top w:val="nil"/>
              <w:left w:val="single" w:color="auto" w:sz="4" w:space="0"/>
              <w:bottom w:val="single" w:color="auto" w:sz="4" w:space="0"/>
              <w:right w:val="single" w:color="auto" w:sz="4" w:space="0"/>
            </w:tcBorders>
            <w:vAlign w:val="center"/>
          </w:tcPr>
          <w:p w14:paraId="119CDCF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6F00F1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654CB5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B22CA3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E27748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A4B664B">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E3D170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CC2498D">
            <w:pPr>
              <w:rPr>
                <w:rFonts w:ascii="Times New Roman" w:hAnsi="Times New Roman" w:eastAsia="仿宋_GB2312" w:cs="Times New Roman"/>
                <w:sz w:val="24"/>
                <w:szCs w:val="24"/>
              </w:rPr>
            </w:pPr>
          </w:p>
        </w:tc>
      </w:tr>
      <w:tr w14:paraId="11629825">
        <w:trPr>
          <w:trHeight w:val="291"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42DB41">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E3730">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BE683B">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9C9653">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BF191B">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174E5A">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A36C84">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3285F5">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2CB1BA3F">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7F507A">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2FE09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2,624.73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95B1D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2,624.73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AD119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7507D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A51A4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F3484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FB640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54D4EA41">
        <w:trPr>
          <w:trHeight w:val="450"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8BC6DC">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w:t>
            </w:r>
          </w:p>
        </w:tc>
        <w:tc>
          <w:tcPr>
            <w:tcW w:w="17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501E12">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EA2BC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8FF9A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C872B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AB65C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7A6E5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E15B0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2D416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AB77616">
        <w:trPr>
          <w:trHeight w:val="450"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DBCC78">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w:t>
            </w:r>
          </w:p>
        </w:tc>
        <w:tc>
          <w:tcPr>
            <w:tcW w:w="17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8A0EE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1F78E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943CC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607CC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12B13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CA703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EFA63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02405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1C4A20B">
        <w:trPr>
          <w:trHeight w:val="450"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BFCD6C">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2019999</w:t>
            </w:r>
          </w:p>
        </w:tc>
        <w:tc>
          <w:tcPr>
            <w:tcW w:w="17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ABEB4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  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E86DB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C3447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F64A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1C15A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05A11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745B7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F1BD9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E09F0A5">
        <w:trPr>
          <w:trHeight w:val="450"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D8FDAA">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215</w:t>
            </w:r>
          </w:p>
        </w:tc>
        <w:tc>
          <w:tcPr>
            <w:tcW w:w="17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19B6E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资源勘探工业信息等支出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9DE1F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46873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E0442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DB835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5F1E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6F394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68079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C0CBF12">
        <w:trPr>
          <w:trHeight w:val="450"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9BDD5B">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21502</w:t>
            </w:r>
          </w:p>
        </w:tc>
        <w:tc>
          <w:tcPr>
            <w:tcW w:w="17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B179C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制造业</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D093E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A457F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2D8AC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BF157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D200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2CF72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A2877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713EF92">
        <w:trPr>
          <w:trHeight w:val="450"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150C89">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2150207</w:t>
            </w:r>
          </w:p>
        </w:tc>
        <w:tc>
          <w:tcPr>
            <w:tcW w:w="1765"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6DBACAA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  通信设备、计算机及其他电子设备制造业</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CA0D40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6B615F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8BC2C1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8FCA20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C120E9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DBCCC8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9DF741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EB74E24">
        <w:trPr>
          <w:trHeight w:val="462"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1629B6">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w:t>
            </w:r>
          </w:p>
        </w:tc>
        <w:tc>
          <w:tcPr>
            <w:tcW w:w="1765"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175F100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住房保障支出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7948FD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2,530.47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A93438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2,530.47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3D24D2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56871F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EA27C8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7383F2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AA05A5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F6070BE">
        <w:trPr>
          <w:trHeight w:val="450"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89A09A">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22103</w:t>
            </w:r>
          </w:p>
        </w:tc>
        <w:tc>
          <w:tcPr>
            <w:tcW w:w="1765"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4EE123A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城乡社区住宅</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7D93F1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2,530.47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0654F6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2,530.47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FF6FFD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D52BB9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D837E1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243076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7F76D0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2C0BD4D">
        <w:trPr>
          <w:trHeight w:val="450"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C10575">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  210302</w:t>
            </w:r>
          </w:p>
        </w:tc>
        <w:tc>
          <w:tcPr>
            <w:tcW w:w="17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4AB50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  住房公积金管理</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EAA32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2,530.47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4BFE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2,530.47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16AE2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CFE90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78A10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A7176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EDAC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bl>
    <w:p w14:paraId="2A9FA835">
      <w:pPr>
        <w:spacing w:before="120"/>
        <w:rPr>
          <w:rFonts w:ascii="Times New Roman" w:hAnsi="Times New Roman" w:eastAsia="黑体" w:cs="Times New Roman"/>
          <w:color w:val="000000"/>
          <w:kern w:val="0"/>
          <w:sz w:val="32"/>
          <w:szCs w:val="32"/>
          <w:lang w:bidi="ar"/>
        </w:rPr>
      </w:pPr>
      <w:r>
        <w:rPr>
          <w:rFonts w:ascii="Times New Roman" w:hAnsi="Times New Roman" w:eastAsia="仿宋_GB2312" w:cs="Times New Roman"/>
        </w:rPr>
        <w:t>注：本表反映部门本年度取得的各项收入情况。</w:t>
      </w:r>
    </w:p>
    <w:p w14:paraId="2CAB0D9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C9509C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5E2DEF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怀化市住房公积金管理中心</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fixed"/>
        <w:tblCellMar>
          <w:top w:w="0" w:type="dxa"/>
          <w:left w:w="108" w:type="dxa"/>
          <w:bottom w:w="0" w:type="dxa"/>
          <w:right w:w="108" w:type="dxa"/>
        </w:tblCellMar>
      </w:tblPr>
      <w:tblGrid>
        <w:gridCol w:w="1446"/>
        <w:gridCol w:w="2311"/>
        <w:gridCol w:w="1877"/>
        <w:gridCol w:w="1334"/>
        <w:gridCol w:w="1334"/>
        <w:gridCol w:w="1877"/>
        <w:gridCol w:w="1427"/>
        <w:gridCol w:w="2603"/>
      </w:tblGrid>
      <w:tr w14:paraId="02F124B8">
        <w:trPr>
          <w:trHeight w:val="319"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CFB6B9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154335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E9C2C8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7960CE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1006F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50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6DA273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1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A1DA5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BC03799">
        <w:trPr>
          <w:trHeight w:val="312" w:hRule="exact"/>
          <w:jc w:val="center"/>
        </w:trPr>
        <w:tc>
          <w:tcPr>
            <w:tcW w:w="50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20DAB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813" w:type="pct"/>
            <w:vMerge w:val="restart"/>
            <w:tcBorders>
              <w:top w:val="nil"/>
              <w:left w:val="single" w:color="auto" w:sz="4" w:space="0"/>
              <w:bottom w:val="single" w:color="auto" w:sz="4" w:space="0"/>
              <w:right w:val="single" w:color="auto" w:sz="4" w:space="0"/>
            </w:tcBorders>
            <w:shd w:val="clear" w:color="000000" w:fill="FFFFFF"/>
            <w:vAlign w:val="center"/>
          </w:tcPr>
          <w:p w14:paraId="38A0814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A5ABEBC">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C9A8EE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A61BFDF">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6CDDF72">
            <w:pPr>
              <w:widowControl/>
              <w:jc w:val="left"/>
              <w:rPr>
                <w:rFonts w:ascii="Times New Roman" w:hAnsi="Times New Roman" w:eastAsia="仿宋_GB2312" w:cs="Times New Roman"/>
                <w:b/>
                <w:bCs/>
                <w:kern w:val="0"/>
                <w:sz w:val="24"/>
                <w:szCs w:val="24"/>
              </w:rPr>
            </w:pPr>
          </w:p>
        </w:tc>
        <w:tc>
          <w:tcPr>
            <w:tcW w:w="502" w:type="pct"/>
            <w:vMerge w:val="continue"/>
            <w:tcBorders>
              <w:top w:val="single" w:color="auto" w:sz="4" w:space="0"/>
              <w:left w:val="single" w:color="auto" w:sz="4" w:space="0"/>
              <w:bottom w:val="single" w:color="auto" w:sz="4" w:space="0"/>
              <w:right w:val="single" w:color="auto" w:sz="4" w:space="0"/>
            </w:tcBorders>
            <w:vAlign w:val="center"/>
          </w:tcPr>
          <w:p w14:paraId="476EE418">
            <w:pPr>
              <w:widowControl/>
              <w:jc w:val="left"/>
              <w:rPr>
                <w:rFonts w:ascii="Times New Roman" w:hAnsi="Times New Roman" w:eastAsia="仿宋_GB2312" w:cs="Times New Roman"/>
                <w:b/>
                <w:bCs/>
                <w:kern w:val="0"/>
                <w:sz w:val="24"/>
                <w:szCs w:val="24"/>
              </w:rPr>
            </w:pPr>
          </w:p>
        </w:tc>
        <w:tc>
          <w:tcPr>
            <w:tcW w:w="915" w:type="pct"/>
            <w:vMerge w:val="continue"/>
            <w:tcBorders>
              <w:top w:val="single" w:color="auto" w:sz="4" w:space="0"/>
              <w:left w:val="single" w:color="auto" w:sz="4" w:space="0"/>
              <w:bottom w:val="single" w:color="auto" w:sz="4" w:space="0"/>
              <w:right w:val="single" w:color="auto" w:sz="4" w:space="0"/>
            </w:tcBorders>
            <w:vAlign w:val="center"/>
          </w:tcPr>
          <w:p w14:paraId="62303CC7">
            <w:pPr>
              <w:widowControl/>
              <w:jc w:val="left"/>
              <w:rPr>
                <w:rFonts w:ascii="Times New Roman" w:hAnsi="Times New Roman" w:eastAsia="仿宋_GB2312" w:cs="Times New Roman"/>
                <w:b/>
                <w:bCs/>
                <w:kern w:val="0"/>
                <w:sz w:val="24"/>
                <w:szCs w:val="24"/>
              </w:rPr>
            </w:pPr>
          </w:p>
        </w:tc>
      </w:tr>
      <w:tr w14:paraId="0B474BAA">
        <w:trPr>
          <w:trHeight w:val="595" w:hRule="atLeast"/>
          <w:jc w:val="center"/>
        </w:trPr>
        <w:tc>
          <w:tcPr>
            <w:tcW w:w="508" w:type="pct"/>
            <w:vMerge w:val="continue"/>
            <w:tcBorders>
              <w:top w:val="single" w:color="auto" w:sz="4" w:space="0"/>
              <w:left w:val="single" w:color="auto" w:sz="4" w:space="0"/>
              <w:bottom w:val="single" w:color="auto" w:sz="4" w:space="0"/>
              <w:right w:val="single" w:color="auto" w:sz="4" w:space="0"/>
            </w:tcBorders>
            <w:vAlign w:val="center"/>
          </w:tcPr>
          <w:p w14:paraId="3BEC6644">
            <w:pPr>
              <w:widowControl/>
              <w:jc w:val="left"/>
              <w:rPr>
                <w:rFonts w:ascii="Times New Roman" w:hAnsi="Times New Roman" w:eastAsia="仿宋_GB2312" w:cs="Times New Roman"/>
                <w:kern w:val="0"/>
                <w:sz w:val="24"/>
                <w:szCs w:val="24"/>
              </w:rPr>
            </w:pPr>
          </w:p>
        </w:tc>
        <w:tc>
          <w:tcPr>
            <w:tcW w:w="813" w:type="pct"/>
            <w:vMerge w:val="continue"/>
            <w:tcBorders>
              <w:top w:val="nil"/>
              <w:left w:val="single" w:color="auto" w:sz="4" w:space="0"/>
              <w:bottom w:val="single" w:color="auto" w:sz="4" w:space="0"/>
              <w:right w:val="single" w:color="auto" w:sz="4" w:space="0"/>
            </w:tcBorders>
            <w:vAlign w:val="center"/>
          </w:tcPr>
          <w:p w14:paraId="551DB2D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1F91E76">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898F2F0">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D2F5C02">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8E55BB1">
            <w:pPr>
              <w:widowControl/>
              <w:jc w:val="left"/>
              <w:rPr>
                <w:rFonts w:ascii="Times New Roman" w:hAnsi="Times New Roman" w:eastAsia="仿宋_GB2312" w:cs="Times New Roman"/>
                <w:kern w:val="0"/>
                <w:sz w:val="24"/>
                <w:szCs w:val="24"/>
              </w:rPr>
            </w:pPr>
          </w:p>
        </w:tc>
        <w:tc>
          <w:tcPr>
            <w:tcW w:w="502" w:type="pct"/>
            <w:vMerge w:val="continue"/>
            <w:tcBorders>
              <w:top w:val="single" w:color="auto" w:sz="4" w:space="0"/>
              <w:left w:val="single" w:color="auto" w:sz="4" w:space="0"/>
              <w:bottom w:val="single" w:color="auto" w:sz="4" w:space="0"/>
              <w:right w:val="single" w:color="auto" w:sz="4" w:space="0"/>
            </w:tcBorders>
            <w:vAlign w:val="center"/>
          </w:tcPr>
          <w:p w14:paraId="2A161F53">
            <w:pPr>
              <w:widowControl/>
              <w:jc w:val="left"/>
              <w:rPr>
                <w:rFonts w:ascii="Times New Roman" w:hAnsi="Times New Roman" w:eastAsia="仿宋_GB2312" w:cs="Times New Roman"/>
                <w:kern w:val="0"/>
                <w:sz w:val="24"/>
                <w:szCs w:val="24"/>
              </w:rPr>
            </w:pPr>
          </w:p>
        </w:tc>
        <w:tc>
          <w:tcPr>
            <w:tcW w:w="915" w:type="pct"/>
            <w:vMerge w:val="continue"/>
            <w:tcBorders>
              <w:top w:val="single" w:color="auto" w:sz="4" w:space="0"/>
              <w:left w:val="single" w:color="auto" w:sz="4" w:space="0"/>
              <w:bottom w:val="single" w:color="auto" w:sz="4" w:space="0"/>
              <w:right w:val="single" w:color="auto" w:sz="4" w:space="0"/>
            </w:tcBorders>
            <w:vAlign w:val="center"/>
          </w:tcPr>
          <w:p w14:paraId="2E4CA0E0">
            <w:pPr>
              <w:widowControl/>
              <w:jc w:val="left"/>
              <w:rPr>
                <w:rFonts w:ascii="Times New Roman" w:hAnsi="Times New Roman" w:eastAsia="仿宋_GB2312" w:cs="Times New Roman"/>
                <w:kern w:val="0"/>
                <w:sz w:val="24"/>
                <w:szCs w:val="24"/>
              </w:rPr>
            </w:pPr>
          </w:p>
        </w:tc>
      </w:tr>
      <w:tr w14:paraId="107DB7D6">
        <w:trPr>
          <w:trHeight w:val="35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B81B84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1278405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5409C0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8208D1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1141C7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502" w:type="pct"/>
            <w:tcBorders>
              <w:top w:val="nil"/>
              <w:left w:val="nil"/>
              <w:bottom w:val="single" w:color="auto" w:sz="4" w:space="0"/>
              <w:right w:val="single" w:color="auto" w:sz="4" w:space="0"/>
            </w:tcBorders>
            <w:shd w:val="clear" w:color="000000" w:fill="FFFFFF"/>
            <w:noWrap/>
            <w:vAlign w:val="center"/>
          </w:tcPr>
          <w:p w14:paraId="6AE0DC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15" w:type="pct"/>
            <w:tcBorders>
              <w:top w:val="nil"/>
              <w:left w:val="nil"/>
              <w:bottom w:val="single" w:color="auto" w:sz="4" w:space="0"/>
              <w:right w:val="single" w:color="auto" w:sz="4" w:space="0"/>
            </w:tcBorders>
            <w:shd w:val="clear" w:color="000000" w:fill="FFFFFF"/>
            <w:noWrap/>
            <w:vAlign w:val="center"/>
          </w:tcPr>
          <w:p w14:paraId="034D3B8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089F77E">
        <w:trPr>
          <w:trHeight w:val="3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4D5D0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678096B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2,624.73</w:t>
            </w:r>
          </w:p>
        </w:tc>
        <w:tc>
          <w:tcPr>
            <w:tcW w:w="469" w:type="pct"/>
            <w:tcBorders>
              <w:top w:val="nil"/>
              <w:left w:val="nil"/>
              <w:bottom w:val="single" w:color="auto" w:sz="4" w:space="0"/>
              <w:right w:val="single" w:color="auto" w:sz="4" w:space="0"/>
            </w:tcBorders>
            <w:shd w:val="clear" w:color="auto" w:fill="auto"/>
            <w:noWrap/>
            <w:vAlign w:val="center"/>
          </w:tcPr>
          <w:p w14:paraId="0F0A05B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1,979.60</w:t>
            </w:r>
          </w:p>
        </w:tc>
        <w:tc>
          <w:tcPr>
            <w:tcW w:w="469" w:type="pct"/>
            <w:tcBorders>
              <w:top w:val="nil"/>
              <w:left w:val="nil"/>
              <w:bottom w:val="single" w:color="auto" w:sz="4" w:space="0"/>
              <w:right w:val="single" w:color="auto" w:sz="4" w:space="0"/>
            </w:tcBorders>
            <w:shd w:val="clear" w:color="auto" w:fill="auto"/>
            <w:noWrap/>
            <w:vAlign w:val="center"/>
          </w:tcPr>
          <w:p w14:paraId="0ABC73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645.13</w:t>
            </w:r>
          </w:p>
        </w:tc>
        <w:tc>
          <w:tcPr>
            <w:tcW w:w="660" w:type="pct"/>
            <w:tcBorders>
              <w:top w:val="nil"/>
              <w:left w:val="nil"/>
              <w:bottom w:val="single" w:color="auto" w:sz="4" w:space="0"/>
              <w:right w:val="single" w:color="auto" w:sz="4" w:space="0"/>
            </w:tcBorders>
            <w:shd w:val="clear" w:color="auto" w:fill="auto"/>
            <w:noWrap/>
            <w:vAlign w:val="center"/>
          </w:tcPr>
          <w:p w14:paraId="067866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502" w:type="pct"/>
            <w:tcBorders>
              <w:top w:val="nil"/>
              <w:left w:val="nil"/>
              <w:bottom w:val="single" w:color="auto" w:sz="4" w:space="0"/>
              <w:right w:val="single" w:color="auto" w:sz="4" w:space="0"/>
            </w:tcBorders>
            <w:shd w:val="clear" w:color="auto" w:fill="auto"/>
            <w:noWrap/>
            <w:vAlign w:val="center"/>
          </w:tcPr>
          <w:p w14:paraId="0E807A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915" w:type="pct"/>
            <w:tcBorders>
              <w:top w:val="nil"/>
              <w:left w:val="nil"/>
              <w:bottom w:val="single" w:color="auto" w:sz="4" w:space="0"/>
              <w:right w:val="single" w:color="auto" w:sz="4" w:space="0"/>
            </w:tcBorders>
            <w:shd w:val="clear" w:color="auto" w:fill="auto"/>
            <w:noWrap/>
            <w:vAlign w:val="center"/>
          </w:tcPr>
          <w:p w14:paraId="1C76B7D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396CCEA2">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9845BF">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w:t>
            </w:r>
          </w:p>
        </w:tc>
        <w:tc>
          <w:tcPr>
            <w:tcW w:w="813" w:type="pct"/>
            <w:tcBorders>
              <w:top w:val="nil"/>
              <w:left w:val="nil"/>
              <w:bottom w:val="single" w:color="auto" w:sz="4" w:space="0"/>
              <w:right w:val="single" w:color="auto" w:sz="4" w:space="0"/>
            </w:tcBorders>
            <w:shd w:val="clear" w:color="000000" w:fill="FFFFFF"/>
            <w:noWrap/>
            <w:vAlign w:val="center"/>
          </w:tcPr>
          <w:p w14:paraId="624F91D7">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50362FF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469" w:type="pct"/>
            <w:tcBorders>
              <w:top w:val="nil"/>
              <w:left w:val="nil"/>
              <w:bottom w:val="single" w:color="auto" w:sz="4" w:space="0"/>
              <w:right w:val="single" w:color="auto" w:sz="4" w:space="0"/>
            </w:tcBorders>
            <w:shd w:val="clear" w:color="auto" w:fill="auto"/>
            <w:noWrap/>
            <w:vAlign w:val="center"/>
          </w:tcPr>
          <w:p w14:paraId="60C6895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74.25</w:t>
            </w:r>
          </w:p>
        </w:tc>
        <w:tc>
          <w:tcPr>
            <w:tcW w:w="469" w:type="pct"/>
            <w:tcBorders>
              <w:top w:val="nil"/>
              <w:left w:val="nil"/>
              <w:bottom w:val="single" w:color="auto" w:sz="4" w:space="0"/>
              <w:right w:val="single" w:color="auto" w:sz="4" w:space="0"/>
            </w:tcBorders>
            <w:shd w:val="clear" w:color="auto" w:fill="auto"/>
            <w:noWrap/>
            <w:vAlign w:val="center"/>
          </w:tcPr>
          <w:p w14:paraId="03CE52F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2.40</w:t>
            </w:r>
          </w:p>
        </w:tc>
        <w:tc>
          <w:tcPr>
            <w:tcW w:w="660" w:type="pct"/>
            <w:tcBorders>
              <w:top w:val="nil"/>
              <w:left w:val="nil"/>
              <w:bottom w:val="single" w:color="auto" w:sz="4" w:space="0"/>
              <w:right w:val="single" w:color="auto" w:sz="4" w:space="0"/>
            </w:tcBorders>
            <w:shd w:val="clear" w:color="auto" w:fill="auto"/>
            <w:noWrap/>
            <w:vAlign w:val="center"/>
          </w:tcPr>
          <w:p w14:paraId="72F6604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single" w:color="auto" w:sz="4" w:space="0"/>
              <w:right w:val="single" w:color="auto" w:sz="4" w:space="0"/>
            </w:tcBorders>
            <w:shd w:val="clear" w:color="auto" w:fill="auto"/>
            <w:noWrap/>
            <w:vAlign w:val="center"/>
          </w:tcPr>
          <w:p w14:paraId="33E8357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single" w:color="auto" w:sz="4" w:space="0"/>
              <w:right w:val="single" w:color="auto" w:sz="4" w:space="0"/>
            </w:tcBorders>
            <w:shd w:val="clear" w:color="auto" w:fill="auto"/>
            <w:noWrap/>
            <w:vAlign w:val="center"/>
          </w:tcPr>
          <w:p w14:paraId="252F64A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E566428">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5A23B71">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w:t>
            </w:r>
          </w:p>
        </w:tc>
        <w:tc>
          <w:tcPr>
            <w:tcW w:w="813" w:type="pct"/>
            <w:tcBorders>
              <w:top w:val="nil"/>
              <w:left w:val="nil"/>
              <w:bottom w:val="single" w:color="auto" w:sz="4" w:space="0"/>
              <w:right w:val="single" w:color="auto" w:sz="4" w:space="0"/>
            </w:tcBorders>
            <w:shd w:val="clear" w:color="000000" w:fill="FFFFFF"/>
            <w:noWrap/>
            <w:vAlign w:val="center"/>
          </w:tcPr>
          <w:p w14:paraId="0F78D55F">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其他一般公共服务支出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34E38A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469" w:type="pct"/>
            <w:tcBorders>
              <w:top w:val="nil"/>
              <w:left w:val="nil"/>
              <w:bottom w:val="single" w:color="auto" w:sz="4" w:space="0"/>
              <w:right w:val="single" w:color="auto" w:sz="4" w:space="0"/>
            </w:tcBorders>
            <w:shd w:val="clear" w:color="auto" w:fill="auto"/>
            <w:noWrap/>
            <w:vAlign w:val="center"/>
          </w:tcPr>
          <w:p w14:paraId="77FE370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74.25</w:t>
            </w:r>
          </w:p>
        </w:tc>
        <w:tc>
          <w:tcPr>
            <w:tcW w:w="469" w:type="pct"/>
            <w:tcBorders>
              <w:top w:val="nil"/>
              <w:left w:val="nil"/>
              <w:bottom w:val="single" w:color="auto" w:sz="4" w:space="0"/>
              <w:right w:val="single" w:color="auto" w:sz="4" w:space="0"/>
            </w:tcBorders>
            <w:shd w:val="clear" w:color="auto" w:fill="auto"/>
            <w:noWrap/>
            <w:vAlign w:val="center"/>
          </w:tcPr>
          <w:p w14:paraId="1C220B9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2.40</w:t>
            </w:r>
          </w:p>
        </w:tc>
        <w:tc>
          <w:tcPr>
            <w:tcW w:w="660" w:type="pct"/>
            <w:tcBorders>
              <w:top w:val="nil"/>
              <w:left w:val="nil"/>
              <w:bottom w:val="single" w:color="auto" w:sz="4" w:space="0"/>
              <w:right w:val="single" w:color="auto" w:sz="4" w:space="0"/>
            </w:tcBorders>
            <w:shd w:val="clear" w:color="auto" w:fill="auto"/>
            <w:noWrap/>
            <w:vAlign w:val="center"/>
          </w:tcPr>
          <w:p w14:paraId="30807F7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single" w:color="auto" w:sz="4" w:space="0"/>
              <w:right w:val="single" w:color="auto" w:sz="4" w:space="0"/>
            </w:tcBorders>
            <w:shd w:val="clear" w:color="auto" w:fill="auto"/>
            <w:noWrap/>
            <w:vAlign w:val="center"/>
          </w:tcPr>
          <w:p w14:paraId="4E0CF3D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single" w:color="auto" w:sz="4" w:space="0"/>
              <w:right w:val="single" w:color="auto" w:sz="4" w:space="0"/>
            </w:tcBorders>
            <w:shd w:val="clear" w:color="auto" w:fill="auto"/>
            <w:noWrap/>
            <w:vAlign w:val="center"/>
          </w:tcPr>
          <w:p w14:paraId="3C3C7F2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B2D9FD4">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B13C97">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2019999</w:t>
            </w:r>
          </w:p>
        </w:tc>
        <w:tc>
          <w:tcPr>
            <w:tcW w:w="813" w:type="pct"/>
            <w:tcBorders>
              <w:top w:val="nil"/>
              <w:left w:val="nil"/>
              <w:bottom w:val="single" w:color="auto" w:sz="4" w:space="0"/>
              <w:right w:val="single" w:color="auto" w:sz="4" w:space="0"/>
            </w:tcBorders>
            <w:shd w:val="clear" w:color="000000" w:fill="FFFFFF"/>
            <w:noWrap/>
            <w:vAlign w:val="center"/>
          </w:tcPr>
          <w:p w14:paraId="6AC8D4DD">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 xml:space="preserve">  其他一般公共服务支出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538392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469" w:type="pct"/>
            <w:tcBorders>
              <w:top w:val="nil"/>
              <w:left w:val="nil"/>
              <w:bottom w:val="single" w:color="auto" w:sz="4" w:space="0"/>
              <w:right w:val="single" w:color="auto" w:sz="4" w:space="0"/>
            </w:tcBorders>
            <w:shd w:val="clear" w:color="auto" w:fill="auto"/>
            <w:noWrap/>
            <w:vAlign w:val="center"/>
          </w:tcPr>
          <w:p w14:paraId="7CC46E3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74.25</w:t>
            </w:r>
          </w:p>
        </w:tc>
        <w:tc>
          <w:tcPr>
            <w:tcW w:w="469" w:type="pct"/>
            <w:tcBorders>
              <w:top w:val="nil"/>
              <w:left w:val="nil"/>
              <w:bottom w:val="single" w:color="auto" w:sz="4" w:space="0"/>
              <w:right w:val="single" w:color="auto" w:sz="4" w:space="0"/>
            </w:tcBorders>
            <w:shd w:val="clear" w:color="auto" w:fill="auto"/>
            <w:noWrap/>
            <w:vAlign w:val="center"/>
          </w:tcPr>
          <w:p w14:paraId="0879194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2.40</w:t>
            </w:r>
          </w:p>
        </w:tc>
        <w:tc>
          <w:tcPr>
            <w:tcW w:w="660" w:type="pct"/>
            <w:tcBorders>
              <w:top w:val="nil"/>
              <w:left w:val="nil"/>
              <w:bottom w:val="single" w:color="auto" w:sz="4" w:space="0"/>
              <w:right w:val="single" w:color="auto" w:sz="4" w:space="0"/>
            </w:tcBorders>
            <w:shd w:val="clear" w:color="auto" w:fill="auto"/>
            <w:noWrap/>
            <w:vAlign w:val="center"/>
          </w:tcPr>
          <w:p w14:paraId="5468396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single" w:color="auto" w:sz="4" w:space="0"/>
              <w:right w:val="single" w:color="auto" w:sz="4" w:space="0"/>
            </w:tcBorders>
            <w:shd w:val="clear" w:color="auto" w:fill="auto"/>
            <w:noWrap/>
            <w:vAlign w:val="center"/>
          </w:tcPr>
          <w:p w14:paraId="2C1F3C4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single" w:color="auto" w:sz="4" w:space="0"/>
              <w:right w:val="single" w:color="auto" w:sz="4" w:space="0"/>
            </w:tcBorders>
            <w:shd w:val="clear" w:color="auto" w:fill="auto"/>
            <w:noWrap/>
            <w:vAlign w:val="center"/>
          </w:tcPr>
          <w:p w14:paraId="406390F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B500EA3">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D589B4">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215</w:t>
            </w:r>
          </w:p>
        </w:tc>
        <w:tc>
          <w:tcPr>
            <w:tcW w:w="813" w:type="pct"/>
            <w:tcBorders>
              <w:top w:val="nil"/>
              <w:left w:val="nil"/>
              <w:bottom w:val="single" w:color="auto" w:sz="4" w:space="0"/>
              <w:right w:val="single" w:color="auto" w:sz="4" w:space="0"/>
            </w:tcBorders>
            <w:shd w:val="clear" w:color="000000" w:fill="FFFFFF"/>
            <w:noWrap/>
            <w:vAlign w:val="center"/>
          </w:tcPr>
          <w:p w14:paraId="040AC908">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资源勘探工业信息等支出</w:t>
            </w:r>
          </w:p>
        </w:tc>
        <w:tc>
          <w:tcPr>
            <w:tcW w:w="660" w:type="pct"/>
            <w:tcBorders>
              <w:top w:val="nil"/>
              <w:left w:val="nil"/>
              <w:bottom w:val="single" w:color="auto" w:sz="4" w:space="0"/>
              <w:right w:val="single" w:color="auto" w:sz="4" w:space="0"/>
            </w:tcBorders>
            <w:shd w:val="clear" w:color="auto" w:fill="auto"/>
            <w:noWrap/>
            <w:vAlign w:val="center"/>
          </w:tcPr>
          <w:p w14:paraId="7104CDD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469" w:type="pct"/>
            <w:tcBorders>
              <w:top w:val="nil"/>
              <w:left w:val="nil"/>
              <w:bottom w:val="single" w:color="auto" w:sz="4" w:space="0"/>
              <w:right w:val="single" w:color="auto" w:sz="4" w:space="0"/>
            </w:tcBorders>
            <w:shd w:val="clear" w:color="auto" w:fill="auto"/>
            <w:noWrap/>
            <w:vAlign w:val="center"/>
          </w:tcPr>
          <w:p w14:paraId="184BA30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nil"/>
              <w:left w:val="nil"/>
              <w:bottom w:val="single" w:color="auto" w:sz="4" w:space="0"/>
              <w:right w:val="single" w:color="auto" w:sz="4" w:space="0"/>
            </w:tcBorders>
            <w:shd w:val="clear" w:color="auto" w:fill="auto"/>
            <w:noWrap/>
            <w:vAlign w:val="center"/>
          </w:tcPr>
          <w:p w14:paraId="6AAD119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660" w:type="pct"/>
            <w:tcBorders>
              <w:top w:val="nil"/>
              <w:left w:val="nil"/>
              <w:bottom w:val="single" w:color="auto" w:sz="4" w:space="0"/>
              <w:right w:val="single" w:color="auto" w:sz="4" w:space="0"/>
            </w:tcBorders>
            <w:shd w:val="clear" w:color="auto" w:fill="auto"/>
            <w:noWrap/>
            <w:vAlign w:val="center"/>
          </w:tcPr>
          <w:p w14:paraId="0099B11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single" w:color="auto" w:sz="4" w:space="0"/>
              <w:right w:val="single" w:color="auto" w:sz="4" w:space="0"/>
            </w:tcBorders>
            <w:shd w:val="clear" w:color="auto" w:fill="auto"/>
            <w:noWrap/>
            <w:vAlign w:val="center"/>
          </w:tcPr>
          <w:p w14:paraId="1A746BF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single" w:color="auto" w:sz="4" w:space="0"/>
              <w:right w:val="single" w:color="auto" w:sz="4" w:space="0"/>
            </w:tcBorders>
            <w:shd w:val="clear" w:color="auto" w:fill="auto"/>
            <w:noWrap/>
            <w:vAlign w:val="center"/>
          </w:tcPr>
          <w:p w14:paraId="69A3749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F15F5E8">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CE6C7D0">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21502</w:t>
            </w:r>
          </w:p>
        </w:tc>
        <w:tc>
          <w:tcPr>
            <w:tcW w:w="813" w:type="pct"/>
            <w:tcBorders>
              <w:top w:val="nil"/>
              <w:left w:val="nil"/>
              <w:bottom w:val="single" w:color="auto" w:sz="4" w:space="0"/>
              <w:right w:val="single" w:color="auto" w:sz="4" w:space="0"/>
            </w:tcBorders>
            <w:shd w:val="clear" w:color="000000" w:fill="FFFFFF"/>
            <w:noWrap/>
            <w:vAlign w:val="center"/>
          </w:tcPr>
          <w:p w14:paraId="73741215">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制造业</w:t>
            </w:r>
          </w:p>
        </w:tc>
        <w:tc>
          <w:tcPr>
            <w:tcW w:w="660" w:type="pct"/>
            <w:tcBorders>
              <w:top w:val="nil"/>
              <w:left w:val="nil"/>
              <w:bottom w:val="single" w:color="auto" w:sz="4" w:space="0"/>
              <w:right w:val="single" w:color="auto" w:sz="4" w:space="0"/>
            </w:tcBorders>
            <w:shd w:val="clear" w:color="auto" w:fill="auto"/>
            <w:noWrap/>
            <w:vAlign w:val="center"/>
          </w:tcPr>
          <w:p w14:paraId="5015E94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469" w:type="pct"/>
            <w:tcBorders>
              <w:top w:val="nil"/>
              <w:left w:val="nil"/>
              <w:bottom w:val="single" w:color="auto" w:sz="4" w:space="0"/>
              <w:right w:val="single" w:color="auto" w:sz="4" w:space="0"/>
            </w:tcBorders>
            <w:shd w:val="clear" w:color="auto" w:fill="auto"/>
            <w:noWrap/>
            <w:vAlign w:val="center"/>
          </w:tcPr>
          <w:p w14:paraId="2DE34D0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nil"/>
              <w:left w:val="nil"/>
              <w:bottom w:val="single" w:color="auto" w:sz="4" w:space="0"/>
              <w:right w:val="single" w:color="auto" w:sz="4" w:space="0"/>
            </w:tcBorders>
            <w:shd w:val="clear" w:color="auto" w:fill="auto"/>
            <w:noWrap/>
            <w:vAlign w:val="center"/>
          </w:tcPr>
          <w:p w14:paraId="7764610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660" w:type="pct"/>
            <w:tcBorders>
              <w:top w:val="nil"/>
              <w:left w:val="nil"/>
              <w:bottom w:val="single" w:color="auto" w:sz="4" w:space="0"/>
              <w:right w:val="single" w:color="auto" w:sz="4" w:space="0"/>
            </w:tcBorders>
            <w:shd w:val="clear" w:color="auto" w:fill="auto"/>
            <w:noWrap/>
            <w:vAlign w:val="center"/>
          </w:tcPr>
          <w:p w14:paraId="711A4BA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single" w:color="auto" w:sz="4" w:space="0"/>
              <w:right w:val="single" w:color="auto" w:sz="4" w:space="0"/>
            </w:tcBorders>
            <w:shd w:val="clear" w:color="auto" w:fill="auto"/>
            <w:noWrap/>
            <w:vAlign w:val="center"/>
          </w:tcPr>
          <w:p w14:paraId="0B492DA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single" w:color="auto" w:sz="4" w:space="0"/>
              <w:right w:val="single" w:color="auto" w:sz="4" w:space="0"/>
            </w:tcBorders>
            <w:shd w:val="clear" w:color="auto" w:fill="auto"/>
            <w:noWrap/>
            <w:vAlign w:val="center"/>
          </w:tcPr>
          <w:p w14:paraId="4B7EFFD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F729C61">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4E67889">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2150207</w:t>
            </w:r>
          </w:p>
        </w:tc>
        <w:tc>
          <w:tcPr>
            <w:tcW w:w="813" w:type="pct"/>
            <w:tcBorders>
              <w:top w:val="nil"/>
              <w:left w:val="nil"/>
              <w:bottom w:val="nil"/>
              <w:right w:val="single" w:color="auto" w:sz="4" w:space="0"/>
            </w:tcBorders>
            <w:shd w:val="clear" w:color="000000" w:fill="FFFFFF"/>
            <w:noWrap/>
            <w:vAlign w:val="center"/>
          </w:tcPr>
          <w:p w14:paraId="16BAD26E">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 xml:space="preserve">  通信设备、计算机及其他电子设备制造业</w:t>
            </w:r>
          </w:p>
        </w:tc>
        <w:tc>
          <w:tcPr>
            <w:tcW w:w="660" w:type="pct"/>
            <w:tcBorders>
              <w:top w:val="nil"/>
              <w:left w:val="nil"/>
              <w:bottom w:val="nil"/>
              <w:right w:val="single" w:color="auto" w:sz="4" w:space="0"/>
            </w:tcBorders>
            <w:shd w:val="clear" w:color="auto" w:fill="auto"/>
            <w:noWrap/>
            <w:vAlign w:val="center"/>
          </w:tcPr>
          <w:p w14:paraId="0CB9B74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469" w:type="pct"/>
            <w:tcBorders>
              <w:top w:val="nil"/>
              <w:left w:val="nil"/>
              <w:bottom w:val="nil"/>
              <w:right w:val="single" w:color="auto" w:sz="4" w:space="0"/>
            </w:tcBorders>
            <w:shd w:val="clear" w:color="auto" w:fill="auto"/>
            <w:noWrap/>
            <w:vAlign w:val="center"/>
          </w:tcPr>
          <w:p w14:paraId="6DD86F7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nil"/>
              <w:left w:val="nil"/>
              <w:bottom w:val="nil"/>
              <w:right w:val="single" w:color="auto" w:sz="4" w:space="0"/>
            </w:tcBorders>
            <w:shd w:val="clear" w:color="auto" w:fill="auto"/>
            <w:noWrap/>
            <w:vAlign w:val="center"/>
          </w:tcPr>
          <w:p w14:paraId="35C46FF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660" w:type="pct"/>
            <w:tcBorders>
              <w:top w:val="nil"/>
              <w:left w:val="nil"/>
              <w:bottom w:val="nil"/>
              <w:right w:val="single" w:color="auto" w:sz="4" w:space="0"/>
            </w:tcBorders>
            <w:shd w:val="clear" w:color="auto" w:fill="auto"/>
            <w:noWrap/>
            <w:vAlign w:val="center"/>
          </w:tcPr>
          <w:p w14:paraId="7FC918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nil"/>
              <w:right w:val="single" w:color="auto" w:sz="4" w:space="0"/>
            </w:tcBorders>
            <w:shd w:val="clear" w:color="auto" w:fill="auto"/>
            <w:noWrap/>
            <w:vAlign w:val="center"/>
          </w:tcPr>
          <w:p w14:paraId="4F0965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nil"/>
              <w:right w:val="single" w:color="auto" w:sz="4" w:space="0"/>
            </w:tcBorders>
            <w:shd w:val="clear" w:color="auto" w:fill="auto"/>
            <w:noWrap/>
            <w:vAlign w:val="center"/>
          </w:tcPr>
          <w:p w14:paraId="58A080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50E366E">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C425C7">
            <w:pPr>
              <w:ind w:firstLine="210" w:firstLineChars="100"/>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221</w:t>
            </w:r>
          </w:p>
        </w:tc>
        <w:tc>
          <w:tcPr>
            <w:tcW w:w="813" w:type="pct"/>
            <w:tcBorders>
              <w:top w:val="nil"/>
              <w:left w:val="nil"/>
              <w:bottom w:val="nil"/>
              <w:right w:val="single" w:color="auto" w:sz="4" w:space="0"/>
            </w:tcBorders>
            <w:shd w:val="clear" w:color="000000" w:fill="FFFFFF"/>
            <w:noWrap/>
            <w:vAlign w:val="center"/>
          </w:tcPr>
          <w:p w14:paraId="39D99BAB">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住房保障支出</w:t>
            </w:r>
          </w:p>
        </w:tc>
        <w:tc>
          <w:tcPr>
            <w:tcW w:w="660" w:type="pct"/>
            <w:tcBorders>
              <w:top w:val="nil"/>
              <w:left w:val="nil"/>
              <w:bottom w:val="nil"/>
              <w:right w:val="single" w:color="auto" w:sz="4" w:space="0"/>
            </w:tcBorders>
            <w:shd w:val="clear" w:color="auto" w:fill="auto"/>
            <w:noWrap/>
            <w:vAlign w:val="center"/>
          </w:tcPr>
          <w:p w14:paraId="5B017E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2,530.47</w:t>
            </w:r>
          </w:p>
        </w:tc>
        <w:tc>
          <w:tcPr>
            <w:tcW w:w="469" w:type="pct"/>
            <w:tcBorders>
              <w:top w:val="nil"/>
              <w:left w:val="nil"/>
              <w:bottom w:val="nil"/>
              <w:right w:val="single" w:color="auto" w:sz="4" w:space="0"/>
            </w:tcBorders>
            <w:shd w:val="clear" w:color="auto" w:fill="auto"/>
            <w:noWrap/>
            <w:vAlign w:val="center"/>
          </w:tcPr>
          <w:p w14:paraId="5E3AAD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1,905.35</w:t>
            </w:r>
          </w:p>
        </w:tc>
        <w:tc>
          <w:tcPr>
            <w:tcW w:w="469" w:type="pct"/>
            <w:tcBorders>
              <w:top w:val="nil"/>
              <w:left w:val="nil"/>
              <w:bottom w:val="nil"/>
              <w:right w:val="single" w:color="auto" w:sz="4" w:space="0"/>
            </w:tcBorders>
            <w:shd w:val="clear" w:color="auto" w:fill="auto"/>
            <w:noWrap/>
            <w:vAlign w:val="center"/>
          </w:tcPr>
          <w:p w14:paraId="73F9BE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625.13</w:t>
            </w:r>
          </w:p>
        </w:tc>
        <w:tc>
          <w:tcPr>
            <w:tcW w:w="660" w:type="pct"/>
            <w:tcBorders>
              <w:top w:val="nil"/>
              <w:left w:val="nil"/>
              <w:bottom w:val="nil"/>
              <w:right w:val="single" w:color="auto" w:sz="4" w:space="0"/>
            </w:tcBorders>
            <w:shd w:val="clear" w:color="auto" w:fill="auto"/>
            <w:noWrap/>
            <w:vAlign w:val="center"/>
          </w:tcPr>
          <w:p w14:paraId="32DA928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nil"/>
              <w:right w:val="single" w:color="auto" w:sz="4" w:space="0"/>
            </w:tcBorders>
            <w:shd w:val="clear" w:color="auto" w:fill="auto"/>
            <w:noWrap/>
            <w:vAlign w:val="center"/>
          </w:tcPr>
          <w:p w14:paraId="16888E2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nil"/>
              <w:right w:val="single" w:color="auto" w:sz="4" w:space="0"/>
            </w:tcBorders>
            <w:shd w:val="clear" w:color="auto" w:fill="auto"/>
            <w:noWrap/>
            <w:vAlign w:val="center"/>
          </w:tcPr>
          <w:p w14:paraId="20EE12B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D07CE18">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2340017">
            <w:pPr>
              <w:ind w:firstLine="210" w:firstLineChars="100"/>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22103</w:t>
            </w:r>
          </w:p>
        </w:tc>
        <w:tc>
          <w:tcPr>
            <w:tcW w:w="813" w:type="pct"/>
            <w:tcBorders>
              <w:top w:val="nil"/>
              <w:left w:val="nil"/>
              <w:bottom w:val="nil"/>
              <w:right w:val="single" w:color="auto" w:sz="4" w:space="0"/>
            </w:tcBorders>
            <w:shd w:val="clear" w:color="000000" w:fill="FFFFFF"/>
            <w:noWrap/>
            <w:vAlign w:val="center"/>
          </w:tcPr>
          <w:p w14:paraId="57B19532">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城乡社区住宅</w:t>
            </w:r>
          </w:p>
        </w:tc>
        <w:tc>
          <w:tcPr>
            <w:tcW w:w="660" w:type="pct"/>
            <w:tcBorders>
              <w:top w:val="nil"/>
              <w:left w:val="nil"/>
              <w:bottom w:val="nil"/>
              <w:right w:val="single" w:color="auto" w:sz="4" w:space="0"/>
            </w:tcBorders>
            <w:shd w:val="clear" w:color="auto" w:fill="auto"/>
            <w:noWrap/>
            <w:vAlign w:val="center"/>
          </w:tcPr>
          <w:p w14:paraId="1079BA2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2,530.47</w:t>
            </w:r>
          </w:p>
        </w:tc>
        <w:tc>
          <w:tcPr>
            <w:tcW w:w="469" w:type="pct"/>
            <w:tcBorders>
              <w:top w:val="nil"/>
              <w:left w:val="nil"/>
              <w:bottom w:val="nil"/>
              <w:right w:val="single" w:color="auto" w:sz="4" w:space="0"/>
            </w:tcBorders>
            <w:shd w:val="clear" w:color="auto" w:fill="auto"/>
            <w:noWrap/>
            <w:vAlign w:val="center"/>
          </w:tcPr>
          <w:p w14:paraId="28276F1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1,905.35</w:t>
            </w:r>
          </w:p>
        </w:tc>
        <w:tc>
          <w:tcPr>
            <w:tcW w:w="469" w:type="pct"/>
            <w:tcBorders>
              <w:top w:val="nil"/>
              <w:left w:val="nil"/>
              <w:bottom w:val="nil"/>
              <w:right w:val="single" w:color="auto" w:sz="4" w:space="0"/>
            </w:tcBorders>
            <w:shd w:val="clear" w:color="auto" w:fill="auto"/>
            <w:noWrap/>
            <w:vAlign w:val="center"/>
          </w:tcPr>
          <w:p w14:paraId="3B88148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625.13</w:t>
            </w:r>
          </w:p>
        </w:tc>
        <w:tc>
          <w:tcPr>
            <w:tcW w:w="660" w:type="pct"/>
            <w:tcBorders>
              <w:top w:val="nil"/>
              <w:left w:val="nil"/>
              <w:bottom w:val="nil"/>
              <w:right w:val="single" w:color="auto" w:sz="4" w:space="0"/>
            </w:tcBorders>
            <w:shd w:val="clear" w:color="auto" w:fill="auto"/>
            <w:noWrap/>
            <w:vAlign w:val="center"/>
          </w:tcPr>
          <w:p w14:paraId="62C7319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nil"/>
              <w:right w:val="single" w:color="auto" w:sz="4" w:space="0"/>
            </w:tcBorders>
            <w:shd w:val="clear" w:color="auto" w:fill="auto"/>
            <w:noWrap/>
            <w:vAlign w:val="center"/>
          </w:tcPr>
          <w:p w14:paraId="6A923C8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nil"/>
              <w:right w:val="single" w:color="auto" w:sz="4" w:space="0"/>
            </w:tcBorders>
            <w:shd w:val="clear" w:color="auto" w:fill="auto"/>
            <w:noWrap/>
            <w:vAlign w:val="center"/>
          </w:tcPr>
          <w:p w14:paraId="36A159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AA22651">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F28FC1">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 xml:space="preserve">  210302</w:t>
            </w:r>
          </w:p>
        </w:tc>
        <w:tc>
          <w:tcPr>
            <w:tcW w:w="813" w:type="pct"/>
            <w:tcBorders>
              <w:top w:val="nil"/>
              <w:left w:val="nil"/>
              <w:bottom w:val="single" w:color="auto" w:sz="4" w:space="0"/>
              <w:right w:val="single" w:color="auto" w:sz="4" w:space="0"/>
            </w:tcBorders>
            <w:shd w:val="clear" w:color="000000" w:fill="FFFFFF"/>
            <w:noWrap/>
            <w:vAlign w:val="center"/>
          </w:tcPr>
          <w:p w14:paraId="1F3C0DE8">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 xml:space="preserve">  住房公积金管理</w:t>
            </w:r>
          </w:p>
        </w:tc>
        <w:tc>
          <w:tcPr>
            <w:tcW w:w="660" w:type="pct"/>
            <w:tcBorders>
              <w:top w:val="nil"/>
              <w:left w:val="nil"/>
              <w:bottom w:val="single" w:color="auto" w:sz="4" w:space="0"/>
              <w:right w:val="single" w:color="auto" w:sz="4" w:space="0"/>
            </w:tcBorders>
            <w:shd w:val="clear" w:color="auto" w:fill="auto"/>
            <w:noWrap/>
            <w:vAlign w:val="center"/>
          </w:tcPr>
          <w:p w14:paraId="5FDFB20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2,530.47</w:t>
            </w:r>
          </w:p>
        </w:tc>
        <w:tc>
          <w:tcPr>
            <w:tcW w:w="469" w:type="pct"/>
            <w:tcBorders>
              <w:top w:val="nil"/>
              <w:left w:val="nil"/>
              <w:bottom w:val="single" w:color="auto" w:sz="4" w:space="0"/>
              <w:right w:val="single" w:color="auto" w:sz="4" w:space="0"/>
            </w:tcBorders>
            <w:shd w:val="clear" w:color="auto" w:fill="auto"/>
            <w:noWrap/>
            <w:vAlign w:val="center"/>
          </w:tcPr>
          <w:p w14:paraId="0A5825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1,905.35</w:t>
            </w:r>
          </w:p>
        </w:tc>
        <w:tc>
          <w:tcPr>
            <w:tcW w:w="469" w:type="pct"/>
            <w:tcBorders>
              <w:top w:val="nil"/>
              <w:left w:val="nil"/>
              <w:bottom w:val="single" w:color="auto" w:sz="4" w:space="0"/>
              <w:right w:val="single" w:color="auto" w:sz="4" w:space="0"/>
            </w:tcBorders>
            <w:shd w:val="clear" w:color="auto" w:fill="auto"/>
            <w:noWrap/>
            <w:vAlign w:val="center"/>
          </w:tcPr>
          <w:p w14:paraId="6DAA68F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625.13</w:t>
            </w:r>
          </w:p>
        </w:tc>
        <w:tc>
          <w:tcPr>
            <w:tcW w:w="660" w:type="pct"/>
            <w:tcBorders>
              <w:top w:val="nil"/>
              <w:left w:val="nil"/>
              <w:bottom w:val="single" w:color="auto" w:sz="4" w:space="0"/>
              <w:right w:val="single" w:color="auto" w:sz="4" w:space="0"/>
            </w:tcBorders>
            <w:shd w:val="clear" w:color="auto" w:fill="auto"/>
            <w:noWrap/>
            <w:vAlign w:val="center"/>
          </w:tcPr>
          <w:p w14:paraId="032A539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single" w:color="auto" w:sz="4" w:space="0"/>
              <w:right w:val="single" w:color="auto" w:sz="4" w:space="0"/>
            </w:tcBorders>
            <w:shd w:val="clear" w:color="auto" w:fill="auto"/>
            <w:noWrap/>
            <w:vAlign w:val="center"/>
          </w:tcPr>
          <w:p w14:paraId="5067FF1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single" w:color="auto" w:sz="4" w:space="0"/>
              <w:right w:val="single" w:color="auto" w:sz="4" w:space="0"/>
            </w:tcBorders>
            <w:shd w:val="clear" w:color="auto" w:fill="auto"/>
            <w:noWrap/>
            <w:vAlign w:val="center"/>
          </w:tcPr>
          <w:p w14:paraId="6B0124C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68EF12B9">
      <w:pPr>
        <w:widowControl/>
        <w:spacing w:before="120"/>
        <w:jc w:val="left"/>
        <w:rPr>
          <w:rFonts w:ascii="Times New Roman" w:hAnsi="Times New Roman" w:eastAsia="黑体" w:cs="Times New Roman"/>
          <w:color w:val="000000"/>
          <w:kern w:val="0"/>
          <w:sz w:val="32"/>
          <w:szCs w:val="32"/>
          <w:lang w:bidi="ar"/>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3F21E1C">
      <w:pPr>
        <w:widowControl/>
        <w:spacing w:after="156" w:afterLines="50"/>
        <w:jc w:val="center"/>
        <w:textAlignment w:val="center"/>
        <w:rPr>
          <w:rFonts w:ascii="Times New Roman" w:hAnsi="Times New Roman" w:eastAsia="仿宋_GB2312" w:cs="Times New Roman"/>
          <w:color w:val="000000"/>
          <w:kern w:val="0"/>
          <w:sz w:val="20"/>
          <w:szCs w:val="20"/>
        </w:rPr>
      </w:pPr>
      <w:r>
        <w:rPr>
          <w:rFonts w:ascii="Times New Roman" w:hAnsi="Times New Roman" w:eastAsia="黑体" w:cs="Times New Roman"/>
          <w:color w:val="000000"/>
          <w:kern w:val="0"/>
          <w:sz w:val="36"/>
          <w:szCs w:val="36"/>
          <w:lang w:bidi="ar"/>
        </w:rPr>
        <w:t>财政拨款收入支出决算总表</w:t>
      </w:r>
      <w:r>
        <w:rPr>
          <w:rFonts w:ascii="Times New Roman" w:hAnsi="Times New Roman" w:eastAsia="仿宋_GB2312" w:cs="Times New Roman"/>
          <w:color w:val="000000"/>
          <w:kern w:val="0"/>
          <w:sz w:val="20"/>
          <w:szCs w:val="20"/>
        </w:rPr>
        <w:t xml:space="preserve">                                                                                                                  </w:t>
      </w:r>
    </w:p>
    <w:p w14:paraId="23D9C7A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怀化市住房公积金管理中心</w:t>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公开04表</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fixed"/>
        <w:tblCellMar>
          <w:top w:w="0" w:type="dxa"/>
          <w:left w:w="108" w:type="dxa"/>
          <w:bottom w:w="0" w:type="dxa"/>
          <w:right w:w="108" w:type="dxa"/>
        </w:tblCellMar>
      </w:tblPr>
      <w:tblGrid>
        <w:gridCol w:w="3024"/>
        <w:gridCol w:w="747"/>
        <w:gridCol w:w="1147"/>
        <w:gridCol w:w="1880"/>
        <w:gridCol w:w="1146"/>
        <w:gridCol w:w="987"/>
        <w:gridCol w:w="1561"/>
        <w:gridCol w:w="1815"/>
        <w:gridCol w:w="1913"/>
      </w:tblGrid>
      <w:tr w14:paraId="73500E80">
        <w:trPr>
          <w:trHeight w:val="402" w:hRule="atLeast"/>
          <w:jc w:val="center"/>
        </w:trPr>
        <w:tc>
          <w:tcPr>
            <w:tcW w:w="491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5BC53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302" w:type="dxa"/>
            <w:gridSpan w:val="6"/>
            <w:tcBorders>
              <w:top w:val="single" w:color="auto" w:sz="4" w:space="0"/>
              <w:left w:val="nil"/>
              <w:bottom w:val="single" w:color="auto" w:sz="4" w:space="0"/>
              <w:right w:val="single" w:color="auto" w:sz="4" w:space="0"/>
            </w:tcBorders>
            <w:shd w:val="clear" w:color="000000" w:fill="FFFFFF"/>
            <w:noWrap/>
            <w:vAlign w:val="center"/>
          </w:tcPr>
          <w:p w14:paraId="79A4A9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B7B8832">
        <w:trPr>
          <w:trHeight w:val="630"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305F03D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747" w:type="dxa"/>
            <w:tcBorders>
              <w:top w:val="nil"/>
              <w:left w:val="nil"/>
              <w:bottom w:val="single" w:color="auto" w:sz="4" w:space="0"/>
              <w:right w:val="single" w:color="auto" w:sz="4" w:space="0"/>
            </w:tcBorders>
            <w:shd w:val="clear" w:color="auto" w:fill="auto"/>
            <w:noWrap/>
            <w:vAlign w:val="center"/>
          </w:tcPr>
          <w:p w14:paraId="2724AFA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47" w:type="dxa"/>
            <w:tcBorders>
              <w:top w:val="nil"/>
              <w:left w:val="nil"/>
              <w:bottom w:val="single" w:color="auto" w:sz="4" w:space="0"/>
              <w:right w:val="single" w:color="auto" w:sz="4" w:space="0"/>
            </w:tcBorders>
            <w:shd w:val="clear" w:color="auto" w:fill="auto"/>
            <w:noWrap/>
            <w:vAlign w:val="center"/>
          </w:tcPr>
          <w:p w14:paraId="4EEEDF9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1880" w:type="dxa"/>
            <w:tcBorders>
              <w:top w:val="nil"/>
              <w:left w:val="nil"/>
              <w:bottom w:val="single" w:color="auto" w:sz="4" w:space="0"/>
              <w:right w:val="single" w:color="auto" w:sz="4" w:space="0"/>
            </w:tcBorders>
            <w:shd w:val="clear" w:color="auto" w:fill="auto"/>
            <w:noWrap/>
            <w:vAlign w:val="center"/>
          </w:tcPr>
          <w:p w14:paraId="3660F0E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1146" w:type="dxa"/>
            <w:tcBorders>
              <w:top w:val="nil"/>
              <w:left w:val="nil"/>
              <w:bottom w:val="single" w:color="auto" w:sz="4" w:space="0"/>
              <w:right w:val="single" w:color="auto" w:sz="4" w:space="0"/>
            </w:tcBorders>
            <w:shd w:val="clear" w:color="auto" w:fill="auto"/>
            <w:noWrap/>
            <w:vAlign w:val="center"/>
          </w:tcPr>
          <w:p w14:paraId="40AA263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87" w:type="dxa"/>
            <w:tcBorders>
              <w:top w:val="nil"/>
              <w:left w:val="nil"/>
              <w:bottom w:val="single" w:color="auto" w:sz="4" w:space="0"/>
              <w:right w:val="single" w:color="auto" w:sz="4" w:space="0"/>
            </w:tcBorders>
            <w:shd w:val="clear" w:color="auto" w:fill="auto"/>
            <w:noWrap/>
            <w:vAlign w:val="center"/>
          </w:tcPr>
          <w:p w14:paraId="69F7820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61" w:type="dxa"/>
            <w:tcBorders>
              <w:top w:val="nil"/>
              <w:left w:val="nil"/>
              <w:bottom w:val="single" w:color="auto" w:sz="4" w:space="0"/>
              <w:right w:val="single" w:color="auto" w:sz="4" w:space="0"/>
            </w:tcBorders>
            <w:shd w:val="clear" w:color="auto" w:fill="auto"/>
            <w:vAlign w:val="center"/>
          </w:tcPr>
          <w:p w14:paraId="041676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384987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13" w:type="dxa"/>
            <w:tcBorders>
              <w:top w:val="nil"/>
              <w:left w:val="nil"/>
              <w:bottom w:val="single" w:color="auto" w:sz="4" w:space="0"/>
              <w:right w:val="single" w:color="auto" w:sz="4" w:space="0"/>
            </w:tcBorders>
            <w:shd w:val="clear" w:color="auto" w:fill="auto"/>
            <w:vAlign w:val="center"/>
          </w:tcPr>
          <w:p w14:paraId="725505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042E9EC">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3F893A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747" w:type="dxa"/>
            <w:tcBorders>
              <w:top w:val="nil"/>
              <w:left w:val="nil"/>
              <w:bottom w:val="single" w:color="auto" w:sz="4" w:space="0"/>
              <w:right w:val="single" w:color="auto" w:sz="4" w:space="0"/>
            </w:tcBorders>
            <w:shd w:val="clear" w:color="auto" w:fill="auto"/>
            <w:noWrap/>
            <w:vAlign w:val="center"/>
          </w:tcPr>
          <w:p w14:paraId="44388F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47" w:type="dxa"/>
            <w:tcBorders>
              <w:top w:val="nil"/>
              <w:left w:val="nil"/>
              <w:bottom w:val="single" w:color="auto" w:sz="4" w:space="0"/>
              <w:right w:val="single" w:color="auto" w:sz="4" w:space="0"/>
            </w:tcBorders>
            <w:shd w:val="clear" w:color="auto" w:fill="auto"/>
            <w:noWrap/>
            <w:vAlign w:val="center"/>
          </w:tcPr>
          <w:p w14:paraId="616445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880" w:type="dxa"/>
            <w:tcBorders>
              <w:top w:val="nil"/>
              <w:left w:val="nil"/>
              <w:bottom w:val="single" w:color="auto" w:sz="4" w:space="0"/>
              <w:right w:val="single" w:color="auto" w:sz="4" w:space="0"/>
            </w:tcBorders>
            <w:shd w:val="clear" w:color="auto" w:fill="auto"/>
            <w:noWrap/>
            <w:vAlign w:val="center"/>
          </w:tcPr>
          <w:p w14:paraId="2B98AA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1146" w:type="dxa"/>
            <w:tcBorders>
              <w:top w:val="nil"/>
              <w:left w:val="nil"/>
              <w:bottom w:val="single" w:color="auto" w:sz="4" w:space="0"/>
              <w:right w:val="single" w:color="auto" w:sz="4" w:space="0"/>
            </w:tcBorders>
            <w:shd w:val="clear" w:color="auto" w:fill="auto"/>
            <w:noWrap/>
            <w:vAlign w:val="center"/>
          </w:tcPr>
          <w:p w14:paraId="6CA0E8B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87" w:type="dxa"/>
            <w:tcBorders>
              <w:top w:val="nil"/>
              <w:left w:val="nil"/>
              <w:bottom w:val="single" w:color="auto" w:sz="4" w:space="0"/>
              <w:right w:val="single" w:color="auto" w:sz="4" w:space="0"/>
            </w:tcBorders>
            <w:shd w:val="clear" w:color="auto" w:fill="auto"/>
            <w:noWrap/>
            <w:vAlign w:val="center"/>
          </w:tcPr>
          <w:p w14:paraId="793A46C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61" w:type="dxa"/>
            <w:tcBorders>
              <w:top w:val="nil"/>
              <w:left w:val="nil"/>
              <w:bottom w:val="single" w:color="auto" w:sz="4" w:space="0"/>
              <w:right w:val="single" w:color="auto" w:sz="4" w:space="0"/>
            </w:tcBorders>
            <w:shd w:val="clear" w:color="auto" w:fill="auto"/>
            <w:noWrap/>
            <w:vAlign w:val="center"/>
          </w:tcPr>
          <w:p w14:paraId="7AE69D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noWrap/>
            <w:vAlign w:val="center"/>
          </w:tcPr>
          <w:p w14:paraId="4DFB145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13" w:type="dxa"/>
            <w:tcBorders>
              <w:top w:val="nil"/>
              <w:left w:val="nil"/>
              <w:bottom w:val="single" w:color="auto" w:sz="4" w:space="0"/>
              <w:right w:val="single" w:color="auto" w:sz="4" w:space="0"/>
            </w:tcBorders>
            <w:shd w:val="clear" w:color="auto" w:fill="auto"/>
            <w:noWrap/>
            <w:vAlign w:val="center"/>
          </w:tcPr>
          <w:p w14:paraId="0756A9E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FA601B3">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4543829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747" w:type="dxa"/>
            <w:tcBorders>
              <w:top w:val="nil"/>
              <w:left w:val="nil"/>
              <w:bottom w:val="single" w:color="auto" w:sz="4" w:space="0"/>
              <w:right w:val="single" w:color="auto" w:sz="4" w:space="0"/>
            </w:tcBorders>
            <w:shd w:val="clear" w:color="auto" w:fill="auto"/>
            <w:noWrap/>
            <w:vAlign w:val="center"/>
          </w:tcPr>
          <w:p w14:paraId="70E4B1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147" w:type="dxa"/>
            <w:tcBorders>
              <w:top w:val="nil"/>
              <w:left w:val="nil"/>
              <w:bottom w:val="single" w:color="auto" w:sz="4" w:space="0"/>
              <w:right w:val="single" w:color="auto" w:sz="4" w:space="0"/>
            </w:tcBorders>
            <w:shd w:val="clear" w:color="auto" w:fill="auto"/>
            <w:noWrap/>
            <w:vAlign w:val="center"/>
          </w:tcPr>
          <w:p w14:paraId="7FF5317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2624.73</w:t>
            </w: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1D3B0F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1146" w:type="dxa"/>
            <w:tcBorders>
              <w:top w:val="nil"/>
              <w:left w:val="nil"/>
              <w:bottom w:val="single" w:color="auto" w:sz="4" w:space="0"/>
              <w:right w:val="single" w:color="auto" w:sz="4" w:space="0"/>
            </w:tcBorders>
            <w:shd w:val="clear" w:color="auto" w:fill="auto"/>
            <w:noWrap/>
            <w:vAlign w:val="center"/>
          </w:tcPr>
          <w:p w14:paraId="0B9100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987" w:type="dxa"/>
            <w:tcBorders>
              <w:top w:val="nil"/>
              <w:left w:val="nil"/>
              <w:bottom w:val="single" w:color="auto" w:sz="4" w:space="0"/>
              <w:right w:val="single" w:color="auto" w:sz="4" w:space="0"/>
            </w:tcBorders>
            <w:shd w:val="clear" w:color="auto" w:fill="auto"/>
            <w:noWrap/>
            <w:vAlign w:val="center"/>
          </w:tcPr>
          <w:p w14:paraId="0E63959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76.65</w:t>
            </w: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5BAE973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76.65</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2ED49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25498BC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1B22A97">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31ACEE0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747" w:type="dxa"/>
            <w:tcBorders>
              <w:top w:val="nil"/>
              <w:left w:val="nil"/>
              <w:bottom w:val="single" w:color="auto" w:sz="4" w:space="0"/>
              <w:right w:val="single" w:color="auto" w:sz="4" w:space="0"/>
            </w:tcBorders>
            <w:shd w:val="clear" w:color="auto" w:fill="auto"/>
            <w:noWrap/>
            <w:vAlign w:val="center"/>
          </w:tcPr>
          <w:p w14:paraId="6F3926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147" w:type="dxa"/>
            <w:tcBorders>
              <w:top w:val="nil"/>
              <w:left w:val="nil"/>
              <w:bottom w:val="single" w:color="auto" w:sz="4" w:space="0"/>
              <w:right w:val="single" w:color="auto" w:sz="4" w:space="0"/>
            </w:tcBorders>
            <w:shd w:val="clear" w:color="auto" w:fill="auto"/>
            <w:noWrap/>
            <w:vAlign w:val="center"/>
          </w:tcPr>
          <w:p w14:paraId="6017C3C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28EA91A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1146" w:type="dxa"/>
            <w:tcBorders>
              <w:top w:val="nil"/>
              <w:left w:val="nil"/>
              <w:bottom w:val="single" w:color="auto" w:sz="4" w:space="0"/>
              <w:right w:val="single" w:color="auto" w:sz="4" w:space="0"/>
            </w:tcBorders>
            <w:shd w:val="clear" w:color="auto" w:fill="auto"/>
            <w:noWrap/>
            <w:vAlign w:val="center"/>
          </w:tcPr>
          <w:p w14:paraId="27ACD8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987" w:type="dxa"/>
            <w:tcBorders>
              <w:top w:val="nil"/>
              <w:left w:val="nil"/>
              <w:bottom w:val="single" w:color="auto" w:sz="4" w:space="0"/>
              <w:right w:val="single" w:color="auto" w:sz="4" w:space="0"/>
            </w:tcBorders>
            <w:shd w:val="clear" w:color="auto" w:fill="auto"/>
            <w:noWrap/>
            <w:vAlign w:val="center"/>
          </w:tcPr>
          <w:p w14:paraId="5A16ED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42C9AC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50918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570BDBF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8E56F10">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1EC5ED7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747" w:type="dxa"/>
            <w:tcBorders>
              <w:top w:val="nil"/>
              <w:left w:val="nil"/>
              <w:bottom w:val="single" w:color="auto" w:sz="4" w:space="0"/>
              <w:right w:val="single" w:color="auto" w:sz="4" w:space="0"/>
            </w:tcBorders>
            <w:shd w:val="clear" w:color="auto" w:fill="auto"/>
            <w:noWrap/>
            <w:vAlign w:val="center"/>
          </w:tcPr>
          <w:p w14:paraId="0D51E6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147" w:type="dxa"/>
            <w:tcBorders>
              <w:top w:val="nil"/>
              <w:left w:val="nil"/>
              <w:bottom w:val="single" w:color="auto" w:sz="4" w:space="0"/>
              <w:right w:val="single" w:color="auto" w:sz="4" w:space="0"/>
            </w:tcBorders>
            <w:shd w:val="clear" w:color="auto" w:fill="auto"/>
            <w:noWrap/>
            <w:vAlign w:val="center"/>
          </w:tcPr>
          <w:p w14:paraId="6156105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5761B45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1146" w:type="dxa"/>
            <w:tcBorders>
              <w:top w:val="nil"/>
              <w:left w:val="nil"/>
              <w:bottom w:val="single" w:color="auto" w:sz="4" w:space="0"/>
              <w:right w:val="single" w:color="auto" w:sz="4" w:space="0"/>
            </w:tcBorders>
            <w:shd w:val="clear" w:color="auto" w:fill="auto"/>
            <w:noWrap/>
            <w:vAlign w:val="center"/>
          </w:tcPr>
          <w:p w14:paraId="3E816F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987" w:type="dxa"/>
            <w:tcBorders>
              <w:top w:val="nil"/>
              <w:left w:val="nil"/>
              <w:bottom w:val="single" w:color="auto" w:sz="4" w:space="0"/>
              <w:right w:val="single" w:color="auto" w:sz="4" w:space="0"/>
            </w:tcBorders>
            <w:shd w:val="clear" w:color="auto" w:fill="auto"/>
            <w:noWrap/>
            <w:vAlign w:val="center"/>
          </w:tcPr>
          <w:p w14:paraId="42F274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2FDEE8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7AFD5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2DCEA05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C15B63D">
        <w:trPr>
          <w:trHeight w:val="411"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17842F1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47" w:type="dxa"/>
            <w:tcBorders>
              <w:top w:val="nil"/>
              <w:left w:val="nil"/>
              <w:bottom w:val="single" w:color="auto" w:sz="4" w:space="0"/>
              <w:right w:val="single" w:color="auto" w:sz="4" w:space="0"/>
            </w:tcBorders>
            <w:shd w:val="clear" w:color="auto" w:fill="auto"/>
            <w:noWrap/>
            <w:vAlign w:val="center"/>
          </w:tcPr>
          <w:p w14:paraId="27C2CC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147" w:type="dxa"/>
            <w:tcBorders>
              <w:top w:val="nil"/>
              <w:left w:val="nil"/>
              <w:bottom w:val="single" w:color="auto" w:sz="4" w:space="0"/>
              <w:right w:val="single" w:color="auto" w:sz="4" w:space="0"/>
            </w:tcBorders>
            <w:shd w:val="clear" w:color="auto" w:fill="auto"/>
            <w:noWrap/>
            <w:vAlign w:val="center"/>
          </w:tcPr>
          <w:p w14:paraId="79928CF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503CE690">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四</w:t>
            </w:r>
            <w:r>
              <w:rPr>
                <w:rFonts w:ascii="Times New Roman" w:hAnsi="Times New Roman" w:eastAsia="仿宋_GB2312" w:cs="Times New Roman"/>
                <w:kern w:val="0"/>
                <w:sz w:val="22"/>
              </w:rPr>
              <w:t>、</w:t>
            </w:r>
            <w:r>
              <w:rPr>
                <w:rFonts w:hint="eastAsia" w:ascii="Times New Roman" w:hAnsi="Times New Roman" w:eastAsia="仿宋_GB2312" w:cs="Times New Roman"/>
                <w:kern w:val="0"/>
                <w:sz w:val="22"/>
                <w:lang w:eastAsia="zh-CN"/>
              </w:rPr>
              <w:t>资源勘探工业信息等支出</w:t>
            </w:r>
          </w:p>
        </w:tc>
        <w:tc>
          <w:tcPr>
            <w:tcW w:w="1146" w:type="dxa"/>
            <w:tcBorders>
              <w:top w:val="nil"/>
              <w:left w:val="nil"/>
              <w:bottom w:val="single" w:color="auto" w:sz="4" w:space="0"/>
              <w:right w:val="single" w:color="auto" w:sz="4" w:space="0"/>
            </w:tcBorders>
            <w:shd w:val="clear" w:color="auto" w:fill="auto"/>
            <w:noWrap/>
            <w:vAlign w:val="center"/>
          </w:tcPr>
          <w:p w14:paraId="435416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87" w:type="dxa"/>
            <w:tcBorders>
              <w:top w:val="nil"/>
              <w:left w:val="nil"/>
              <w:bottom w:val="single" w:color="auto" w:sz="4" w:space="0"/>
              <w:right w:val="single" w:color="auto" w:sz="4" w:space="0"/>
            </w:tcBorders>
            <w:shd w:val="clear" w:color="auto" w:fill="auto"/>
            <w:noWrap/>
            <w:vAlign w:val="center"/>
          </w:tcPr>
          <w:p w14:paraId="61A50BB7">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17.60</w:t>
            </w:r>
          </w:p>
        </w:tc>
        <w:tc>
          <w:tcPr>
            <w:tcW w:w="1561" w:type="dxa"/>
            <w:tcBorders>
              <w:top w:val="nil"/>
              <w:left w:val="nil"/>
              <w:bottom w:val="single" w:color="auto" w:sz="4" w:space="0"/>
              <w:right w:val="single" w:color="auto" w:sz="4" w:space="0"/>
            </w:tcBorders>
            <w:shd w:val="clear" w:color="auto" w:fill="auto"/>
            <w:noWrap/>
            <w:vAlign w:val="center"/>
          </w:tcPr>
          <w:p w14:paraId="0D15C2C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17.60</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3B6E32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212ED20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C338AF">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4738B92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47" w:type="dxa"/>
            <w:tcBorders>
              <w:top w:val="nil"/>
              <w:left w:val="nil"/>
              <w:bottom w:val="single" w:color="auto" w:sz="4" w:space="0"/>
              <w:right w:val="single" w:color="auto" w:sz="4" w:space="0"/>
            </w:tcBorders>
            <w:shd w:val="clear" w:color="auto" w:fill="auto"/>
            <w:noWrap/>
            <w:vAlign w:val="center"/>
          </w:tcPr>
          <w:p w14:paraId="31D8DF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147" w:type="dxa"/>
            <w:tcBorders>
              <w:top w:val="nil"/>
              <w:left w:val="nil"/>
              <w:bottom w:val="single" w:color="auto" w:sz="4" w:space="0"/>
              <w:right w:val="single" w:color="auto" w:sz="4" w:space="0"/>
            </w:tcBorders>
            <w:shd w:val="clear" w:color="auto" w:fill="auto"/>
            <w:noWrap/>
            <w:vAlign w:val="center"/>
          </w:tcPr>
          <w:p w14:paraId="7F8A400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13A2FBDE">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五、住房保障支出</w:t>
            </w:r>
          </w:p>
        </w:tc>
        <w:tc>
          <w:tcPr>
            <w:tcW w:w="1146" w:type="dxa"/>
            <w:tcBorders>
              <w:top w:val="nil"/>
              <w:left w:val="nil"/>
              <w:bottom w:val="single" w:color="auto" w:sz="4" w:space="0"/>
              <w:right w:val="single" w:color="auto" w:sz="4" w:space="0"/>
            </w:tcBorders>
            <w:shd w:val="clear" w:color="auto" w:fill="auto"/>
            <w:noWrap/>
            <w:vAlign w:val="center"/>
          </w:tcPr>
          <w:p w14:paraId="3D765E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987" w:type="dxa"/>
            <w:tcBorders>
              <w:top w:val="nil"/>
              <w:left w:val="nil"/>
              <w:bottom w:val="single" w:color="auto" w:sz="4" w:space="0"/>
              <w:right w:val="single" w:color="auto" w:sz="4" w:space="0"/>
            </w:tcBorders>
            <w:shd w:val="clear" w:color="auto" w:fill="auto"/>
            <w:noWrap/>
            <w:vAlign w:val="center"/>
          </w:tcPr>
          <w:p w14:paraId="2970194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2530.47</w:t>
            </w:r>
          </w:p>
        </w:tc>
        <w:tc>
          <w:tcPr>
            <w:tcW w:w="1561" w:type="dxa"/>
            <w:tcBorders>
              <w:top w:val="nil"/>
              <w:left w:val="nil"/>
              <w:bottom w:val="single" w:color="auto" w:sz="4" w:space="0"/>
              <w:right w:val="single" w:color="auto" w:sz="4" w:space="0"/>
            </w:tcBorders>
            <w:shd w:val="clear" w:color="auto" w:fill="auto"/>
            <w:noWrap/>
            <w:vAlign w:val="center"/>
          </w:tcPr>
          <w:p w14:paraId="769EE54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2530.47</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34DD6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23BD7CF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8D3DCE6">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09037A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47" w:type="dxa"/>
            <w:tcBorders>
              <w:top w:val="nil"/>
              <w:left w:val="nil"/>
              <w:bottom w:val="single" w:color="auto" w:sz="4" w:space="0"/>
              <w:right w:val="single" w:color="auto" w:sz="4" w:space="0"/>
            </w:tcBorders>
            <w:shd w:val="clear" w:color="auto" w:fill="auto"/>
            <w:noWrap/>
            <w:vAlign w:val="center"/>
          </w:tcPr>
          <w:p w14:paraId="73306A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147" w:type="dxa"/>
            <w:tcBorders>
              <w:top w:val="nil"/>
              <w:left w:val="nil"/>
              <w:bottom w:val="single" w:color="auto" w:sz="4" w:space="0"/>
              <w:right w:val="single" w:color="auto" w:sz="4" w:space="0"/>
            </w:tcBorders>
            <w:shd w:val="clear" w:color="auto" w:fill="auto"/>
            <w:noWrap/>
            <w:vAlign w:val="center"/>
          </w:tcPr>
          <w:p w14:paraId="0C43D94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3FB66AF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46" w:type="dxa"/>
            <w:tcBorders>
              <w:top w:val="nil"/>
              <w:left w:val="nil"/>
              <w:bottom w:val="single" w:color="auto" w:sz="4" w:space="0"/>
              <w:right w:val="single" w:color="auto" w:sz="4" w:space="0"/>
            </w:tcBorders>
            <w:shd w:val="clear" w:color="auto" w:fill="auto"/>
            <w:noWrap/>
            <w:vAlign w:val="center"/>
          </w:tcPr>
          <w:p w14:paraId="2EF757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987" w:type="dxa"/>
            <w:tcBorders>
              <w:top w:val="nil"/>
              <w:left w:val="nil"/>
              <w:bottom w:val="single" w:color="auto" w:sz="4" w:space="0"/>
              <w:right w:val="single" w:color="auto" w:sz="4" w:space="0"/>
            </w:tcBorders>
            <w:shd w:val="clear" w:color="auto" w:fill="auto"/>
            <w:noWrap/>
            <w:vAlign w:val="center"/>
          </w:tcPr>
          <w:p w14:paraId="57CC41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1B501D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1B1864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3AF69B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6A4168A">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544B7B6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747" w:type="dxa"/>
            <w:tcBorders>
              <w:top w:val="nil"/>
              <w:left w:val="nil"/>
              <w:bottom w:val="single" w:color="auto" w:sz="4" w:space="0"/>
              <w:right w:val="single" w:color="auto" w:sz="4" w:space="0"/>
            </w:tcBorders>
            <w:shd w:val="clear" w:color="auto" w:fill="auto"/>
            <w:noWrap/>
            <w:vAlign w:val="center"/>
          </w:tcPr>
          <w:p w14:paraId="2A48EC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147" w:type="dxa"/>
            <w:tcBorders>
              <w:top w:val="nil"/>
              <w:left w:val="nil"/>
              <w:bottom w:val="single" w:color="auto" w:sz="4" w:space="0"/>
              <w:right w:val="single" w:color="auto" w:sz="4" w:space="0"/>
            </w:tcBorders>
            <w:shd w:val="clear" w:color="auto" w:fill="auto"/>
            <w:noWrap/>
            <w:vAlign w:val="center"/>
          </w:tcPr>
          <w:p w14:paraId="0060653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2624.73</w:t>
            </w: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5FDABBF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1146" w:type="dxa"/>
            <w:tcBorders>
              <w:top w:val="nil"/>
              <w:left w:val="nil"/>
              <w:bottom w:val="single" w:color="auto" w:sz="4" w:space="0"/>
              <w:right w:val="single" w:color="auto" w:sz="4" w:space="0"/>
            </w:tcBorders>
            <w:shd w:val="clear" w:color="auto" w:fill="auto"/>
            <w:noWrap/>
            <w:vAlign w:val="center"/>
          </w:tcPr>
          <w:p w14:paraId="3BC30F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987" w:type="dxa"/>
            <w:tcBorders>
              <w:top w:val="nil"/>
              <w:left w:val="nil"/>
              <w:bottom w:val="single" w:color="auto" w:sz="4" w:space="0"/>
              <w:right w:val="single" w:color="auto" w:sz="4" w:space="0"/>
            </w:tcBorders>
            <w:shd w:val="clear" w:color="auto" w:fill="auto"/>
            <w:noWrap/>
            <w:vAlign w:val="center"/>
          </w:tcPr>
          <w:p w14:paraId="589B37F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2624.73</w:t>
            </w: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42E73CAB">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2624.73</w:t>
            </w:r>
          </w:p>
        </w:tc>
        <w:tc>
          <w:tcPr>
            <w:tcW w:w="1815" w:type="dxa"/>
            <w:tcBorders>
              <w:top w:val="nil"/>
              <w:left w:val="nil"/>
              <w:bottom w:val="single" w:color="auto" w:sz="4" w:space="0"/>
              <w:right w:val="single" w:color="auto" w:sz="4" w:space="0"/>
            </w:tcBorders>
            <w:shd w:val="clear" w:color="auto" w:fill="auto"/>
            <w:noWrap/>
            <w:vAlign w:val="center"/>
          </w:tcPr>
          <w:p w14:paraId="461CAC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0F79E73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40ADB1E3">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362829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747" w:type="dxa"/>
            <w:tcBorders>
              <w:top w:val="nil"/>
              <w:left w:val="nil"/>
              <w:bottom w:val="single" w:color="auto" w:sz="4" w:space="0"/>
              <w:right w:val="single" w:color="auto" w:sz="4" w:space="0"/>
            </w:tcBorders>
            <w:shd w:val="clear" w:color="auto" w:fill="auto"/>
            <w:noWrap/>
            <w:vAlign w:val="center"/>
          </w:tcPr>
          <w:p w14:paraId="5DC435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147" w:type="dxa"/>
            <w:tcBorders>
              <w:top w:val="nil"/>
              <w:left w:val="nil"/>
              <w:bottom w:val="single" w:color="auto" w:sz="4" w:space="0"/>
              <w:right w:val="single" w:color="auto" w:sz="4" w:space="0"/>
            </w:tcBorders>
            <w:shd w:val="clear" w:color="auto" w:fill="auto"/>
            <w:noWrap/>
            <w:vAlign w:val="center"/>
          </w:tcPr>
          <w:p w14:paraId="1C08CF6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1E662A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1146" w:type="dxa"/>
            <w:tcBorders>
              <w:top w:val="nil"/>
              <w:left w:val="nil"/>
              <w:bottom w:val="single" w:color="auto" w:sz="4" w:space="0"/>
              <w:right w:val="single" w:color="auto" w:sz="4" w:space="0"/>
            </w:tcBorders>
            <w:shd w:val="clear" w:color="auto" w:fill="auto"/>
            <w:noWrap/>
            <w:vAlign w:val="center"/>
          </w:tcPr>
          <w:p w14:paraId="42393E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987" w:type="dxa"/>
            <w:tcBorders>
              <w:top w:val="nil"/>
              <w:left w:val="nil"/>
              <w:bottom w:val="single" w:color="auto" w:sz="4" w:space="0"/>
              <w:right w:val="single" w:color="auto" w:sz="4" w:space="0"/>
            </w:tcBorders>
            <w:shd w:val="clear" w:color="auto" w:fill="auto"/>
            <w:noWrap/>
            <w:vAlign w:val="center"/>
          </w:tcPr>
          <w:p w14:paraId="797A82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02EC06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170AB0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65807C9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16F6154">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598F7F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747" w:type="dxa"/>
            <w:tcBorders>
              <w:top w:val="nil"/>
              <w:left w:val="nil"/>
              <w:bottom w:val="single" w:color="auto" w:sz="4" w:space="0"/>
              <w:right w:val="single" w:color="auto" w:sz="4" w:space="0"/>
            </w:tcBorders>
            <w:shd w:val="clear" w:color="auto" w:fill="auto"/>
            <w:noWrap/>
            <w:vAlign w:val="center"/>
          </w:tcPr>
          <w:p w14:paraId="55F226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147" w:type="dxa"/>
            <w:tcBorders>
              <w:top w:val="nil"/>
              <w:left w:val="nil"/>
              <w:bottom w:val="single" w:color="auto" w:sz="4" w:space="0"/>
              <w:right w:val="single" w:color="auto" w:sz="4" w:space="0"/>
            </w:tcBorders>
            <w:shd w:val="clear" w:color="auto" w:fill="auto"/>
            <w:noWrap/>
            <w:vAlign w:val="center"/>
          </w:tcPr>
          <w:p w14:paraId="4C549FA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29B446B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46" w:type="dxa"/>
            <w:tcBorders>
              <w:top w:val="nil"/>
              <w:left w:val="nil"/>
              <w:bottom w:val="single" w:color="auto" w:sz="4" w:space="0"/>
              <w:right w:val="single" w:color="auto" w:sz="4" w:space="0"/>
            </w:tcBorders>
            <w:shd w:val="clear" w:color="auto" w:fill="auto"/>
            <w:noWrap/>
            <w:vAlign w:val="center"/>
          </w:tcPr>
          <w:p w14:paraId="65ACD9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987" w:type="dxa"/>
            <w:tcBorders>
              <w:top w:val="nil"/>
              <w:left w:val="nil"/>
              <w:bottom w:val="single" w:color="auto" w:sz="4" w:space="0"/>
              <w:right w:val="single" w:color="auto" w:sz="4" w:space="0"/>
            </w:tcBorders>
            <w:shd w:val="clear" w:color="auto" w:fill="auto"/>
            <w:noWrap/>
            <w:vAlign w:val="center"/>
          </w:tcPr>
          <w:p w14:paraId="3FFFCB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19C5FD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1A5A26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4A1B1DD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9EEA35A">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02CCA1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747" w:type="dxa"/>
            <w:tcBorders>
              <w:top w:val="nil"/>
              <w:left w:val="nil"/>
              <w:bottom w:val="single" w:color="auto" w:sz="4" w:space="0"/>
              <w:right w:val="single" w:color="auto" w:sz="4" w:space="0"/>
            </w:tcBorders>
            <w:shd w:val="clear" w:color="auto" w:fill="auto"/>
            <w:noWrap/>
            <w:vAlign w:val="center"/>
          </w:tcPr>
          <w:p w14:paraId="02A28F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147" w:type="dxa"/>
            <w:tcBorders>
              <w:top w:val="nil"/>
              <w:left w:val="nil"/>
              <w:bottom w:val="single" w:color="auto" w:sz="4" w:space="0"/>
              <w:right w:val="single" w:color="auto" w:sz="4" w:space="0"/>
            </w:tcBorders>
            <w:shd w:val="clear" w:color="auto" w:fill="auto"/>
            <w:noWrap/>
            <w:vAlign w:val="center"/>
          </w:tcPr>
          <w:p w14:paraId="44B38FE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0B1DD5B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46" w:type="dxa"/>
            <w:tcBorders>
              <w:top w:val="nil"/>
              <w:left w:val="nil"/>
              <w:bottom w:val="single" w:color="auto" w:sz="4" w:space="0"/>
              <w:right w:val="single" w:color="auto" w:sz="4" w:space="0"/>
            </w:tcBorders>
            <w:shd w:val="clear" w:color="auto" w:fill="auto"/>
            <w:noWrap/>
            <w:vAlign w:val="center"/>
          </w:tcPr>
          <w:p w14:paraId="411801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987" w:type="dxa"/>
            <w:tcBorders>
              <w:top w:val="nil"/>
              <w:left w:val="nil"/>
              <w:bottom w:val="single" w:color="auto" w:sz="4" w:space="0"/>
              <w:right w:val="single" w:color="auto" w:sz="4" w:space="0"/>
            </w:tcBorders>
            <w:shd w:val="clear" w:color="auto" w:fill="auto"/>
            <w:noWrap/>
            <w:vAlign w:val="center"/>
          </w:tcPr>
          <w:p w14:paraId="6E9FF9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6722AE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9B4E6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48CE27E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8DAE42">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65226D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747" w:type="dxa"/>
            <w:tcBorders>
              <w:top w:val="nil"/>
              <w:left w:val="nil"/>
              <w:bottom w:val="single" w:color="auto" w:sz="4" w:space="0"/>
              <w:right w:val="single" w:color="auto" w:sz="4" w:space="0"/>
            </w:tcBorders>
            <w:shd w:val="clear" w:color="auto" w:fill="auto"/>
            <w:noWrap/>
            <w:vAlign w:val="center"/>
          </w:tcPr>
          <w:p w14:paraId="24895D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147" w:type="dxa"/>
            <w:tcBorders>
              <w:top w:val="nil"/>
              <w:left w:val="nil"/>
              <w:bottom w:val="single" w:color="auto" w:sz="4" w:space="0"/>
              <w:right w:val="single" w:color="auto" w:sz="4" w:space="0"/>
            </w:tcBorders>
            <w:shd w:val="clear" w:color="auto" w:fill="auto"/>
            <w:noWrap/>
            <w:vAlign w:val="center"/>
          </w:tcPr>
          <w:p w14:paraId="107A721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6A2244C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46" w:type="dxa"/>
            <w:tcBorders>
              <w:top w:val="nil"/>
              <w:left w:val="nil"/>
              <w:bottom w:val="single" w:color="auto" w:sz="4" w:space="0"/>
              <w:right w:val="single" w:color="auto" w:sz="4" w:space="0"/>
            </w:tcBorders>
            <w:shd w:val="clear" w:color="auto" w:fill="auto"/>
            <w:noWrap/>
            <w:vAlign w:val="center"/>
          </w:tcPr>
          <w:p w14:paraId="4C4E1D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987" w:type="dxa"/>
            <w:tcBorders>
              <w:top w:val="nil"/>
              <w:left w:val="nil"/>
              <w:bottom w:val="single" w:color="auto" w:sz="4" w:space="0"/>
              <w:right w:val="single" w:color="auto" w:sz="4" w:space="0"/>
            </w:tcBorders>
            <w:shd w:val="clear" w:color="auto" w:fill="auto"/>
            <w:noWrap/>
            <w:vAlign w:val="center"/>
          </w:tcPr>
          <w:p w14:paraId="1F8E78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02F640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63150C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19B8A8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0E4AC6D">
        <w:trPr>
          <w:trHeight w:val="402" w:hRule="atLeast"/>
          <w:jc w:val="center"/>
        </w:trPr>
        <w:tc>
          <w:tcPr>
            <w:tcW w:w="3024" w:type="dxa"/>
            <w:tcBorders>
              <w:top w:val="nil"/>
              <w:left w:val="single" w:color="auto" w:sz="4" w:space="0"/>
              <w:bottom w:val="single" w:color="auto" w:sz="4" w:space="0"/>
              <w:right w:val="single" w:color="auto" w:sz="4" w:space="0"/>
            </w:tcBorders>
            <w:shd w:val="clear" w:color="000000" w:fill="FFFFFF"/>
            <w:noWrap/>
            <w:vAlign w:val="center"/>
          </w:tcPr>
          <w:p w14:paraId="1B0772D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747" w:type="dxa"/>
            <w:tcBorders>
              <w:top w:val="nil"/>
              <w:left w:val="nil"/>
              <w:bottom w:val="single" w:color="auto" w:sz="4" w:space="0"/>
              <w:right w:val="single" w:color="auto" w:sz="4" w:space="0"/>
            </w:tcBorders>
            <w:shd w:val="clear" w:color="000000" w:fill="FFFFFF"/>
            <w:noWrap/>
            <w:vAlign w:val="center"/>
          </w:tcPr>
          <w:p w14:paraId="7FA49A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147" w:type="dxa"/>
            <w:tcBorders>
              <w:top w:val="nil"/>
              <w:left w:val="nil"/>
              <w:bottom w:val="single" w:color="auto" w:sz="4" w:space="0"/>
              <w:right w:val="single" w:color="auto" w:sz="4" w:space="0"/>
            </w:tcBorders>
            <w:shd w:val="clear" w:color="auto" w:fill="auto"/>
            <w:noWrap/>
            <w:vAlign w:val="center"/>
          </w:tcPr>
          <w:p w14:paraId="1EA8431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2624.73</w:t>
            </w: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000000" w:fill="FFFFFF"/>
            <w:noWrap/>
            <w:vAlign w:val="center"/>
          </w:tcPr>
          <w:p w14:paraId="0556C1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1146" w:type="dxa"/>
            <w:tcBorders>
              <w:top w:val="nil"/>
              <w:left w:val="nil"/>
              <w:bottom w:val="single" w:color="auto" w:sz="4" w:space="0"/>
              <w:right w:val="single" w:color="auto" w:sz="4" w:space="0"/>
            </w:tcBorders>
            <w:shd w:val="clear" w:color="000000" w:fill="FFFFFF"/>
            <w:noWrap/>
            <w:vAlign w:val="center"/>
          </w:tcPr>
          <w:p w14:paraId="443FEB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87" w:type="dxa"/>
            <w:tcBorders>
              <w:top w:val="nil"/>
              <w:left w:val="nil"/>
              <w:bottom w:val="single" w:color="auto" w:sz="4" w:space="0"/>
              <w:right w:val="single" w:color="auto" w:sz="4" w:space="0"/>
            </w:tcBorders>
            <w:shd w:val="clear" w:color="000000" w:fill="FFFFFF"/>
            <w:noWrap/>
            <w:vAlign w:val="center"/>
          </w:tcPr>
          <w:p w14:paraId="0C2B467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2624.73</w:t>
            </w: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000000" w:fill="FFFFFF"/>
            <w:noWrap/>
            <w:vAlign w:val="center"/>
          </w:tcPr>
          <w:p w14:paraId="1A30B97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2624.73</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67CE319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334B78C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EC5F7D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8B84B83">
      <w:pPr>
        <w:widowControl/>
        <w:jc w:val="center"/>
        <w:rPr>
          <w:rFonts w:ascii="Times New Roman" w:hAnsi="Times New Roman" w:eastAsia="方正小标宋_GBK" w:cs="Times New Roman"/>
          <w:kern w:val="0"/>
          <w:sz w:val="36"/>
          <w:szCs w:val="36"/>
        </w:rPr>
      </w:pPr>
    </w:p>
    <w:p w14:paraId="450D1F1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78829D6">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怀化市住房公积金管理中心</w:t>
      </w:r>
      <w:r>
        <w:rPr>
          <w:rFonts w:ascii="Times New Roman" w:hAnsi="Times New Roman" w:eastAsia="仿宋_GB2312" w:cs="Times New Roman"/>
          <w:color w:val="000000"/>
          <w:kern w:val="0"/>
          <w:szCs w:val="21"/>
        </w:rPr>
        <w:t xml:space="preserve">                                                                                   公开05表</w:t>
      </w:r>
    </w:p>
    <w:p w14:paraId="0388BBC5">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6DC525F6">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D8FCF5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04AF14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11CEFE6">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77910D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43C9195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25E704B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525BA7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6127A5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70D6D00">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6110BAB">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C7414D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D6916B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384BEA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7159541">
            <w:pPr>
              <w:widowControl/>
              <w:jc w:val="left"/>
              <w:rPr>
                <w:rFonts w:ascii="Times New Roman" w:hAnsi="Times New Roman" w:eastAsia="仿宋_GB2312" w:cs="Times New Roman"/>
                <w:kern w:val="0"/>
                <w:szCs w:val="21"/>
              </w:rPr>
            </w:pPr>
          </w:p>
        </w:tc>
      </w:tr>
      <w:tr w14:paraId="608EB217">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1BCB8CE">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09F80C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7D4A0E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CB8E31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AE6920A">
            <w:pPr>
              <w:widowControl/>
              <w:jc w:val="left"/>
              <w:rPr>
                <w:rFonts w:ascii="Times New Roman" w:hAnsi="Times New Roman" w:eastAsia="仿宋_GB2312" w:cs="Times New Roman"/>
                <w:kern w:val="0"/>
                <w:szCs w:val="21"/>
              </w:rPr>
            </w:pPr>
          </w:p>
        </w:tc>
      </w:tr>
      <w:tr w14:paraId="53E7D4D7">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88FBDB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AB0D9B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4559EB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6A9618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2FFAA99">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775BDC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020E22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2,624.73</w:t>
            </w:r>
          </w:p>
        </w:tc>
        <w:tc>
          <w:tcPr>
            <w:tcW w:w="3492" w:type="dxa"/>
            <w:tcBorders>
              <w:top w:val="nil"/>
              <w:left w:val="nil"/>
              <w:bottom w:val="single" w:color="auto" w:sz="4" w:space="0"/>
              <w:right w:val="single" w:color="auto" w:sz="4" w:space="0"/>
            </w:tcBorders>
            <w:shd w:val="clear" w:color="auto" w:fill="auto"/>
            <w:vAlign w:val="center"/>
          </w:tcPr>
          <w:p w14:paraId="7DE9821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1,979.60</w:t>
            </w:r>
          </w:p>
        </w:tc>
        <w:tc>
          <w:tcPr>
            <w:tcW w:w="3000" w:type="dxa"/>
            <w:tcBorders>
              <w:top w:val="nil"/>
              <w:left w:val="nil"/>
              <w:bottom w:val="single" w:color="auto" w:sz="4" w:space="0"/>
              <w:right w:val="single" w:color="auto" w:sz="8" w:space="0"/>
            </w:tcBorders>
            <w:shd w:val="clear" w:color="auto" w:fill="auto"/>
            <w:vAlign w:val="center"/>
          </w:tcPr>
          <w:p w14:paraId="2029558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645.13</w:t>
            </w:r>
          </w:p>
        </w:tc>
      </w:tr>
      <w:tr w14:paraId="3A2E1184">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80C48D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59C8E17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4FD9A04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76.65</w:t>
            </w:r>
          </w:p>
        </w:tc>
        <w:tc>
          <w:tcPr>
            <w:tcW w:w="3492" w:type="dxa"/>
            <w:tcBorders>
              <w:top w:val="nil"/>
              <w:left w:val="nil"/>
              <w:bottom w:val="single" w:color="auto" w:sz="4" w:space="0"/>
              <w:right w:val="single" w:color="auto" w:sz="4" w:space="0"/>
            </w:tcBorders>
            <w:shd w:val="clear" w:color="auto" w:fill="auto"/>
            <w:vAlign w:val="center"/>
          </w:tcPr>
          <w:p w14:paraId="053F695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74.25</w:t>
            </w:r>
          </w:p>
        </w:tc>
        <w:tc>
          <w:tcPr>
            <w:tcW w:w="3000" w:type="dxa"/>
            <w:tcBorders>
              <w:top w:val="nil"/>
              <w:left w:val="nil"/>
              <w:bottom w:val="single" w:color="auto" w:sz="4" w:space="0"/>
              <w:right w:val="single" w:color="auto" w:sz="8" w:space="0"/>
            </w:tcBorders>
            <w:shd w:val="clear" w:color="auto" w:fill="auto"/>
            <w:vAlign w:val="center"/>
          </w:tcPr>
          <w:p w14:paraId="784FC5F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2.40</w:t>
            </w:r>
          </w:p>
        </w:tc>
      </w:tr>
      <w:tr w14:paraId="60DEB276">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5EB889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6956066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61F51C5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76.65</w:t>
            </w:r>
          </w:p>
        </w:tc>
        <w:tc>
          <w:tcPr>
            <w:tcW w:w="3492" w:type="dxa"/>
            <w:tcBorders>
              <w:top w:val="nil"/>
              <w:left w:val="nil"/>
              <w:bottom w:val="single" w:color="auto" w:sz="4" w:space="0"/>
              <w:right w:val="single" w:color="auto" w:sz="4" w:space="0"/>
            </w:tcBorders>
            <w:shd w:val="clear" w:color="auto" w:fill="auto"/>
            <w:vAlign w:val="center"/>
          </w:tcPr>
          <w:p w14:paraId="7CDAAF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74.25</w:t>
            </w:r>
          </w:p>
        </w:tc>
        <w:tc>
          <w:tcPr>
            <w:tcW w:w="3000" w:type="dxa"/>
            <w:tcBorders>
              <w:top w:val="nil"/>
              <w:left w:val="nil"/>
              <w:bottom w:val="single" w:color="auto" w:sz="4" w:space="0"/>
              <w:right w:val="single" w:color="auto" w:sz="8" w:space="0"/>
            </w:tcBorders>
            <w:shd w:val="clear" w:color="auto" w:fill="auto"/>
            <w:vAlign w:val="center"/>
          </w:tcPr>
          <w:p w14:paraId="4BE8E19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2.40</w:t>
            </w:r>
          </w:p>
        </w:tc>
      </w:tr>
      <w:tr w14:paraId="1016B99A">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F3D96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621BC44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7AC610D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76.65</w:t>
            </w:r>
          </w:p>
        </w:tc>
        <w:tc>
          <w:tcPr>
            <w:tcW w:w="3492" w:type="dxa"/>
            <w:tcBorders>
              <w:top w:val="nil"/>
              <w:left w:val="nil"/>
              <w:bottom w:val="single" w:color="auto" w:sz="4" w:space="0"/>
              <w:right w:val="single" w:color="auto" w:sz="4" w:space="0"/>
            </w:tcBorders>
            <w:shd w:val="clear" w:color="auto" w:fill="auto"/>
            <w:vAlign w:val="center"/>
          </w:tcPr>
          <w:p w14:paraId="3260E4E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74.25</w:t>
            </w:r>
          </w:p>
        </w:tc>
        <w:tc>
          <w:tcPr>
            <w:tcW w:w="3000" w:type="dxa"/>
            <w:tcBorders>
              <w:top w:val="nil"/>
              <w:left w:val="nil"/>
              <w:bottom w:val="single" w:color="auto" w:sz="4" w:space="0"/>
              <w:right w:val="single" w:color="auto" w:sz="8" w:space="0"/>
            </w:tcBorders>
            <w:shd w:val="clear" w:color="auto" w:fill="auto"/>
            <w:vAlign w:val="center"/>
          </w:tcPr>
          <w:p w14:paraId="18D008C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2.40</w:t>
            </w:r>
          </w:p>
        </w:tc>
      </w:tr>
      <w:tr w14:paraId="4154E770">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99C6E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w:t>
            </w:r>
          </w:p>
        </w:tc>
        <w:tc>
          <w:tcPr>
            <w:tcW w:w="3527" w:type="dxa"/>
            <w:tcBorders>
              <w:top w:val="nil"/>
              <w:left w:val="nil"/>
              <w:bottom w:val="single" w:color="auto" w:sz="4" w:space="0"/>
              <w:right w:val="single" w:color="auto" w:sz="4" w:space="0"/>
            </w:tcBorders>
            <w:shd w:val="clear" w:color="auto" w:fill="auto"/>
            <w:vAlign w:val="center"/>
          </w:tcPr>
          <w:p w14:paraId="72FB460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3000" w:type="dxa"/>
            <w:tcBorders>
              <w:top w:val="nil"/>
              <w:left w:val="nil"/>
              <w:bottom w:val="single" w:color="auto" w:sz="4" w:space="0"/>
              <w:right w:val="single" w:color="auto" w:sz="4" w:space="0"/>
            </w:tcBorders>
            <w:shd w:val="clear" w:color="auto" w:fill="auto"/>
            <w:vAlign w:val="center"/>
          </w:tcPr>
          <w:p w14:paraId="0C97A65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17.60</w:t>
            </w:r>
          </w:p>
        </w:tc>
        <w:tc>
          <w:tcPr>
            <w:tcW w:w="3492" w:type="dxa"/>
            <w:tcBorders>
              <w:top w:val="nil"/>
              <w:left w:val="nil"/>
              <w:bottom w:val="single" w:color="auto" w:sz="4" w:space="0"/>
              <w:right w:val="single" w:color="auto" w:sz="4" w:space="0"/>
            </w:tcBorders>
            <w:shd w:val="clear" w:color="auto" w:fill="auto"/>
            <w:vAlign w:val="center"/>
          </w:tcPr>
          <w:p w14:paraId="68EE728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5C5F56C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17.60</w:t>
            </w:r>
          </w:p>
        </w:tc>
      </w:tr>
      <w:tr w14:paraId="5D220974">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D83345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21502</w:t>
            </w:r>
          </w:p>
        </w:tc>
        <w:tc>
          <w:tcPr>
            <w:tcW w:w="3527" w:type="dxa"/>
            <w:tcBorders>
              <w:top w:val="nil"/>
              <w:left w:val="nil"/>
              <w:bottom w:val="single" w:color="auto" w:sz="4" w:space="0"/>
              <w:right w:val="single" w:color="auto" w:sz="4" w:space="0"/>
            </w:tcBorders>
            <w:shd w:val="clear" w:color="auto" w:fill="auto"/>
            <w:vAlign w:val="center"/>
          </w:tcPr>
          <w:p w14:paraId="6C2A9C3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制造业</w:t>
            </w:r>
          </w:p>
        </w:tc>
        <w:tc>
          <w:tcPr>
            <w:tcW w:w="3000" w:type="dxa"/>
            <w:tcBorders>
              <w:top w:val="nil"/>
              <w:left w:val="nil"/>
              <w:bottom w:val="single" w:color="auto" w:sz="4" w:space="0"/>
              <w:right w:val="single" w:color="auto" w:sz="4" w:space="0"/>
            </w:tcBorders>
            <w:shd w:val="clear" w:color="auto" w:fill="auto"/>
            <w:vAlign w:val="center"/>
          </w:tcPr>
          <w:p w14:paraId="43444A2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17.60</w:t>
            </w:r>
          </w:p>
        </w:tc>
        <w:tc>
          <w:tcPr>
            <w:tcW w:w="3492" w:type="dxa"/>
            <w:tcBorders>
              <w:top w:val="nil"/>
              <w:left w:val="nil"/>
              <w:bottom w:val="single" w:color="auto" w:sz="4" w:space="0"/>
              <w:right w:val="single" w:color="auto" w:sz="4" w:space="0"/>
            </w:tcBorders>
            <w:shd w:val="clear" w:color="auto" w:fill="auto"/>
            <w:vAlign w:val="center"/>
          </w:tcPr>
          <w:p w14:paraId="51CD53F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31623D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17.60</w:t>
            </w:r>
          </w:p>
        </w:tc>
      </w:tr>
      <w:tr w14:paraId="6E98A4B7">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9ABFB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2150207</w:t>
            </w:r>
          </w:p>
        </w:tc>
        <w:tc>
          <w:tcPr>
            <w:tcW w:w="3527" w:type="dxa"/>
            <w:tcBorders>
              <w:top w:val="nil"/>
              <w:left w:val="nil"/>
              <w:bottom w:val="nil"/>
              <w:right w:val="single" w:color="auto" w:sz="4" w:space="0"/>
            </w:tcBorders>
            <w:shd w:val="clear" w:color="auto" w:fill="auto"/>
            <w:vAlign w:val="center"/>
          </w:tcPr>
          <w:p w14:paraId="06249AD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通信设备、计算机及其他电子设备制造业</w:t>
            </w:r>
          </w:p>
        </w:tc>
        <w:tc>
          <w:tcPr>
            <w:tcW w:w="3000" w:type="dxa"/>
            <w:tcBorders>
              <w:top w:val="nil"/>
              <w:left w:val="nil"/>
              <w:bottom w:val="nil"/>
              <w:right w:val="single" w:color="auto" w:sz="4" w:space="0"/>
            </w:tcBorders>
            <w:shd w:val="clear" w:color="auto" w:fill="auto"/>
            <w:vAlign w:val="center"/>
          </w:tcPr>
          <w:p w14:paraId="1E24007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17.60</w:t>
            </w:r>
          </w:p>
        </w:tc>
        <w:tc>
          <w:tcPr>
            <w:tcW w:w="3492" w:type="dxa"/>
            <w:tcBorders>
              <w:top w:val="nil"/>
              <w:left w:val="nil"/>
              <w:bottom w:val="nil"/>
              <w:right w:val="single" w:color="auto" w:sz="4" w:space="0"/>
            </w:tcBorders>
            <w:shd w:val="clear" w:color="auto" w:fill="auto"/>
            <w:vAlign w:val="center"/>
          </w:tcPr>
          <w:p w14:paraId="2C211C8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nil"/>
              <w:right w:val="single" w:color="auto" w:sz="8" w:space="0"/>
            </w:tcBorders>
            <w:shd w:val="clear" w:color="auto" w:fill="auto"/>
            <w:vAlign w:val="center"/>
          </w:tcPr>
          <w:p w14:paraId="123F657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17.60</w:t>
            </w:r>
          </w:p>
        </w:tc>
      </w:tr>
      <w:tr w14:paraId="6BC0CE4D">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504BB6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3527" w:type="dxa"/>
            <w:tcBorders>
              <w:top w:val="nil"/>
              <w:left w:val="nil"/>
              <w:bottom w:val="nil"/>
              <w:right w:val="single" w:color="auto" w:sz="4" w:space="0"/>
            </w:tcBorders>
            <w:shd w:val="clear" w:color="auto" w:fill="auto"/>
            <w:vAlign w:val="center"/>
          </w:tcPr>
          <w:p w14:paraId="634A3EB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nil"/>
              <w:left w:val="nil"/>
              <w:bottom w:val="nil"/>
              <w:right w:val="single" w:color="auto" w:sz="4" w:space="0"/>
            </w:tcBorders>
            <w:shd w:val="clear" w:color="auto" w:fill="auto"/>
            <w:vAlign w:val="center"/>
          </w:tcPr>
          <w:p w14:paraId="281BB37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2,530.47</w:t>
            </w:r>
          </w:p>
        </w:tc>
        <w:tc>
          <w:tcPr>
            <w:tcW w:w="3492" w:type="dxa"/>
            <w:tcBorders>
              <w:top w:val="nil"/>
              <w:left w:val="nil"/>
              <w:bottom w:val="nil"/>
              <w:right w:val="single" w:color="auto" w:sz="4" w:space="0"/>
            </w:tcBorders>
            <w:shd w:val="clear" w:color="auto" w:fill="auto"/>
            <w:vAlign w:val="center"/>
          </w:tcPr>
          <w:p w14:paraId="40ADA64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1,905.35</w:t>
            </w:r>
          </w:p>
        </w:tc>
        <w:tc>
          <w:tcPr>
            <w:tcW w:w="3000" w:type="dxa"/>
            <w:tcBorders>
              <w:top w:val="nil"/>
              <w:left w:val="nil"/>
              <w:bottom w:val="nil"/>
              <w:right w:val="single" w:color="auto" w:sz="8" w:space="0"/>
            </w:tcBorders>
            <w:shd w:val="clear" w:color="auto" w:fill="auto"/>
            <w:vAlign w:val="center"/>
          </w:tcPr>
          <w:p w14:paraId="6B6B517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625.13</w:t>
            </w:r>
          </w:p>
        </w:tc>
      </w:tr>
      <w:tr w14:paraId="68DDB08D">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1EF3F0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22103</w:t>
            </w:r>
          </w:p>
        </w:tc>
        <w:tc>
          <w:tcPr>
            <w:tcW w:w="3527" w:type="dxa"/>
            <w:tcBorders>
              <w:top w:val="nil"/>
              <w:left w:val="nil"/>
              <w:bottom w:val="nil"/>
              <w:right w:val="single" w:color="auto" w:sz="4" w:space="0"/>
            </w:tcBorders>
            <w:shd w:val="clear" w:color="auto" w:fill="auto"/>
            <w:vAlign w:val="center"/>
          </w:tcPr>
          <w:p w14:paraId="70B1B7D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城乡社区住宅</w:t>
            </w:r>
          </w:p>
        </w:tc>
        <w:tc>
          <w:tcPr>
            <w:tcW w:w="3000" w:type="dxa"/>
            <w:tcBorders>
              <w:top w:val="nil"/>
              <w:left w:val="nil"/>
              <w:bottom w:val="nil"/>
              <w:right w:val="single" w:color="auto" w:sz="4" w:space="0"/>
            </w:tcBorders>
            <w:shd w:val="clear" w:color="auto" w:fill="auto"/>
            <w:vAlign w:val="center"/>
          </w:tcPr>
          <w:p w14:paraId="1664FC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2,530.47</w:t>
            </w:r>
          </w:p>
        </w:tc>
        <w:tc>
          <w:tcPr>
            <w:tcW w:w="3492" w:type="dxa"/>
            <w:tcBorders>
              <w:top w:val="nil"/>
              <w:left w:val="nil"/>
              <w:bottom w:val="nil"/>
              <w:right w:val="single" w:color="auto" w:sz="4" w:space="0"/>
            </w:tcBorders>
            <w:shd w:val="clear" w:color="auto" w:fill="auto"/>
            <w:vAlign w:val="center"/>
          </w:tcPr>
          <w:p w14:paraId="055DBFF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1,905.35</w:t>
            </w:r>
          </w:p>
        </w:tc>
        <w:tc>
          <w:tcPr>
            <w:tcW w:w="3000" w:type="dxa"/>
            <w:tcBorders>
              <w:top w:val="nil"/>
              <w:left w:val="nil"/>
              <w:bottom w:val="nil"/>
              <w:right w:val="single" w:color="auto" w:sz="8" w:space="0"/>
            </w:tcBorders>
            <w:shd w:val="clear" w:color="auto" w:fill="auto"/>
            <w:vAlign w:val="center"/>
          </w:tcPr>
          <w:p w14:paraId="30C18FD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625.13</w:t>
            </w:r>
          </w:p>
        </w:tc>
      </w:tr>
      <w:tr w14:paraId="6C909B98">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0E7E5A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2210302</w:t>
            </w:r>
          </w:p>
        </w:tc>
        <w:tc>
          <w:tcPr>
            <w:tcW w:w="3527" w:type="dxa"/>
            <w:tcBorders>
              <w:top w:val="nil"/>
              <w:left w:val="nil"/>
              <w:bottom w:val="single" w:color="auto" w:sz="8" w:space="0"/>
              <w:right w:val="single" w:color="auto" w:sz="4" w:space="0"/>
            </w:tcBorders>
            <w:shd w:val="clear" w:color="auto" w:fill="auto"/>
            <w:vAlign w:val="center"/>
          </w:tcPr>
          <w:p w14:paraId="0B1640C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住房公积金管理</w:t>
            </w:r>
          </w:p>
        </w:tc>
        <w:tc>
          <w:tcPr>
            <w:tcW w:w="3000" w:type="dxa"/>
            <w:tcBorders>
              <w:top w:val="nil"/>
              <w:left w:val="nil"/>
              <w:bottom w:val="single" w:color="auto" w:sz="8" w:space="0"/>
              <w:right w:val="single" w:color="auto" w:sz="4" w:space="0"/>
            </w:tcBorders>
            <w:shd w:val="clear" w:color="auto" w:fill="auto"/>
            <w:vAlign w:val="center"/>
          </w:tcPr>
          <w:p w14:paraId="3D12F7B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2,530.47</w:t>
            </w:r>
          </w:p>
        </w:tc>
        <w:tc>
          <w:tcPr>
            <w:tcW w:w="3492" w:type="dxa"/>
            <w:tcBorders>
              <w:top w:val="nil"/>
              <w:left w:val="nil"/>
              <w:bottom w:val="single" w:color="auto" w:sz="8" w:space="0"/>
              <w:right w:val="single" w:color="auto" w:sz="4" w:space="0"/>
            </w:tcBorders>
            <w:shd w:val="clear" w:color="auto" w:fill="auto"/>
            <w:vAlign w:val="center"/>
          </w:tcPr>
          <w:p w14:paraId="0C23FBC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1,905.35</w:t>
            </w:r>
          </w:p>
        </w:tc>
        <w:tc>
          <w:tcPr>
            <w:tcW w:w="3000" w:type="dxa"/>
            <w:tcBorders>
              <w:top w:val="nil"/>
              <w:left w:val="nil"/>
              <w:bottom w:val="single" w:color="auto" w:sz="8" w:space="0"/>
              <w:right w:val="single" w:color="auto" w:sz="8" w:space="0"/>
            </w:tcBorders>
            <w:shd w:val="clear" w:color="auto" w:fill="auto"/>
            <w:vAlign w:val="center"/>
          </w:tcPr>
          <w:p w14:paraId="7576E5A2">
            <w:pPr>
              <w:widowControl/>
              <w:jc w:val="right"/>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625.13</w:t>
            </w:r>
          </w:p>
        </w:tc>
      </w:tr>
    </w:tbl>
    <w:p w14:paraId="332BC554">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32CFF7F">
      <w:pPr>
        <w:widowControl/>
        <w:jc w:val="left"/>
        <w:rPr>
          <w:rFonts w:hint="eastAsia" w:ascii="Times New Roman" w:hAnsi="Times New Roman" w:eastAsia="仿宋_GB2312" w:cs="Times New Roman"/>
          <w:bCs/>
          <w:kern w:val="0"/>
          <w:szCs w:val="21"/>
          <w:lang w:eastAsia="zh-CN"/>
        </w:rPr>
      </w:pPr>
    </w:p>
    <w:p w14:paraId="0465155E">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1378684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怀化市住房公积金管理中心</w:t>
      </w:r>
      <w:r>
        <w:rPr>
          <w:rFonts w:ascii="Times New Roman" w:hAnsi="Times New Roman" w:eastAsia="仿宋_GB2312" w:cs="Times New Roman"/>
          <w:color w:val="000000"/>
          <w:kern w:val="0"/>
          <w:szCs w:val="21"/>
        </w:rPr>
        <w:t xml:space="preserve">                                                                               公开06表</w:t>
      </w:r>
    </w:p>
    <w:p w14:paraId="795E55A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427"/>
        <w:gridCol w:w="1200"/>
        <w:gridCol w:w="1305"/>
        <w:gridCol w:w="2018"/>
        <w:gridCol w:w="933"/>
        <w:gridCol w:w="1217"/>
        <w:gridCol w:w="3274"/>
        <w:gridCol w:w="1172"/>
      </w:tblGrid>
      <w:tr w14:paraId="37E6A7BC">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F32CE3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427" w:type="dxa"/>
            <w:tcBorders>
              <w:top w:val="single" w:color="auto" w:sz="4" w:space="0"/>
              <w:left w:val="nil"/>
              <w:bottom w:val="single" w:color="auto" w:sz="4" w:space="0"/>
              <w:right w:val="single" w:color="auto" w:sz="4" w:space="0"/>
            </w:tcBorders>
            <w:shd w:val="clear" w:color="auto" w:fill="auto"/>
            <w:vAlign w:val="center"/>
          </w:tcPr>
          <w:p w14:paraId="08BBE12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00" w:type="dxa"/>
            <w:tcBorders>
              <w:top w:val="single" w:color="auto" w:sz="4" w:space="0"/>
              <w:left w:val="nil"/>
              <w:bottom w:val="single" w:color="auto" w:sz="4" w:space="0"/>
              <w:right w:val="single" w:color="auto" w:sz="4" w:space="0"/>
            </w:tcBorders>
            <w:shd w:val="clear" w:color="auto" w:fill="auto"/>
            <w:vAlign w:val="center"/>
          </w:tcPr>
          <w:p w14:paraId="4BAA295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305" w:type="dxa"/>
            <w:tcBorders>
              <w:top w:val="single" w:color="auto" w:sz="4" w:space="0"/>
              <w:left w:val="nil"/>
              <w:bottom w:val="single" w:color="auto" w:sz="4" w:space="0"/>
              <w:right w:val="single" w:color="auto" w:sz="4" w:space="0"/>
            </w:tcBorders>
            <w:shd w:val="clear" w:color="auto" w:fill="auto"/>
            <w:vAlign w:val="center"/>
          </w:tcPr>
          <w:p w14:paraId="7B9AAF8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174CE8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9D01CC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3F8C7D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274" w:type="dxa"/>
            <w:tcBorders>
              <w:top w:val="single" w:color="auto" w:sz="4" w:space="0"/>
              <w:left w:val="nil"/>
              <w:bottom w:val="single" w:color="auto" w:sz="4" w:space="0"/>
              <w:right w:val="single" w:color="auto" w:sz="4" w:space="0"/>
            </w:tcBorders>
            <w:shd w:val="clear" w:color="auto" w:fill="auto"/>
            <w:vAlign w:val="center"/>
          </w:tcPr>
          <w:p w14:paraId="4B7F5AF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72" w:type="dxa"/>
            <w:tcBorders>
              <w:top w:val="single" w:color="auto" w:sz="4" w:space="0"/>
              <w:left w:val="nil"/>
              <w:bottom w:val="single" w:color="auto" w:sz="4" w:space="0"/>
              <w:right w:val="single" w:color="auto" w:sz="4" w:space="0"/>
            </w:tcBorders>
            <w:shd w:val="clear" w:color="auto" w:fill="auto"/>
            <w:vAlign w:val="center"/>
          </w:tcPr>
          <w:p w14:paraId="36C0990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D39FD86">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E99B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427" w:type="dxa"/>
            <w:tcBorders>
              <w:top w:val="nil"/>
              <w:left w:val="nil"/>
              <w:bottom w:val="single" w:color="auto" w:sz="4" w:space="0"/>
              <w:right w:val="single" w:color="auto" w:sz="4" w:space="0"/>
            </w:tcBorders>
            <w:shd w:val="clear" w:color="auto" w:fill="auto"/>
            <w:noWrap/>
            <w:vAlign w:val="center"/>
          </w:tcPr>
          <w:p w14:paraId="2FBA62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200" w:type="dxa"/>
            <w:tcBorders>
              <w:top w:val="nil"/>
              <w:left w:val="nil"/>
              <w:bottom w:val="single" w:color="auto" w:sz="4" w:space="0"/>
              <w:right w:val="single" w:color="auto" w:sz="4" w:space="0"/>
            </w:tcBorders>
            <w:shd w:val="clear" w:color="auto" w:fill="auto"/>
            <w:noWrap/>
            <w:vAlign w:val="center"/>
          </w:tcPr>
          <w:p w14:paraId="0513DF8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1,625.82</w:t>
            </w:r>
          </w:p>
        </w:tc>
        <w:tc>
          <w:tcPr>
            <w:tcW w:w="1305" w:type="dxa"/>
            <w:tcBorders>
              <w:top w:val="nil"/>
              <w:left w:val="nil"/>
              <w:bottom w:val="single" w:color="auto" w:sz="4" w:space="0"/>
              <w:right w:val="single" w:color="auto" w:sz="4" w:space="0"/>
            </w:tcBorders>
            <w:shd w:val="clear" w:color="auto" w:fill="auto"/>
            <w:noWrap/>
            <w:vAlign w:val="center"/>
          </w:tcPr>
          <w:p w14:paraId="56E1F2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44817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50606B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284.39</w:t>
            </w:r>
          </w:p>
        </w:tc>
        <w:tc>
          <w:tcPr>
            <w:tcW w:w="1217" w:type="dxa"/>
            <w:tcBorders>
              <w:top w:val="nil"/>
              <w:left w:val="nil"/>
              <w:bottom w:val="single" w:color="auto" w:sz="4" w:space="0"/>
              <w:right w:val="single" w:color="auto" w:sz="4" w:space="0"/>
            </w:tcBorders>
            <w:shd w:val="clear" w:color="auto" w:fill="auto"/>
            <w:noWrap/>
            <w:vAlign w:val="center"/>
          </w:tcPr>
          <w:p w14:paraId="62F191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274" w:type="dxa"/>
            <w:tcBorders>
              <w:top w:val="nil"/>
              <w:left w:val="nil"/>
              <w:bottom w:val="single" w:color="auto" w:sz="4" w:space="0"/>
              <w:right w:val="single" w:color="auto" w:sz="4" w:space="0"/>
            </w:tcBorders>
            <w:shd w:val="clear" w:color="auto" w:fill="auto"/>
            <w:noWrap/>
            <w:vAlign w:val="center"/>
          </w:tcPr>
          <w:p w14:paraId="401151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172" w:type="dxa"/>
            <w:tcBorders>
              <w:top w:val="nil"/>
              <w:left w:val="nil"/>
              <w:bottom w:val="single" w:color="auto" w:sz="4" w:space="0"/>
              <w:right w:val="single" w:color="auto" w:sz="4" w:space="0"/>
            </w:tcBorders>
            <w:shd w:val="clear" w:color="auto" w:fill="auto"/>
            <w:noWrap/>
            <w:vAlign w:val="center"/>
          </w:tcPr>
          <w:p w14:paraId="08A773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329DFC4">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CC08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427" w:type="dxa"/>
            <w:tcBorders>
              <w:top w:val="nil"/>
              <w:left w:val="nil"/>
              <w:bottom w:val="single" w:color="auto" w:sz="4" w:space="0"/>
              <w:right w:val="single" w:color="auto" w:sz="4" w:space="0"/>
            </w:tcBorders>
            <w:shd w:val="clear" w:color="auto" w:fill="auto"/>
            <w:noWrap/>
            <w:vAlign w:val="center"/>
          </w:tcPr>
          <w:p w14:paraId="1D6370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200" w:type="dxa"/>
            <w:tcBorders>
              <w:top w:val="nil"/>
              <w:left w:val="nil"/>
              <w:bottom w:val="single" w:color="auto" w:sz="4" w:space="0"/>
              <w:right w:val="single" w:color="auto" w:sz="4" w:space="0"/>
            </w:tcBorders>
            <w:shd w:val="clear" w:color="auto" w:fill="auto"/>
            <w:noWrap/>
            <w:vAlign w:val="center"/>
          </w:tcPr>
          <w:p w14:paraId="3B8721F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505.63</w:t>
            </w:r>
          </w:p>
        </w:tc>
        <w:tc>
          <w:tcPr>
            <w:tcW w:w="1305" w:type="dxa"/>
            <w:tcBorders>
              <w:top w:val="nil"/>
              <w:left w:val="nil"/>
              <w:bottom w:val="single" w:color="auto" w:sz="4" w:space="0"/>
              <w:right w:val="single" w:color="auto" w:sz="4" w:space="0"/>
            </w:tcBorders>
            <w:shd w:val="clear" w:color="auto" w:fill="auto"/>
            <w:noWrap/>
            <w:vAlign w:val="center"/>
          </w:tcPr>
          <w:p w14:paraId="5C475A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6F9159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6B5EDBD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35.43</w:t>
            </w:r>
          </w:p>
        </w:tc>
        <w:tc>
          <w:tcPr>
            <w:tcW w:w="1217" w:type="dxa"/>
            <w:tcBorders>
              <w:top w:val="nil"/>
              <w:left w:val="nil"/>
              <w:bottom w:val="single" w:color="auto" w:sz="4" w:space="0"/>
              <w:right w:val="single" w:color="auto" w:sz="4" w:space="0"/>
            </w:tcBorders>
            <w:shd w:val="clear" w:color="auto" w:fill="auto"/>
            <w:noWrap/>
            <w:vAlign w:val="center"/>
          </w:tcPr>
          <w:p w14:paraId="10859B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274" w:type="dxa"/>
            <w:tcBorders>
              <w:top w:val="nil"/>
              <w:left w:val="nil"/>
              <w:bottom w:val="single" w:color="auto" w:sz="4" w:space="0"/>
              <w:right w:val="single" w:color="auto" w:sz="4" w:space="0"/>
            </w:tcBorders>
            <w:shd w:val="clear" w:color="auto" w:fill="auto"/>
            <w:noWrap/>
            <w:vAlign w:val="center"/>
          </w:tcPr>
          <w:p w14:paraId="4327A7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172" w:type="dxa"/>
            <w:tcBorders>
              <w:top w:val="nil"/>
              <w:left w:val="nil"/>
              <w:bottom w:val="single" w:color="auto" w:sz="4" w:space="0"/>
              <w:right w:val="single" w:color="auto" w:sz="4" w:space="0"/>
            </w:tcBorders>
            <w:shd w:val="clear" w:color="auto" w:fill="auto"/>
            <w:noWrap/>
            <w:vAlign w:val="center"/>
          </w:tcPr>
          <w:p w14:paraId="333A9C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F48ECA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5ECF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427" w:type="dxa"/>
            <w:tcBorders>
              <w:top w:val="nil"/>
              <w:left w:val="nil"/>
              <w:bottom w:val="single" w:color="auto" w:sz="4" w:space="0"/>
              <w:right w:val="single" w:color="auto" w:sz="4" w:space="0"/>
            </w:tcBorders>
            <w:shd w:val="clear" w:color="auto" w:fill="auto"/>
            <w:noWrap/>
            <w:vAlign w:val="center"/>
          </w:tcPr>
          <w:p w14:paraId="34A85E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200" w:type="dxa"/>
            <w:tcBorders>
              <w:top w:val="nil"/>
              <w:left w:val="nil"/>
              <w:bottom w:val="single" w:color="auto" w:sz="4" w:space="0"/>
              <w:right w:val="single" w:color="auto" w:sz="4" w:space="0"/>
            </w:tcBorders>
            <w:shd w:val="clear" w:color="auto" w:fill="auto"/>
            <w:noWrap/>
            <w:vAlign w:val="center"/>
          </w:tcPr>
          <w:p w14:paraId="5976978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5.08</w:t>
            </w:r>
          </w:p>
        </w:tc>
        <w:tc>
          <w:tcPr>
            <w:tcW w:w="1305" w:type="dxa"/>
            <w:tcBorders>
              <w:top w:val="nil"/>
              <w:left w:val="nil"/>
              <w:bottom w:val="single" w:color="auto" w:sz="4" w:space="0"/>
              <w:right w:val="single" w:color="auto" w:sz="4" w:space="0"/>
            </w:tcBorders>
            <w:shd w:val="clear" w:color="auto" w:fill="auto"/>
            <w:noWrap/>
            <w:vAlign w:val="center"/>
          </w:tcPr>
          <w:p w14:paraId="4BA433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00B28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3A78A78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1.51</w:t>
            </w:r>
          </w:p>
        </w:tc>
        <w:tc>
          <w:tcPr>
            <w:tcW w:w="1217" w:type="dxa"/>
            <w:tcBorders>
              <w:top w:val="nil"/>
              <w:left w:val="nil"/>
              <w:bottom w:val="single" w:color="auto" w:sz="4" w:space="0"/>
              <w:right w:val="single" w:color="auto" w:sz="4" w:space="0"/>
            </w:tcBorders>
            <w:shd w:val="clear" w:color="auto" w:fill="auto"/>
            <w:noWrap/>
            <w:vAlign w:val="center"/>
          </w:tcPr>
          <w:p w14:paraId="4E12F0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274" w:type="dxa"/>
            <w:tcBorders>
              <w:top w:val="nil"/>
              <w:left w:val="nil"/>
              <w:bottom w:val="single" w:color="auto" w:sz="4" w:space="0"/>
              <w:right w:val="single" w:color="auto" w:sz="4" w:space="0"/>
            </w:tcBorders>
            <w:shd w:val="clear" w:color="auto" w:fill="auto"/>
            <w:noWrap/>
            <w:vAlign w:val="center"/>
          </w:tcPr>
          <w:p w14:paraId="0B4F9C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172" w:type="dxa"/>
            <w:tcBorders>
              <w:top w:val="nil"/>
              <w:left w:val="nil"/>
              <w:bottom w:val="single" w:color="auto" w:sz="4" w:space="0"/>
              <w:right w:val="single" w:color="auto" w:sz="4" w:space="0"/>
            </w:tcBorders>
            <w:shd w:val="clear" w:color="auto" w:fill="auto"/>
            <w:noWrap/>
            <w:vAlign w:val="center"/>
          </w:tcPr>
          <w:p w14:paraId="12934CC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7B192B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D2DB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427" w:type="dxa"/>
            <w:tcBorders>
              <w:top w:val="nil"/>
              <w:left w:val="nil"/>
              <w:bottom w:val="single" w:color="auto" w:sz="4" w:space="0"/>
              <w:right w:val="single" w:color="auto" w:sz="4" w:space="0"/>
            </w:tcBorders>
            <w:shd w:val="clear" w:color="auto" w:fill="auto"/>
            <w:noWrap/>
            <w:vAlign w:val="center"/>
          </w:tcPr>
          <w:p w14:paraId="69E80C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200" w:type="dxa"/>
            <w:tcBorders>
              <w:top w:val="nil"/>
              <w:left w:val="nil"/>
              <w:bottom w:val="single" w:color="auto" w:sz="4" w:space="0"/>
              <w:right w:val="single" w:color="auto" w:sz="4" w:space="0"/>
            </w:tcBorders>
            <w:shd w:val="clear" w:color="auto" w:fill="auto"/>
            <w:noWrap/>
            <w:vAlign w:val="center"/>
          </w:tcPr>
          <w:p w14:paraId="4CF9FC5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350.56</w:t>
            </w:r>
          </w:p>
        </w:tc>
        <w:tc>
          <w:tcPr>
            <w:tcW w:w="1305" w:type="dxa"/>
            <w:tcBorders>
              <w:top w:val="nil"/>
              <w:left w:val="nil"/>
              <w:bottom w:val="single" w:color="auto" w:sz="4" w:space="0"/>
              <w:right w:val="single" w:color="auto" w:sz="4" w:space="0"/>
            </w:tcBorders>
            <w:shd w:val="clear" w:color="auto" w:fill="auto"/>
            <w:noWrap/>
            <w:vAlign w:val="center"/>
          </w:tcPr>
          <w:p w14:paraId="3A0BF4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751B08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6B0B4F7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66A3C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274" w:type="dxa"/>
            <w:tcBorders>
              <w:top w:val="nil"/>
              <w:left w:val="nil"/>
              <w:bottom w:val="single" w:color="auto" w:sz="4" w:space="0"/>
              <w:right w:val="single" w:color="auto" w:sz="4" w:space="0"/>
            </w:tcBorders>
            <w:shd w:val="clear" w:color="auto" w:fill="auto"/>
            <w:noWrap/>
            <w:vAlign w:val="center"/>
          </w:tcPr>
          <w:p w14:paraId="11401E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172" w:type="dxa"/>
            <w:tcBorders>
              <w:top w:val="nil"/>
              <w:left w:val="nil"/>
              <w:bottom w:val="single" w:color="auto" w:sz="4" w:space="0"/>
              <w:right w:val="single" w:color="auto" w:sz="4" w:space="0"/>
            </w:tcBorders>
            <w:shd w:val="clear" w:color="auto" w:fill="auto"/>
            <w:noWrap/>
            <w:vAlign w:val="center"/>
          </w:tcPr>
          <w:p w14:paraId="0E8F869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1.80</w:t>
            </w:r>
          </w:p>
        </w:tc>
      </w:tr>
      <w:tr w14:paraId="38D70AC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4A1B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427" w:type="dxa"/>
            <w:tcBorders>
              <w:top w:val="nil"/>
              <w:left w:val="nil"/>
              <w:bottom w:val="single" w:color="auto" w:sz="4" w:space="0"/>
              <w:right w:val="single" w:color="auto" w:sz="4" w:space="0"/>
            </w:tcBorders>
            <w:shd w:val="clear" w:color="auto" w:fill="auto"/>
            <w:noWrap/>
            <w:vAlign w:val="center"/>
          </w:tcPr>
          <w:p w14:paraId="4C69FA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200" w:type="dxa"/>
            <w:tcBorders>
              <w:top w:val="nil"/>
              <w:left w:val="nil"/>
              <w:bottom w:val="single" w:color="auto" w:sz="4" w:space="0"/>
              <w:right w:val="single" w:color="auto" w:sz="4" w:space="0"/>
            </w:tcBorders>
            <w:shd w:val="clear" w:color="auto" w:fill="auto"/>
            <w:noWrap/>
            <w:vAlign w:val="center"/>
          </w:tcPr>
          <w:p w14:paraId="6B031D3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152E80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7AE4CA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1F9BA3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0.01</w:t>
            </w:r>
          </w:p>
        </w:tc>
        <w:tc>
          <w:tcPr>
            <w:tcW w:w="1217" w:type="dxa"/>
            <w:tcBorders>
              <w:top w:val="nil"/>
              <w:left w:val="nil"/>
              <w:bottom w:val="single" w:color="auto" w:sz="4" w:space="0"/>
              <w:right w:val="single" w:color="auto" w:sz="4" w:space="0"/>
            </w:tcBorders>
            <w:shd w:val="clear" w:color="auto" w:fill="auto"/>
            <w:noWrap/>
            <w:vAlign w:val="center"/>
          </w:tcPr>
          <w:p w14:paraId="0B5466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274" w:type="dxa"/>
            <w:tcBorders>
              <w:top w:val="nil"/>
              <w:left w:val="nil"/>
              <w:bottom w:val="single" w:color="auto" w:sz="4" w:space="0"/>
              <w:right w:val="single" w:color="auto" w:sz="4" w:space="0"/>
            </w:tcBorders>
            <w:shd w:val="clear" w:color="auto" w:fill="auto"/>
            <w:noWrap/>
            <w:vAlign w:val="center"/>
          </w:tcPr>
          <w:p w14:paraId="4DA38F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172" w:type="dxa"/>
            <w:tcBorders>
              <w:top w:val="nil"/>
              <w:left w:val="nil"/>
              <w:bottom w:val="single" w:color="auto" w:sz="4" w:space="0"/>
              <w:right w:val="single" w:color="auto" w:sz="4" w:space="0"/>
            </w:tcBorders>
            <w:shd w:val="clear" w:color="auto" w:fill="auto"/>
            <w:noWrap/>
            <w:vAlign w:val="center"/>
          </w:tcPr>
          <w:p w14:paraId="7390718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B14734B">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75F7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427" w:type="dxa"/>
            <w:tcBorders>
              <w:top w:val="nil"/>
              <w:left w:val="nil"/>
              <w:bottom w:val="single" w:color="auto" w:sz="4" w:space="0"/>
              <w:right w:val="single" w:color="auto" w:sz="4" w:space="0"/>
            </w:tcBorders>
            <w:shd w:val="clear" w:color="auto" w:fill="auto"/>
            <w:noWrap/>
            <w:vAlign w:val="center"/>
          </w:tcPr>
          <w:p w14:paraId="193D8F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200" w:type="dxa"/>
            <w:tcBorders>
              <w:top w:val="nil"/>
              <w:left w:val="nil"/>
              <w:bottom w:val="single" w:color="auto" w:sz="4" w:space="0"/>
              <w:right w:val="single" w:color="auto" w:sz="4" w:space="0"/>
            </w:tcBorders>
            <w:shd w:val="clear" w:color="auto" w:fill="auto"/>
            <w:noWrap/>
            <w:vAlign w:val="center"/>
          </w:tcPr>
          <w:p w14:paraId="3E58493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282.33</w:t>
            </w:r>
          </w:p>
        </w:tc>
        <w:tc>
          <w:tcPr>
            <w:tcW w:w="1305" w:type="dxa"/>
            <w:tcBorders>
              <w:top w:val="nil"/>
              <w:left w:val="nil"/>
              <w:bottom w:val="single" w:color="auto" w:sz="4" w:space="0"/>
              <w:right w:val="single" w:color="auto" w:sz="4" w:space="0"/>
            </w:tcBorders>
            <w:shd w:val="clear" w:color="auto" w:fill="auto"/>
            <w:noWrap/>
            <w:vAlign w:val="center"/>
          </w:tcPr>
          <w:p w14:paraId="1CC21A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A115F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222C30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1.83</w:t>
            </w:r>
          </w:p>
        </w:tc>
        <w:tc>
          <w:tcPr>
            <w:tcW w:w="1217" w:type="dxa"/>
            <w:tcBorders>
              <w:top w:val="nil"/>
              <w:left w:val="nil"/>
              <w:bottom w:val="single" w:color="auto" w:sz="4" w:space="0"/>
              <w:right w:val="single" w:color="auto" w:sz="4" w:space="0"/>
            </w:tcBorders>
            <w:shd w:val="clear" w:color="auto" w:fill="auto"/>
            <w:noWrap/>
            <w:vAlign w:val="center"/>
          </w:tcPr>
          <w:p w14:paraId="3E1F39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274" w:type="dxa"/>
            <w:tcBorders>
              <w:top w:val="nil"/>
              <w:left w:val="nil"/>
              <w:bottom w:val="single" w:color="auto" w:sz="4" w:space="0"/>
              <w:right w:val="single" w:color="auto" w:sz="4" w:space="0"/>
            </w:tcBorders>
            <w:shd w:val="clear" w:color="auto" w:fill="auto"/>
            <w:noWrap/>
            <w:vAlign w:val="center"/>
          </w:tcPr>
          <w:p w14:paraId="7C042E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172" w:type="dxa"/>
            <w:tcBorders>
              <w:top w:val="nil"/>
              <w:left w:val="nil"/>
              <w:bottom w:val="single" w:color="auto" w:sz="4" w:space="0"/>
              <w:right w:val="single" w:color="auto" w:sz="4" w:space="0"/>
            </w:tcBorders>
            <w:shd w:val="clear" w:color="auto" w:fill="auto"/>
            <w:noWrap/>
            <w:vAlign w:val="center"/>
          </w:tcPr>
          <w:p w14:paraId="2152931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1.80</w:t>
            </w:r>
          </w:p>
        </w:tc>
      </w:tr>
      <w:tr w14:paraId="5B6806E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DBC2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427" w:type="dxa"/>
            <w:tcBorders>
              <w:top w:val="nil"/>
              <w:left w:val="nil"/>
              <w:bottom w:val="single" w:color="auto" w:sz="4" w:space="0"/>
              <w:right w:val="single" w:color="auto" w:sz="4" w:space="0"/>
            </w:tcBorders>
            <w:shd w:val="clear" w:color="auto" w:fill="auto"/>
            <w:noWrap/>
            <w:vAlign w:val="center"/>
          </w:tcPr>
          <w:p w14:paraId="1DA2A1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200" w:type="dxa"/>
            <w:tcBorders>
              <w:top w:val="nil"/>
              <w:left w:val="nil"/>
              <w:bottom w:val="single" w:color="auto" w:sz="4" w:space="0"/>
              <w:right w:val="single" w:color="auto" w:sz="4" w:space="0"/>
            </w:tcBorders>
            <w:shd w:val="clear" w:color="auto" w:fill="auto"/>
            <w:noWrap/>
            <w:vAlign w:val="center"/>
          </w:tcPr>
          <w:p w14:paraId="555CFF1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147.78</w:t>
            </w:r>
          </w:p>
        </w:tc>
        <w:tc>
          <w:tcPr>
            <w:tcW w:w="1305" w:type="dxa"/>
            <w:tcBorders>
              <w:top w:val="nil"/>
              <w:left w:val="nil"/>
              <w:bottom w:val="single" w:color="auto" w:sz="4" w:space="0"/>
              <w:right w:val="single" w:color="auto" w:sz="4" w:space="0"/>
            </w:tcBorders>
            <w:shd w:val="clear" w:color="auto" w:fill="auto"/>
            <w:noWrap/>
            <w:vAlign w:val="center"/>
          </w:tcPr>
          <w:p w14:paraId="240523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64AFC4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15159D1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26.08</w:t>
            </w:r>
          </w:p>
        </w:tc>
        <w:tc>
          <w:tcPr>
            <w:tcW w:w="1217" w:type="dxa"/>
            <w:tcBorders>
              <w:top w:val="nil"/>
              <w:left w:val="nil"/>
              <w:bottom w:val="single" w:color="auto" w:sz="4" w:space="0"/>
              <w:right w:val="single" w:color="auto" w:sz="4" w:space="0"/>
            </w:tcBorders>
            <w:shd w:val="clear" w:color="auto" w:fill="auto"/>
            <w:noWrap/>
            <w:vAlign w:val="center"/>
          </w:tcPr>
          <w:p w14:paraId="4E778C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274" w:type="dxa"/>
            <w:tcBorders>
              <w:top w:val="nil"/>
              <w:left w:val="nil"/>
              <w:bottom w:val="single" w:color="auto" w:sz="4" w:space="0"/>
              <w:right w:val="single" w:color="auto" w:sz="4" w:space="0"/>
            </w:tcBorders>
            <w:shd w:val="clear" w:color="auto" w:fill="auto"/>
            <w:noWrap/>
            <w:vAlign w:val="center"/>
          </w:tcPr>
          <w:p w14:paraId="47457C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172" w:type="dxa"/>
            <w:tcBorders>
              <w:top w:val="nil"/>
              <w:left w:val="nil"/>
              <w:bottom w:val="single" w:color="auto" w:sz="4" w:space="0"/>
              <w:right w:val="single" w:color="auto" w:sz="4" w:space="0"/>
            </w:tcBorders>
            <w:shd w:val="clear" w:color="auto" w:fill="auto"/>
            <w:noWrap/>
            <w:vAlign w:val="center"/>
          </w:tcPr>
          <w:p w14:paraId="7C877D8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BF87CC7">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F843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427" w:type="dxa"/>
            <w:tcBorders>
              <w:top w:val="nil"/>
              <w:left w:val="nil"/>
              <w:bottom w:val="single" w:color="auto" w:sz="4" w:space="0"/>
              <w:right w:val="single" w:color="auto" w:sz="4" w:space="0"/>
            </w:tcBorders>
            <w:shd w:val="clear" w:color="auto" w:fill="auto"/>
            <w:noWrap/>
            <w:vAlign w:val="center"/>
          </w:tcPr>
          <w:p w14:paraId="590312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200" w:type="dxa"/>
            <w:tcBorders>
              <w:top w:val="nil"/>
              <w:left w:val="nil"/>
              <w:bottom w:val="single" w:color="auto" w:sz="4" w:space="0"/>
              <w:right w:val="single" w:color="auto" w:sz="4" w:space="0"/>
            </w:tcBorders>
            <w:shd w:val="clear" w:color="auto" w:fill="auto"/>
            <w:noWrap/>
            <w:vAlign w:val="center"/>
          </w:tcPr>
          <w:p w14:paraId="59AFC5C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73.93</w:t>
            </w:r>
          </w:p>
        </w:tc>
        <w:tc>
          <w:tcPr>
            <w:tcW w:w="1305" w:type="dxa"/>
            <w:tcBorders>
              <w:top w:val="nil"/>
              <w:left w:val="nil"/>
              <w:bottom w:val="single" w:color="auto" w:sz="4" w:space="0"/>
              <w:right w:val="single" w:color="auto" w:sz="4" w:space="0"/>
            </w:tcBorders>
            <w:shd w:val="clear" w:color="auto" w:fill="auto"/>
            <w:noWrap/>
            <w:vAlign w:val="center"/>
          </w:tcPr>
          <w:p w14:paraId="60A842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365A0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7E1CD7D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4.70</w:t>
            </w:r>
          </w:p>
        </w:tc>
        <w:tc>
          <w:tcPr>
            <w:tcW w:w="1217" w:type="dxa"/>
            <w:tcBorders>
              <w:top w:val="nil"/>
              <w:left w:val="nil"/>
              <w:bottom w:val="single" w:color="auto" w:sz="4" w:space="0"/>
              <w:right w:val="single" w:color="auto" w:sz="4" w:space="0"/>
            </w:tcBorders>
            <w:shd w:val="clear" w:color="auto" w:fill="auto"/>
            <w:noWrap/>
            <w:vAlign w:val="center"/>
          </w:tcPr>
          <w:p w14:paraId="3AC32B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274" w:type="dxa"/>
            <w:tcBorders>
              <w:top w:val="nil"/>
              <w:left w:val="nil"/>
              <w:bottom w:val="single" w:color="auto" w:sz="4" w:space="0"/>
              <w:right w:val="single" w:color="auto" w:sz="4" w:space="0"/>
            </w:tcBorders>
            <w:shd w:val="clear" w:color="auto" w:fill="auto"/>
            <w:noWrap/>
            <w:vAlign w:val="center"/>
          </w:tcPr>
          <w:p w14:paraId="3C16C7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172" w:type="dxa"/>
            <w:tcBorders>
              <w:top w:val="nil"/>
              <w:left w:val="nil"/>
              <w:bottom w:val="single" w:color="auto" w:sz="4" w:space="0"/>
              <w:right w:val="single" w:color="auto" w:sz="4" w:space="0"/>
            </w:tcBorders>
            <w:shd w:val="clear" w:color="auto" w:fill="auto"/>
            <w:noWrap/>
            <w:vAlign w:val="center"/>
          </w:tcPr>
          <w:p w14:paraId="17574B2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25A906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7B0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427" w:type="dxa"/>
            <w:tcBorders>
              <w:top w:val="nil"/>
              <w:left w:val="nil"/>
              <w:bottom w:val="single" w:color="auto" w:sz="4" w:space="0"/>
              <w:right w:val="single" w:color="auto" w:sz="4" w:space="0"/>
            </w:tcBorders>
            <w:shd w:val="clear" w:color="auto" w:fill="auto"/>
            <w:noWrap/>
            <w:vAlign w:val="center"/>
          </w:tcPr>
          <w:p w14:paraId="199889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200" w:type="dxa"/>
            <w:tcBorders>
              <w:top w:val="nil"/>
              <w:left w:val="nil"/>
              <w:bottom w:val="single" w:color="auto" w:sz="4" w:space="0"/>
              <w:right w:val="single" w:color="auto" w:sz="4" w:space="0"/>
            </w:tcBorders>
            <w:shd w:val="clear" w:color="auto" w:fill="auto"/>
            <w:noWrap/>
            <w:vAlign w:val="center"/>
          </w:tcPr>
          <w:p w14:paraId="0D4DDD1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128.89</w:t>
            </w:r>
          </w:p>
        </w:tc>
        <w:tc>
          <w:tcPr>
            <w:tcW w:w="1305" w:type="dxa"/>
            <w:tcBorders>
              <w:top w:val="nil"/>
              <w:left w:val="nil"/>
              <w:bottom w:val="single" w:color="auto" w:sz="4" w:space="0"/>
              <w:right w:val="single" w:color="auto" w:sz="4" w:space="0"/>
            </w:tcBorders>
            <w:shd w:val="clear" w:color="auto" w:fill="auto"/>
            <w:noWrap/>
            <w:vAlign w:val="center"/>
          </w:tcPr>
          <w:p w14:paraId="757AB0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0818CA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3EAA716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C7A03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274" w:type="dxa"/>
            <w:tcBorders>
              <w:top w:val="nil"/>
              <w:left w:val="nil"/>
              <w:bottom w:val="single" w:color="auto" w:sz="4" w:space="0"/>
              <w:right w:val="single" w:color="auto" w:sz="4" w:space="0"/>
            </w:tcBorders>
            <w:shd w:val="clear" w:color="auto" w:fill="auto"/>
            <w:noWrap/>
            <w:vAlign w:val="center"/>
          </w:tcPr>
          <w:p w14:paraId="53DE4E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172" w:type="dxa"/>
            <w:tcBorders>
              <w:top w:val="nil"/>
              <w:left w:val="nil"/>
              <w:bottom w:val="single" w:color="auto" w:sz="4" w:space="0"/>
              <w:right w:val="single" w:color="auto" w:sz="4" w:space="0"/>
            </w:tcBorders>
            <w:shd w:val="clear" w:color="auto" w:fill="auto"/>
            <w:noWrap/>
            <w:vAlign w:val="center"/>
          </w:tcPr>
          <w:p w14:paraId="2BB008F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E222311">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D49B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427" w:type="dxa"/>
            <w:tcBorders>
              <w:top w:val="nil"/>
              <w:left w:val="nil"/>
              <w:bottom w:val="single" w:color="auto" w:sz="4" w:space="0"/>
              <w:right w:val="single" w:color="auto" w:sz="4" w:space="0"/>
            </w:tcBorders>
            <w:shd w:val="clear" w:color="auto" w:fill="auto"/>
            <w:noWrap/>
            <w:vAlign w:val="center"/>
          </w:tcPr>
          <w:p w14:paraId="7449EE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200" w:type="dxa"/>
            <w:tcBorders>
              <w:top w:val="nil"/>
              <w:left w:val="nil"/>
              <w:bottom w:val="single" w:color="auto" w:sz="4" w:space="0"/>
              <w:right w:val="single" w:color="auto" w:sz="4" w:space="0"/>
            </w:tcBorders>
            <w:shd w:val="clear" w:color="auto" w:fill="auto"/>
            <w:noWrap/>
            <w:vAlign w:val="center"/>
          </w:tcPr>
          <w:p w14:paraId="1D28D2A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1.74</w:t>
            </w:r>
          </w:p>
        </w:tc>
        <w:tc>
          <w:tcPr>
            <w:tcW w:w="1305" w:type="dxa"/>
            <w:tcBorders>
              <w:top w:val="nil"/>
              <w:left w:val="nil"/>
              <w:bottom w:val="single" w:color="auto" w:sz="4" w:space="0"/>
              <w:right w:val="single" w:color="auto" w:sz="4" w:space="0"/>
            </w:tcBorders>
            <w:shd w:val="clear" w:color="auto" w:fill="auto"/>
            <w:noWrap/>
            <w:vAlign w:val="center"/>
          </w:tcPr>
          <w:p w14:paraId="6B625F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146DFA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0AAC746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4.27</w:t>
            </w:r>
          </w:p>
        </w:tc>
        <w:tc>
          <w:tcPr>
            <w:tcW w:w="1217" w:type="dxa"/>
            <w:tcBorders>
              <w:top w:val="nil"/>
              <w:left w:val="nil"/>
              <w:bottom w:val="single" w:color="auto" w:sz="4" w:space="0"/>
              <w:right w:val="single" w:color="auto" w:sz="4" w:space="0"/>
            </w:tcBorders>
            <w:shd w:val="clear" w:color="auto" w:fill="auto"/>
            <w:noWrap/>
            <w:vAlign w:val="center"/>
          </w:tcPr>
          <w:p w14:paraId="70131E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274" w:type="dxa"/>
            <w:tcBorders>
              <w:top w:val="nil"/>
              <w:left w:val="nil"/>
              <w:bottom w:val="single" w:color="auto" w:sz="4" w:space="0"/>
              <w:right w:val="single" w:color="auto" w:sz="4" w:space="0"/>
            </w:tcBorders>
            <w:shd w:val="clear" w:color="auto" w:fill="auto"/>
            <w:noWrap/>
            <w:vAlign w:val="center"/>
          </w:tcPr>
          <w:p w14:paraId="38D21C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172" w:type="dxa"/>
            <w:tcBorders>
              <w:top w:val="nil"/>
              <w:left w:val="nil"/>
              <w:bottom w:val="single" w:color="auto" w:sz="4" w:space="0"/>
              <w:right w:val="single" w:color="auto" w:sz="4" w:space="0"/>
            </w:tcBorders>
            <w:shd w:val="clear" w:color="auto" w:fill="auto"/>
            <w:noWrap/>
            <w:vAlign w:val="center"/>
          </w:tcPr>
          <w:p w14:paraId="10183A1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176088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29B9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427" w:type="dxa"/>
            <w:tcBorders>
              <w:top w:val="nil"/>
              <w:left w:val="nil"/>
              <w:bottom w:val="single" w:color="auto" w:sz="4" w:space="0"/>
              <w:right w:val="single" w:color="auto" w:sz="4" w:space="0"/>
            </w:tcBorders>
            <w:shd w:val="clear" w:color="auto" w:fill="auto"/>
            <w:noWrap/>
            <w:vAlign w:val="center"/>
          </w:tcPr>
          <w:p w14:paraId="7D0BCE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200" w:type="dxa"/>
            <w:tcBorders>
              <w:top w:val="nil"/>
              <w:left w:val="nil"/>
              <w:bottom w:val="single" w:color="auto" w:sz="4" w:space="0"/>
              <w:right w:val="single" w:color="auto" w:sz="4" w:space="0"/>
            </w:tcBorders>
            <w:shd w:val="clear" w:color="auto" w:fill="auto"/>
            <w:noWrap/>
            <w:vAlign w:val="center"/>
          </w:tcPr>
          <w:p w14:paraId="33D397B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11.71</w:t>
            </w:r>
          </w:p>
        </w:tc>
        <w:tc>
          <w:tcPr>
            <w:tcW w:w="1305" w:type="dxa"/>
            <w:tcBorders>
              <w:top w:val="nil"/>
              <w:left w:val="nil"/>
              <w:bottom w:val="single" w:color="auto" w:sz="4" w:space="0"/>
              <w:right w:val="single" w:color="auto" w:sz="4" w:space="0"/>
            </w:tcBorders>
            <w:shd w:val="clear" w:color="auto" w:fill="auto"/>
            <w:noWrap/>
            <w:vAlign w:val="center"/>
          </w:tcPr>
          <w:p w14:paraId="580D2B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325D2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BA5F6D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12.24</w:t>
            </w:r>
          </w:p>
        </w:tc>
        <w:tc>
          <w:tcPr>
            <w:tcW w:w="1217" w:type="dxa"/>
            <w:tcBorders>
              <w:top w:val="nil"/>
              <w:left w:val="nil"/>
              <w:bottom w:val="single" w:color="auto" w:sz="4" w:space="0"/>
              <w:right w:val="single" w:color="auto" w:sz="4" w:space="0"/>
            </w:tcBorders>
            <w:shd w:val="clear" w:color="auto" w:fill="auto"/>
            <w:noWrap/>
            <w:vAlign w:val="center"/>
          </w:tcPr>
          <w:p w14:paraId="705D12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274" w:type="dxa"/>
            <w:tcBorders>
              <w:top w:val="nil"/>
              <w:left w:val="nil"/>
              <w:bottom w:val="single" w:color="auto" w:sz="4" w:space="0"/>
              <w:right w:val="single" w:color="auto" w:sz="4" w:space="0"/>
            </w:tcBorders>
            <w:shd w:val="clear" w:color="auto" w:fill="auto"/>
            <w:noWrap/>
            <w:vAlign w:val="center"/>
          </w:tcPr>
          <w:p w14:paraId="54F3C7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172" w:type="dxa"/>
            <w:tcBorders>
              <w:top w:val="nil"/>
              <w:left w:val="nil"/>
              <w:bottom w:val="single" w:color="auto" w:sz="4" w:space="0"/>
              <w:right w:val="single" w:color="auto" w:sz="4" w:space="0"/>
            </w:tcBorders>
            <w:shd w:val="clear" w:color="auto" w:fill="auto"/>
            <w:noWrap/>
            <w:vAlign w:val="center"/>
          </w:tcPr>
          <w:p w14:paraId="25215B7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5F779E9">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4F81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427" w:type="dxa"/>
            <w:tcBorders>
              <w:top w:val="nil"/>
              <w:left w:val="nil"/>
              <w:bottom w:val="single" w:color="auto" w:sz="4" w:space="0"/>
              <w:right w:val="single" w:color="auto" w:sz="4" w:space="0"/>
            </w:tcBorders>
            <w:shd w:val="clear" w:color="auto" w:fill="auto"/>
            <w:noWrap/>
            <w:vAlign w:val="center"/>
          </w:tcPr>
          <w:p w14:paraId="0F2BD8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200" w:type="dxa"/>
            <w:tcBorders>
              <w:top w:val="nil"/>
              <w:left w:val="nil"/>
              <w:bottom w:val="single" w:color="auto" w:sz="4" w:space="0"/>
              <w:right w:val="single" w:color="auto" w:sz="4" w:space="0"/>
            </w:tcBorders>
            <w:shd w:val="clear" w:color="auto" w:fill="auto"/>
            <w:noWrap/>
            <w:vAlign w:val="center"/>
          </w:tcPr>
          <w:p w14:paraId="033F138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118.16</w:t>
            </w:r>
          </w:p>
        </w:tc>
        <w:tc>
          <w:tcPr>
            <w:tcW w:w="1305" w:type="dxa"/>
            <w:tcBorders>
              <w:top w:val="nil"/>
              <w:left w:val="nil"/>
              <w:bottom w:val="single" w:color="auto" w:sz="4" w:space="0"/>
              <w:right w:val="single" w:color="auto" w:sz="4" w:space="0"/>
            </w:tcBorders>
            <w:shd w:val="clear" w:color="auto" w:fill="auto"/>
            <w:noWrap/>
            <w:vAlign w:val="center"/>
          </w:tcPr>
          <w:p w14:paraId="714813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4A2A7D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13F53A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7285C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274" w:type="dxa"/>
            <w:tcBorders>
              <w:top w:val="nil"/>
              <w:left w:val="nil"/>
              <w:bottom w:val="single" w:color="auto" w:sz="4" w:space="0"/>
              <w:right w:val="single" w:color="auto" w:sz="4" w:space="0"/>
            </w:tcBorders>
            <w:shd w:val="clear" w:color="auto" w:fill="auto"/>
            <w:noWrap/>
            <w:vAlign w:val="center"/>
          </w:tcPr>
          <w:p w14:paraId="511CBA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172" w:type="dxa"/>
            <w:tcBorders>
              <w:top w:val="nil"/>
              <w:left w:val="nil"/>
              <w:bottom w:val="single" w:color="auto" w:sz="4" w:space="0"/>
              <w:right w:val="single" w:color="auto" w:sz="4" w:space="0"/>
            </w:tcBorders>
            <w:shd w:val="clear" w:color="auto" w:fill="auto"/>
            <w:noWrap/>
            <w:vAlign w:val="center"/>
          </w:tcPr>
          <w:p w14:paraId="3F28AC6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8FEA1B2">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8F10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427" w:type="dxa"/>
            <w:tcBorders>
              <w:top w:val="nil"/>
              <w:left w:val="nil"/>
              <w:bottom w:val="single" w:color="auto" w:sz="4" w:space="0"/>
              <w:right w:val="single" w:color="auto" w:sz="4" w:space="0"/>
            </w:tcBorders>
            <w:shd w:val="clear" w:color="auto" w:fill="auto"/>
            <w:noWrap/>
            <w:vAlign w:val="center"/>
          </w:tcPr>
          <w:p w14:paraId="657151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200" w:type="dxa"/>
            <w:tcBorders>
              <w:top w:val="nil"/>
              <w:left w:val="nil"/>
              <w:bottom w:val="single" w:color="auto" w:sz="4" w:space="0"/>
              <w:right w:val="single" w:color="auto" w:sz="4" w:space="0"/>
            </w:tcBorders>
            <w:shd w:val="clear" w:color="auto" w:fill="auto"/>
            <w:noWrap/>
            <w:vAlign w:val="center"/>
          </w:tcPr>
          <w:p w14:paraId="6115B4F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278181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A08BE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6FA040E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3.45</w:t>
            </w:r>
          </w:p>
        </w:tc>
        <w:tc>
          <w:tcPr>
            <w:tcW w:w="1217" w:type="dxa"/>
            <w:tcBorders>
              <w:top w:val="nil"/>
              <w:left w:val="nil"/>
              <w:bottom w:val="single" w:color="auto" w:sz="4" w:space="0"/>
              <w:right w:val="single" w:color="auto" w:sz="4" w:space="0"/>
            </w:tcBorders>
            <w:shd w:val="clear" w:color="auto" w:fill="auto"/>
            <w:noWrap/>
            <w:vAlign w:val="center"/>
          </w:tcPr>
          <w:p w14:paraId="169F4C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274" w:type="dxa"/>
            <w:tcBorders>
              <w:top w:val="nil"/>
              <w:left w:val="nil"/>
              <w:bottom w:val="single" w:color="auto" w:sz="4" w:space="0"/>
              <w:right w:val="single" w:color="auto" w:sz="4" w:space="0"/>
            </w:tcBorders>
            <w:shd w:val="clear" w:color="auto" w:fill="auto"/>
            <w:noWrap/>
            <w:vAlign w:val="center"/>
          </w:tcPr>
          <w:p w14:paraId="4A4A8F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172" w:type="dxa"/>
            <w:tcBorders>
              <w:top w:val="nil"/>
              <w:left w:val="nil"/>
              <w:bottom w:val="single" w:color="auto" w:sz="4" w:space="0"/>
              <w:right w:val="single" w:color="auto" w:sz="4" w:space="0"/>
            </w:tcBorders>
            <w:shd w:val="clear" w:color="auto" w:fill="auto"/>
            <w:noWrap/>
            <w:vAlign w:val="center"/>
          </w:tcPr>
          <w:p w14:paraId="567C3A6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8533FB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BFBE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427" w:type="dxa"/>
            <w:tcBorders>
              <w:top w:val="nil"/>
              <w:left w:val="nil"/>
              <w:bottom w:val="single" w:color="auto" w:sz="4" w:space="0"/>
              <w:right w:val="single" w:color="auto" w:sz="4" w:space="0"/>
            </w:tcBorders>
            <w:shd w:val="clear" w:color="auto" w:fill="auto"/>
            <w:noWrap/>
            <w:vAlign w:val="center"/>
          </w:tcPr>
          <w:p w14:paraId="568C3C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200" w:type="dxa"/>
            <w:tcBorders>
              <w:top w:val="nil"/>
              <w:left w:val="nil"/>
              <w:bottom w:val="single" w:color="auto" w:sz="4" w:space="0"/>
              <w:right w:val="single" w:color="auto" w:sz="4" w:space="0"/>
            </w:tcBorders>
            <w:shd w:val="clear" w:color="auto" w:fill="auto"/>
            <w:noWrap/>
            <w:vAlign w:val="center"/>
          </w:tcPr>
          <w:p w14:paraId="2A662B4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439407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3D1A80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2E802F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0.91</w:t>
            </w:r>
          </w:p>
        </w:tc>
        <w:tc>
          <w:tcPr>
            <w:tcW w:w="1217" w:type="dxa"/>
            <w:tcBorders>
              <w:top w:val="nil"/>
              <w:left w:val="nil"/>
              <w:bottom w:val="single" w:color="auto" w:sz="4" w:space="0"/>
              <w:right w:val="single" w:color="auto" w:sz="4" w:space="0"/>
            </w:tcBorders>
            <w:shd w:val="clear" w:color="auto" w:fill="auto"/>
            <w:noWrap/>
            <w:vAlign w:val="center"/>
          </w:tcPr>
          <w:p w14:paraId="08EA43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274" w:type="dxa"/>
            <w:tcBorders>
              <w:top w:val="nil"/>
              <w:left w:val="nil"/>
              <w:bottom w:val="single" w:color="auto" w:sz="4" w:space="0"/>
              <w:right w:val="single" w:color="auto" w:sz="4" w:space="0"/>
            </w:tcBorders>
            <w:shd w:val="clear" w:color="auto" w:fill="auto"/>
            <w:noWrap/>
            <w:vAlign w:val="center"/>
          </w:tcPr>
          <w:p w14:paraId="4F8BCA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172" w:type="dxa"/>
            <w:tcBorders>
              <w:top w:val="nil"/>
              <w:left w:val="nil"/>
              <w:bottom w:val="single" w:color="auto" w:sz="4" w:space="0"/>
              <w:right w:val="single" w:color="auto" w:sz="4" w:space="0"/>
            </w:tcBorders>
            <w:shd w:val="clear" w:color="auto" w:fill="auto"/>
            <w:noWrap/>
            <w:vAlign w:val="center"/>
          </w:tcPr>
          <w:p w14:paraId="2BD5DD6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E88F41C">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9301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427" w:type="dxa"/>
            <w:tcBorders>
              <w:top w:val="nil"/>
              <w:left w:val="nil"/>
              <w:bottom w:val="single" w:color="auto" w:sz="4" w:space="0"/>
              <w:right w:val="single" w:color="auto" w:sz="4" w:space="0"/>
            </w:tcBorders>
            <w:shd w:val="clear" w:color="auto" w:fill="auto"/>
            <w:noWrap/>
            <w:vAlign w:val="center"/>
          </w:tcPr>
          <w:p w14:paraId="4CEB5D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200" w:type="dxa"/>
            <w:tcBorders>
              <w:top w:val="nil"/>
              <w:left w:val="nil"/>
              <w:bottom w:val="single" w:color="auto" w:sz="4" w:space="0"/>
              <w:right w:val="single" w:color="auto" w:sz="4" w:space="0"/>
            </w:tcBorders>
            <w:shd w:val="clear" w:color="auto" w:fill="auto"/>
            <w:noWrap/>
            <w:vAlign w:val="center"/>
          </w:tcPr>
          <w:p w14:paraId="099912C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67.59</w:t>
            </w:r>
          </w:p>
        </w:tc>
        <w:tc>
          <w:tcPr>
            <w:tcW w:w="1305" w:type="dxa"/>
            <w:tcBorders>
              <w:top w:val="nil"/>
              <w:left w:val="nil"/>
              <w:bottom w:val="single" w:color="auto" w:sz="4" w:space="0"/>
              <w:right w:val="single" w:color="auto" w:sz="4" w:space="0"/>
            </w:tcBorders>
            <w:shd w:val="clear" w:color="auto" w:fill="auto"/>
            <w:noWrap/>
            <w:vAlign w:val="center"/>
          </w:tcPr>
          <w:p w14:paraId="7D569E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07A50D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28C14B5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0.29</w:t>
            </w:r>
          </w:p>
        </w:tc>
        <w:tc>
          <w:tcPr>
            <w:tcW w:w="1217" w:type="dxa"/>
            <w:tcBorders>
              <w:top w:val="nil"/>
              <w:left w:val="nil"/>
              <w:bottom w:val="single" w:color="auto" w:sz="4" w:space="0"/>
              <w:right w:val="single" w:color="auto" w:sz="4" w:space="0"/>
            </w:tcBorders>
            <w:shd w:val="clear" w:color="auto" w:fill="auto"/>
            <w:noWrap/>
            <w:vAlign w:val="center"/>
          </w:tcPr>
          <w:p w14:paraId="15D34D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274" w:type="dxa"/>
            <w:tcBorders>
              <w:top w:val="nil"/>
              <w:left w:val="nil"/>
              <w:bottom w:val="single" w:color="auto" w:sz="4" w:space="0"/>
              <w:right w:val="single" w:color="auto" w:sz="4" w:space="0"/>
            </w:tcBorders>
            <w:shd w:val="clear" w:color="auto" w:fill="auto"/>
            <w:noWrap/>
            <w:vAlign w:val="center"/>
          </w:tcPr>
          <w:p w14:paraId="4C432C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172" w:type="dxa"/>
            <w:tcBorders>
              <w:top w:val="nil"/>
              <w:left w:val="nil"/>
              <w:bottom w:val="single" w:color="auto" w:sz="4" w:space="0"/>
              <w:right w:val="single" w:color="auto" w:sz="4" w:space="0"/>
            </w:tcBorders>
            <w:shd w:val="clear" w:color="auto" w:fill="auto"/>
            <w:noWrap/>
            <w:vAlign w:val="center"/>
          </w:tcPr>
          <w:p w14:paraId="270B5A8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A8468BA">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19C6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427" w:type="dxa"/>
            <w:tcBorders>
              <w:top w:val="nil"/>
              <w:left w:val="nil"/>
              <w:bottom w:val="single" w:color="auto" w:sz="4" w:space="0"/>
              <w:right w:val="single" w:color="auto" w:sz="4" w:space="0"/>
            </w:tcBorders>
            <w:shd w:val="clear" w:color="auto" w:fill="auto"/>
            <w:noWrap/>
            <w:vAlign w:val="center"/>
          </w:tcPr>
          <w:p w14:paraId="094921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200" w:type="dxa"/>
            <w:tcBorders>
              <w:top w:val="nil"/>
              <w:left w:val="nil"/>
              <w:bottom w:val="single" w:color="auto" w:sz="4" w:space="0"/>
              <w:right w:val="single" w:color="auto" w:sz="4" w:space="0"/>
            </w:tcBorders>
            <w:shd w:val="clear" w:color="auto" w:fill="auto"/>
            <w:noWrap/>
            <w:vAlign w:val="center"/>
          </w:tcPr>
          <w:p w14:paraId="77BF024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27F3C3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0CEC4F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709A371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1.71</w:t>
            </w:r>
          </w:p>
        </w:tc>
        <w:tc>
          <w:tcPr>
            <w:tcW w:w="1217" w:type="dxa"/>
            <w:tcBorders>
              <w:top w:val="nil"/>
              <w:left w:val="nil"/>
              <w:bottom w:val="single" w:color="auto" w:sz="4" w:space="0"/>
              <w:right w:val="single" w:color="auto" w:sz="4" w:space="0"/>
            </w:tcBorders>
            <w:shd w:val="clear" w:color="auto" w:fill="auto"/>
            <w:noWrap/>
            <w:vAlign w:val="center"/>
          </w:tcPr>
          <w:p w14:paraId="300F77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274" w:type="dxa"/>
            <w:tcBorders>
              <w:top w:val="nil"/>
              <w:left w:val="nil"/>
              <w:bottom w:val="single" w:color="auto" w:sz="4" w:space="0"/>
              <w:right w:val="single" w:color="auto" w:sz="4" w:space="0"/>
            </w:tcBorders>
            <w:shd w:val="clear" w:color="auto" w:fill="auto"/>
            <w:noWrap/>
            <w:vAlign w:val="center"/>
          </w:tcPr>
          <w:p w14:paraId="55FA5D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172" w:type="dxa"/>
            <w:tcBorders>
              <w:top w:val="nil"/>
              <w:left w:val="nil"/>
              <w:bottom w:val="single" w:color="auto" w:sz="4" w:space="0"/>
              <w:right w:val="single" w:color="auto" w:sz="4" w:space="0"/>
            </w:tcBorders>
            <w:shd w:val="clear" w:color="auto" w:fill="auto"/>
            <w:noWrap/>
            <w:vAlign w:val="center"/>
          </w:tcPr>
          <w:p w14:paraId="33C53DB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1D08B64">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CD17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427" w:type="dxa"/>
            <w:tcBorders>
              <w:top w:val="nil"/>
              <w:left w:val="nil"/>
              <w:bottom w:val="single" w:color="auto" w:sz="4" w:space="0"/>
              <w:right w:val="single" w:color="auto" w:sz="4" w:space="0"/>
            </w:tcBorders>
            <w:shd w:val="clear" w:color="auto" w:fill="auto"/>
            <w:noWrap/>
            <w:vAlign w:val="center"/>
          </w:tcPr>
          <w:p w14:paraId="41775F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200" w:type="dxa"/>
            <w:tcBorders>
              <w:top w:val="nil"/>
              <w:left w:val="nil"/>
              <w:bottom w:val="single" w:color="auto" w:sz="4" w:space="0"/>
              <w:right w:val="single" w:color="auto" w:sz="4" w:space="0"/>
            </w:tcBorders>
            <w:shd w:val="clear" w:color="auto" w:fill="auto"/>
            <w:noWrap/>
            <w:vAlign w:val="center"/>
          </w:tcPr>
          <w:p w14:paraId="18EE29D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2.87</w:t>
            </w:r>
          </w:p>
        </w:tc>
        <w:tc>
          <w:tcPr>
            <w:tcW w:w="1305" w:type="dxa"/>
            <w:tcBorders>
              <w:top w:val="nil"/>
              <w:left w:val="nil"/>
              <w:bottom w:val="single" w:color="auto" w:sz="4" w:space="0"/>
              <w:right w:val="single" w:color="auto" w:sz="4" w:space="0"/>
            </w:tcBorders>
            <w:shd w:val="clear" w:color="auto" w:fill="auto"/>
            <w:noWrap/>
            <w:vAlign w:val="center"/>
          </w:tcPr>
          <w:p w14:paraId="77C87C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7F8176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6803CAC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0940D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274" w:type="dxa"/>
            <w:tcBorders>
              <w:top w:val="nil"/>
              <w:left w:val="nil"/>
              <w:bottom w:val="single" w:color="auto" w:sz="4" w:space="0"/>
              <w:right w:val="single" w:color="auto" w:sz="4" w:space="0"/>
            </w:tcBorders>
            <w:shd w:val="clear" w:color="auto" w:fill="auto"/>
            <w:noWrap/>
            <w:vAlign w:val="center"/>
          </w:tcPr>
          <w:p w14:paraId="74D46C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172" w:type="dxa"/>
            <w:tcBorders>
              <w:top w:val="nil"/>
              <w:left w:val="nil"/>
              <w:bottom w:val="single" w:color="auto" w:sz="4" w:space="0"/>
              <w:right w:val="single" w:color="auto" w:sz="4" w:space="0"/>
            </w:tcBorders>
            <w:shd w:val="clear" w:color="auto" w:fill="auto"/>
            <w:noWrap/>
            <w:vAlign w:val="center"/>
          </w:tcPr>
          <w:p w14:paraId="02FD737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CDE9722">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2887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427" w:type="dxa"/>
            <w:tcBorders>
              <w:top w:val="nil"/>
              <w:left w:val="nil"/>
              <w:bottom w:val="single" w:color="auto" w:sz="4" w:space="0"/>
              <w:right w:val="single" w:color="auto" w:sz="4" w:space="0"/>
            </w:tcBorders>
            <w:shd w:val="clear" w:color="auto" w:fill="auto"/>
            <w:noWrap/>
            <w:vAlign w:val="center"/>
          </w:tcPr>
          <w:p w14:paraId="6BAA38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200" w:type="dxa"/>
            <w:tcBorders>
              <w:top w:val="nil"/>
              <w:left w:val="nil"/>
              <w:bottom w:val="single" w:color="auto" w:sz="4" w:space="0"/>
              <w:right w:val="single" w:color="auto" w:sz="4" w:space="0"/>
            </w:tcBorders>
            <w:shd w:val="clear" w:color="auto" w:fill="auto"/>
            <w:noWrap/>
            <w:vAlign w:val="center"/>
          </w:tcPr>
          <w:p w14:paraId="796563E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329C29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4F362E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4A1AE41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59CC1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274" w:type="dxa"/>
            <w:tcBorders>
              <w:top w:val="nil"/>
              <w:left w:val="nil"/>
              <w:bottom w:val="single" w:color="auto" w:sz="4" w:space="0"/>
              <w:right w:val="single" w:color="auto" w:sz="4" w:space="0"/>
            </w:tcBorders>
            <w:shd w:val="clear" w:color="auto" w:fill="auto"/>
            <w:noWrap/>
            <w:vAlign w:val="center"/>
          </w:tcPr>
          <w:p w14:paraId="708962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172" w:type="dxa"/>
            <w:tcBorders>
              <w:top w:val="nil"/>
              <w:left w:val="nil"/>
              <w:bottom w:val="single" w:color="auto" w:sz="4" w:space="0"/>
              <w:right w:val="single" w:color="auto" w:sz="4" w:space="0"/>
            </w:tcBorders>
            <w:shd w:val="clear" w:color="auto" w:fill="auto"/>
            <w:noWrap/>
            <w:vAlign w:val="center"/>
          </w:tcPr>
          <w:p w14:paraId="58A686F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83F9667">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CDB9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427" w:type="dxa"/>
            <w:tcBorders>
              <w:top w:val="nil"/>
              <w:left w:val="nil"/>
              <w:bottom w:val="single" w:color="auto" w:sz="4" w:space="0"/>
              <w:right w:val="single" w:color="auto" w:sz="4" w:space="0"/>
            </w:tcBorders>
            <w:shd w:val="clear" w:color="auto" w:fill="auto"/>
            <w:noWrap/>
            <w:vAlign w:val="center"/>
          </w:tcPr>
          <w:p w14:paraId="75A695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200" w:type="dxa"/>
            <w:tcBorders>
              <w:top w:val="nil"/>
              <w:left w:val="nil"/>
              <w:bottom w:val="single" w:color="auto" w:sz="4" w:space="0"/>
              <w:right w:val="single" w:color="auto" w:sz="4" w:space="0"/>
            </w:tcBorders>
            <w:shd w:val="clear" w:color="auto" w:fill="auto"/>
            <w:noWrap/>
            <w:vAlign w:val="center"/>
          </w:tcPr>
          <w:p w14:paraId="5F7C405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6C2F58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1119F1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4FBF04D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014AF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274" w:type="dxa"/>
            <w:tcBorders>
              <w:top w:val="nil"/>
              <w:left w:val="nil"/>
              <w:bottom w:val="single" w:color="auto" w:sz="4" w:space="0"/>
              <w:right w:val="single" w:color="auto" w:sz="4" w:space="0"/>
            </w:tcBorders>
            <w:shd w:val="clear" w:color="auto" w:fill="auto"/>
            <w:noWrap/>
            <w:vAlign w:val="center"/>
          </w:tcPr>
          <w:p w14:paraId="55154C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172" w:type="dxa"/>
            <w:tcBorders>
              <w:top w:val="nil"/>
              <w:left w:val="nil"/>
              <w:bottom w:val="single" w:color="auto" w:sz="4" w:space="0"/>
              <w:right w:val="single" w:color="auto" w:sz="4" w:space="0"/>
            </w:tcBorders>
            <w:shd w:val="clear" w:color="auto" w:fill="auto"/>
            <w:noWrap/>
            <w:vAlign w:val="center"/>
          </w:tcPr>
          <w:p w14:paraId="5C8466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021E66C">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00F2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427" w:type="dxa"/>
            <w:tcBorders>
              <w:top w:val="nil"/>
              <w:left w:val="nil"/>
              <w:bottom w:val="single" w:color="auto" w:sz="4" w:space="0"/>
              <w:right w:val="single" w:color="auto" w:sz="4" w:space="0"/>
            </w:tcBorders>
            <w:shd w:val="clear" w:color="auto" w:fill="auto"/>
            <w:noWrap/>
            <w:vAlign w:val="center"/>
          </w:tcPr>
          <w:p w14:paraId="32B860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200" w:type="dxa"/>
            <w:tcBorders>
              <w:top w:val="nil"/>
              <w:left w:val="nil"/>
              <w:bottom w:val="single" w:color="auto" w:sz="4" w:space="0"/>
              <w:right w:val="single" w:color="auto" w:sz="4" w:space="0"/>
            </w:tcBorders>
            <w:shd w:val="clear" w:color="auto" w:fill="auto"/>
            <w:noWrap/>
            <w:vAlign w:val="center"/>
          </w:tcPr>
          <w:p w14:paraId="2390B4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61.84</w:t>
            </w:r>
          </w:p>
        </w:tc>
        <w:tc>
          <w:tcPr>
            <w:tcW w:w="1305" w:type="dxa"/>
            <w:tcBorders>
              <w:top w:val="nil"/>
              <w:left w:val="nil"/>
              <w:bottom w:val="single" w:color="auto" w:sz="4" w:space="0"/>
              <w:right w:val="single" w:color="auto" w:sz="4" w:space="0"/>
            </w:tcBorders>
            <w:shd w:val="clear" w:color="auto" w:fill="auto"/>
            <w:noWrap/>
            <w:vAlign w:val="center"/>
          </w:tcPr>
          <w:p w14:paraId="355449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2587AA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06B22A9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0AF5A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274" w:type="dxa"/>
            <w:tcBorders>
              <w:top w:val="nil"/>
              <w:left w:val="nil"/>
              <w:bottom w:val="single" w:color="auto" w:sz="4" w:space="0"/>
              <w:right w:val="single" w:color="auto" w:sz="4" w:space="0"/>
            </w:tcBorders>
            <w:shd w:val="clear" w:color="auto" w:fill="auto"/>
            <w:noWrap/>
            <w:vAlign w:val="center"/>
          </w:tcPr>
          <w:p w14:paraId="0E9D79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172" w:type="dxa"/>
            <w:tcBorders>
              <w:top w:val="nil"/>
              <w:left w:val="nil"/>
              <w:bottom w:val="single" w:color="auto" w:sz="4" w:space="0"/>
              <w:right w:val="single" w:color="auto" w:sz="4" w:space="0"/>
            </w:tcBorders>
            <w:shd w:val="clear" w:color="auto" w:fill="auto"/>
            <w:noWrap/>
            <w:vAlign w:val="center"/>
          </w:tcPr>
          <w:p w14:paraId="7357EDB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46B707C">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0C99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427" w:type="dxa"/>
            <w:tcBorders>
              <w:top w:val="nil"/>
              <w:left w:val="nil"/>
              <w:bottom w:val="single" w:color="auto" w:sz="4" w:space="0"/>
              <w:right w:val="single" w:color="auto" w:sz="4" w:space="0"/>
            </w:tcBorders>
            <w:shd w:val="clear" w:color="auto" w:fill="auto"/>
            <w:noWrap/>
            <w:vAlign w:val="center"/>
          </w:tcPr>
          <w:p w14:paraId="4545B8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200" w:type="dxa"/>
            <w:tcBorders>
              <w:top w:val="nil"/>
              <w:left w:val="nil"/>
              <w:bottom w:val="single" w:color="auto" w:sz="4" w:space="0"/>
              <w:right w:val="single" w:color="auto" w:sz="4" w:space="0"/>
            </w:tcBorders>
            <w:shd w:val="clear" w:color="auto" w:fill="auto"/>
            <w:noWrap/>
            <w:vAlign w:val="center"/>
          </w:tcPr>
          <w:p w14:paraId="7B4236A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17BDA6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33CC0A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72C246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21.17</w:t>
            </w:r>
          </w:p>
        </w:tc>
        <w:tc>
          <w:tcPr>
            <w:tcW w:w="1217" w:type="dxa"/>
            <w:tcBorders>
              <w:top w:val="nil"/>
              <w:left w:val="nil"/>
              <w:bottom w:val="single" w:color="auto" w:sz="4" w:space="0"/>
              <w:right w:val="single" w:color="auto" w:sz="4" w:space="0"/>
            </w:tcBorders>
            <w:shd w:val="clear" w:color="auto" w:fill="auto"/>
            <w:noWrap/>
            <w:vAlign w:val="center"/>
          </w:tcPr>
          <w:p w14:paraId="5E9489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274" w:type="dxa"/>
            <w:tcBorders>
              <w:top w:val="nil"/>
              <w:left w:val="nil"/>
              <w:bottom w:val="single" w:color="auto" w:sz="4" w:space="0"/>
              <w:right w:val="single" w:color="auto" w:sz="4" w:space="0"/>
            </w:tcBorders>
            <w:shd w:val="clear" w:color="auto" w:fill="auto"/>
            <w:noWrap/>
            <w:vAlign w:val="center"/>
          </w:tcPr>
          <w:p w14:paraId="23912E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172" w:type="dxa"/>
            <w:tcBorders>
              <w:top w:val="nil"/>
              <w:left w:val="nil"/>
              <w:bottom w:val="single" w:color="auto" w:sz="4" w:space="0"/>
              <w:right w:val="single" w:color="auto" w:sz="4" w:space="0"/>
            </w:tcBorders>
            <w:shd w:val="clear" w:color="auto" w:fill="auto"/>
            <w:noWrap/>
            <w:vAlign w:val="center"/>
          </w:tcPr>
          <w:p w14:paraId="283723F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459C607">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6C9E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427" w:type="dxa"/>
            <w:tcBorders>
              <w:top w:val="nil"/>
              <w:left w:val="nil"/>
              <w:bottom w:val="single" w:color="auto" w:sz="4" w:space="0"/>
              <w:right w:val="single" w:color="auto" w:sz="4" w:space="0"/>
            </w:tcBorders>
            <w:shd w:val="clear" w:color="auto" w:fill="auto"/>
            <w:noWrap/>
            <w:vAlign w:val="center"/>
          </w:tcPr>
          <w:p w14:paraId="0D9CB1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200" w:type="dxa"/>
            <w:tcBorders>
              <w:top w:val="nil"/>
              <w:left w:val="nil"/>
              <w:bottom w:val="single" w:color="auto" w:sz="4" w:space="0"/>
              <w:right w:val="single" w:color="auto" w:sz="4" w:space="0"/>
            </w:tcBorders>
            <w:shd w:val="clear" w:color="auto" w:fill="auto"/>
            <w:noWrap/>
            <w:vAlign w:val="center"/>
          </w:tcPr>
          <w:p w14:paraId="3DD6039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482379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58674B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5D226E6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E0820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274" w:type="dxa"/>
            <w:tcBorders>
              <w:top w:val="nil"/>
              <w:left w:val="nil"/>
              <w:bottom w:val="single" w:color="auto" w:sz="4" w:space="0"/>
              <w:right w:val="single" w:color="auto" w:sz="4" w:space="0"/>
            </w:tcBorders>
            <w:shd w:val="clear" w:color="auto" w:fill="auto"/>
            <w:noWrap/>
            <w:vAlign w:val="center"/>
          </w:tcPr>
          <w:p w14:paraId="4A1ADE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172" w:type="dxa"/>
            <w:tcBorders>
              <w:top w:val="nil"/>
              <w:left w:val="nil"/>
              <w:bottom w:val="single" w:color="auto" w:sz="4" w:space="0"/>
              <w:right w:val="single" w:color="auto" w:sz="4" w:space="0"/>
            </w:tcBorders>
            <w:shd w:val="clear" w:color="auto" w:fill="auto"/>
            <w:noWrap/>
            <w:vAlign w:val="center"/>
          </w:tcPr>
          <w:p w14:paraId="4CB753D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EC11E87">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496D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427" w:type="dxa"/>
            <w:tcBorders>
              <w:top w:val="nil"/>
              <w:left w:val="nil"/>
              <w:bottom w:val="single" w:color="auto" w:sz="4" w:space="0"/>
              <w:right w:val="single" w:color="auto" w:sz="4" w:space="0"/>
            </w:tcBorders>
            <w:shd w:val="clear" w:color="auto" w:fill="auto"/>
            <w:noWrap/>
            <w:vAlign w:val="center"/>
          </w:tcPr>
          <w:p w14:paraId="5FC758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200" w:type="dxa"/>
            <w:tcBorders>
              <w:top w:val="nil"/>
              <w:left w:val="nil"/>
              <w:bottom w:val="single" w:color="auto" w:sz="4" w:space="0"/>
              <w:right w:val="single" w:color="auto" w:sz="4" w:space="0"/>
            </w:tcBorders>
            <w:shd w:val="clear" w:color="auto" w:fill="auto"/>
            <w:noWrap/>
            <w:vAlign w:val="center"/>
          </w:tcPr>
          <w:p w14:paraId="5DE22EE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3FB066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58536B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3F7DC02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46.18</w:t>
            </w:r>
          </w:p>
        </w:tc>
        <w:tc>
          <w:tcPr>
            <w:tcW w:w="1217" w:type="dxa"/>
            <w:tcBorders>
              <w:top w:val="nil"/>
              <w:left w:val="nil"/>
              <w:bottom w:val="single" w:color="auto" w:sz="4" w:space="0"/>
              <w:right w:val="single" w:color="auto" w:sz="4" w:space="0"/>
            </w:tcBorders>
            <w:shd w:val="clear" w:color="auto" w:fill="auto"/>
            <w:noWrap/>
            <w:vAlign w:val="center"/>
          </w:tcPr>
          <w:p w14:paraId="0A838E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274" w:type="dxa"/>
            <w:tcBorders>
              <w:top w:val="nil"/>
              <w:left w:val="nil"/>
              <w:bottom w:val="single" w:color="auto" w:sz="4" w:space="0"/>
              <w:right w:val="single" w:color="auto" w:sz="4" w:space="0"/>
            </w:tcBorders>
            <w:shd w:val="clear" w:color="auto" w:fill="auto"/>
            <w:noWrap/>
            <w:vAlign w:val="center"/>
          </w:tcPr>
          <w:p w14:paraId="2CE882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172" w:type="dxa"/>
            <w:tcBorders>
              <w:top w:val="nil"/>
              <w:left w:val="nil"/>
              <w:bottom w:val="single" w:color="auto" w:sz="4" w:space="0"/>
              <w:right w:val="single" w:color="auto" w:sz="4" w:space="0"/>
            </w:tcBorders>
            <w:shd w:val="clear" w:color="auto" w:fill="auto"/>
            <w:noWrap/>
            <w:vAlign w:val="center"/>
          </w:tcPr>
          <w:p w14:paraId="302AB12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5AB869A">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4061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427" w:type="dxa"/>
            <w:tcBorders>
              <w:top w:val="nil"/>
              <w:left w:val="nil"/>
              <w:bottom w:val="single" w:color="auto" w:sz="4" w:space="0"/>
              <w:right w:val="single" w:color="auto" w:sz="4" w:space="0"/>
            </w:tcBorders>
            <w:shd w:val="clear" w:color="auto" w:fill="auto"/>
            <w:noWrap/>
            <w:vAlign w:val="center"/>
          </w:tcPr>
          <w:p w14:paraId="3B2BBD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200" w:type="dxa"/>
            <w:tcBorders>
              <w:top w:val="nil"/>
              <w:left w:val="nil"/>
              <w:bottom w:val="single" w:color="auto" w:sz="4" w:space="0"/>
              <w:right w:val="single" w:color="auto" w:sz="4" w:space="0"/>
            </w:tcBorders>
            <w:shd w:val="clear" w:color="auto" w:fill="auto"/>
            <w:noWrap/>
            <w:vAlign w:val="center"/>
          </w:tcPr>
          <w:p w14:paraId="7143A19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2.88</w:t>
            </w:r>
          </w:p>
        </w:tc>
        <w:tc>
          <w:tcPr>
            <w:tcW w:w="1305" w:type="dxa"/>
            <w:tcBorders>
              <w:top w:val="nil"/>
              <w:left w:val="nil"/>
              <w:bottom w:val="single" w:color="auto" w:sz="4" w:space="0"/>
              <w:right w:val="single" w:color="auto" w:sz="4" w:space="0"/>
            </w:tcBorders>
            <w:shd w:val="clear" w:color="auto" w:fill="auto"/>
            <w:noWrap/>
            <w:vAlign w:val="center"/>
          </w:tcPr>
          <w:p w14:paraId="555BBC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0206AB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17D0063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52.43</w:t>
            </w:r>
          </w:p>
        </w:tc>
        <w:tc>
          <w:tcPr>
            <w:tcW w:w="1217" w:type="dxa"/>
            <w:tcBorders>
              <w:top w:val="nil"/>
              <w:left w:val="nil"/>
              <w:bottom w:val="single" w:color="auto" w:sz="4" w:space="0"/>
              <w:right w:val="single" w:color="auto" w:sz="4" w:space="0"/>
            </w:tcBorders>
            <w:shd w:val="clear" w:color="auto" w:fill="auto"/>
            <w:noWrap/>
            <w:vAlign w:val="center"/>
          </w:tcPr>
          <w:p w14:paraId="0FCB47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274" w:type="dxa"/>
            <w:tcBorders>
              <w:top w:val="nil"/>
              <w:left w:val="nil"/>
              <w:bottom w:val="single" w:color="auto" w:sz="4" w:space="0"/>
              <w:right w:val="single" w:color="auto" w:sz="4" w:space="0"/>
            </w:tcBorders>
            <w:shd w:val="clear" w:color="auto" w:fill="auto"/>
            <w:noWrap/>
            <w:vAlign w:val="center"/>
          </w:tcPr>
          <w:p w14:paraId="057C06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349E2B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71D2416">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7134075B">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6841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A8E3785">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9D3D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50138A5">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0991C3E4">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F067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4BEADD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3F0D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B70DB25">
            <w:pPr>
              <w:widowControl/>
              <w:jc w:val="left"/>
              <w:rPr>
                <w:rFonts w:ascii="Times New Roman" w:hAnsi="Times New Roman" w:eastAsia="仿宋_GB2312" w:cs="Times New Roman"/>
                <w:color w:val="000000"/>
                <w:kern w:val="0"/>
                <w:szCs w:val="20"/>
              </w:rPr>
            </w:pPr>
          </w:p>
        </w:tc>
        <w:tc>
          <w:tcPr>
            <w:tcW w:w="1172" w:type="dxa"/>
            <w:tcBorders>
              <w:top w:val="nil"/>
              <w:left w:val="nil"/>
              <w:bottom w:val="single" w:color="auto" w:sz="4" w:space="0"/>
              <w:right w:val="single" w:color="auto" w:sz="4" w:space="0"/>
            </w:tcBorders>
            <w:shd w:val="clear" w:color="auto" w:fill="auto"/>
            <w:noWrap/>
            <w:vAlign w:val="center"/>
          </w:tcPr>
          <w:p w14:paraId="1A1C662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BBE88D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9B4C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427" w:type="dxa"/>
            <w:tcBorders>
              <w:top w:val="nil"/>
              <w:left w:val="nil"/>
              <w:bottom w:val="single" w:color="auto" w:sz="4" w:space="0"/>
              <w:right w:val="single" w:color="auto" w:sz="4" w:space="0"/>
            </w:tcBorders>
            <w:shd w:val="clear" w:color="auto" w:fill="auto"/>
            <w:noWrap/>
            <w:vAlign w:val="center"/>
          </w:tcPr>
          <w:p w14:paraId="34BB78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200" w:type="dxa"/>
            <w:tcBorders>
              <w:top w:val="nil"/>
              <w:left w:val="nil"/>
              <w:bottom w:val="single" w:color="auto" w:sz="4" w:space="0"/>
              <w:right w:val="single" w:color="auto" w:sz="4" w:space="0"/>
            </w:tcBorders>
            <w:shd w:val="clear" w:color="auto" w:fill="auto"/>
            <w:noWrap/>
            <w:vAlign w:val="center"/>
          </w:tcPr>
          <w:p w14:paraId="4D8BC55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7A9001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16FAEC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E7DF1D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21.00</w:t>
            </w:r>
          </w:p>
        </w:tc>
        <w:tc>
          <w:tcPr>
            <w:tcW w:w="1217" w:type="dxa"/>
            <w:tcBorders>
              <w:top w:val="nil"/>
              <w:left w:val="nil"/>
              <w:bottom w:val="single" w:color="auto" w:sz="4" w:space="0"/>
              <w:right w:val="single" w:color="auto" w:sz="4" w:space="0"/>
            </w:tcBorders>
            <w:shd w:val="clear" w:color="auto" w:fill="auto"/>
            <w:noWrap/>
            <w:vAlign w:val="center"/>
          </w:tcPr>
          <w:p w14:paraId="0B31E5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274" w:type="dxa"/>
            <w:tcBorders>
              <w:top w:val="nil"/>
              <w:left w:val="nil"/>
              <w:bottom w:val="single" w:color="auto" w:sz="4" w:space="0"/>
              <w:right w:val="single" w:color="auto" w:sz="4" w:space="0"/>
            </w:tcBorders>
            <w:shd w:val="clear" w:color="auto" w:fill="auto"/>
            <w:noWrap/>
            <w:vAlign w:val="center"/>
          </w:tcPr>
          <w:p w14:paraId="2588BC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172" w:type="dxa"/>
            <w:tcBorders>
              <w:top w:val="nil"/>
              <w:left w:val="nil"/>
              <w:bottom w:val="single" w:color="auto" w:sz="4" w:space="0"/>
              <w:right w:val="single" w:color="auto" w:sz="4" w:space="0"/>
            </w:tcBorders>
            <w:shd w:val="clear" w:color="auto" w:fill="auto"/>
            <w:noWrap/>
            <w:vAlign w:val="center"/>
          </w:tcPr>
          <w:p w14:paraId="090D9F6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438E31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6057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427" w:type="dxa"/>
            <w:tcBorders>
              <w:top w:val="nil"/>
              <w:left w:val="nil"/>
              <w:bottom w:val="single" w:color="auto" w:sz="4" w:space="0"/>
              <w:right w:val="single" w:color="auto" w:sz="4" w:space="0"/>
            </w:tcBorders>
            <w:shd w:val="clear" w:color="auto" w:fill="auto"/>
            <w:noWrap/>
            <w:vAlign w:val="center"/>
          </w:tcPr>
          <w:p w14:paraId="13E77F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200" w:type="dxa"/>
            <w:tcBorders>
              <w:top w:val="nil"/>
              <w:left w:val="nil"/>
              <w:bottom w:val="single" w:color="auto" w:sz="4" w:space="0"/>
              <w:right w:val="single" w:color="auto" w:sz="4" w:space="0"/>
            </w:tcBorders>
            <w:shd w:val="clear" w:color="auto" w:fill="auto"/>
            <w:noWrap/>
            <w:vAlign w:val="center"/>
          </w:tcPr>
          <w:p w14:paraId="42E2547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0BE19A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54F54E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4616152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11.25</w:t>
            </w:r>
          </w:p>
        </w:tc>
        <w:tc>
          <w:tcPr>
            <w:tcW w:w="1217" w:type="dxa"/>
            <w:tcBorders>
              <w:top w:val="nil"/>
              <w:left w:val="nil"/>
              <w:bottom w:val="single" w:color="auto" w:sz="4" w:space="0"/>
              <w:right w:val="single" w:color="auto" w:sz="4" w:space="0"/>
            </w:tcBorders>
            <w:shd w:val="clear" w:color="auto" w:fill="auto"/>
            <w:noWrap/>
            <w:vAlign w:val="center"/>
          </w:tcPr>
          <w:p w14:paraId="4BA68D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274" w:type="dxa"/>
            <w:tcBorders>
              <w:top w:val="nil"/>
              <w:left w:val="nil"/>
              <w:bottom w:val="single" w:color="auto" w:sz="4" w:space="0"/>
              <w:right w:val="single" w:color="auto" w:sz="4" w:space="0"/>
            </w:tcBorders>
            <w:shd w:val="clear" w:color="auto" w:fill="auto"/>
            <w:noWrap/>
            <w:vAlign w:val="center"/>
          </w:tcPr>
          <w:p w14:paraId="2F1BEC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172" w:type="dxa"/>
            <w:tcBorders>
              <w:top w:val="nil"/>
              <w:left w:val="nil"/>
              <w:bottom w:val="single" w:color="auto" w:sz="4" w:space="0"/>
              <w:right w:val="single" w:color="auto" w:sz="4" w:space="0"/>
            </w:tcBorders>
            <w:shd w:val="clear" w:color="auto" w:fill="auto"/>
            <w:noWrap/>
            <w:vAlign w:val="center"/>
          </w:tcPr>
          <w:p w14:paraId="44203D1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F155B7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6358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427" w:type="dxa"/>
            <w:tcBorders>
              <w:top w:val="nil"/>
              <w:left w:val="nil"/>
              <w:bottom w:val="single" w:color="auto" w:sz="4" w:space="0"/>
              <w:right w:val="single" w:color="auto" w:sz="4" w:space="0"/>
            </w:tcBorders>
            <w:shd w:val="clear" w:color="auto" w:fill="auto"/>
            <w:noWrap/>
            <w:vAlign w:val="center"/>
          </w:tcPr>
          <w:p w14:paraId="2016F6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200" w:type="dxa"/>
            <w:tcBorders>
              <w:top w:val="nil"/>
              <w:left w:val="nil"/>
              <w:bottom w:val="single" w:color="auto" w:sz="4" w:space="0"/>
              <w:right w:val="single" w:color="auto" w:sz="4" w:space="0"/>
            </w:tcBorders>
            <w:shd w:val="clear" w:color="auto" w:fill="auto"/>
            <w:noWrap/>
            <w:vAlign w:val="center"/>
          </w:tcPr>
          <w:p w14:paraId="65E01B9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49D47D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52B443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7E004C2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CE3584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274" w:type="dxa"/>
            <w:tcBorders>
              <w:top w:val="nil"/>
              <w:left w:val="nil"/>
              <w:bottom w:val="single" w:color="auto" w:sz="4" w:space="0"/>
              <w:right w:val="single" w:color="auto" w:sz="4" w:space="0"/>
            </w:tcBorders>
            <w:shd w:val="clear" w:color="auto" w:fill="auto"/>
            <w:noWrap/>
            <w:vAlign w:val="center"/>
          </w:tcPr>
          <w:p w14:paraId="469BB59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172" w:type="dxa"/>
            <w:tcBorders>
              <w:top w:val="nil"/>
              <w:left w:val="nil"/>
              <w:bottom w:val="single" w:color="auto" w:sz="4" w:space="0"/>
              <w:right w:val="single" w:color="auto" w:sz="4" w:space="0"/>
            </w:tcBorders>
            <w:shd w:val="clear" w:color="auto" w:fill="auto"/>
            <w:noWrap/>
            <w:vAlign w:val="center"/>
          </w:tcPr>
          <w:p w14:paraId="6046D0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00E649">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2473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427" w:type="dxa"/>
            <w:tcBorders>
              <w:top w:val="nil"/>
              <w:left w:val="nil"/>
              <w:bottom w:val="single" w:color="auto" w:sz="4" w:space="0"/>
              <w:right w:val="single" w:color="auto" w:sz="4" w:space="0"/>
            </w:tcBorders>
            <w:shd w:val="clear" w:color="auto" w:fill="auto"/>
            <w:noWrap/>
            <w:vAlign w:val="center"/>
          </w:tcPr>
          <w:p w14:paraId="04B24E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00" w:type="dxa"/>
            <w:tcBorders>
              <w:top w:val="nil"/>
              <w:left w:val="nil"/>
              <w:bottom w:val="single" w:color="auto" w:sz="4" w:space="0"/>
              <w:right w:val="single" w:color="auto" w:sz="4" w:space="0"/>
            </w:tcBorders>
            <w:shd w:val="clear" w:color="auto" w:fill="auto"/>
            <w:noWrap/>
            <w:vAlign w:val="center"/>
          </w:tcPr>
          <w:p w14:paraId="6BA17E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305" w:type="dxa"/>
            <w:tcBorders>
              <w:top w:val="nil"/>
              <w:left w:val="nil"/>
              <w:bottom w:val="single" w:color="auto" w:sz="4" w:space="0"/>
              <w:right w:val="single" w:color="auto" w:sz="4" w:space="0"/>
            </w:tcBorders>
            <w:shd w:val="clear" w:color="auto" w:fill="auto"/>
            <w:noWrap/>
            <w:vAlign w:val="center"/>
          </w:tcPr>
          <w:p w14:paraId="5C3ACF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11484D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E216FA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39.92</w:t>
            </w:r>
          </w:p>
        </w:tc>
        <w:tc>
          <w:tcPr>
            <w:tcW w:w="1217" w:type="dxa"/>
            <w:tcBorders>
              <w:top w:val="nil"/>
              <w:left w:val="nil"/>
              <w:bottom w:val="single" w:color="auto" w:sz="4" w:space="0"/>
              <w:right w:val="single" w:color="auto" w:sz="4" w:space="0"/>
            </w:tcBorders>
            <w:shd w:val="clear" w:color="auto" w:fill="auto"/>
            <w:noWrap/>
            <w:vAlign w:val="center"/>
          </w:tcPr>
          <w:p w14:paraId="33E3D1C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274" w:type="dxa"/>
            <w:tcBorders>
              <w:top w:val="nil"/>
              <w:left w:val="nil"/>
              <w:bottom w:val="single" w:color="auto" w:sz="4" w:space="0"/>
              <w:right w:val="single" w:color="auto" w:sz="4" w:space="0"/>
            </w:tcBorders>
            <w:shd w:val="clear" w:color="auto" w:fill="auto"/>
            <w:noWrap/>
            <w:vAlign w:val="center"/>
          </w:tcPr>
          <w:p w14:paraId="57708DB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172" w:type="dxa"/>
            <w:tcBorders>
              <w:top w:val="nil"/>
              <w:left w:val="nil"/>
              <w:bottom w:val="single" w:color="auto" w:sz="4" w:space="0"/>
              <w:right w:val="single" w:color="auto" w:sz="4" w:space="0"/>
            </w:tcBorders>
            <w:shd w:val="clear" w:color="auto" w:fill="auto"/>
            <w:noWrap/>
            <w:vAlign w:val="center"/>
          </w:tcPr>
          <w:p w14:paraId="5010FC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C51F01">
        <w:tblPrEx>
          <w:tblCellMar>
            <w:top w:w="0" w:type="dxa"/>
            <w:left w:w="108" w:type="dxa"/>
            <w:bottom w:w="0" w:type="dxa"/>
            <w:right w:w="108" w:type="dxa"/>
          </w:tblCellMar>
        </w:tblPrEx>
        <w:trPr>
          <w:trHeight w:val="255" w:hRule="exact"/>
          <w:jc w:val="center"/>
        </w:trPr>
        <w:tc>
          <w:tcPr>
            <w:tcW w:w="350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41DFC4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00" w:type="dxa"/>
            <w:tcBorders>
              <w:top w:val="nil"/>
              <w:left w:val="nil"/>
              <w:bottom w:val="single" w:color="auto" w:sz="4" w:space="0"/>
              <w:right w:val="single" w:color="auto" w:sz="4" w:space="0"/>
            </w:tcBorders>
            <w:shd w:val="clear" w:color="auto" w:fill="auto"/>
            <w:noWrap/>
            <w:vAlign w:val="center"/>
          </w:tcPr>
          <w:p w14:paraId="4910B5C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1693.41</w:t>
            </w:r>
          </w:p>
        </w:tc>
        <w:tc>
          <w:tcPr>
            <w:tcW w:w="8747" w:type="dxa"/>
            <w:gridSpan w:val="5"/>
            <w:tcBorders>
              <w:top w:val="single" w:color="auto" w:sz="4" w:space="0"/>
              <w:left w:val="nil"/>
              <w:bottom w:val="single" w:color="auto" w:sz="4" w:space="0"/>
              <w:right w:val="single" w:color="auto" w:sz="4" w:space="0"/>
            </w:tcBorders>
            <w:shd w:val="clear" w:color="auto" w:fill="auto"/>
            <w:noWrap/>
            <w:vAlign w:val="center"/>
          </w:tcPr>
          <w:p w14:paraId="2165D4D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172" w:type="dxa"/>
            <w:tcBorders>
              <w:top w:val="nil"/>
              <w:left w:val="nil"/>
              <w:bottom w:val="single" w:color="auto" w:sz="4" w:space="0"/>
              <w:right w:val="single" w:color="auto" w:sz="4" w:space="0"/>
            </w:tcBorders>
            <w:shd w:val="clear" w:color="auto" w:fill="auto"/>
            <w:noWrap/>
            <w:vAlign w:val="center"/>
          </w:tcPr>
          <w:p w14:paraId="2B39FCA2">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286.19</w:t>
            </w:r>
          </w:p>
        </w:tc>
      </w:tr>
    </w:tbl>
    <w:p w14:paraId="7D7D31C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2897ECE">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49D38CB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751791F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848197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怀化市住房公积金管理中心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BF5B35C">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507FC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B9388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7F60B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5AB5C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2373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BDD517B">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A97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56D9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D1E2C">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2B24E">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B98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39D07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3267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BFA40">
            <w:pPr>
              <w:widowControl/>
              <w:jc w:val="center"/>
              <w:rPr>
                <w:rFonts w:ascii="Times New Roman" w:hAnsi="Times New Roman" w:eastAsia="仿宋_GB2312" w:cs="Times New Roman"/>
                <w:color w:val="000000"/>
                <w:sz w:val="24"/>
                <w:szCs w:val="24"/>
              </w:rPr>
            </w:pPr>
          </w:p>
        </w:tc>
      </w:tr>
      <w:tr w14:paraId="22979293">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F2D8D">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22B8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9C6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15F9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A104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BCBF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7F14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4216B">
            <w:pPr>
              <w:jc w:val="center"/>
              <w:rPr>
                <w:rFonts w:ascii="Times New Roman" w:hAnsi="Times New Roman" w:eastAsia="仿宋_GB2312" w:cs="Times New Roman"/>
                <w:color w:val="000000"/>
                <w:sz w:val="24"/>
                <w:szCs w:val="24"/>
              </w:rPr>
            </w:pPr>
          </w:p>
        </w:tc>
      </w:tr>
      <w:tr w14:paraId="395081A7">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40D3D">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E626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003C7">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BD15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FB4E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3C70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8FAE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A7D1E">
            <w:pPr>
              <w:jc w:val="center"/>
              <w:rPr>
                <w:rFonts w:ascii="Times New Roman" w:hAnsi="Times New Roman" w:eastAsia="仿宋_GB2312" w:cs="Times New Roman"/>
                <w:color w:val="000000"/>
                <w:sz w:val="24"/>
                <w:szCs w:val="24"/>
              </w:rPr>
            </w:pPr>
          </w:p>
        </w:tc>
      </w:tr>
      <w:tr w14:paraId="61BE10F1">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8B8C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E08D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21C5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A0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18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D04C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ED3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810A796">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64FC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7D56">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7B3C6">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C7F99">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6D51">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9934">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81F1">
            <w:pPr>
              <w:jc w:val="center"/>
              <w:rPr>
                <w:rFonts w:ascii="Times New Roman" w:hAnsi="Times New Roman" w:eastAsia="仿宋_GB2312" w:cs="Times New Roman"/>
                <w:color w:val="000000"/>
                <w:sz w:val="24"/>
                <w:szCs w:val="24"/>
              </w:rPr>
            </w:pPr>
          </w:p>
        </w:tc>
      </w:tr>
      <w:tr w14:paraId="27537C3E">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A45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EB7DB">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932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4F7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7F1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80BF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FD5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3597E">
            <w:pPr>
              <w:rPr>
                <w:rFonts w:ascii="Times New Roman" w:hAnsi="Times New Roman" w:eastAsia="仿宋_GB2312" w:cs="Times New Roman"/>
                <w:color w:val="000000"/>
                <w:sz w:val="24"/>
                <w:szCs w:val="24"/>
              </w:rPr>
            </w:pPr>
          </w:p>
        </w:tc>
      </w:tr>
      <w:tr w14:paraId="2DED7BDA">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5431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942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F4C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964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E20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C985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413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D003E">
            <w:pPr>
              <w:rPr>
                <w:rFonts w:ascii="Times New Roman" w:hAnsi="Times New Roman" w:eastAsia="仿宋_GB2312" w:cs="Times New Roman"/>
                <w:color w:val="000000"/>
                <w:sz w:val="24"/>
                <w:szCs w:val="24"/>
              </w:rPr>
            </w:pPr>
          </w:p>
        </w:tc>
      </w:tr>
      <w:tr w14:paraId="634FF8EA">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BCDE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0EEC">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D425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CBCF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DC7D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E8E7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FE5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58F77">
            <w:pPr>
              <w:rPr>
                <w:rFonts w:ascii="Times New Roman" w:hAnsi="Times New Roman" w:eastAsia="仿宋_GB2312" w:cs="Times New Roman"/>
                <w:color w:val="000000"/>
                <w:sz w:val="24"/>
                <w:szCs w:val="24"/>
              </w:rPr>
            </w:pPr>
          </w:p>
        </w:tc>
      </w:tr>
      <w:tr w14:paraId="7054EDA3">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87B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C9F4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34E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977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A65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024A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7D3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5B8DA">
            <w:pPr>
              <w:rPr>
                <w:rFonts w:ascii="Times New Roman" w:hAnsi="Times New Roman" w:eastAsia="仿宋_GB2312" w:cs="Times New Roman"/>
                <w:color w:val="000000"/>
                <w:sz w:val="24"/>
                <w:szCs w:val="24"/>
              </w:rPr>
            </w:pPr>
          </w:p>
        </w:tc>
      </w:tr>
      <w:tr w14:paraId="690CCB5B">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918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EFB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F1D3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20CC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7F3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2048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2925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77585">
            <w:pPr>
              <w:rPr>
                <w:rFonts w:ascii="Times New Roman" w:hAnsi="Times New Roman" w:eastAsia="仿宋_GB2312" w:cs="Times New Roman"/>
                <w:color w:val="000000"/>
                <w:sz w:val="24"/>
                <w:szCs w:val="24"/>
              </w:rPr>
            </w:pPr>
          </w:p>
        </w:tc>
      </w:tr>
      <w:tr w14:paraId="0FC318DA">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D19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DE0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0EE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8561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B305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9567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772F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5FD4">
            <w:pPr>
              <w:rPr>
                <w:rFonts w:ascii="Times New Roman" w:hAnsi="Times New Roman" w:eastAsia="仿宋_GB2312" w:cs="Times New Roman"/>
                <w:color w:val="000000"/>
                <w:sz w:val="24"/>
                <w:szCs w:val="24"/>
              </w:rPr>
            </w:pPr>
          </w:p>
        </w:tc>
      </w:tr>
    </w:tbl>
    <w:p w14:paraId="384D87E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4158A366">
      <w:pPr>
        <w:widowControl/>
        <w:jc w:val="left"/>
        <w:textAlignment w:val="center"/>
        <w:rPr>
          <w:rFonts w:ascii="Times New Roman" w:hAnsi="Times New Roman" w:eastAsia="仿宋_GB2312" w:cs="Times New Roman"/>
          <w:color w:val="000000"/>
          <w:kern w:val="0"/>
          <w:sz w:val="24"/>
          <w:szCs w:val="24"/>
          <w:lang w:bidi="ar"/>
        </w:rPr>
      </w:pPr>
    </w:p>
    <w:p w14:paraId="1D9DA95C">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21DDE484">
      <w:pPr>
        <w:widowControl/>
        <w:jc w:val="center"/>
        <w:rPr>
          <w:rFonts w:ascii="Times New Roman" w:hAnsi="Times New Roman" w:eastAsia="方正小标宋_GBK" w:cs="Times New Roman"/>
          <w:color w:val="000000"/>
          <w:kern w:val="0"/>
          <w:sz w:val="36"/>
          <w:szCs w:val="36"/>
        </w:rPr>
      </w:pPr>
    </w:p>
    <w:p w14:paraId="71A65913">
      <w:pPr>
        <w:widowControl/>
        <w:spacing w:line="400" w:lineRule="exact"/>
        <w:textAlignment w:val="center"/>
        <w:rPr>
          <w:rFonts w:ascii="Times New Roman" w:hAnsi="Times New Roman" w:eastAsia="黑体" w:cs="Times New Roman"/>
          <w:color w:val="000000"/>
          <w:kern w:val="0"/>
          <w:sz w:val="36"/>
          <w:szCs w:val="36"/>
          <w:lang w:bidi="ar"/>
        </w:rPr>
      </w:pPr>
    </w:p>
    <w:p w14:paraId="6A835BB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6CAEEEA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6E11DEC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怀化市住房公积金管理中心</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F6B51F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DEBE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7E291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15F26520">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6605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0202A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0E2F2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66F0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5C27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171B8231">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425A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4700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E8EC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9DC7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889F7">
            <w:pPr>
              <w:jc w:val="center"/>
              <w:rPr>
                <w:rFonts w:ascii="Times New Roman" w:hAnsi="Times New Roman" w:eastAsia="仿宋_GB2312" w:cs="Times New Roman"/>
                <w:color w:val="000000"/>
                <w:sz w:val="24"/>
                <w:szCs w:val="24"/>
              </w:rPr>
            </w:pPr>
          </w:p>
        </w:tc>
      </w:tr>
      <w:tr w14:paraId="7668F20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2DA3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453C7">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84AC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443A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5CF2A">
            <w:pPr>
              <w:jc w:val="center"/>
              <w:rPr>
                <w:rFonts w:ascii="Times New Roman" w:hAnsi="Times New Roman" w:eastAsia="仿宋_GB2312" w:cs="Times New Roman"/>
                <w:color w:val="000000"/>
                <w:sz w:val="24"/>
                <w:szCs w:val="24"/>
              </w:rPr>
            </w:pPr>
          </w:p>
        </w:tc>
      </w:tr>
      <w:tr w14:paraId="0AA34B18">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DE13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6B06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BBA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E0C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21F35BC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552F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A3D6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9374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FFFF2">
            <w:pPr>
              <w:jc w:val="center"/>
              <w:rPr>
                <w:rFonts w:ascii="Times New Roman" w:hAnsi="Times New Roman" w:eastAsia="仿宋_GB2312" w:cs="Times New Roman"/>
                <w:color w:val="000000"/>
                <w:sz w:val="24"/>
                <w:szCs w:val="24"/>
              </w:rPr>
            </w:pPr>
          </w:p>
        </w:tc>
      </w:tr>
      <w:tr w14:paraId="30FCC22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0DCE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1E63F">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3C47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1EA5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2E549">
            <w:pPr>
              <w:rPr>
                <w:rFonts w:ascii="Times New Roman" w:hAnsi="Times New Roman" w:eastAsia="仿宋_GB2312" w:cs="Times New Roman"/>
                <w:color w:val="000000"/>
                <w:sz w:val="24"/>
                <w:szCs w:val="24"/>
              </w:rPr>
            </w:pPr>
          </w:p>
        </w:tc>
      </w:tr>
      <w:tr w14:paraId="072C44E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266A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5CB7D">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011F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49D1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494B7">
            <w:pPr>
              <w:rPr>
                <w:rFonts w:ascii="Times New Roman" w:hAnsi="Times New Roman" w:eastAsia="仿宋_GB2312" w:cs="Times New Roman"/>
                <w:color w:val="000000"/>
                <w:sz w:val="24"/>
                <w:szCs w:val="24"/>
              </w:rPr>
            </w:pPr>
          </w:p>
        </w:tc>
      </w:tr>
      <w:tr w14:paraId="4E9F97CF">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3D0D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792EF">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E7C2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F44A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23C7A">
            <w:pPr>
              <w:rPr>
                <w:rFonts w:ascii="Times New Roman" w:hAnsi="Times New Roman" w:eastAsia="宋体" w:cs="Times New Roman"/>
                <w:color w:val="000000"/>
                <w:sz w:val="24"/>
                <w:szCs w:val="24"/>
              </w:rPr>
            </w:pPr>
          </w:p>
        </w:tc>
      </w:tr>
      <w:tr w14:paraId="62B4DD5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8C6F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05ED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CB32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6E84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4B5DC">
            <w:pPr>
              <w:rPr>
                <w:rFonts w:ascii="Times New Roman" w:hAnsi="Times New Roman" w:eastAsia="宋体" w:cs="Times New Roman"/>
                <w:color w:val="000000"/>
                <w:sz w:val="24"/>
                <w:szCs w:val="24"/>
              </w:rPr>
            </w:pPr>
          </w:p>
        </w:tc>
      </w:tr>
      <w:tr w14:paraId="7CDE6AD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B15E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9C8B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30B7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3024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98A78">
            <w:pPr>
              <w:rPr>
                <w:rFonts w:ascii="Times New Roman" w:hAnsi="Times New Roman" w:eastAsia="宋体" w:cs="Times New Roman"/>
                <w:color w:val="000000"/>
                <w:sz w:val="24"/>
                <w:szCs w:val="24"/>
              </w:rPr>
            </w:pPr>
          </w:p>
        </w:tc>
      </w:tr>
      <w:tr w14:paraId="4CACEC4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BD3D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2802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D909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04DF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FF882">
            <w:pPr>
              <w:rPr>
                <w:rFonts w:ascii="Times New Roman" w:hAnsi="Times New Roman" w:eastAsia="宋体" w:cs="Times New Roman"/>
                <w:color w:val="000000"/>
                <w:sz w:val="24"/>
                <w:szCs w:val="24"/>
              </w:rPr>
            </w:pPr>
          </w:p>
        </w:tc>
      </w:tr>
    </w:tbl>
    <w:p w14:paraId="5CD1212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8324411">
      <w:pPr>
        <w:widowControl/>
        <w:jc w:val="left"/>
        <w:textAlignment w:val="center"/>
        <w:rPr>
          <w:rFonts w:ascii="Times New Roman" w:hAnsi="Times New Roman" w:eastAsia="宋体" w:cs="Times New Roman"/>
          <w:color w:val="000000"/>
          <w:kern w:val="0"/>
          <w:sz w:val="24"/>
          <w:szCs w:val="24"/>
          <w:lang w:bidi="ar"/>
        </w:rPr>
      </w:pPr>
    </w:p>
    <w:p w14:paraId="1D1E951D">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27852E32">
      <w:pPr>
        <w:widowControl/>
        <w:jc w:val="center"/>
        <w:rPr>
          <w:rFonts w:ascii="Times New Roman" w:hAnsi="Times New Roman" w:eastAsia="方正小标宋_GBK" w:cs="Times New Roman"/>
          <w:color w:val="000000"/>
          <w:kern w:val="0"/>
          <w:sz w:val="36"/>
          <w:szCs w:val="36"/>
        </w:rPr>
      </w:pPr>
    </w:p>
    <w:p w14:paraId="3E1E61DD">
      <w:pPr>
        <w:pStyle w:val="8"/>
        <w:spacing w:line="400" w:lineRule="exact"/>
        <w:rPr>
          <w:rFonts w:ascii="Times New Roman" w:hAnsi="Times New Roman" w:eastAsia="华文中宋" w:cs="Times New Roman"/>
          <w:color w:val="000000"/>
          <w:kern w:val="0"/>
          <w:sz w:val="32"/>
          <w:szCs w:val="32"/>
          <w:lang w:bidi="ar"/>
        </w:rPr>
      </w:pPr>
    </w:p>
    <w:p w14:paraId="06E6AD2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6CF2ED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2336B3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怀化市住房公积金管理中心</w:t>
      </w:r>
      <w:r>
        <w:rPr>
          <w:rFonts w:ascii="Times New Roman" w:hAnsi="Times New Roman" w:eastAsia="仿宋_GB2312" w:cs="Times New Roman"/>
          <w:color w:val="000000"/>
          <w:kern w:val="0"/>
          <w:szCs w:val="21"/>
        </w:rPr>
        <w:t xml:space="preserve">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35E577F4">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CE630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B9938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69CFF4DD">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4B68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5F55E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9A09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712E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5011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F8A95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DF97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5DCA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1F5DD15D">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AC46E">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B2A07">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5B27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4DC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8B97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8D771">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C9DBB">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F5FA4">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B0C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11F0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6710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CA79E">
            <w:pPr>
              <w:jc w:val="center"/>
              <w:rPr>
                <w:rFonts w:ascii="Times New Roman" w:hAnsi="Times New Roman" w:eastAsia="仿宋_GB2312" w:cs="Times New Roman"/>
                <w:color w:val="000000"/>
                <w:sz w:val="22"/>
              </w:rPr>
            </w:pPr>
          </w:p>
        </w:tc>
      </w:tr>
      <w:tr w14:paraId="1DE036A8">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128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280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FAC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4CC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2A2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E10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4C0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D97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878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C5D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A37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A68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613A964F">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CA52A">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21.00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7FFD1">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D6E22">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C97EC">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976CD">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4FADF">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610F9">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DB0C8">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A2A85">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AE558">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29445">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21.00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FCF42">
            <w:pPr>
              <w:rPr>
                <w:rFonts w:hint="default"/>
                <w:lang w:val="en-US" w:eastAsia="zh-CN"/>
              </w:rPr>
            </w:pPr>
            <w:r>
              <w:rPr>
                <w:rFonts w:hint="eastAsia" w:ascii="Times New Roman" w:hAnsi="Times New Roman" w:eastAsia="仿宋_GB2312" w:cs="Times New Roman"/>
                <w:color w:val="000000"/>
                <w:sz w:val="22"/>
                <w:lang w:val="en-US" w:eastAsia="zh-CN"/>
              </w:rPr>
              <w:t>0.00</w:t>
            </w:r>
          </w:p>
        </w:tc>
      </w:tr>
    </w:tbl>
    <w:p w14:paraId="5911A4CD">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3BB24AFB">
      <w:pPr>
        <w:autoSpaceDE w:val="0"/>
        <w:autoSpaceDN w:val="0"/>
        <w:adjustRightInd w:val="0"/>
        <w:ind w:left="315" w:leftChars="150"/>
        <w:jc w:val="left"/>
        <w:rPr>
          <w:rFonts w:ascii="Times New Roman" w:hAnsi="Times New Roman" w:eastAsia="宋体" w:cs="Times New Roman"/>
          <w:kern w:val="0"/>
          <w:sz w:val="24"/>
          <w:szCs w:val="24"/>
        </w:rPr>
      </w:pPr>
    </w:p>
    <w:p w14:paraId="6B32E2FF">
      <w:pPr>
        <w:autoSpaceDE w:val="0"/>
        <w:autoSpaceDN w:val="0"/>
        <w:adjustRightInd w:val="0"/>
        <w:ind w:left="315" w:leftChars="150"/>
        <w:jc w:val="left"/>
        <w:rPr>
          <w:rFonts w:ascii="Times New Roman" w:hAnsi="Times New Roman" w:eastAsia="宋体" w:cs="Times New Roman"/>
          <w:kern w:val="0"/>
          <w:sz w:val="24"/>
          <w:szCs w:val="24"/>
        </w:rPr>
      </w:pPr>
    </w:p>
    <w:p w14:paraId="6A0209D5">
      <w:pPr>
        <w:autoSpaceDE w:val="0"/>
        <w:autoSpaceDN w:val="0"/>
        <w:adjustRightInd w:val="0"/>
        <w:ind w:left="315" w:leftChars="150"/>
        <w:jc w:val="left"/>
        <w:rPr>
          <w:rFonts w:ascii="Times New Roman" w:hAnsi="Times New Roman" w:eastAsia="宋体" w:cs="Times New Roman"/>
          <w:kern w:val="0"/>
          <w:sz w:val="24"/>
          <w:szCs w:val="24"/>
        </w:rPr>
      </w:pPr>
    </w:p>
    <w:p w14:paraId="4017D59B">
      <w:pPr>
        <w:autoSpaceDE w:val="0"/>
        <w:autoSpaceDN w:val="0"/>
        <w:adjustRightInd w:val="0"/>
        <w:ind w:left="315" w:leftChars="150"/>
        <w:jc w:val="left"/>
        <w:rPr>
          <w:rFonts w:ascii="Times New Roman" w:hAnsi="Times New Roman" w:eastAsia="宋体" w:cs="Times New Roman"/>
          <w:kern w:val="0"/>
          <w:sz w:val="24"/>
          <w:szCs w:val="24"/>
        </w:rPr>
      </w:pPr>
    </w:p>
    <w:p w14:paraId="318CBFE8">
      <w:pPr>
        <w:autoSpaceDE w:val="0"/>
        <w:autoSpaceDN w:val="0"/>
        <w:adjustRightInd w:val="0"/>
        <w:ind w:left="315" w:leftChars="150"/>
        <w:jc w:val="left"/>
        <w:rPr>
          <w:rFonts w:ascii="Times New Roman" w:hAnsi="Times New Roman" w:eastAsia="宋体" w:cs="Times New Roman"/>
          <w:kern w:val="0"/>
          <w:sz w:val="24"/>
          <w:szCs w:val="24"/>
        </w:rPr>
      </w:pPr>
    </w:p>
    <w:p w14:paraId="7D093CDF">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A7A696D">
      <w:pPr>
        <w:pStyle w:val="14"/>
        <w:rPr>
          <w:rFonts w:ascii="Times New Roman" w:hAnsi="Times New Roman" w:cs="Times New Roman"/>
          <w:sz w:val="72"/>
          <w:szCs w:val="72"/>
        </w:rPr>
      </w:pPr>
    </w:p>
    <w:p w14:paraId="5DFB2071">
      <w:pPr>
        <w:pStyle w:val="14"/>
        <w:rPr>
          <w:rFonts w:ascii="Times New Roman" w:hAnsi="Times New Roman" w:cs="Times New Roman"/>
          <w:sz w:val="72"/>
          <w:szCs w:val="72"/>
        </w:rPr>
      </w:pPr>
    </w:p>
    <w:p w14:paraId="0307FB14">
      <w:pPr>
        <w:pStyle w:val="14"/>
        <w:rPr>
          <w:rFonts w:ascii="Times New Roman" w:hAnsi="Times New Roman" w:cs="Times New Roman"/>
          <w:sz w:val="72"/>
          <w:szCs w:val="72"/>
        </w:rPr>
      </w:pPr>
    </w:p>
    <w:p w14:paraId="4969E982">
      <w:pPr>
        <w:pStyle w:val="14"/>
        <w:jc w:val="center"/>
        <w:rPr>
          <w:rFonts w:ascii="Times New Roman" w:hAnsi="Times New Roman" w:cs="Times New Roman"/>
          <w:sz w:val="72"/>
          <w:szCs w:val="72"/>
        </w:rPr>
      </w:pPr>
    </w:p>
    <w:p w14:paraId="783DDAEA">
      <w:pPr>
        <w:pStyle w:val="14"/>
        <w:jc w:val="center"/>
        <w:rPr>
          <w:rFonts w:ascii="Times New Roman" w:hAnsi="Times New Roman" w:eastAsia="方正小标宋_GBK" w:cs="Times New Roman"/>
          <w:sz w:val="72"/>
          <w:szCs w:val="72"/>
        </w:rPr>
      </w:pPr>
    </w:p>
    <w:p w14:paraId="52E0886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96FF29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5031F613">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4A3A82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D68653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eastAsia="zh-CN"/>
        </w:rPr>
        <w:t>均为</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204.67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7.23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本年预算数比</w:t>
      </w:r>
      <w:r>
        <w:rPr>
          <w:rFonts w:hint="eastAsia" w:ascii="Times New Roman" w:hAnsi="Times New Roman" w:eastAsia="仿宋_GB2312" w:cs="Times New Roman"/>
          <w:sz w:val="32"/>
          <w:szCs w:val="32"/>
        </w:rPr>
        <w:t>上年减少</w:t>
      </w:r>
      <w:r>
        <w:rPr>
          <w:rFonts w:hint="eastAsia" w:ascii="Times New Roman" w:hAnsi="Times New Roman" w:eastAsia="仿宋_GB2312" w:cs="Times New Roman"/>
          <w:sz w:val="32"/>
          <w:szCs w:val="32"/>
          <w:lang w:val="en-US" w:eastAsia="zh-CN"/>
        </w:rPr>
        <w:t>204.67</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34FAE8C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严控一般性支出，进一步优化支出结构，持续压降“三公”经费、办公经费、会议培训等行政开支。同时坚持有保有压，优化支出结构，提高资金使用效率，合理保障人员工资、公用经费、项目等重点支出。</w:t>
      </w:r>
    </w:p>
    <w:p w14:paraId="7E9AA6E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B834A7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B1DF18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8660FD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1979.60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75.42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645.13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24.58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9F2670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C05A71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eastAsia="zh-CN"/>
        </w:rPr>
        <w:t>均为</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与上年相比，减少204.67万元，降低7.23%，主要是因为</w:t>
      </w:r>
      <w:r>
        <w:rPr>
          <w:rFonts w:hint="eastAsia" w:ascii="Times New Roman" w:hAnsi="Times New Roman" w:eastAsia="仿宋_GB2312" w:cs="Times New Roman"/>
          <w:sz w:val="32"/>
          <w:szCs w:val="32"/>
          <w:lang w:eastAsia="zh-CN"/>
        </w:rPr>
        <w:t>本年预算数</w:t>
      </w:r>
      <w:r>
        <w:rPr>
          <w:rFonts w:hint="eastAsia" w:ascii="Times New Roman" w:hAnsi="Times New Roman" w:eastAsia="仿宋_GB2312" w:cs="Times New Roman"/>
          <w:sz w:val="32"/>
          <w:szCs w:val="32"/>
        </w:rPr>
        <w:t>较上年减少204.67万元。</w:t>
      </w:r>
    </w:p>
    <w:p w14:paraId="35D9868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2DADCA2">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792DCFE">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204.7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降低7.23%，主要是因为</w:t>
      </w:r>
      <w:r>
        <w:rPr>
          <w:rFonts w:hint="eastAsia" w:ascii="Times New Roman" w:hAnsi="Times New Roman" w:eastAsia="仿宋_GB2312" w:cs="Times New Roman"/>
          <w:sz w:val="32"/>
          <w:szCs w:val="32"/>
          <w:lang w:eastAsia="zh-CN"/>
        </w:rPr>
        <w:t>本年预算数</w:t>
      </w:r>
      <w:r>
        <w:rPr>
          <w:rFonts w:hint="eastAsia" w:ascii="Times New Roman" w:hAnsi="Times New Roman" w:eastAsia="仿宋_GB2312" w:cs="Times New Roman"/>
          <w:sz w:val="32"/>
          <w:szCs w:val="32"/>
        </w:rPr>
        <w:t>较上年减少204.67万元。</w:t>
      </w:r>
    </w:p>
    <w:p w14:paraId="3EAF2081">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2BFF02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76.65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2.92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制造业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17.60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0.67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；住房保障（类）支出</w:t>
      </w:r>
      <w:r>
        <w:rPr>
          <w:rFonts w:hint="eastAsia" w:ascii="Times New Roman" w:hAnsi="Times New Roman" w:eastAsia="仿宋_GB2312" w:cs="Times New Roman"/>
          <w:sz w:val="32"/>
          <w:szCs w:val="32"/>
          <w:lang w:val="en-US" w:eastAsia="zh-CN"/>
        </w:rPr>
        <w:t>2530.47</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96.41</w:t>
      </w:r>
      <w:r>
        <w:rPr>
          <w:rFonts w:hint="eastAsia" w:ascii="Times New Roman" w:hAnsi="Times New Roman" w:eastAsia="仿宋_GB2312" w:cs="Times New Roman"/>
          <w:sz w:val="32"/>
          <w:szCs w:val="32"/>
          <w:lang w:eastAsia="zh-CN"/>
        </w:rPr>
        <w:t>%。</w:t>
      </w:r>
    </w:p>
    <w:p w14:paraId="501C5FD6">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9D05A0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3194.18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82.17</w:t>
      </w:r>
      <w:r>
        <w:rPr>
          <w:rFonts w:ascii="Times New Roman" w:hAnsi="Times New Roman" w:eastAsia="仿宋_GB2312" w:cs="Times New Roman"/>
          <w:sz w:val="32"/>
          <w:szCs w:val="32"/>
        </w:rPr>
        <w:t>%，其中：</w:t>
      </w:r>
    </w:p>
    <w:p w14:paraId="3998E50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（项）。</w:t>
      </w:r>
    </w:p>
    <w:p w14:paraId="7DFFDCE1">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shd w:val="clear" w:color="auto" w:fill="auto"/>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76.65</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shd w:val="clear" w:color="auto" w:fill="auto"/>
        </w:rPr>
        <w:t>决算数</w:t>
      </w:r>
      <w:r>
        <w:rPr>
          <w:rFonts w:hint="eastAsia" w:ascii="Times New Roman" w:hAnsi="Times New Roman" w:eastAsia="仿宋_GB2312" w:cs="Times New Roman"/>
          <w:color w:val="auto"/>
          <w:sz w:val="32"/>
          <w:szCs w:val="32"/>
          <w:shd w:val="clear" w:color="auto" w:fill="auto"/>
          <w:lang w:eastAsia="zh-CN"/>
        </w:rPr>
        <w:t>大于</w:t>
      </w:r>
      <w:r>
        <w:rPr>
          <w:rFonts w:ascii="Times New Roman" w:hAnsi="Times New Roman" w:eastAsia="仿宋_GB2312" w:cs="Times New Roman"/>
          <w:color w:val="auto"/>
          <w:sz w:val="32"/>
          <w:szCs w:val="32"/>
          <w:shd w:val="clear" w:color="auto" w:fill="auto"/>
        </w:rPr>
        <w:t>年初预算数的主要原因是：</w:t>
      </w:r>
      <w:r>
        <w:rPr>
          <w:rFonts w:hint="eastAsia" w:ascii="Times New Roman" w:hAnsi="Times New Roman" w:eastAsia="仿宋_GB2312" w:cs="Times New Roman"/>
          <w:color w:val="auto"/>
          <w:sz w:val="32"/>
          <w:szCs w:val="32"/>
          <w:shd w:val="clear" w:color="auto" w:fill="auto"/>
          <w:lang w:eastAsia="zh-CN"/>
        </w:rPr>
        <w:t>由财政统一安排资金支出的人才引进人员补助以及</w:t>
      </w:r>
      <w:r>
        <w:rPr>
          <w:rFonts w:hint="eastAsia" w:ascii="Times New Roman" w:hAnsi="Times New Roman" w:eastAsia="仿宋_GB2312" w:cs="Times New Roman"/>
          <w:color w:val="auto"/>
          <w:sz w:val="32"/>
          <w:szCs w:val="32"/>
          <w:shd w:val="clear" w:color="auto" w:fill="auto"/>
          <w:lang w:val="en-US" w:eastAsia="zh-CN"/>
        </w:rPr>
        <w:t>2025年年底绩效奖金</w:t>
      </w:r>
      <w:r>
        <w:rPr>
          <w:rFonts w:hint="eastAsia" w:ascii="Times New Roman" w:hAnsi="Times New Roman" w:eastAsia="仿宋_GB2312" w:cs="Times New Roman"/>
          <w:color w:val="auto"/>
          <w:sz w:val="32"/>
          <w:szCs w:val="32"/>
          <w:shd w:val="clear" w:color="auto" w:fill="auto"/>
          <w:lang w:eastAsia="zh-CN"/>
        </w:rPr>
        <w:t>，未列入单位年初预算。</w:t>
      </w:r>
    </w:p>
    <w:p w14:paraId="11C188E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资源勘探工业信息等支出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制造业</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通信设备、计算机及其他电子设备制造业</w:t>
      </w:r>
      <w:r>
        <w:rPr>
          <w:rFonts w:ascii="Times New Roman" w:hAnsi="Times New Roman" w:eastAsia="仿宋_GB2312" w:cs="Times New Roman"/>
          <w:sz w:val="32"/>
          <w:szCs w:val="32"/>
        </w:rPr>
        <w:t>（项）。</w:t>
      </w:r>
    </w:p>
    <w:p w14:paraId="77D73A8E">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shd w:val="clear" w:color="auto" w:fill="auto"/>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17.60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w:t>
      </w:r>
      <w:r>
        <w:rPr>
          <w:rFonts w:ascii="Times New Roman" w:hAnsi="Times New Roman" w:eastAsia="仿宋_GB2312" w:cs="Times New Roman"/>
          <w:color w:val="auto"/>
          <w:sz w:val="32"/>
          <w:szCs w:val="32"/>
          <w:shd w:val="clear" w:color="auto" w:fill="auto"/>
        </w:rPr>
        <w:t>算数</w:t>
      </w:r>
      <w:r>
        <w:rPr>
          <w:rFonts w:hint="eastAsia" w:ascii="Times New Roman" w:hAnsi="Times New Roman" w:eastAsia="仿宋_GB2312" w:cs="Times New Roman"/>
          <w:color w:val="auto"/>
          <w:sz w:val="32"/>
          <w:szCs w:val="32"/>
          <w:shd w:val="clear" w:color="auto" w:fill="auto"/>
          <w:lang w:eastAsia="zh-CN"/>
        </w:rPr>
        <w:t>大于</w:t>
      </w:r>
      <w:r>
        <w:rPr>
          <w:rFonts w:ascii="Times New Roman" w:hAnsi="Times New Roman" w:eastAsia="仿宋_GB2312" w:cs="Times New Roman"/>
          <w:color w:val="auto"/>
          <w:sz w:val="32"/>
          <w:szCs w:val="32"/>
          <w:shd w:val="clear" w:color="auto" w:fill="auto"/>
        </w:rPr>
        <w:t>年初预算数的主要原因是：</w:t>
      </w:r>
      <w:r>
        <w:rPr>
          <w:rFonts w:hint="eastAsia" w:ascii="Times New Roman" w:hAnsi="Times New Roman" w:eastAsia="仿宋_GB2312" w:cs="Times New Roman"/>
          <w:color w:val="auto"/>
          <w:sz w:val="32"/>
          <w:szCs w:val="32"/>
          <w:shd w:val="clear" w:color="auto" w:fill="auto"/>
          <w:lang w:eastAsia="zh-CN"/>
        </w:rPr>
        <w:t>由上级财政统一安排国补资金，未列入单位年初预算。</w:t>
      </w:r>
    </w:p>
    <w:p w14:paraId="33323F0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城乡社区住宅</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住房公积金管理</w:t>
      </w:r>
      <w:r>
        <w:rPr>
          <w:rFonts w:ascii="Times New Roman" w:hAnsi="Times New Roman" w:eastAsia="仿宋_GB2312" w:cs="Times New Roman"/>
          <w:sz w:val="32"/>
          <w:szCs w:val="32"/>
        </w:rPr>
        <w:t>（项）。</w:t>
      </w:r>
    </w:p>
    <w:p w14:paraId="515EECB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3194.18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2530.47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79.22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，决算数小于年初预算数的主要原因是：本年度部分项目按项目合同约定和项目进度需下年度支付进度款。</w:t>
      </w:r>
    </w:p>
    <w:p w14:paraId="7CB14C1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人员经费</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eastAsia="zh-CN"/>
        </w:rPr>
        <w:t>工资福利支出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1693.41</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64.52</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发放整个单位的人员工资和五险一金。</w:t>
      </w:r>
    </w:p>
    <w:p w14:paraId="3BB9EDD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CBFDD4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1979.60</w:t>
      </w:r>
      <w:r>
        <w:rPr>
          <w:rFonts w:ascii="Times New Roman" w:hAnsi="Times New Roman" w:eastAsia="仿宋_GB2312" w:cs="Times New Roman"/>
          <w:sz w:val="32"/>
          <w:szCs w:val="32"/>
        </w:rPr>
        <w:t>万元，其中：</w:t>
      </w:r>
    </w:p>
    <w:p w14:paraId="7DF2967A">
      <w:pPr>
        <w:pStyle w:val="14"/>
        <w:overflowPunct w:val="0"/>
        <w:autoSpaceDE/>
        <w:autoSpaceDN/>
        <w:spacing w:line="600" w:lineRule="exact"/>
        <w:ind w:firstLine="643"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1693.41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85.54</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p>
    <w:p w14:paraId="0F12F5AF">
      <w:pPr>
        <w:pStyle w:val="14"/>
        <w:overflowPunct w:val="0"/>
        <w:autoSpaceDE/>
        <w:autoSpaceDN/>
        <w:spacing w:line="600" w:lineRule="exact"/>
        <w:ind w:firstLine="643" w:firstLineChars="200"/>
        <w:jc w:val="both"/>
        <w:rPr>
          <w:rFonts w:hint="eastAsia" w:ascii="Times New Roman" w:hAnsi="Times New Roman" w:eastAsia="仿宋_GB2312" w:cs="Times New Roman"/>
          <w:b/>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286.19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14.46</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电费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差旅费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劳务费。</w:t>
      </w:r>
    </w:p>
    <w:p w14:paraId="4C42E61D">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3B74F9D9">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4D95FEE">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21.00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6.62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23.97</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严格预算约束，落实过“紧日子”要求</w:t>
      </w:r>
      <w:r>
        <w:rPr>
          <w:rFonts w:ascii="Times New Roman" w:hAnsi="Times New Roman" w:eastAsia="仿宋_GB2312" w:cs="Times New Roman"/>
          <w:sz w:val="32"/>
          <w:szCs w:val="32"/>
        </w:rPr>
        <w:t>。</w:t>
      </w:r>
    </w:p>
    <w:p w14:paraId="280A5735">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A4DA129">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C50C8B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5.82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21.70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lang w:eastAsia="zh-CN"/>
        </w:rPr>
        <w:t>今年公务接待费用调剂到</w:t>
      </w:r>
      <w:r>
        <w:rPr>
          <w:rFonts w:ascii="Times New Roman" w:hAnsi="Times New Roman" w:eastAsia="仿宋_GB2312" w:cs="Times New Roman"/>
          <w:sz w:val="32"/>
          <w:szCs w:val="32"/>
        </w:rPr>
        <w:t>公务用车购置费及运行维护费</w:t>
      </w:r>
      <w:r>
        <w:rPr>
          <w:rFonts w:hint="eastAsia" w:ascii="Times New Roman" w:hAnsi="Times New Roman" w:eastAsia="仿宋_GB2312" w:cs="Times New Roman"/>
          <w:sz w:val="32"/>
          <w:szCs w:val="32"/>
          <w:lang w:val="en-US" w:eastAsia="zh-CN"/>
        </w:rPr>
        <w:t>1.00万元。</w:t>
      </w:r>
      <w:r>
        <w:rPr>
          <w:rFonts w:ascii="Times New Roman" w:hAnsi="Times New Roman" w:eastAsia="仿宋_GB2312" w:cs="Times New Roman"/>
          <w:sz w:val="32"/>
          <w:szCs w:val="32"/>
        </w:rPr>
        <w:t>其中：</w:t>
      </w:r>
    </w:p>
    <w:p w14:paraId="457A518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FE839A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21.00</w:t>
      </w:r>
      <w:r>
        <w:rPr>
          <w:rFonts w:ascii="Times New Roman" w:hAnsi="Times New Roman" w:eastAsia="仿宋_GB2312" w:cs="Times New Roman"/>
          <w:sz w:val="32"/>
          <w:szCs w:val="32"/>
        </w:rPr>
        <w:t>万元，</w:t>
      </w:r>
    </w:p>
    <w:p w14:paraId="43E4A18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车辆油料费和维修费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5.82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21.70</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严格预算约束，落实过“紧日子”要求</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bookmarkStart w:id="3" w:name="_GoBack"/>
      <w:bookmarkEnd w:id="3"/>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辆。</w:t>
      </w:r>
    </w:p>
    <w:p w14:paraId="7B9A1176">
      <w:pPr>
        <w:pStyle w:val="14"/>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0.79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今年没有进行公务接待活动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049FCF95">
      <w:pPr>
        <w:pStyle w:val="14"/>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BDB8AE9">
      <w:pPr>
        <w:pStyle w:val="14"/>
        <w:overflowPunct w:val="0"/>
        <w:autoSpaceDE/>
        <w:autoSpaceDN/>
        <w:spacing w:line="600" w:lineRule="exact"/>
        <w:ind w:firstLine="640" w:firstLineChars="200"/>
        <w:jc w:val="both"/>
        <w:rPr>
          <w:rFonts w:hint="eastAsia"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lang w:eastAsia="zh-CN"/>
        </w:rPr>
        <w:t>202</w:t>
      </w:r>
      <w:r>
        <w:rPr>
          <w:rFonts w:hint="eastAsia" w:ascii="仿宋" w:hAnsi="仿宋" w:eastAsia="仿宋"/>
          <w:sz w:val="32"/>
          <w:szCs w:val="32"/>
          <w:lang w:val="en-US" w:eastAsia="zh-CN"/>
        </w:rPr>
        <w:t>5</w:t>
      </w:r>
      <w:r>
        <w:rPr>
          <w:rFonts w:hint="eastAsia" w:ascii="仿宋" w:hAnsi="仿宋" w:eastAsia="仿宋"/>
          <w:sz w:val="32"/>
          <w:szCs w:val="32"/>
        </w:rPr>
        <w:t>年度</w:t>
      </w:r>
      <w:r>
        <w:rPr>
          <w:rFonts w:hint="eastAsia" w:ascii="仿宋" w:hAnsi="仿宋" w:eastAsia="仿宋"/>
          <w:sz w:val="32"/>
          <w:szCs w:val="32"/>
          <w:lang w:eastAsia="zh-CN"/>
        </w:rPr>
        <w:t>中心</w:t>
      </w:r>
      <w:r>
        <w:rPr>
          <w:rFonts w:hint="eastAsia" w:ascii="仿宋" w:hAnsi="仿宋" w:eastAsia="仿宋"/>
          <w:sz w:val="32"/>
          <w:szCs w:val="32"/>
        </w:rPr>
        <w:t>无</w:t>
      </w:r>
      <w:r>
        <w:rPr>
          <w:rFonts w:hint="eastAsia" w:ascii="仿宋" w:hAnsi="仿宋" w:eastAsia="仿宋"/>
          <w:sz w:val="32"/>
          <w:szCs w:val="32"/>
          <w:lang w:eastAsia="zh-CN"/>
        </w:rPr>
        <w:t>政府性基金预算收支</w:t>
      </w:r>
      <w:r>
        <w:rPr>
          <w:rFonts w:hint="eastAsia" w:ascii="仿宋" w:hAnsi="仿宋" w:eastAsia="仿宋"/>
          <w:sz w:val="32"/>
          <w:szCs w:val="32"/>
        </w:rPr>
        <w:t>。</w:t>
      </w:r>
    </w:p>
    <w:p w14:paraId="3567A222">
      <w:pPr>
        <w:pStyle w:val="14"/>
        <w:overflowPunct w:val="0"/>
        <w:autoSpaceDE/>
        <w:autoSpaceDN/>
        <w:spacing w:line="600" w:lineRule="exact"/>
        <w:ind w:firstLine="640" w:firstLineChars="200"/>
        <w:jc w:val="both"/>
        <w:rPr>
          <w:rFonts w:hint="eastAsia" w:ascii="Times New Roman" w:hAnsi="Times New Roman" w:cs="Times New Roman"/>
          <w:bCs/>
          <w:sz w:val="32"/>
          <w:szCs w:val="32"/>
        </w:rPr>
      </w:pPr>
      <w:r>
        <w:rPr>
          <w:rFonts w:hint="eastAsia" w:ascii="Times New Roman" w:hAnsi="Times New Roman" w:cs="Times New Roman"/>
          <w:bCs/>
          <w:sz w:val="32"/>
          <w:szCs w:val="32"/>
        </w:rPr>
        <w:t>九、国有资本经营预算收入支出决算情况说明</w:t>
      </w:r>
    </w:p>
    <w:p w14:paraId="519FB2C8">
      <w:pPr>
        <w:pStyle w:val="14"/>
        <w:spacing w:line="600" w:lineRule="exact"/>
        <w:rPr>
          <w:rFonts w:ascii="Times New Roman" w:hAnsi="Times New Roman" w:eastAsia="楷体_GB2312" w:cs="Times New Roman"/>
          <w:b/>
          <w:bCs/>
          <w:i/>
          <w:color w:val="auto"/>
          <w:sz w:val="32"/>
          <w:szCs w:val="32"/>
        </w:rPr>
      </w:pPr>
      <w:r>
        <w:rPr>
          <w:rFonts w:hint="eastAsia" w:ascii="仿宋" w:hAnsi="仿宋" w:eastAsia="仿宋"/>
          <w:sz w:val="32"/>
          <w:szCs w:val="32"/>
        </w:rPr>
        <w:t xml:space="preserve">    </w:t>
      </w:r>
      <w:r>
        <w:rPr>
          <w:rFonts w:hint="eastAsia" w:ascii="仿宋" w:hAnsi="仿宋" w:eastAsia="仿宋"/>
          <w:sz w:val="32"/>
          <w:szCs w:val="32"/>
          <w:lang w:eastAsia="zh-CN"/>
        </w:rPr>
        <w:t>202</w:t>
      </w:r>
      <w:r>
        <w:rPr>
          <w:rFonts w:hint="eastAsia" w:ascii="仿宋" w:hAnsi="仿宋" w:eastAsia="仿宋"/>
          <w:sz w:val="32"/>
          <w:szCs w:val="32"/>
          <w:lang w:val="en-US" w:eastAsia="zh-CN"/>
        </w:rPr>
        <w:t>5</w:t>
      </w:r>
      <w:r>
        <w:rPr>
          <w:rFonts w:hint="eastAsia" w:ascii="仿宋" w:hAnsi="仿宋" w:eastAsia="仿宋"/>
          <w:sz w:val="32"/>
          <w:szCs w:val="32"/>
        </w:rPr>
        <w:t>年度</w:t>
      </w:r>
      <w:r>
        <w:rPr>
          <w:rFonts w:hint="eastAsia" w:ascii="仿宋" w:hAnsi="仿宋" w:eastAsia="仿宋"/>
          <w:sz w:val="32"/>
          <w:szCs w:val="32"/>
          <w:lang w:eastAsia="zh-CN"/>
        </w:rPr>
        <w:t>中心</w:t>
      </w:r>
      <w:r>
        <w:rPr>
          <w:rFonts w:hint="eastAsia" w:ascii="仿宋" w:hAnsi="仿宋" w:eastAsia="仿宋"/>
          <w:sz w:val="32"/>
          <w:szCs w:val="32"/>
        </w:rPr>
        <w:t>无国有资本经营预算收支。</w:t>
      </w:r>
    </w:p>
    <w:p w14:paraId="357B12B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7E139D9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中心</w:t>
      </w:r>
      <w:r>
        <w:rPr>
          <w:rFonts w:hint="eastAsia" w:ascii="Times New Roman" w:hAnsi="Times New Roman" w:eastAsia="仿宋_GB2312" w:cs="Times New Roman"/>
          <w:sz w:val="32"/>
          <w:szCs w:val="32"/>
        </w:rPr>
        <w:t>为自收自支事业单位，</w:t>
      </w:r>
      <w:r>
        <w:rPr>
          <w:rFonts w:hint="eastAsia" w:ascii="Times New Roman" w:hAnsi="Times New Roman" w:eastAsia="仿宋_GB2312" w:cs="Times New Roman"/>
          <w:sz w:val="32"/>
          <w:szCs w:val="32"/>
          <w:lang w:eastAsia="zh-CN"/>
        </w:rPr>
        <w:t>无</w:t>
      </w:r>
      <w:r>
        <w:rPr>
          <w:rFonts w:hint="eastAsia" w:ascii="Times New Roman" w:hAnsi="Times New Roman" w:eastAsia="仿宋_GB2312" w:cs="Times New Roman"/>
          <w:sz w:val="32"/>
          <w:szCs w:val="32"/>
        </w:rPr>
        <w:t xml:space="preserve">机关运行经费。 </w:t>
      </w:r>
    </w:p>
    <w:p w14:paraId="2CA9DE8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1E5DAD9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中心</w:t>
      </w:r>
      <w:r>
        <w:rPr>
          <w:rFonts w:ascii="Times New Roman" w:hAnsi="Times New Roman" w:eastAsia="仿宋_GB2312" w:cs="Times New Roman"/>
          <w:sz w:val="32"/>
          <w:szCs w:val="32"/>
        </w:rPr>
        <w:t>开支会议费</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rPr>
        <w:t>中心中层管理岗位人员试用期转正考察、中层管理人员春节前廉政谈话暨警示教育、新提任人员任前集体廉政谈话、贯彻落实市委经济工作会议暨2025年度工作务虚会</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lang w:val="en-US" w:eastAsia="zh-CN"/>
        </w:rPr>
        <w:t>1.83</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事业单位工作人员</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以及会计继续教育培训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rPr>
        <w:t>本年没有举办节庆、晚会、论坛、赛事活动</w:t>
      </w:r>
      <w:r>
        <w:rPr>
          <w:rFonts w:ascii="Times New Roman" w:hAnsi="Times New Roman" w:eastAsia="仿宋_GB2312" w:cs="Times New Roman"/>
          <w:sz w:val="32"/>
          <w:szCs w:val="32"/>
        </w:rPr>
        <w:t>。</w:t>
      </w:r>
    </w:p>
    <w:p w14:paraId="407C1D3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3F1ED77E">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cs="Times New Roman"/>
          <w:sz w:val="32"/>
          <w:szCs w:val="32"/>
          <w:lang w:eastAsia="zh-CN"/>
        </w:rPr>
        <w:t>中心</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510.55</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45.47</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465.07</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437.69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85.73</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249.07</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56.91</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9.09</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90.91</w:t>
      </w:r>
      <w:r>
        <w:rPr>
          <w:rFonts w:ascii="Times New Roman" w:hAnsi="Times New Roman" w:eastAsia="仿宋_GB2312" w:cs="Times New Roman"/>
          <w:color w:val="auto"/>
          <w:sz w:val="32"/>
          <w:szCs w:val="32"/>
        </w:rPr>
        <w:t>%。</w:t>
      </w:r>
    </w:p>
    <w:p w14:paraId="789F6053">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1EA0DC8A">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eastAsia="zh-CN"/>
        </w:rPr>
        <w:t>中心</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11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rPr>
        <w:t>中心机关及管理部保留的11台公车，用于保障机要通信、应急和业务工作</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F377D6F">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FCE59AF">
      <w:pPr>
        <w:overflowPunct w:val="0"/>
        <w:spacing w:line="600" w:lineRule="exact"/>
        <w:ind w:firstLine="643" w:firstLineChars="200"/>
        <w:rPr>
          <w:rFonts w:hint="eastAsia" w:ascii="Times New Roman" w:hAnsi="Times New Roman" w:eastAsia="仿宋_GB2312" w:cs="Times New Roman"/>
          <w:b/>
          <w:bCs/>
          <w:sz w:val="32"/>
          <w:szCs w:val="32"/>
          <w:lang w:eastAsia="zh-CN"/>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hint="eastAsia" w:ascii="Times New Roman" w:hAnsi="Times New Roman" w:eastAsia="仿宋_GB2312" w:cs="Times New Roman"/>
          <w:b w:val="0"/>
          <w:bCs w:val="0"/>
          <w:kern w:val="0"/>
          <w:sz w:val="32"/>
          <w:szCs w:val="32"/>
          <w:lang w:eastAsia="zh-CN"/>
        </w:rPr>
        <w:t>中心按市财政要求</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年度整体支出开展</w:t>
      </w:r>
      <w:r>
        <w:rPr>
          <w:rFonts w:hint="eastAsia" w:ascii="Times New Roman" w:hAnsi="Times New Roman" w:eastAsia="仿宋_GB2312" w:cs="Times New Roman"/>
          <w:kern w:val="0"/>
          <w:sz w:val="32"/>
          <w:szCs w:val="32"/>
          <w:lang w:eastAsia="zh-CN"/>
        </w:rPr>
        <w:t>了</w:t>
      </w:r>
      <w:r>
        <w:rPr>
          <w:rFonts w:ascii="Times New Roman" w:hAnsi="Times New Roman" w:eastAsia="仿宋_GB2312" w:cs="Times New Roman"/>
          <w:kern w:val="0"/>
          <w:sz w:val="32"/>
          <w:szCs w:val="32"/>
        </w:rPr>
        <w:t>绩效自评，涉及项目</w:t>
      </w:r>
      <w:r>
        <w:rPr>
          <w:rFonts w:hint="eastAsia" w:ascii="Times New Roman" w:hAnsi="Times New Roman" w:eastAsia="仿宋_GB2312" w:cs="Times New Roman"/>
          <w:kern w:val="0"/>
          <w:sz w:val="32"/>
          <w:szCs w:val="32"/>
          <w:lang w:val="en-US" w:eastAsia="zh-CN"/>
        </w:rPr>
        <w:t>13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645.13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645.13</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b w:val="0"/>
          <w:bCs w:val="0"/>
          <w:kern w:val="0"/>
          <w:sz w:val="32"/>
          <w:szCs w:val="32"/>
          <w:lang w:eastAsia="zh-CN"/>
        </w:rPr>
        <w:t>中心</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劳务人员工资/奖金/五险一金</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rPr>
        <w:t>中心及14个管理部物业管理费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645.13</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kern w:val="0"/>
          <w:sz w:val="32"/>
          <w:szCs w:val="32"/>
          <w:lang w:eastAsia="zh-CN"/>
        </w:rPr>
        <w:t>中心无</w:t>
      </w:r>
      <w:r>
        <w:rPr>
          <w:rFonts w:ascii="Times New Roman" w:hAnsi="Times New Roman" w:eastAsia="仿宋_GB2312" w:cs="Times New Roman"/>
          <w:kern w:val="0"/>
          <w:sz w:val="32"/>
          <w:szCs w:val="32"/>
        </w:rPr>
        <w:t>新增重大政策</w:t>
      </w:r>
      <w:r>
        <w:rPr>
          <w:rFonts w:hint="eastAsia" w:ascii="Times New Roman" w:hAnsi="Times New Roman" w:eastAsia="仿宋_GB2312" w:cs="Times New Roman"/>
          <w:kern w:val="0"/>
          <w:sz w:val="32"/>
          <w:szCs w:val="32"/>
          <w:lang w:eastAsia="zh-CN"/>
        </w:rPr>
        <w:t>和重大项目，因此无</w:t>
      </w:r>
      <w:r>
        <w:rPr>
          <w:rFonts w:ascii="Times New Roman" w:hAnsi="Times New Roman" w:eastAsia="仿宋_GB2312" w:cs="Times New Roman"/>
          <w:kern w:val="0"/>
          <w:sz w:val="32"/>
          <w:szCs w:val="32"/>
        </w:rPr>
        <w:t>事前绩效评估</w:t>
      </w:r>
      <w:r>
        <w:rPr>
          <w:rFonts w:hint="eastAsia" w:ascii="Times New Roman" w:hAnsi="Times New Roman" w:eastAsia="仿宋_GB2312" w:cs="Times New Roman"/>
          <w:kern w:val="0"/>
          <w:sz w:val="32"/>
          <w:szCs w:val="32"/>
          <w:lang w:eastAsia="zh-CN"/>
        </w:rPr>
        <w:t>。</w:t>
      </w:r>
    </w:p>
    <w:p w14:paraId="1E8F692F">
      <w:pPr>
        <w:pStyle w:val="20"/>
        <w:topLinePunct/>
        <w:autoSpaceDE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2994.01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87.67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w:t>
      </w:r>
      <w:r>
        <w:rPr>
          <w:rFonts w:hint="eastAsia" w:ascii="Times New Roman" w:hAnsi="Times New Roman" w:eastAsia="仿宋_GB2312" w:cs="Times New Roman"/>
          <w:sz w:val="32"/>
          <w:szCs w:val="32"/>
          <w:lang w:val="en-US" w:eastAsia="zh-CN"/>
        </w:rPr>
        <w:t>8.77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rPr>
        <w:t>住房公积金归集44.88亿元，同比增长3.29%，累计缴存总额439.39亿元，缴存余额178.64亿元</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发放个人住房贷款2137笔共7.56亿元，超额完成年初计划0.66亿元，同比下降23.79%，累计发放个人住房贷款250.84亿元，个人贷款余额为111.61亿元，个贷率为62.48%</w:t>
      </w:r>
      <w:r>
        <w:rPr>
          <w:rFonts w:hint="eastAsia" w:ascii="Times New Roman" w:hAnsi="Times New Roman" w:eastAsia="仿宋_GB2312" w:cs="Times New Roman"/>
          <w:sz w:val="32"/>
          <w:szCs w:val="32"/>
          <w:lang w:eastAsia="zh-CN"/>
        </w:rPr>
        <w:t>；三是完成增值收益2.</w:t>
      </w:r>
      <w:r>
        <w:rPr>
          <w:rFonts w:hint="eastAsia" w:ascii="Times New Roman" w:hAnsi="Times New Roman" w:eastAsia="仿宋_GB2312" w:cs="Times New Roman"/>
          <w:sz w:val="32"/>
          <w:szCs w:val="32"/>
          <w:lang w:val="en-US" w:eastAsia="zh-CN"/>
        </w:rPr>
        <w:t>12</w:t>
      </w:r>
      <w:r>
        <w:rPr>
          <w:rFonts w:hint="eastAsia" w:ascii="Times New Roman" w:hAnsi="Times New Roman" w:eastAsia="仿宋_GB2312" w:cs="Times New Roman"/>
          <w:sz w:val="32"/>
          <w:szCs w:val="32"/>
          <w:lang w:eastAsia="zh-CN"/>
        </w:rPr>
        <w:t>亿元，同比下降</w:t>
      </w:r>
      <w:r>
        <w:rPr>
          <w:rFonts w:hint="eastAsia" w:ascii="Times New Roman" w:hAnsi="Times New Roman" w:eastAsia="仿宋_GB2312" w:cs="Times New Roman"/>
          <w:sz w:val="32"/>
          <w:szCs w:val="32"/>
          <w:lang w:val="en-US" w:eastAsia="zh-CN"/>
        </w:rPr>
        <w:t>19.14</w:t>
      </w:r>
      <w:r>
        <w:rPr>
          <w:rFonts w:hint="eastAsia" w:ascii="Times New Roman" w:hAnsi="Times New Roman" w:eastAsia="仿宋_GB2312" w:cs="Times New Roman"/>
          <w:sz w:val="32"/>
          <w:szCs w:val="32"/>
          <w:lang w:eastAsia="zh-CN"/>
        </w:rPr>
        <w:t>%；四是全市住房公积金个贷逾期总额为316.5万元，同比下降10.93%，个贷逾期率为0.0284%，持续稳定在省控标准0.03%以内，个贷风险准备金累计余额达1.12亿元，个人住房贷款逾期额与个人贷款风险准备金余额的比率为2.84%，资金运行安全稳健。发现的主要问题及原因：一是受宏观经济下行压力影响，非公单位公积金缴存增长动力不足；二是房地产市场整体偏弱，商品房市场交易量同比回落，直接导致住房公积金个人贷款发放规模有所收缩。下一步改进措施：一是持续拓宽制度覆盖范围，着力推进灵活就业人员参加住房公积金制度，夯实缴存基础；二是整合新媒体平台、官方网站、线下服务窗口等宣传阵地，用通俗易懂的形式，加大公积金贷款政策优势、申办条件及办理流程的宣传普及力度。</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val="en-US" w:eastAsia="zh-CN"/>
        </w:rPr>
        <w:t>21个</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1088.57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645.13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59.26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96.77</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p>
    <w:p w14:paraId="74D0536D">
      <w:pPr>
        <w:pStyle w:val="20"/>
        <w:topLinePunct/>
        <w:autoSpaceDE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（1）“短信费用”项目。年初预算安排</w:t>
      </w:r>
      <w:r>
        <w:rPr>
          <w:rFonts w:hint="eastAsia" w:ascii="Times New Roman" w:hAnsi="Times New Roman" w:eastAsia="仿宋_GB2312"/>
          <w:sz w:val="32"/>
          <w:szCs w:val="32"/>
          <w:lang w:val="en-US" w:eastAsia="zh-CN"/>
        </w:rPr>
        <w:t>20</w:t>
      </w:r>
      <w:r>
        <w:rPr>
          <w:rFonts w:ascii="Times New Roman" w:hAnsi="Times New Roman" w:eastAsia="仿宋_GB2312"/>
          <w:sz w:val="32"/>
          <w:szCs w:val="32"/>
        </w:rPr>
        <w:t>万元，调整后预算</w:t>
      </w:r>
      <w:r>
        <w:rPr>
          <w:rFonts w:hint="eastAsia" w:ascii="Times New Roman" w:hAnsi="Times New Roman" w:eastAsia="仿宋_GB2312"/>
          <w:sz w:val="32"/>
          <w:szCs w:val="32"/>
          <w:lang w:val="en-US" w:eastAsia="zh-CN"/>
        </w:rPr>
        <w:t>17.56</w:t>
      </w:r>
      <w:r>
        <w:rPr>
          <w:rFonts w:hint="eastAsia" w:ascii="Times New Roman" w:hAnsi="Times New Roman" w:eastAsia="仿宋_GB2312"/>
          <w:sz w:val="32"/>
          <w:szCs w:val="32"/>
        </w:rPr>
        <w:t>万元</w:t>
      </w:r>
      <w:r>
        <w:rPr>
          <w:rFonts w:ascii="Times New Roman" w:hAnsi="Times New Roman" w:eastAsia="仿宋_GB2312"/>
          <w:sz w:val="32"/>
          <w:szCs w:val="32"/>
        </w:rPr>
        <w:t>，本年支出</w:t>
      </w:r>
      <w:r>
        <w:rPr>
          <w:rFonts w:hint="eastAsia" w:ascii="Times New Roman" w:hAnsi="Times New Roman" w:eastAsia="仿宋_GB2312"/>
          <w:sz w:val="32"/>
          <w:szCs w:val="32"/>
          <w:lang w:val="en-US" w:eastAsia="zh-CN"/>
        </w:rPr>
        <w:t>8.14</w:t>
      </w:r>
      <w:r>
        <w:rPr>
          <w:rFonts w:ascii="Times New Roman" w:hAnsi="Times New Roman" w:eastAsia="仿宋_GB2312"/>
          <w:sz w:val="32"/>
          <w:szCs w:val="32"/>
        </w:rPr>
        <w:t>万元，执行率</w:t>
      </w:r>
      <w:r>
        <w:rPr>
          <w:rFonts w:hint="eastAsia" w:ascii="Times New Roman" w:hAnsi="Times New Roman" w:eastAsia="仿宋_GB2312"/>
          <w:sz w:val="32"/>
          <w:szCs w:val="32"/>
          <w:lang w:val="en-US" w:eastAsia="zh-CN"/>
        </w:rPr>
        <w:t>46.36</w:t>
      </w:r>
      <w:r>
        <w:rPr>
          <w:rFonts w:ascii="Times New Roman" w:hAnsi="Times New Roman" w:eastAsia="仿宋_GB2312"/>
          <w:sz w:val="32"/>
          <w:szCs w:val="32"/>
        </w:rPr>
        <w:t>%。</w:t>
      </w:r>
    </w:p>
    <w:p w14:paraId="091E7D6E">
      <w:pPr>
        <w:pStyle w:val="20"/>
        <w:topLinePunct/>
        <w:autoSpaceDE w:val="0"/>
        <w:spacing w:line="580" w:lineRule="exact"/>
        <w:ind w:firstLine="640" w:firstLineChars="200"/>
        <w:rPr>
          <w:rFonts w:hint="eastAsia" w:ascii="Times New Roman" w:hAnsi="Times New Roman" w:eastAsia="仿宋_GB2312"/>
          <w:sz w:val="32"/>
          <w:szCs w:val="32"/>
          <w:lang w:val="en-US" w:eastAsia="zh-CN"/>
        </w:rPr>
      </w:pPr>
      <w:r>
        <w:rPr>
          <w:rFonts w:ascii="Times New Roman" w:hAnsi="Times New Roman" w:eastAsia="仿宋_GB2312"/>
          <w:sz w:val="32"/>
          <w:szCs w:val="32"/>
        </w:rPr>
        <w:t>（</w:t>
      </w:r>
      <w:r>
        <w:rPr>
          <w:rFonts w:hint="eastAsia" w:ascii="Times New Roman" w:hAnsi="Times New Roman" w:eastAsia="仿宋_GB2312"/>
          <w:sz w:val="32"/>
          <w:szCs w:val="32"/>
          <w:lang w:val="en-US" w:eastAsia="zh-CN"/>
        </w:rPr>
        <w:t>2</w:t>
      </w:r>
      <w:r>
        <w:rPr>
          <w:rFonts w:ascii="Times New Roman" w:hAnsi="Times New Roman" w:eastAsia="仿宋_GB2312"/>
          <w:sz w:val="32"/>
          <w:szCs w:val="32"/>
        </w:rPr>
        <w:t>）“业务线路费”项目。年初预算安排</w:t>
      </w:r>
      <w:r>
        <w:rPr>
          <w:rFonts w:hint="eastAsia" w:ascii="Times New Roman" w:hAnsi="Times New Roman" w:eastAsia="仿宋_GB2312"/>
          <w:sz w:val="32"/>
          <w:szCs w:val="32"/>
          <w:lang w:val="en-US" w:eastAsia="zh-CN"/>
        </w:rPr>
        <w:t>39</w:t>
      </w:r>
      <w:r>
        <w:rPr>
          <w:rFonts w:ascii="Times New Roman" w:hAnsi="Times New Roman" w:eastAsia="仿宋_GB2312"/>
          <w:sz w:val="32"/>
          <w:szCs w:val="32"/>
        </w:rPr>
        <w:t>万元，调整后安排</w:t>
      </w:r>
      <w:r>
        <w:rPr>
          <w:rFonts w:hint="eastAsia" w:ascii="Times New Roman" w:hAnsi="Times New Roman" w:eastAsia="仿宋_GB2312"/>
          <w:sz w:val="32"/>
          <w:szCs w:val="32"/>
          <w:lang w:val="en-US" w:eastAsia="zh-CN"/>
        </w:rPr>
        <w:t>34.63</w:t>
      </w:r>
      <w:r>
        <w:rPr>
          <w:rFonts w:ascii="Times New Roman" w:hAnsi="Times New Roman" w:eastAsia="仿宋_GB2312"/>
          <w:sz w:val="32"/>
          <w:szCs w:val="32"/>
        </w:rPr>
        <w:t>万元，本年支出</w:t>
      </w:r>
      <w:r>
        <w:rPr>
          <w:rFonts w:hint="eastAsia" w:ascii="Times New Roman" w:hAnsi="Times New Roman" w:eastAsia="仿宋_GB2312"/>
          <w:sz w:val="32"/>
          <w:szCs w:val="32"/>
          <w:lang w:val="en-US" w:eastAsia="zh-CN"/>
        </w:rPr>
        <w:t>3.77</w:t>
      </w:r>
      <w:r>
        <w:rPr>
          <w:rFonts w:ascii="Times New Roman" w:hAnsi="Times New Roman" w:eastAsia="仿宋_GB2312"/>
          <w:sz w:val="32"/>
          <w:szCs w:val="32"/>
        </w:rPr>
        <w:t>万元，执行率</w:t>
      </w:r>
      <w:r>
        <w:rPr>
          <w:rFonts w:hint="eastAsia" w:ascii="Times New Roman" w:hAnsi="Times New Roman" w:eastAsia="仿宋_GB2312"/>
          <w:sz w:val="32"/>
          <w:szCs w:val="32"/>
          <w:lang w:val="en-US" w:eastAsia="zh-CN"/>
        </w:rPr>
        <w:t>10.89</w:t>
      </w:r>
      <w:r>
        <w:rPr>
          <w:rFonts w:ascii="Times New Roman" w:hAnsi="Times New Roman" w:eastAsia="仿宋_GB2312"/>
          <w:sz w:val="32"/>
          <w:szCs w:val="32"/>
        </w:rPr>
        <w:t>%。</w:t>
      </w:r>
    </w:p>
    <w:p w14:paraId="50517E7F">
      <w:pPr>
        <w:pStyle w:val="20"/>
        <w:topLinePunct/>
        <w:autoSpaceDE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lang w:val="en-US" w:eastAsia="zh-CN"/>
        </w:rPr>
        <w:t>3</w:t>
      </w:r>
      <w:r>
        <w:rPr>
          <w:rFonts w:ascii="Times New Roman" w:hAnsi="Times New Roman" w:eastAsia="仿宋_GB2312"/>
          <w:sz w:val="32"/>
          <w:szCs w:val="32"/>
        </w:rPr>
        <w:t>）“劳务人员工资/奖金/五险一金”项目。年初预算安排</w:t>
      </w:r>
      <w:r>
        <w:rPr>
          <w:rFonts w:hint="eastAsia" w:ascii="Times New Roman" w:hAnsi="Times New Roman" w:eastAsia="仿宋_GB2312"/>
          <w:sz w:val="32"/>
          <w:szCs w:val="32"/>
          <w:lang w:val="en-US" w:eastAsia="zh-CN"/>
        </w:rPr>
        <w:t>310.67</w:t>
      </w:r>
      <w:r>
        <w:rPr>
          <w:rFonts w:ascii="Times New Roman" w:hAnsi="Times New Roman" w:eastAsia="仿宋_GB2312"/>
          <w:sz w:val="32"/>
          <w:szCs w:val="32"/>
        </w:rPr>
        <w:t>万元，本年支出</w:t>
      </w:r>
      <w:r>
        <w:rPr>
          <w:rFonts w:hint="eastAsia" w:ascii="Times New Roman" w:hAnsi="Times New Roman" w:eastAsia="仿宋_GB2312"/>
          <w:sz w:val="32"/>
          <w:szCs w:val="32"/>
          <w:lang w:val="en-US" w:eastAsia="zh-CN"/>
        </w:rPr>
        <w:t>310.67</w:t>
      </w:r>
      <w:r>
        <w:rPr>
          <w:rFonts w:ascii="Times New Roman" w:hAnsi="Times New Roman" w:eastAsia="仿宋_GB2312"/>
          <w:sz w:val="32"/>
          <w:szCs w:val="32"/>
        </w:rPr>
        <w:t>万元，执行率</w:t>
      </w:r>
      <w:r>
        <w:rPr>
          <w:rFonts w:hint="eastAsia" w:ascii="Times New Roman" w:hAnsi="Times New Roman" w:eastAsia="仿宋_GB2312"/>
          <w:sz w:val="32"/>
          <w:szCs w:val="32"/>
          <w:lang w:val="en-US" w:eastAsia="zh-CN"/>
        </w:rPr>
        <w:t>100</w:t>
      </w:r>
      <w:r>
        <w:rPr>
          <w:rFonts w:ascii="Times New Roman" w:hAnsi="Times New Roman" w:eastAsia="仿宋_GB2312"/>
          <w:sz w:val="32"/>
          <w:szCs w:val="32"/>
        </w:rPr>
        <w:t>%。</w:t>
      </w:r>
    </w:p>
    <w:p w14:paraId="3B1D54F1">
      <w:pPr>
        <w:pStyle w:val="20"/>
        <w:topLinePunct/>
        <w:autoSpaceDE w:val="0"/>
        <w:spacing w:line="580"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4）“数据治理”项目。年初预算196.1万元，调整后安排180.4万元，本年支出28.53万元，执行率15.81%。</w:t>
      </w:r>
    </w:p>
    <w:p w14:paraId="1234E52A">
      <w:pPr>
        <w:pStyle w:val="20"/>
        <w:topLinePunct/>
        <w:autoSpaceDE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）“人才引进补贴”项目。年初预算安排0万元，调整后安排2.4万元，本年支出2.4万元，执行率100%。</w:t>
      </w:r>
    </w:p>
    <w:p w14:paraId="5FFDF6CC">
      <w:pPr>
        <w:pStyle w:val="20"/>
        <w:topLinePunct/>
        <w:autoSpaceDE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lang w:val="en-US" w:eastAsia="zh-CN"/>
        </w:rPr>
        <w:t>6</w:t>
      </w:r>
      <w:r>
        <w:rPr>
          <w:rFonts w:ascii="Times New Roman" w:hAnsi="Times New Roman" w:eastAsia="仿宋_GB2312"/>
          <w:sz w:val="32"/>
          <w:szCs w:val="32"/>
        </w:rPr>
        <w:t>）“中心及14个管理部物业管理费”项目。年初预算安排</w:t>
      </w:r>
      <w:r>
        <w:rPr>
          <w:rFonts w:hint="eastAsia" w:ascii="Times New Roman" w:hAnsi="Times New Roman" w:eastAsia="仿宋_GB2312"/>
          <w:sz w:val="32"/>
          <w:szCs w:val="32"/>
          <w:lang w:val="en-US" w:eastAsia="zh-CN"/>
        </w:rPr>
        <w:t>134.69</w:t>
      </w:r>
      <w:r>
        <w:rPr>
          <w:rFonts w:ascii="Times New Roman" w:hAnsi="Times New Roman" w:eastAsia="仿宋_GB2312"/>
          <w:sz w:val="32"/>
          <w:szCs w:val="32"/>
        </w:rPr>
        <w:t>万元，本年支出</w:t>
      </w:r>
      <w:r>
        <w:rPr>
          <w:rFonts w:hint="eastAsia" w:ascii="Times New Roman" w:hAnsi="Times New Roman" w:eastAsia="仿宋_GB2312"/>
          <w:sz w:val="32"/>
          <w:szCs w:val="32"/>
          <w:lang w:val="en-US" w:eastAsia="zh-CN"/>
        </w:rPr>
        <w:t>112.12</w:t>
      </w:r>
      <w:r>
        <w:rPr>
          <w:rFonts w:ascii="Times New Roman" w:hAnsi="Times New Roman" w:eastAsia="仿宋_GB2312"/>
          <w:sz w:val="32"/>
          <w:szCs w:val="32"/>
        </w:rPr>
        <w:t>万元，执行率</w:t>
      </w:r>
      <w:r>
        <w:rPr>
          <w:rFonts w:hint="eastAsia" w:ascii="Times New Roman" w:hAnsi="Times New Roman" w:eastAsia="仿宋_GB2312"/>
          <w:sz w:val="32"/>
          <w:szCs w:val="32"/>
          <w:lang w:val="en-US" w:eastAsia="zh-CN"/>
        </w:rPr>
        <w:t>83.24</w:t>
      </w:r>
      <w:r>
        <w:rPr>
          <w:rFonts w:ascii="Times New Roman" w:hAnsi="Times New Roman" w:eastAsia="仿宋_GB2312"/>
          <w:sz w:val="32"/>
          <w:szCs w:val="32"/>
        </w:rPr>
        <w:t>%。</w:t>
      </w:r>
    </w:p>
    <w:p w14:paraId="7E7FC937">
      <w:pPr>
        <w:pStyle w:val="20"/>
        <w:topLinePunct/>
        <w:autoSpaceDE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lang w:val="en-US" w:eastAsia="zh-CN"/>
        </w:rPr>
        <w:t>7</w:t>
      </w:r>
      <w:r>
        <w:rPr>
          <w:rFonts w:ascii="Times New Roman" w:hAnsi="Times New Roman" w:eastAsia="仿宋_GB2312"/>
          <w:sz w:val="32"/>
          <w:szCs w:val="32"/>
        </w:rPr>
        <w:t>）“乡村振兴工作经费”项目。年初预算安排30万元，本年支出</w:t>
      </w:r>
      <w:r>
        <w:rPr>
          <w:rFonts w:hint="eastAsia" w:ascii="Times New Roman" w:hAnsi="Times New Roman" w:eastAsia="仿宋_GB2312"/>
          <w:sz w:val="32"/>
          <w:szCs w:val="32"/>
          <w:lang w:val="en-US" w:eastAsia="zh-CN"/>
        </w:rPr>
        <w:t>29.96</w:t>
      </w:r>
      <w:r>
        <w:rPr>
          <w:rFonts w:ascii="Times New Roman" w:hAnsi="Times New Roman" w:eastAsia="仿宋_GB2312"/>
          <w:sz w:val="32"/>
          <w:szCs w:val="32"/>
        </w:rPr>
        <w:t>万元，执行率</w:t>
      </w:r>
      <w:r>
        <w:rPr>
          <w:rFonts w:hint="eastAsia" w:ascii="Times New Roman" w:hAnsi="Times New Roman" w:eastAsia="仿宋_GB2312"/>
          <w:sz w:val="32"/>
          <w:szCs w:val="32"/>
          <w:lang w:val="en-US" w:eastAsia="zh-CN"/>
        </w:rPr>
        <w:t>99.87</w:t>
      </w:r>
      <w:r>
        <w:rPr>
          <w:rFonts w:ascii="Times New Roman" w:hAnsi="Times New Roman" w:eastAsia="仿宋_GB2312"/>
          <w:sz w:val="32"/>
          <w:szCs w:val="32"/>
        </w:rPr>
        <w:t>%。</w:t>
      </w:r>
    </w:p>
    <w:p w14:paraId="4AC88E25">
      <w:pPr>
        <w:pStyle w:val="20"/>
        <w:topLinePunct/>
        <w:autoSpaceDE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lang w:val="en-US" w:eastAsia="zh-CN"/>
        </w:rPr>
        <w:t>8</w:t>
      </w:r>
      <w:r>
        <w:rPr>
          <w:rFonts w:ascii="Times New Roman" w:hAnsi="Times New Roman" w:eastAsia="仿宋_GB2312"/>
          <w:sz w:val="32"/>
          <w:szCs w:val="32"/>
        </w:rPr>
        <w:t>）“电子化办公服务设备和办公家具购置及维修”项目。年初安排20万元，本年支出</w:t>
      </w:r>
      <w:r>
        <w:rPr>
          <w:rFonts w:hint="eastAsia" w:ascii="Times New Roman" w:hAnsi="Times New Roman" w:eastAsia="仿宋_GB2312"/>
          <w:sz w:val="32"/>
          <w:szCs w:val="32"/>
          <w:lang w:val="en-US" w:eastAsia="zh-CN"/>
        </w:rPr>
        <w:t>19.46</w:t>
      </w:r>
      <w:r>
        <w:rPr>
          <w:rFonts w:ascii="Times New Roman" w:hAnsi="Times New Roman" w:eastAsia="仿宋_GB2312"/>
          <w:sz w:val="32"/>
          <w:szCs w:val="32"/>
        </w:rPr>
        <w:t>万元，执行率</w:t>
      </w:r>
      <w:r>
        <w:rPr>
          <w:rFonts w:hint="eastAsia" w:ascii="Times New Roman" w:hAnsi="Times New Roman" w:eastAsia="仿宋_GB2312"/>
          <w:sz w:val="32"/>
          <w:szCs w:val="32"/>
          <w:lang w:val="en-US" w:eastAsia="zh-CN"/>
        </w:rPr>
        <w:t>97.3</w:t>
      </w:r>
      <w:r>
        <w:rPr>
          <w:rFonts w:ascii="Times New Roman" w:hAnsi="Times New Roman" w:eastAsia="仿宋_GB2312"/>
          <w:sz w:val="32"/>
          <w:szCs w:val="32"/>
        </w:rPr>
        <w:t>%。</w:t>
      </w:r>
    </w:p>
    <w:p w14:paraId="00866A4C">
      <w:pPr>
        <w:pStyle w:val="20"/>
        <w:topLinePunct/>
        <w:autoSpaceDE w:val="0"/>
        <w:spacing w:line="580"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9）“业务直接成本”项目。年初预算安排25万元，本年支出25万元，执行率100%。</w:t>
      </w:r>
    </w:p>
    <w:p w14:paraId="1AAEB9B1">
      <w:pPr>
        <w:pStyle w:val="20"/>
        <w:topLinePunct/>
        <w:autoSpaceDE w:val="0"/>
        <w:spacing w:line="580"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（10）“住房公积金管理中心应急专项”项目。年初预算安排192.5万元，调整后安排86.8万元，本年支出83.52万元，执行率96.22%</w:t>
      </w:r>
    </w:p>
    <w:p w14:paraId="7EFF92B3">
      <w:pPr>
        <w:pStyle w:val="20"/>
        <w:topLinePunct/>
        <w:autoSpaceDE w:val="0"/>
        <w:spacing w:line="580" w:lineRule="exact"/>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（11）“中方办公服务大厅遗留尾款”项目。年初预算安排0万元，调整后安排6.14万元，本年支出2.46万元，执行率40.07%。</w:t>
      </w:r>
    </w:p>
    <w:p w14:paraId="0D84AFA4">
      <w:pPr>
        <w:pStyle w:val="20"/>
        <w:topLinePunct/>
        <w:autoSpaceDE w:val="0"/>
        <w:spacing w:line="580"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12）“AK替代专项”项目。年初预算安排0万元，调整后安排17.6万元，本年支出17.6万元，执行率100%。</w:t>
      </w:r>
    </w:p>
    <w:p w14:paraId="69F7B907">
      <w:pPr>
        <w:pStyle w:val="20"/>
        <w:topLinePunct/>
        <w:autoSpaceDE w:val="0"/>
        <w:spacing w:line="580" w:lineRule="exact"/>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（13）“工作服制作”项目。年初预算安排7.5万元，调整后安排9万元，本年支出1.5万元，执行率16.67%。</w:t>
      </w:r>
    </w:p>
    <w:p w14:paraId="0CD98935">
      <w:pPr>
        <w:overflowPunct w:val="0"/>
        <w:spacing w:line="600" w:lineRule="exact"/>
        <w:ind w:firstLine="643"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中心无事前绩效评估工作。</w:t>
      </w:r>
    </w:p>
    <w:p w14:paraId="2A08188E">
      <w:pPr>
        <w:topLinePunct/>
        <w:autoSpaceDE w:val="0"/>
        <w:spacing w:line="580" w:lineRule="exact"/>
        <w:ind w:firstLine="643" w:firstLineChars="200"/>
        <w:rPr>
          <w:rFonts w:eastAsia="仿宋_GB2312"/>
          <w:sz w:val="32"/>
          <w:szCs w:val="32"/>
        </w:rPr>
      </w:pPr>
      <w:r>
        <w:rPr>
          <w:rFonts w:ascii="Times New Roman" w:hAnsi="Times New Roman" w:eastAsia="楷体_GB2312" w:cs="Times New Roman"/>
          <w:b/>
          <w:bCs/>
          <w:color w:val="auto"/>
          <w:kern w:val="2"/>
          <w:sz w:val="32"/>
          <w:szCs w:val="32"/>
        </w:rPr>
        <w:t>（三）评价结果应用情况。</w:t>
      </w:r>
      <w:r>
        <w:rPr>
          <w:rFonts w:hint="eastAsia" w:eastAsia="仿宋_GB2312"/>
          <w:sz w:val="32"/>
          <w:szCs w:val="32"/>
          <w:lang w:eastAsia="zh-CN"/>
        </w:rPr>
        <w:t>中心</w:t>
      </w:r>
      <w:r>
        <w:rPr>
          <w:rFonts w:eastAsia="仿宋_GB2312"/>
          <w:sz w:val="32"/>
          <w:szCs w:val="32"/>
        </w:rPr>
        <w:t>制订了《怀化市住房公积金管理中心专项资金管理暂行办法》《怀化市住房公积金管理中心预决算管理办法》等相关文件，</w:t>
      </w:r>
      <w:r>
        <w:rPr>
          <w:rFonts w:hint="eastAsia" w:eastAsia="仿宋_GB2312"/>
          <w:sz w:val="32"/>
          <w:szCs w:val="32"/>
          <w:lang w:eastAsia="zh-CN"/>
        </w:rPr>
        <w:t>中心</w:t>
      </w:r>
      <w:r>
        <w:rPr>
          <w:rFonts w:eastAsia="仿宋_GB2312"/>
          <w:sz w:val="32"/>
          <w:szCs w:val="32"/>
        </w:rPr>
        <w:t>的项目资金管理均按照上述办法严格执行，项目资金使用实行先收后支、专款专用的原则。在项目实施过程中，严格执行各项资金管理制度，确保资金使用合法、合规、合理。具体包括：严格按照预算安排使用资金，不得擅自调整项目资金用途和支出范围，确需调整的，按照规定程序报批；加强项目资金的财务核算，规范会计科目设置和账务处理，确保资金收支清晰、准确；定期对项目资金的使用情况进行监督检查，及时发现和纠正资金使用过程中存在的问题，严肃查处违规违纪行为。目前未发现挪用、挤占、虚列支出等违规问题。资金拨付审批流程规范，凭证、票据完整，符合财务管理制度要求。</w:t>
      </w:r>
    </w:p>
    <w:p w14:paraId="40A14B62">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5D222EEF">
      <w:pPr>
        <w:pStyle w:val="14"/>
        <w:jc w:val="both"/>
        <w:rPr>
          <w:rFonts w:ascii="Times New Roman" w:hAnsi="Times New Roman" w:cs="Times New Roman"/>
          <w:sz w:val="72"/>
          <w:szCs w:val="72"/>
        </w:rPr>
      </w:pPr>
    </w:p>
    <w:p w14:paraId="3A764031">
      <w:pPr>
        <w:pStyle w:val="14"/>
        <w:jc w:val="both"/>
        <w:rPr>
          <w:rFonts w:ascii="Times New Roman" w:hAnsi="Times New Roman" w:cs="Times New Roman"/>
          <w:sz w:val="72"/>
          <w:szCs w:val="72"/>
        </w:rPr>
      </w:pPr>
    </w:p>
    <w:p w14:paraId="4B3770D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02168719">
      <w:pPr>
        <w:widowControl/>
        <w:jc w:val="left"/>
        <w:rPr>
          <w:rFonts w:ascii="Times New Roman" w:hAnsi="Times New Roman" w:cs="Times New Roman"/>
          <w:color w:val="000000"/>
          <w:kern w:val="0"/>
          <w:sz w:val="32"/>
          <w:szCs w:val="32"/>
        </w:rPr>
      </w:pPr>
    </w:p>
    <w:p w14:paraId="1E03BC51">
      <w:pPr>
        <w:pStyle w:val="14"/>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33B991E0">
      <w:pPr>
        <w:pStyle w:val="14"/>
        <w:spacing w:line="600" w:lineRule="exact"/>
        <w:ind w:firstLine="640" w:firstLineChars="200"/>
        <w:rPr>
          <w:rFonts w:ascii="Times New Roman" w:hAnsi="Times New Roman" w:eastAsia="楷体_GB2312" w:cs="Times New Roman"/>
          <w:b/>
          <w:bCs/>
          <w:i/>
          <w:color w:val="auto"/>
          <w:sz w:val="32"/>
          <w:szCs w:val="32"/>
        </w:rPr>
      </w:pPr>
      <w:r>
        <w:rPr>
          <w:rFonts w:hint="eastAsia" w:ascii="Times New Roman" w:hAnsi="Times New Roman" w:eastAsia="仿宋_GB2312" w:cs="Times New Roman"/>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7E960B74">
      <w:pPr>
        <w:pStyle w:val="14"/>
        <w:jc w:val="both"/>
        <w:rPr>
          <w:rFonts w:ascii="Times New Roman" w:hAnsi="Times New Roman" w:cs="Times New Roman"/>
          <w:sz w:val="72"/>
          <w:szCs w:val="72"/>
        </w:rPr>
      </w:pPr>
    </w:p>
    <w:p w14:paraId="1EEE797B">
      <w:pPr>
        <w:pStyle w:val="14"/>
        <w:jc w:val="both"/>
        <w:rPr>
          <w:rFonts w:ascii="Times New Roman" w:hAnsi="Times New Roman" w:cs="Times New Roman"/>
          <w:sz w:val="72"/>
          <w:szCs w:val="72"/>
        </w:rPr>
      </w:pPr>
    </w:p>
    <w:p w14:paraId="4A414763">
      <w:pPr>
        <w:pStyle w:val="14"/>
        <w:jc w:val="both"/>
        <w:rPr>
          <w:rFonts w:ascii="Times New Roman" w:hAnsi="Times New Roman" w:cs="Times New Roman"/>
          <w:sz w:val="72"/>
          <w:szCs w:val="72"/>
        </w:rPr>
      </w:pPr>
    </w:p>
    <w:p w14:paraId="2FDFFBE8">
      <w:pPr>
        <w:pStyle w:val="14"/>
        <w:jc w:val="both"/>
        <w:rPr>
          <w:rFonts w:ascii="Times New Roman" w:hAnsi="Times New Roman" w:cs="Times New Roman"/>
          <w:sz w:val="72"/>
          <w:szCs w:val="72"/>
        </w:rPr>
      </w:pPr>
    </w:p>
    <w:p w14:paraId="2DE97B88">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774707A">
      <w:pPr>
        <w:rPr>
          <w:rFonts w:ascii="Times New Roman" w:hAnsi="Times New Roman" w:cs="Times New Roman"/>
          <w:sz w:val="72"/>
          <w:szCs w:val="72"/>
        </w:rPr>
      </w:pPr>
    </w:p>
    <w:p w14:paraId="0BDB7291">
      <w:pPr>
        <w:keepNext w:val="0"/>
        <w:keepLines w:val="0"/>
        <w:pageBreakBefore w:val="0"/>
        <w:widowControl/>
        <w:shd w:val="clear" w:color="auto" w:fill="FFFFFF"/>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spacing w:val="-2"/>
          <w:sz w:val="44"/>
          <w:szCs w:val="44"/>
        </w:rPr>
      </w:pPr>
      <w:r>
        <w:rPr>
          <w:rFonts w:hint="eastAsia" w:ascii="方正小标宋简体" w:hAnsi="方正小标宋简体" w:eastAsia="方正小标宋简体" w:cs="方正小标宋简体"/>
          <w:b w:val="0"/>
          <w:bCs/>
          <w:spacing w:val="-2"/>
          <w:sz w:val="44"/>
          <w:szCs w:val="44"/>
        </w:rPr>
        <w:t>怀化市住房公积金管理中心</w:t>
      </w:r>
    </w:p>
    <w:p w14:paraId="126CE533">
      <w:pPr>
        <w:keepNext w:val="0"/>
        <w:keepLines w:val="0"/>
        <w:pageBreakBefore w:val="0"/>
        <w:widowControl/>
        <w:shd w:val="clear" w:color="auto" w:fill="FFFFFF"/>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spacing w:val="-2"/>
          <w:sz w:val="44"/>
          <w:szCs w:val="44"/>
        </w:rPr>
      </w:pPr>
      <w:r>
        <w:rPr>
          <w:rFonts w:hint="eastAsia" w:ascii="方正小标宋简体" w:hAnsi="方正小标宋简体" w:eastAsia="方正小标宋简体" w:cs="方正小标宋简体"/>
          <w:b w:val="0"/>
          <w:bCs/>
          <w:spacing w:val="-2"/>
          <w:sz w:val="44"/>
          <w:szCs w:val="44"/>
        </w:rPr>
        <w:t>202</w:t>
      </w:r>
      <w:r>
        <w:rPr>
          <w:rFonts w:hint="eastAsia" w:ascii="方正小标宋简体" w:hAnsi="方正小标宋简体" w:eastAsia="方正小标宋简体" w:cs="方正小标宋简体"/>
          <w:b w:val="0"/>
          <w:bCs/>
          <w:spacing w:val="-2"/>
          <w:sz w:val="44"/>
          <w:szCs w:val="44"/>
          <w:lang w:val="en-US" w:eastAsia="zh-CN"/>
        </w:rPr>
        <w:t>5</w:t>
      </w:r>
      <w:r>
        <w:rPr>
          <w:rFonts w:hint="eastAsia" w:ascii="方正小标宋简体" w:hAnsi="方正小标宋简体" w:eastAsia="方正小标宋简体" w:cs="方正小标宋简体"/>
          <w:b w:val="0"/>
          <w:bCs/>
          <w:spacing w:val="-2"/>
          <w:sz w:val="44"/>
          <w:szCs w:val="44"/>
        </w:rPr>
        <w:t>年度部门整体支出绩效</w:t>
      </w:r>
      <w:r>
        <w:rPr>
          <w:rFonts w:hint="eastAsia" w:ascii="方正小标宋简体" w:hAnsi="方正小标宋简体" w:eastAsia="方正小标宋简体" w:cs="方正小标宋简体"/>
          <w:b w:val="0"/>
          <w:bCs/>
          <w:spacing w:val="-2"/>
          <w:sz w:val="44"/>
          <w:szCs w:val="44"/>
          <w:lang w:val="en-US" w:eastAsia="zh-CN"/>
        </w:rPr>
        <w:t>自评</w:t>
      </w:r>
      <w:r>
        <w:rPr>
          <w:rFonts w:hint="eastAsia" w:ascii="方正小标宋简体" w:hAnsi="方正小标宋简体" w:eastAsia="方正小标宋简体" w:cs="方正小标宋简体"/>
          <w:b w:val="0"/>
          <w:bCs/>
          <w:spacing w:val="-2"/>
          <w:sz w:val="44"/>
          <w:szCs w:val="44"/>
        </w:rPr>
        <w:t>报告</w:t>
      </w:r>
    </w:p>
    <w:p w14:paraId="4E21EB8A">
      <w:pPr>
        <w:widowControl/>
        <w:shd w:val="clear" w:color="auto" w:fill="FFFFFF"/>
        <w:spacing w:line="360" w:lineRule="auto"/>
        <w:rPr>
          <w:rFonts w:eastAsia="仿宋_GB2312"/>
          <w:b/>
          <w:spacing w:val="-2"/>
          <w:sz w:val="32"/>
          <w:szCs w:val="44"/>
        </w:rPr>
      </w:pPr>
    </w:p>
    <w:p w14:paraId="4A7EA689">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仿宋_GB2312" w:cs="Times New Roman"/>
          <w:spacing w:val="-2"/>
          <w:sz w:val="32"/>
          <w:szCs w:val="32"/>
        </w:rPr>
      </w:pPr>
      <w:r>
        <w:rPr>
          <w:rFonts w:hint="default" w:ascii="Times New Roman" w:hAnsi="Times New Roman" w:eastAsia="仿宋_GB2312" w:cs="Times New Roman"/>
          <w:spacing w:val="-2"/>
          <w:sz w:val="32"/>
          <w:szCs w:val="32"/>
        </w:rPr>
        <w:t>为进一步规范财政资金管理，强化绩效和责任意识，提高财政资金使用效益，根据《怀化市财政局关于开展202</w:t>
      </w:r>
      <w:r>
        <w:rPr>
          <w:rFonts w:hint="eastAsia" w:eastAsia="仿宋_GB2312" w:cs="Times New Roman"/>
          <w:spacing w:val="-2"/>
          <w:sz w:val="32"/>
          <w:szCs w:val="32"/>
          <w:lang w:val="en-US" w:eastAsia="zh-CN"/>
        </w:rPr>
        <w:t>5</w:t>
      </w:r>
      <w:r>
        <w:rPr>
          <w:rFonts w:hint="default" w:ascii="Times New Roman" w:hAnsi="Times New Roman" w:eastAsia="仿宋_GB2312" w:cs="Times New Roman"/>
          <w:spacing w:val="-2"/>
          <w:sz w:val="32"/>
          <w:szCs w:val="32"/>
        </w:rPr>
        <w:t>年度市级预算部门绩效自评和部门评价的通知》（怀财绩</w:t>
      </w:r>
      <w:r>
        <w:rPr>
          <w:rFonts w:hint="eastAsia" w:eastAsia="仿宋_GB2312" w:cs="Times New Roman"/>
          <w:spacing w:val="-2"/>
          <w:sz w:val="32"/>
          <w:szCs w:val="32"/>
          <w:lang w:eastAsia="zh-CN"/>
        </w:rPr>
        <w:t>〔202</w:t>
      </w:r>
      <w:r>
        <w:rPr>
          <w:rFonts w:hint="eastAsia" w:eastAsia="仿宋_GB2312" w:cs="Times New Roman"/>
          <w:spacing w:val="-2"/>
          <w:sz w:val="32"/>
          <w:szCs w:val="32"/>
          <w:lang w:val="en-US" w:eastAsia="zh-CN"/>
        </w:rPr>
        <w:t>6</w:t>
      </w:r>
      <w:r>
        <w:rPr>
          <w:rFonts w:hint="eastAsia" w:eastAsia="仿宋_GB2312" w:cs="Times New Roman"/>
          <w:spacing w:val="-2"/>
          <w:sz w:val="32"/>
          <w:szCs w:val="32"/>
          <w:lang w:eastAsia="zh-CN"/>
        </w:rPr>
        <w:t>〕3</w:t>
      </w:r>
      <w:r>
        <w:rPr>
          <w:rFonts w:hint="eastAsia" w:eastAsia="仿宋_GB2312" w:cs="Times New Roman"/>
          <w:spacing w:val="-2"/>
          <w:sz w:val="32"/>
          <w:szCs w:val="32"/>
          <w:lang w:val="en-US" w:eastAsia="zh-CN"/>
        </w:rPr>
        <w:t>6</w:t>
      </w:r>
      <w:r>
        <w:rPr>
          <w:rFonts w:hint="eastAsia" w:eastAsia="仿宋_GB2312" w:cs="Times New Roman"/>
          <w:spacing w:val="-2"/>
          <w:sz w:val="32"/>
          <w:szCs w:val="32"/>
          <w:lang w:eastAsia="zh-CN"/>
        </w:rPr>
        <w:t>号</w:t>
      </w:r>
      <w:r>
        <w:rPr>
          <w:rFonts w:hint="default" w:ascii="Times New Roman" w:hAnsi="Times New Roman" w:eastAsia="仿宋_GB2312" w:cs="Times New Roman"/>
          <w:spacing w:val="-2"/>
          <w:sz w:val="32"/>
          <w:szCs w:val="32"/>
        </w:rPr>
        <w:t>）要求，</w:t>
      </w:r>
      <w:r>
        <w:rPr>
          <w:rFonts w:hint="default" w:ascii="Times New Roman" w:hAnsi="Times New Roman" w:eastAsia="仿宋_GB2312" w:cs="Times New Roman"/>
          <w:sz w:val="32"/>
          <w:szCs w:val="32"/>
        </w:rPr>
        <w:t>怀化市住房公积金管理中心</w:t>
      </w:r>
      <w:r>
        <w:rPr>
          <w:rFonts w:hint="eastAsia" w:eastAsia="仿宋_GB2312" w:cs="Times New Roman"/>
          <w:sz w:val="32"/>
          <w:szCs w:val="32"/>
          <w:lang w:eastAsia="zh-CN"/>
        </w:rPr>
        <w:t>（以下简称“中心”）</w:t>
      </w:r>
      <w:r>
        <w:rPr>
          <w:rFonts w:hint="eastAsia" w:eastAsia="仿宋_GB2312" w:cs="Times New Roman"/>
          <w:spacing w:val="-2"/>
          <w:sz w:val="32"/>
          <w:szCs w:val="32"/>
          <w:lang w:eastAsia="zh-CN"/>
        </w:rPr>
        <w:t>认真</w:t>
      </w:r>
      <w:r>
        <w:rPr>
          <w:rFonts w:hint="default" w:ascii="Times New Roman" w:hAnsi="Times New Roman" w:eastAsia="仿宋_GB2312" w:cs="Times New Roman"/>
          <w:spacing w:val="-2"/>
          <w:sz w:val="32"/>
          <w:szCs w:val="32"/>
        </w:rPr>
        <w:t>开展</w:t>
      </w:r>
      <w:r>
        <w:rPr>
          <w:rFonts w:hint="eastAsia" w:eastAsia="仿宋_GB2312" w:cs="Times New Roman"/>
          <w:spacing w:val="-2"/>
          <w:sz w:val="32"/>
          <w:szCs w:val="32"/>
          <w:lang w:eastAsia="zh-CN"/>
        </w:rPr>
        <w:t>了</w:t>
      </w:r>
      <w:r>
        <w:rPr>
          <w:rFonts w:hint="default" w:ascii="Times New Roman" w:hAnsi="Times New Roman" w:eastAsia="仿宋_GB2312" w:cs="Times New Roman"/>
          <w:spacing w:val="-2"/>
          <w:sz w:val="32"/>
          <w:szCs w:val="32"/>
        </w:rPr>
        <w:t>202</w:t>
      </w:r>
      <w:r>
        <w:rPr>
          <w:rFonts w:hint="eastAsia" w:eastAsia="仿宋_GB2312" w:cs="Times New Roman"/>
          <w:spacing w:val="-2"/>
          <w:sz w:val="32"/>
          <w:szCs w:val="32"/>
          <w:lang w:val="en-US" w:eastAsia="zh-CN"/>
        </w:rPr>
        <w:t>5</w:t>
      </w:r>
      <w:r>
        <w:rPr>
          <w:rFonts w:hint="default" w:ascii="Times New Roman" w:hAnsi="Times New Roman" w:eastAsia="仿宋_GB2312" w:cs="Times New Roman"/>
          <w:spacing w:val="-2"/>
          <w:sz w:val="32"/>
          <w:szCs w:val="32"/>
        </w:rPr>
        <w:t>年度整体支出绩效自评工作，现将自评情况报告如下：</w:t>
      </w:r>
    </w:p>
    <w:p w14:paraId="1CC91068">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黑体" w:cs="Times New Roman"/>
          <w:b w:val="0"/>
          <w:bCs/>
          <w:spacing w:val="-2"/>
          <w:sz w:val="32"/>
          <w:szCs w:val="32"/>
        </w:rPr>
      </w:pPr>
      <w:r>
        <w:rPr>
          <w:rFonts w:hint="default" w:ascii="Times New Roman" w:hAnsi="Times New Roman" w:eastAsia="黑体" w:cs="Times New Roman"/>
          <w:b w:val="0"/>
          <w:bCs/>
          <w:spacing w:val="-2"/>
          <w:sz w:val="32"/>
          <w:szCs w:val="32"/>
        </w:rPr>
        <w:t>一、部门概况</w:t>
      </w:r>
    </w:p>
    <w:p w14:paraId="62121F60">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楷体_GB2312" w:cs="Times New Roman"/>
          <w:b w:val="0"/>
          <w:bCs/>
          <w:color w:val="000000"/>
          <w:sz w:val="32"/>
          <w:szCs w:val="32"/>
        </w:rPr>
      </w:pPr>
      <w:r>
        <w:rPr>
          <w:rFonts w:hint="default" w:ascii="Times New Roman" w:hAnsi="Times New Roman" w:eastAsia="楷体_GB2312" w:cs="Times New Roman"/>
          <w:b w:val="0"/>
          <w:bCs/>
          <w:spacing w:val="-2"/>
          <w:sz w:val="32"/>
          <w:szCs w:val="32"/>
        </w:rPr>
        <w:t>（一）</w:t>
      </w:r>
      <w:r>
        <w:rPr>
          <w:rFonts w:hint="eastAsia" w:ascii="Times New Roman" w:hAnsi="Times New Roman" w:eastAsia="楷体_GB2312" w:cs="Times New Roman"/>
          <w:b w:val="0"/>
          <w:bCs/>
          <w:spacing w:val="-2"/>
          <w:sz w:val="32"/>
          <w:szCs w:val="32"/>
          <w:lang w:eastAsia="zh-CN"/>
        </w:rPr>
        <w:t>中心</w:t>
      </w:r>
      <w:r>
        <w:rPr>
          <w:rFonts w:hint="default" w:ascii="Times New Roman" w:hAnsi="Times New Roman" w:eastAsia="楷体_GB2312" w:cs="Times New Roman"/>
          <w:b w:val="0"/>
          <w:bCs/>
          <w:spacing w:val="-2"/>
          <w:sz w:val="32"/>
          <w:szCs w:val="32"/>
        </w:rPr>
        <w:t>基本情况</w:t>
      </w:r>
    </w:p>
    <w:p w14:paraId="29C0E8EC">
      <w:pPr>
        <w:pStyle w:val="9"/>
        <w:keepNext w:val="0"/>
        <w:keepLines w:val="0"/>
        <w:pageBreakBefore w:val="0"/>
        <w:widowControl w:val="0"/>
        <w:shd w:val="clear" w:color="auto" w:fill="FFFFFF"/>
        <w:kinsoku/>
        <w:wordWrap/>
        <w:overflowPunct/>
        <w:topLinePunct/>
        <w:autoSpaceDE w:val="0"/>
        <w:autoSpaceDN/>
        <w:bidi w:val="0"/>
        <w:adjustRightInd/>
        <w:snapToGrid w:val="0"/>
        <w:spacing w:before="0" w:beforeAutospacing="0" w:after="0" w:afterAutospacing="0" w:line="600" w:lineRule="exact"/>
        <w:ind w:left="0" w:firstLine="643" w:firstLineChars="200"/>
        <w:jc w:val="both"/>
        <w:textAlignment w:val="auto"/>
        <w:rPr>
          <w:rFonts w:hint="default" w:ascii="Times New Roman" w:hAnsi="Times New Roman" w:eastAsia="仿宋_GB2312" w:cs="Times New Roman"/>
          <w:b/>
          <w:color w:val="000000"/>
          <w:sz w:val="32"/>
          <w:szCs w:val="32"/>
          <w:shd w:val="clear" w:color="auto" w:fill="FFFFFF"/>
        </w:rPr>
      </w:pPr>
      <w:r>
        <w:rPr>
          <w:rFonts w:hint="default" w:ascii="Times New Roman" w:hAnsi="Times New Roman" w:eastAsia="仿宋_GB2312" w:cs="Times New Roman"/>
          <w:b/>
          <w:color w:val="000000"/>
          <w:sz w:val="32"/>
          <w:szCs w:val="32"/>
          <w:shd w:val="clear" w:color="auto" w:fill="FFFFFF"/>
          <w:lang w:val="en-US" w:eastAsia="zh-CN"/>
        </w:rPr>
        <w:t>1.</w:t>
      </w:r>
      <w:r>
        <w:rPr>
          <w:rFonts w:hint="default" w:ascii="Times New Roman" w:hAnsi="Times New Roman" w:eastAsia="仿宋_GB2312" w:cs="Times New Roman"/>
          <w:b/>
          <w:color w:val="000000"/>
          <w:sz w:val="32"/>
          <w:szCs w:val="32"/>
          <w:shd w:val="clear" w:color="auto" w:fill="FFFFFF"/>
        </w:rPr>
        <w:t>机构设置情况</w:t>
      </w:r>
    </w:p>
    <w:p w14:paraId="5428FC3A">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心作为一级部门预算单位，内设科室8个：综合部、人事部、财务部、稽核部、资金核算部、科技信息部、政策法规部、网办政务服务部；下设不具备独立法人资格的正科级分支机构15个：市直管理一部、市直管理二部、沅陵县管理部、辰溪县管理部、溆浦县管理部、麻阳苗族自治县管理部、新晃侗族自治县管理部、芷江侗族自治县管理部、鹤城区管理部、中方县管理部、洪江市管理部、洪江区管理部、会同县管理部、靖州苗族侗族自治县管理部、通道侗族自治县管理部。</w:t>
      </w:r>
    </w:p>
    <w:p w14:paraId="0C54FC04">
      <w:pPr>
        <w:pStyle w:val="9"/>
        <w:keepNext w:val="0"/>
        <w:keepLines w:val="0"/>
        <w:pageBreakBefore w:val="0"/>
        <w:widowControl w:val="0"/>
        <w:shd w:val="clear" w:color="auto" w:fill="FFFFFF"/>
        <w:kinsoku/>
        <w:wordWrap/>
        <w:overflowPunct/>
        <w:topLinePunct/>
        <w:autoSpaceDE w:val="0"/>
        <w:autoSpaceDN/>
        <w:bidi w:val="0"/>
        <w:adjustRightInd/>
        <w:snapToGrid w:val="0"/>
        <w:spacing w:before="0" w:beforeAutospacing="0" w:after="0" w:afterAutospacing="0" w:line="600" w:lineRule="exact"/>
        <w:ind w:left="0" w:firstLine="643" w:firstLineChars="200"/>
        <w:jc w:val="both"/>
        <w:textAlignment w:val="auto"/>
        <w:rPr>
          <w:rFonts w:hint="default" w:ascii="Times New Roman" w:hAnsi="Times New Roman" w:eastAsia="仿宋_GB2312" w:cs="Times New Roman"/>
          <w:b/>
          <w:color w:val="000000"/>
          <w:sz w:val="32"/>
          <w:szCs w:val="32"/>
          <w:shd w:val="clear" w:color="auto" w:fill="FFFFFF"/>
        </w:rPr>
      </w:pPr>
      <w:r>
        <w:rPr>
          <w:rFonts w:hint="default" w:ascii="Times New Roman" w:hAnsi="Times New Roman" w:eastAsia="仿宋_GB2312" w:cs="Times New Roman"/>
          <w:b/>
          <w:color w:val="000000"/>
          <w:sz w:val="32"/>
          <w:szCs w:val="32"/>
          <w:shd w:val="clear" w:color="auto" w:fill="FFFFFF"/>
          <w:lang w:val="en-US" w:eastAsia="zh-CN"/>
        </w:rPr>
        <w:t>2.</w:t>
      </w:r>
      <w:r>
        <w:rPr>
          <w:rFonts w:hint="default" w:ascii="Times New Roman" w:hAnsi="Times New Roman" w:eastAsia="仿宋_GB2312" w:cs="Times New Roman"/>
          <w:b/>
          <w:color w:val="000000"/>
          <w:sz w:val="32"/>
          <w:szCs w:val="32"/>
          <w:shd w:val="clear" w:color="auto" w:fill="FFFFFF"/>
        </w:rPr>
        <w:t>主要职能职责</w:t>
      </w:r>
    </w:p>
    <w:p w14:paraId="4C006A8F">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
          <w:bCs/>
          <w:sz w:val="32"/>
          <w:szCs w:val="32"/>
        </w:rPr>
      </w:pPr>
      <w:r>
        <w:rPr>
          <w:rFonts w:hint="eastAsia" w:eastAsia="仿宋_GB2312" w:cs="Times New Roman"/>
          <w:bCs/>
          <w:sz w:val="32"/>
          <w:szCs w:val="32"/>
          <w:lang w:eastAsia="zh-CN"/>
        </w:rPr>
        <w:t>中心</w:t>
      </w:r>
      <w:r>
        <w:rPr>
          <w:rFonts w:hint="default" w:ascii="Times New Roman" w:hAnsi="Times New Roman" w:eastAsia="仿宋_GB2312" w:cs="Times New Roman"/>
          <w:bCs/>
          <w:sz w:val="32"/>
          <w:szCs w:val="32"/>
        </w:rPr>
        <w:t>为市人民政府直属公益一类事业单位，机构规格相当于正处级。</w:t>
      </w:r>
      <w:r>
        <w:rPr>
          <w:rFonts w:hint="eastAsia" w:eastAsia="仿宋_GB2312" w:cs="Times New Roman"/>
          <w:bCs/>
          <w:sz w:val="32"/>
          <w:szCs w:val="32"/>
          <w:lang w:eastAsia="zh-CN"/>
        </w:rPr>
        <w:t>中心</w:t>
      </w:r>
      <w:r>
        <w:rPr>
          <w:rFonts w:hint="default" w:ascii="Times New Roman" w:hAnsi="Times New Roman" w:eastAsia="仿宋_GB2312" w:cs="Times New Roman"/>
          <w:bCs/>
          <w:sz w:val="32"/>
          <w:szCs w:val="32"/>
        </w:rPr>
        <w:t>贯彻落实党中央和省委关于住房公积金管理工作的方针政策和决策部署，全面落实市委市政府关于住房公积金管理工作的部署要求，在履行职责过程中坚</w:t>
      </w:r>
      <w:r>
        <w:rPr>
          <w:rFonts w:hint="default" w:ascii="Times New Roman" w:hAnsi="Times New Roman" w:eastAsia="仿宋_GB2312" w:cs="Times New Roman"/>
          <w:bCs/>
          <w:spacing w:val="-6"/>
          <w:sz w:val="32"/>
          <w:szCs w:val="32"/>
        </w:rPr>
        <w:t>持和加强党对住房公积金管理工作的集中统一领导。主要职责是：</w:t>
      </w:r>
    </w:p>
    <w:p w14:paraId="13871B46">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Cs/>
          <w:sz w:val="32"/>
          <w:szCs w:val="32"/>
        </w:rPr>
        <w:t>贯彻执行国家、省、市关于住房公积金管理的法律法规、政策规定；拟订全市住房公积金事业发展规划；负责住房公积金制度的宣传、建立和推广；负责全市住房公积金的管理运作。</w:t>
      </w:r>
    </w:p>
    <w:p w14:paraId="49FC4CDA">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拟订全市住房公积金业务操作规程、实施细则并组织实施；对住房公积金管理的法规政策、规章制度执行情况进行监督，对违规行为进行处理。</w:t>
      </w:r>
    </w:p>
    <w:p w14:paraId="0086AFE2">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Cs/>
          <w:sz w:val="32"/>
          <w:szCs w:val="32"/>
        </w:rPr>
        <w:t xml:space="preserve">编制、执行全市住房公积金年度归集、使用计划；编制全市住房公积金年度归集、使用计划执行情况报告和增值收益分配方案，经市财政部门审核，报管委会审议后执行。  </w:t>
      </w:r>
    </w:p>
    <w:p w14:paraId="51D38ED8">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4</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编制全市住房公积金年度预决算，经市财政部门审核，报管委会审议后执行。</w:t>
      </w:r>
    </w:p>
    <w:p w14:paraId="45F58E58">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5</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编制住房公积金年度报告，经管委会审议后定期向社会公布。</w:t>
      </w:r>
    </w:p>
    <w:p w14:paraId="24A6F397">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6</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定期核定、调整全市住房公积金的缴存基数、缴存比例，督促缴存单位和个人按时足额缴纳住房公积金；负责记载职工个人住房公积金的缴存、使用、转移、封存、冻结、账户注销等情况以及与缴存单位、个人定期对账。</w:t>
      </w:r>
    </w:p>
    <w:p w14:paraId="46053D17">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7</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审核单位降低住房公积金缴存比例或者缓缴的申请，报管委会批准后执行。</w:t>
      </w:r>
    </w:p>
    <w:p w14:paraId="0C3B48DB">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审批个人住房公积金的提取、贷款。</w:t>
      </w:r>
    </w:p>
    <w:p w14:paraId="457D8587">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9</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负责住房公积金的保值增值和归还。</w:t>
      </w:r>
    </w:p>
    <w:p w14:paraId="394F17B8">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10</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依规办理全市住房公积金呆账核销工作。</w:t>
      </w:r>
    </w:p>
    <w:p w14:paraId="7D5129D0">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11</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pacing w:val="-11"/>
          <w:sz w:val="32"/>
          <w:szCs w:val="32"/>
        </w:rPr>
        <w:t>负责市本级原房改房住房基金及维修基金的管理工作。</w:t>
      </w:r>
    </w:p>
    <w:p w14:paraId="5E0F5237">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12</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负责建设、维护、管理全市住房公积金业务管理信息系统，建立健全住房公积金业务信息系统互联互通和信息资源共享机制。</w:t>
      </w:r>
    </w:p>
    <w:p w14:paraId="4024F287">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13</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负责全市住房公积金管理系统思想政治建设、组织文化建设和队伍建设，提高全市住房公积金管理人员的业务能力和综合素质。</w:t>
      </w:r>
    </w:p>
    <w:p w14:paraId="3DA1DC87">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14</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负责对各县市区管理部人、财、物的全面管理，直接负责全市住房公积金管理系统人员招录、中层及以下工作人员的考察任免事项。</w:t>
      </w:r>
    </w:p>
    <w:p w14:paraId="4AF0EBCD">
      <w:pPr>
        <w:keepNext w:val="0"/>
        <w:keepLines w:val="0"/>
        <w:pageBreakBefore w:val="0"/>
        <w:widowControl w:val="0"/>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15</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承办市委、市政府交办的其他工作。</w:t>
      </w:r>
    </w:p>
    <w:p w14:paraId="0106A023">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楷体_GB2312" w:cs="Times New Roman"/>
          <w:b w:val="0"/>
          <w:bCs/>
          <w:spacing w:val="-2"/>
          <w:sz w:val="32"/>
          <w:szCs w:val="32"/>
        </w:rPr>
      </w:pPr>
      <w:r>
        <w:rPr>
          <w:rFonts w:hint="default" w:ascii="Times New Roman" w:hAnsi="Times New Roman" w:eastAsia="楷体_GB2312" w:cs="Times New Roman"/>
          <w:b w:val="0"/>
          <w:bCs/>
          <w:spacing w:val="-2"/>
          <w:sz w:val="32"/>
          <w:szCs w:val="32"/>
        </w:rPr>
        <w:t>（二）</w:t>
      </w:r>
      <w:r>
        <w:rPr>
          <w:rFonts w:hint="eastAsia" w:ascii="Times New Roman" w:hAnsi="Times New Roman" w:eastAsia="楷体_GB2312" w:cs="Times New Roman"/>
          <w:b w:val="0"/>
          <w:bCs/>
          <w:spacing w:val="-2"/>
          <w:sz w:val="32"/>
          <w:szCs w:val="32"/>
          <w:lang w:eastAsia="zh-CN"/>
        </w:rPr>
        <w:t>中心</w:t>
      </w:r>
      <w:r>
        <w:rPr>
          <w:rFonts w:hint="default" w:ascii="Times New Roman" w:hAnsi="Times New Roman" w:eastAsia="楷体_GB2312" w:cs="Times New Roman"/>
          <w:b w:val="0"/>
          <w:bCs/>
          <w:spacing w:val="-2"/>
          <w:sz w:val="32"/>
          <w:szCs w:val="32"/>
        </w:rPr>
        <w:t>整体支出规模、使用方向和主要内容、涉及范围。</w:t>
      </w:r>
    </w:p>
    <w:p w14:paraId="65E2DF42">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根据《怀化市财政局关于批复下达202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年市直部门预算的通知》，本部门年初预算总计</w:t>
      </w:r>
      <w:r>
        <w:rPr>
          <w:rFonts w:hint="eastAsia" w:eastAsia="仿宋_GB2312" w:cs="Times New Roman"/>
          <w:sz w:val="32"/>
          <w:szCs w:val="32"/>
          <w:lang w:val="en-US" w:eastAsia="zh-CN"/>
        </w:rPr>
        <w:t>3194.18</w:t>
      </w:r>
      <w:r>
        <w:rPr>
          <w:rFonts w:hint="default" w:ascii="Times New Roman" w:hAnsi="Times New Roman" w:eastAsia="仿宋_GB2312" w:cs="Times New Roman"/>
          <w:sz w:val="32"/>
          <w:szCs w:val="32"/>
        </w:rPr>
        <w:t>万元。其中：基本支出预算</w:t>
      </w:r>
      <w:r>
        <w:rPr>
          <w:rFonts w:hint="eastAsia" w:eastAsia="仿宋_GB2312" w:cs="Times New Roman"/>
          <w:sz w:val="32"/>
          <w:szCs w:val="32"/>
          <w:lang w:val="en-US" w:eastAsia="zh-CN"/>
        </w:rPr>
        <w:t>1800.44</w:t>
      </w:r>
      <w:r>
        <w:rPr>
          <w:rFonts w:hint="default" w:ascii="Times New Roman" w:hAnsi="Times New Roman" w:eastAsia="仿宋_GB2312" w:cs="Times New Roman"/>
          <w:sz w:val="32"/>
          <w:szCs w:val="32"/>
        </w:rPr>
        <w:t>万元，项目支出预算</w:t>
      </w:r>
      <w:r>
        <w:rPr>
          <w:rFonts w:hint="eastAsia" w:eastAsia="仿宋_GB2312" w:cs="Times New Roman"/>
          <w:sz w:val="32"/>
          <w:szCs w:val="32"/>
          <w:lang w:val="en-US" w:eastAsia="zh-CN"/>
        </w:rPr>
        <w:t>1393.74</w:t>
      </w:r>
      <w:r>
        <w:rPr>
          <w:rFonts w:hint="default" w:ascii="Times New Roman" w:hAnsi="Times New Roman" w:eastAsia="仿宋_GB2312" w:cs="Times New Roman"/>
          <w:sz w:val="32"/>
          <w:szCs w:val="32"/>
        </w:rPr>
        <w:t>万元。</w:t>
      </w:r>
    </w:p>
    <w:p w14:paraId="6185960E">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年管委会主任办公会议审议，在202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年年初预算的基础上，</w:t>
      </w:r>
      <w:r>
        <w:rPr>
          <w:rFonts w:hint="eastAsia" w:eastAsia="仿宋_GB2312" w:cs="Times New Roman"/>
          <w:sz w:val="32"/>
          <w:szCs w:val="32"/>
          <w:lang w:eastAsia="zh-CN"/>
        </w:rPr>
        <w:t>调增基本支出</w:t>
      </w:r>
      <w:r>
        <w:rPr>
          <w:rFonts w:hint="eastAsia" w:eastAsia="仿宋_GB2312" w:cs="Times New Roman"/>
          <w:sz w:val="32"/>
          <w:szCs w:val="32"/>
          <w:lang w:val="en-US" w:eastAsia="zh-CN"/>
        </w:rPr>
        <w:t>105万元，调减</w:t>
      </w:r>
      <w:r>
        <w:rPr>
          <w:rFonts w:hint="default" w:ascii="Times New Roman" w:hAnsi="Times New Roman" w:eastAsia="仿宋_GB2312" w:cs="Times New Roman"/>
          <w:sz w:val="32"/>
          <w:szCs w:val="32"/>
        </w:rPr>
        <w:t>项目支出</w:t>
      </w:r>
      <w:r>
        <w:rPr>
          <w:rFonts w:hint="eastAsia" w:eastAsia="仿宋_GB2312" w:cs="Times New Roman"/>
          <w:sz w:val="32"/>
          <w:szCs w:val="32"/>
          <w:lang w:val="en-US" w:eastAsia="zh-CN"/>
        </w:rPr>
        <w:t>325.17</w:t>
      </w:r>
      <w:r>
        <w:rPr>
          <w:rFonts w:hint="default" w:ascii="Times New Roman" w:hAnsi="Times New Roman" w:eastAsia="仿宋_GB2312" w:cs="Times New Roman"/>
          <w:sz w:val="32"/>
          <w:szCs w:val="32"/>
        </w:rPr>
        <w:t>万元，调整后预算为</w:t>
      </w:r>
      <w:r>
        <w:rPr>
          <w:rFonts w:hint="eastAsia" w:eastAsia="仿宋_GB2312" w:cs="Times New Roman"/>
          <w:sz w:val="32"/>
          <w:szCs w:val="32"/>
          <w:lang w:val="en-US" w:eastAsia="zh-CN"/>
        </w:rPr>
        <w:t>2974.01</w:t>
      </w:r>
      <w:r>
        <w:rPr>
          <w:rFonts w:hint="default" w:ascii="Times New Roman" w:hAnsi="Times New Roman" w:eastAsia="仿宋_GB2312" w:cs="Times New Roman"/>
          <w:sz w:val="32"/>
          <w:szCs w:val="32"/>
        </w:rPr>
        <w:t>万元，其中：基本支出</w:t>
      </w:r>
      <w:r>
        <w:rPr>
          <w:rFonts w:hint="eastAsia" w:eastAsia="仿宋_GB2312" w:cs="Times New Roman"/>
          <w:sz w:val="32"/>
          <w:szCs w:val="32"/>
          <w:lang w:val="en-US" w:eastAsia="zh-CN"/>
        </w:rPr>
        <w:t>1905.44</w:t>
      </w:r>
      <w:r>
        <w:rPr>
          <w:rFonts w:hint="default" w:ascii="Times New Roman" w:hAnsi="Times New Roman" w:eastAsia="仿宋_GB2312" w:cs="Times New Roman"/>
          <w:sz w:val="32"/>
          <w:szCs w:val="32"/>
        </w:rPr>
        <w:t>万元，项目支出</w:t>
      </w:r>
      <w:r>
        <w:rPr>
          <w:rFonts w:hint="eastAsia" w:eastAsia="仿宋_GB2312" w:cs="Times New Roman"/>
          <w:sz w:val="32"/>
          <w:szCs w:val="32"/>
          <w:lang w:val="en-US" w:eastAsia="zh-CN"/>
        </w:rPr>
        <w:t>1068.57</w:t>
      </w:r>
      <w:r>
        <w:rPr>
          <w:rFonts w:hint="default" w:ascii="Times New Roman" w:hAnsi="Times New Roman" w:eastAsia="仿宋_GB2312" w:cs="Times New Roman"/>
          <w:sz w:val="32"/>
          <w:szCs w:val="32"/>
        </w:rPr>
        <w:t>万元，加上项目资金</w:t>
      </w:r>
      <w:r>
        <w:rPr>
          <w:rFonts w:hint="eastAsia" w:eastAsia="仿宋_GB2312" w:cs="Times New Roman"/>
          <w:sz w:val="32"/>
          <w:szCs w:val="32"/>
          <w:lang w:val="en-US" w:eastAsia="zh-CN"/>
        </w:rPr>
        <w:t>AK替代专项17.6</w:t>
      </w:r>
      <w:r>
        <w:rPr>
          <w:rFonts w:hint="default" w:ascii="Times New Roman" w:hAnsi="Times New Roman" w:eastAsia="仿宋_GB2312" w:cs="Times New Roman"/>
          <w:spacing w:val="-11"/>
          <w:sz w:val="32"/>
          <w:szCs w:val="32"/>
        </w:rPr>
        <w:t>万元和人才引进补贴2.40万元，全年调整预算数为</w:t>
      </w:r>
      <w:r>
        <w:rPr>
          <w:rFonts w:hint="eastAsia" w:eastAsia="仿宋_GB2312" w:cs="Times New Roman"/>
          <w:spacing w:val="-11"/>
          <w:sz w:val="32"/>
          <w:szCs w:val="32"/>
          <w:lang w:val="en-US" w:eastAsia="zh-CN"/>
        </w:rPr>
        <w:t>2994.01</w:t>
      </w:r>
      <w:r>
        <w:rPr>
          <w:rFonts w:hint="default" w:ascii="Times New Roman" w:hAnsi="Times New Roman" w:eastAsia="仿宋_GB2312" w:cs="Times New Roman"/>
          <w:spacing w:val="-11"/>
          <w:sz w:val="32"/>
          <w:szCs w:val="32"/>
        </w:rPr>
        <w:t>万元。</w:t>
      </w:r>
    </w:p>
    <w:p w14:paraId="306F3B52">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黑体" w:cs="Times New Roman"/>
          <w:b w:val="0"/>
          <w:bCs/>
          <w:spacing w:val="-2"/>
          <w:sz w:val="32"/>
          <w:szCs w:val="32"/>
        </w:rPr>
      </w:pPr>
      <w:r>
        <w:rPr>
          <w:rFonts w:hint="default" w:ascii="Times New Roman" w:hAnsi="Times New Roman" w:eastAsia="黑体" w:cs="Times New Roman"/>
          <w:b w:val="0"/>
          <w:bCs/>
          <w:spacing w:val="-2"/>
          <w:sz w:val="32"/>
          <w:szCs w:val="32"/>
        </w:rPr>
        <w:t>二、一般公共预算支出情况</w:t>
      </w:r>
    </w:p>
    <w:p w14:paraId="03843774">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楷体_GB2312" w:cs="Times New Roman"/>
          <w:b w:val="0"/>
          <w:bCs/>
          <w:spacing w:val="-2"/>
          <w:sz w:val="32"/>
          <w:szCs w:val="32"/>
        </w:rPr>
      </w:pPr>
      <w:r>
        <w:rPr>
          <w:rFonts w:hint="default" w:ascii="Times New Roman" w:hAnsi="Times New Roman" w:eastAsia="楷体_GB2312" w:cs="Times New Roman"/>
          <w:b w:val="0"/>
          <w:bCs/>
          <w:spacing w:val="-2"/>
          <w:sz w:val="32"/>
          <w:szCs w:val="32"/>
        </w:rPr>
        <w:t>（一）基本支出</w:t>
      </w:r>
    </w:p>
    <w:p w14:paraId="7F5BF2DF">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年下达</w:t>
      </w:r>
      <w:r>
        <w:rPr>
          <w:rFonts w:hint="eastAsia" w:eastAsia="仿宋_GB2312" w:cs="Times New Roman"/>
          <w:sz w:val="32"/>
          <w:szCs w:val="32"/>
          <w:lang w:eastAsia="zh-CN"/>
        </w:rPr>
        <w:t>中心</w:t>
      </w:r>
      <w:r>
        <w:rPr>
          <w:rFonts w:hint="default" w:ascii="Times New Roman" w:hAnsi="Times New Roman" w:eastAsia="仿宋_GB2312" w:cs="Times New Roman"/>
          <w:sz w:val="32"/>
          <w:szCs w:val="32"/>
        </w:rPr>
        <w:t>基本支出预算收入</w:t>
      </w:r>
      <w:r>
        <w:rPr>
          <w:rFonts w:hint="eastAsia" w:eastAsia="仿宋_GB2312" w:cs="Times New Roman"/>
          <w:sz w:val="32"/>
          <w:szCs w:val="32"/>
          <w:lang w:val="en-US" w:eastAsia="zh-CN"/>
        </w:rPr>
        <w:t>1983.04</w:t>
      </w:r>
      <w:r>
        <w:rPr>
          <w:rFonts w:hint="default" w:ascii="Times New Roman" w:hAnsi="Times New Roman" w:eastAsia="仿宋_GB2312" w:cs="Times New Roman"/>
          <w:sz w:val="32"/>
          <w:szCs w:val="32"/>
        </w:rPr>
        <w:t xml:space="preserve">万元， </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中心</w:t>
      </w:r>
      <w:r>
        <w:rPr>
          <w:rFonts w:hint="default" w:ascii="Times New Roman" w:hAnsi="Times New Roman" w:eastAsia="仿宋_GB2312" w:cs="Times New Roman"/>
          <w:sz w:val="32"/>
          <w:szCs w:val="32"/>
        </w:rPr>
        <w:t>发生基本支出</w:t>
      </w:r>
      <w:r>
        <w:rPr>
          <w:rFonts w:hint="eastAsia" w:eastAsia="仿宋_GB2312" w:cs="Times New Roman"/>
          <w:sz w:val="32"/>
          <w:szCs w:val="32"/>
          <w:lang w:val="en-US" w:eastAsia="zh-CN"/>
        </w:rPr>
        <w:t>1979.60</w:t>
      </w:r>
      <w:r>
        <w:rPr>
          <w:rFonts w:hint="default" w:ascii="Times New Roman" w:hAnsi="Times New Roman" w:eastAsia="仿宋_GB2312" w:cs="Times New Roman"/>
          <w:sz w:val="32"/>
          <w:szCs w:val="32"/>
        </w:rPr>
        <w:t>万元,其中：人员经费支出</w:t>
      </w:r>
      <w:r>
        <w:rPr>
          <w:rFonts w:hint="eastAsia" w:eastAsia="仿宋_GB2312" w:cs="Times New Roman"/>
          <w:sz w:val="32"/>
          <w:szCs w:val="32"/>
          <w:lang w:val="en-US" w:eastAsia="zh-CN"/>
        </w:rPr>
        <w:t>1693.41</w:t>
      </w:r>
      <w:r>
        <w:rPr>
          <w:rFonts w:hint="default" w:ascii="Times New Roman" w:hAnsi="Times New Roman" w:eastAsia="仿宋_GB2312" w:cs="Times New Roman"/>
          <w:sz w:val="32"/>
          <w:szCs w:val="32"/>
        </w:rPr>
        <w:t>万元，用于保障</w:t>
      </w:r>
      <w:r>
        <w:rPr>
          <w:rFonts w:hint="eastAsia" w:ascii="Times New Roman" w:hAnsi="Times New Roman" w:eastAsia="仿宋_GB2312" w:cs="Times New Roman"/>
          <w:sz w:val="32"/>
          <w:szCs w:val="32"/>
          <w:lang w:eastAsia="zh-CN"/>
        </w:rPr>
        <w:t>中心</w:t>
      </w:r>
      <w:r>
        <w:rPr>
          <w:rFonts w:hint="default" w:ascii="Times New Roman" w:hAnsi="Times New Roman" w:eastAsia="仿宋_GB2312" w:cs="Times New Roman"/>
          <w:sz w:val="32"/>
          <w:szCs w:val="32"/>
        </w:rPr>
        <w:t>在职人员工资福利及退休人员生活补助等；公用经费支出</w:t>
      </w:r>
      <w:r>
        <w:rPr>
          <w:rFonts w:hint="eastAsia" w:eastAsia="仿宋_GB2312" w:cs="Times New Roman"/>
          <w:sz w:val="32"/>
          <w:szCs w:val="32"/>
          <w:lang w:val="en-US" w:eastAsia="zh-CN"/>
        </w:rPr>
        <w:t>286.19</w:t>
      </w:r>
      <w:r>
        <w:rPr>
          <w:rFonts w:hint="default" w:ascii="Times New Roman" w:hAnsi="Times New Roman" w:eastAsia="仿宋_GB2312" w:cs="Times New Roman"/>
          <w:sz w:val="32"/>
          <w:szCs w:val="32"/>
        </w:rPr>
        <w:t>万元，用于保障</w:t>
      </w:r>
      <w:r>
        <w:rPr>
          <w:rFonts w:hint="eastAsia" w:ascii="Times New Roman" w:hAnsi="Times New Roman" w:eastAsia="仿宋_GB2312" w:cs="Times New Roman"/>
          <w:sz w:val="32"/>
          <w:szCs w:val="32"/>
          <w:lang w:eastAsia="zh-CN"/>
        </w:rPr>
        <w:t>中心</w:t>
      </w:r>
      <w:r>
        <w:rPr>
          <w:rFonts w:hint="default" w:ascii="Times New Roman" w:hAnsi="Times New Roman" w:eastAsia="仿宋_GB2312" w:cs="Times New Roman"/>
          <w:sz w:val="32"/>
          <w:szCs w:val="32"/>
        </w:rPr>
        <w:t>日常运转。</w:t>
      </w:r>
    </w:p>
    <w:p w14:paraId="7CBE8E7D">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color w:val="666666"/>
          <w:sz w:val="32"/>
          <w:szCs w:val="32"/>
        </w:rPr>
      </w:pPr>
      <w:r>
        <w:rPr>
          <w:rFonts w:hint="default" w:ascii="Times New Roman" w:hAnsi="Times New Roman" w:eastAsia="仿宋_GB2312" w:cs="Times New Roman"/>
          <w:sz w:val="32"/>
          <w:szCs w:val="32"/>
        </w:rPr>
        <w:t>基本支出主要用于中心正常运转、完成工作发生的各项支出，包括基本工资、津贴补贴、绩效工资等人员经费和办公费、差旅费、印刷费、水电费、会议费、培训费、公务用车运行维护等日常公用经费以及对个人和家庭的补助支出。</w:t>
      </w:r>
    </w:p>
    <w:p w14:paraId="490A7BA9">
      <w:pPr>
        <w:pStyle w:val="9"/>
        <w:keepNext w:val="0"/>
        <w:keepLines w:val="0"/>
        <w:pageBreakBefore w:val="0"/>
        <w:widowControl w:val="0"/>
        <w:shd w:val="clear" w:color="auto" w:fill="FFFFFF"/>
        <w:kinsoku/>
        <w:wordWrap/>
        <w:overflowPunct/>
        <w:topLinePunct/>
        <w:autoSpaceDE w:val="0"/>
        <w:autoSpaceDN/>
        <w:bidi w:val="0"/>
        <w:adjustRightInd/>
        <w:snapToGrid w:val="0"/>
        <w:spacing w:before="0" w:beforeAutospacing="0" w:after="0" w:afterAutospacing="0" w:line="600" w:lineRule="exact"/>
        <w:ind w:left="0" w:firstLine="640" w:firstLineChars="200"/>
        <w:jc w:val="both"/>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sz w:val="32"/>
          <w:szCs w:val="32"/>
        </w:rPr>
        <w:t>中心机关、管理部财务支出实行“统一管理、统一制度、统一核算”的原则。中心机关、管理部的人员经费由中心统一管理。人员经费严格按照相关文件标准、范围控制，不超标准、超范围发放工资、奖金，按时、足额、准确发放每月工资。</w:t>
      </w:r>
    </w:p>
    <w:p w14:paraId="70F7989C">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用经费管理方面，严格执行中央“八项规定”、纠“四风”要求和省委“九项规定”及市委市政府的有关规定，全面贯彻落实《党政机关厉行节约反对浪费条例》，树立过“紧日子”思想，厉行节约，严格控制各项公用经费开支。中心每年年初按财政批复的预算确定各管理部公用费用指标，管理部按照中心下达的公用经费预算执行，费用支出控制在每一项指标内，严禁先斩后奏和超预算支出。</w:t>
      </w:r>
    </w:p>
    <w:p w14:paraId="5BDFB1B5">
      <w:pPr>
        <w:pStyle w:val="9"/>
        <w:keepNext w:val="0"/>
        <w:keepLines w:val="0"/>
        <w:pageBreakBefore w:val="0"/>
        <w:widowControl w:val="0"/>
        <w:shd w:val="clear" w:color="auto" w:fill="FFFFFF"/>
        <w:kinsoku/>
        <w:wordWrap/>
        <w:overflowPunct/>
        <w:topLinePunct/>
        <w:autoSpaceDE w:val="0"/>
        <w:autoSpaceDN/>
        <w:bidi w:val="0"/>
        <w:adjustRightInd/>
        <w:snapToGrid w:val="0"/>
        <w:spacing w:before="0" w:beforeAutospacing="0" w:after="0" w:afterAutospacing="0" w:line="600" w:lineRule="exact"/>
        <w:ind w:left="0" w:firstLine="643" w:firstLineChars="200"/>
        <w:jc w:val="both"/>
        <w:textAlignment w:val="auto"/>
        <w:rPr>
          <w:rFonts w:hint="default" w:ascii="Times New Roman" w:hAnsi="Times New Roman" w:eastAsia="仿宋_GB2312" w:cs="Times New Roman"/>
          <w:b/>
          <w:color w:val="000000"/>
          <w:sz w:val="32"/>
          <w:szCs w:val="32"/>
        </w:rPr>
      </w:pPr>
      <w:r>
        <w:rPr>
          <w:rFonts w:hint="eastAsia" w:ascii="Times New Roman" w:hAnsi="Times New Roman" w:eastAsia="仿宋_GB2312" w:cs="Times New Roman"/>
          <w:b/>
          <w:color w:val="000000"/>
          <w:sz w:val="32"/>
          <w:szCs w:val="32"/>
          <w:shd w:val="clear" w:color="auto" w:fill="FFFFFF"/>
          <w:lang w:eastAsia="zh-CN"/>
        </w:rPr>
        <w:t>“</w:t>
      </w:r>
      <w:r>
        <w:rPr>
          <w:rFonts w:hint="default" w:ascii="Times New Roman" w:hAnsi="Times New Roman" w:eastAsia="仿宋_GB2312" w:cs="Times New Roman"/>
          <w:b/>
          <w:color w:val="000000"/>
          <w:sz w:val="32"/>
          <w:szCs w:val="32"/>
          <w:shd w:val="clear" w:color="auto" w:fill="FFFFFF"/>
        </w:rPr>
        <w:t>三公</w:t>
      </w:r>
      <w:r>
        <w:rPr>
          <w:rFonts w:hint="eastAsia" w:ascii="Times New Roman" w:hAnsi="Times New Roman" w:eastAsia="仿宋_GB2312" w:cs="Times New Roman"/>
          <w:b/>
          <w:color w:val="000000"/>
          <w:sz w:val="32"/>
          <w:szCs w:val="32"/>
          <w:shd w:val="clear" w:color="auto" w:fill="FFFFFF"/>
          <w:lang w:eastAsia="zh-CN"/>
        </w:rPr>
        <w:t>”</w:t>
      </w:r>
      <w:r>
        <w:rPr>
          <w:rFonts w:hint="default" w:ascii="Times New Roman" w:hAnsi="Times New Roman" w:eastAsia="仿宋_GB2312" w:cs="Times New Roman"/>
          <w:b/>
          <w:color w:val="000000"/>
          <w:sz w:val="32"/>
          <w:szCs w:val="32"/>
          <w:shd w:val="clear" w:color="auto" w:fill="FFFFFF"/>
        </w:rPr>
        <w:t>经费使用和管理情况</w:t>
      </w:r>
    </w:p>
    <w:p w14:paraId="0C22697B">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推进“三公”经费管理制度化、规范化、程序化，严格落实“三公”经费管理各项要求。</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年我</w:t>
      </w:r>
      <w:r>
        <w:rPr>
          <w:rFonts w:hint="eastAsia" w:ascii="Times New Roman" w:hAnsi="Times New Roman" w:eastAsia="仿宋_GB2312" w:cs="Times New Roman"/>
          <w:sz w:val="32"/>
          <w:szCs w:val="32"/>
          <w:lang w:eastAsia="zh-CN"/>
        </w:rPr>
        <w:t>中心</w:t>
      </w:r>
      <w:r>
        <w:rPr>
          <w:rFonts w:hint="eastAsia" w:eastAsia="仿宋_GB2312" w:cs="Times New Roman"/>
          <w:sz w:val="32"/>
          <w:szCs w:val="32"/>
          <w:lang w:eastAsia="zh-CN"/>
        </w:rPr>
        <w:t>“三公”经费</w:t>
      </w:r>
      <w:r>
        <w:rPr>
          <w:rFonts w:hint="default" w:ascii="Times New Roman" w:hAnsi="Times New Roman" w:eastAsia="仿宋_GB2312" w:cs="Times New Roman"/>
          <w:sz w:val="32"/>
          <w:szCs w:val="32"/>
        </w:rPr>
        <w:t>支出2</w:t>
      </w:r>
      <w:r>
        <w:rPr>
          <w:rFonts w:hint="eastAsia" w:eastAsia="仿宋_GB2312" w:cs="Times New Roman"/>
          <w:sz w:val="32"/>
          <w:szCs w:val="32"/>
          <w:lang w:val="en-US" w:eastAsia="zh-CN"/>
        </w:rPr>
        <w:t>1</w:t>
      </w:r>
      <w:r>
        <w:rPr>
          <w:rFonts w:hint="default" w:ascii="Times New Roman" w:hAnsi="Times New Roman" w:eastAsia="仿宋_GB2312" w:cs="Times New Roman"/>
          <w:sz w:val="32"/>
          <w:szCs w:val="32"/>
        </w:rPr>
        <w:t>万元，比上年</w:t>
      </w:r>
      <w:r>
        <w:rPr>
          <w:rFonts w:hint="eastAsia" w:eastAsia="仿宋_GB2312" w:cs="Times New Roman"/>
          <w:sz w:val="32"/>
          <w:szCs w:val="32"/>
          <w:lang w:eastAsia="zh-CN"/>
        </w:rPr>
        <w:t>减少</w:t>
      </w:r>
      <w:r>
        <w:rPr>
          <w:rFonts w:hint="eastAsia" w:eastAsia="仿宋_GB2312" w:cs="Times New Roman"/>
          <w:sz w:val="32"/>
          <w:szCs w:val="32"/>
          <w:lang w:val="en-US" w:eastAsia="zh-CN"/>
        </w:rPr>
        <w:t>6.61</w:t>
      </w:r>
      <w:r>
        <w:rPr>
          <w:rFonts w:hint="default" w:ascii="Times New Roman" w:hAnsi="Times New Roman" w:eastAsia="仿宋_GB2312" w:cs="Times New Roman"/>
          <w:sz w:val="32"/>
          <w:szCs w:val="32"/>
        </w:rPr>
        <w:t>万元，其中：因公出国（境）费0万元，与上年一致；公务用车购置及运行费</w:t>
      </w:r>
      <w:r>
        <w:rPr>
          <w:rFonts w:hint="eastAsia" w:eastAsia="仿宋_GB2312" w:cs="Times New Roman"/>
          <w:sz w:val="32"/>
          <w:szCs w:val="32"/>
          <w:lang w:val="en-US" w:eastAsia="zh-CN"/>
        </w:rPr>
        <w:t>21</w:t>
      </w:r>
      <w:r>
        <w:rPr>
          <w:rFonts w:hint="default" w:ascii="Times New Roman" w:hAnsi="Times New Roman" w:eastAsia="仿宋_GB2312" w:cs="Times New Roman"/>
          <w:sz w:val="32"/>
          <w:szCs w:val="32"/>
        </w:rPr>
        <w:t>万元，比上年</w:t>
      </w:r>
      <w:r>
        <w:rPr>
          <w:rFonts w:hint="eastAsia" w:eastAsia="仿宋_GB2312" w:cs="Times New Roman"/>
          <w:sz w:val="32"/>
          <w:szCs w:val="32"/>
          <w:lang w:eastAsia="zh-CN"/>
        </w:rPr>
        <w:t>减少</w:t>
      </w:r>
      <w:r>
        <w:rPr>
          <w:rFonts w:hint="eastAsia" w:eastAsia="仿宋_GB2312" w:cs="Times New Roman"/>
          <w:sz w:val="32"/>
          <w:szCs w:val="32"/>
          <w:lang w:val="en-US" w:eastAsia="zh-CN"/>
        </w:rPr>
        <w:t>5.82万元</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公务接待</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rPr>
        <w:t>万元，比上年</w:t>
      </w:r>
      <w:r>
        <w:rPr>
          <w:rFonts w:hint="eastAsia" w:eastAsia="仿宋_GB2312" w:cs="Times New Roman"/>
          <w:sz w:val="32"/>
          <w:szCs w:val="32"/>
          <w:lang w:eastAsia="zh-CN"/>
        </w:rPr>
        <w:t>减少</w:t>
      </w:r>
      <w:r>
        <w:rPr>
          <w:rFonts w:hint="eastAsia" w:eastAsia="仿宋_GB2312" w:cs="Times New Roman"/>
          <w:sz w:val="32"/>
          <w:szCs w:val="32"/>
          <w:lang w:val="en-US" w:eastAsia="zh-CN"/>
        </w:rPr>
        <w:t>0.79</w:t>
      </w:r>
      <w:r>
        <w:rPr>
          <w:rFonts w:hint="default" w:ascii="Times New Roman" w:hAnsi="Times New Roman" w:eastAsia="仿宋_GB2312" w:cs="Times New Roman"/>
          <w:sz w:val="32"/>
          <w:szCs w:val="32"/>
        </w:rPr>
        <w:t>万元。</w:t>
      </w:r>
      <w:r>
        <w:rPr>
          <w:rFonts w:hint="eastAsia" w:eastAsia="仿宋_GB2312" w:cs="Times New Roman"/>
          <w:color w:val="000000"/>
          <w:sz w:val="32"/>
          <w:szCs w:val="32"/>
          <w:lang w:eastAsia="zh-CN"/>
        </w:rPr>
        <w:t>减少</w:t>
      </w:r>
      <w:r>
        <w:rPr>
          <w:rFonts w:hint="default" w:ascii="Times New Roman" w:hAnsi="Times New Roman" w:eastAsia="仿宋_GB2312" w:cs="Times New Roman"/>
          <w:color w:val="000000"/>
          <w:sz w:val="32"/>
          <w:szCs w:val="32"/>
        </w:rPr>
        <w:t>原因主要在于</w:t>
      </w:r>
      <w:r>
        <w:rPr>
          <w:rFonts w:hint="eastAsia" w:eastAsia="仿宋_GB2312" w:cs="Times New Roman"/>
          <w:color w:val="000000"/>
          <w:sz w:val="32"/>
          <w:szCs w:val="32"/>
          <w:lang w:eastAsia="zh-CN"/>
        </w:rPr>
        <w:t>：严格落实厉行节约各项规定，公务用车出行需求有所减少</w:t>
      </w:r>
      <w:r>
        <w:rPr>
          <w:rFonts w:hint="default" w:ascii="Times New Roman" w:hAnsi="Times New Roman" w:eastAsia="仿宋_GB2312" w:cs="Times New Roman"/>
          <w:color w:val="000000"/>
          <w:sz w:val="32"/>
          <w:szCs w:val="32"/>
        </w:rPr>
        <w:t>。</w:t>
      </w:r>
    </w:p>
    <w:p w14:paraId="3297E736">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楷体_GB2312" w:cs="Times New Roman"/>
          <w:b w:val="0"/>
          <w:bCs/>
          <w:spacing w:val="-2"/>
          <w:sz w:val="32"/>
          <w:szCs w:val="32"/>
        </w:rPr>
      </w:pPr>
      <w:r>
        <w:rPr>
          <w:rFonts w:hint="default" w:ascii="Times New Roman" w:hAnsi="Times New Roman" w:eastAsia="楷体_GB2312" w:cs="Times New Roman"/>
          <w:b w:val="0"/>
          <w:bCs/>
          <w:spacing w:val="-2"/>
          <w:sz w:val="32"/>
          <w:szCs w:val="32"/>
        </w:rPr>
        <w:t>（二）项目支出</w:t>
      </w:r>
    </w:p>
    <w:p w14:paraId="07774ED7">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sz w:val="32"/>
          <w:szCs w:val="32"/>
        </w:rPr>
        <w:t>中心是纳入部门预算的自收自支公益一类事业单位，专项资金性质是财政资金，来源为自筹资金。</w:t>
      </w:r>
    </w:p>
    <w:p w14:paraId="37666F0B">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40" w:firstLineChars="200"/>
        <w:jc w:val="both"/>
        <w:textAlignment w:val="auto"/>
        <w:rPr>
          <w:rFonts w:hint="eastAsia" w:ascii="Times New Roman" w:hAnsi="Times New Roman" w:eastAsia="仿宋_GB2312" w:cs="Times New Roman"/>
          <w:sz w:val="32"/>
          <w:szCs w:val="32"/>
          <w:lang w:eastAsia="zh-CN"/>
        </w:rPr>
      </w:pP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年年初预算安排专项资金</w:t>
      </w:r>
      <w:r>
        <w:rPr>
          <w:rFonts w:hint="eastAsia" w:eastAsia="仿宋_GB2312" w:cs="Times New Roman"/>
          <w:sz w:val="32"/>
          <w:szCs w:val="32"/>
          <w:lang w:val="en-US" w:eastAsia="zh-CN"/>
        </w:rPr>
        <w:t>1393.74</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color w:val="FF0000"/>
          <w:sz w:val="32"/>
          <w:szCs w:val="32"/>
        </w:rPr>
        <w:t xml:space="preserve"> </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年调整预算后安排下达专项资金</w:t>
      </w:r>
      <w:r>
        <w:rPr>
          <w:rFonts w:hint="eastAsia" w:eastAsia="仿宋_GB2312" w:cs="Times New Roman"/>
          <w:sz w:val="32"/>
          <w:szCs w:val="32"/>
          <w:lang w:val="en-US" w:eastAsia="zh-CN"/>
        </w:rPr>
        <w:t>1088.57</w:t>
      </w:r>
      <w:r>
        <w:rPr>
          <w:rFonts w:hint="default" w:ascii="Times New Roman" w:hAnsi="Times New Roman" w:eastAsia="仿宋_GB2312" w:cs="Times New Roman"/>
          <w:sz w:val="32"/>
          <w:szCs w:val="32"/>
        </w:rPr>
        <w:t>万元，实际支出</w:t>
      </w:r>
      <w:r>
        <w:rPr>
          <w:rFonts w:hint="eastAsia" w:eastAsia="仿宋_GB2312" w:cs="Times New Roman"/>
          <w:sz w:val="32"/>
          <w:szCs w:val="32"/>
          <w:lang w:val="en-US" w:eastAsia="zh-CN"/>
        </w:rPr>
        <w:t>645.13</w:t>
      </w:r>
      <w:r>
        <w:rPr>
          <w:rFonts w:hint="default" w:ascii="Times New Roman" w:hAnsi="Times New Roman" w:eastAsia="仿宋_GB2312" w:cs="Times New Roman"/>
          <w:sz w:val="32"/>
          <w:szCs w:val="32"/>
        </w:rPr>
        <w:t>万元，一共涉及</w:t>
      </w:r>
      <w:r>
        <w:rPr>
          <w:rFonts w:hint="eastAsia" w:eastAsia="仿宋_GB2312" w:cs="Times New Roman"/>
          <w:sz w:val="32"/>
          <w:szCs w:val="32"/>
          <w:lang w:val="en-US" w:eastAsia="zh-CN"/>
        </w:rPr>
        <w:t>13</w:t>
      </w:r>
      <w:r>
        <w:rPr>
          <w:rFonts w:hint="default" w:ascii="Times New Roman" w:hAnsi="Times New Roman" w:eastAsia="仿宋_GB2312" w:cs="Times New Roman"/>
          <w:sz w:val="32"/>
          <w:szCs w:val="32"/>
        </w:rPr>
        <w:t>个项目。</w:t>
      </w:r>
    </w:p>
    <w:p w14:paraId="3A923020">
      <w:pPr>
        <w:pStyle w:val="20"/>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中心</w:t>
      </w:r>
      <w:r>
        <w:rPr>
          <w:rFonts w:hint="default" w:ascii="Times New Roman" w:hAnsi="Times New Roman" w:eastAsia="仿宋_GB2312" w:cs="Times New Roman"/>
          <w:sz w:val="32"/>
          <w:szCs w:val="32"/>
        </w:rPr>
        <w:t>制订了《怀化市住房公积金管理中心专项资金管理暂行办法》《怀化市住房公积金管理中心预决算管理办法》等，</w:t>
      </w:r>
      <w:r>
        <w:rPr>
          <w:rFonts w:hint="eastAsia" w:ascii="Times New Roman" w:hAnsi="Times New Roman" w:eastAsia="仿宋_GB2312" w:cs="Times New Roman"/>
          <w:sz w:val="32"/>
          <w:szCs w:val="32"/>
          <w:lang w:eastAsia="zh-CN"/>
        </w:rPr>
        <w:t>中心</w:t>
      </w:r>
      <w:r>
        <w:rPr>
          <w:rFonts w:hint="default" w:ascii="Times New Roman" w:hAnsi="Times New Roman" w:eastAsia="仿宋_GB2312" w:cs="Times New Roman"/>
          <w:sz w:val="32"/>
          <w:szCs w:val="32"/>
        </w:rPr>
        <w:t>的项目资金管理均按照上述办法严格执行，项目资金使用实行先收后支、专款专用的原则。</w:t>
      </w:r>
    </w:p>
    <w:p w14:paraId="78B764C0">
      <w:pPr>
        <w:pStyle w:val="20"/>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专项资金使用实行申报制度。根据预算批复文件，专项资金在预算金额内专款专用。需要使用专项资金时，由项目管理部门向财务部提交有关专项资金用款计划，项目实施有关文件及领导批示等文本资料。财务部门根据上述文本资料进行初审，报财务主管领导审批后提交到财政归口科室审核，经财政下指标后,按照项目进度及合同约定支付。</w:t>
      </w:r>
    </w:p>
    <w:p w14:paraId="65EF83BC">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黑体" w:cs="Times New Roman"/>
          <w:b w:val="0"/>
          <w:bCs/>
          <w:spacing w:val="-2"/>
          <w:sz w:val="32"/>
          <w:szCs w:val="32"/>
        </w:rPr>
      </w:pPr>
      <w:r>
        <w:rPr>
          <w:rFonts w:hint="default" w:ascii="Times New Roman" w:hAnsi="Times New Roman" w:eastAsia="黑体" w:cs="Times New Roman"/>
          <w:b w:val="0"/>
          <w:bCs/>
          <w:spacing w:val="-2"/>
          <w:sz w:val="32"/>
          <w:szCs w:val="32"/>
        </w:rPr>
        <w:t>三、项目组织实施情况</w:t>
      </w:r>
    </w:p>
    <w:p w14:paraId="0DFD74DD">
      <w:pPr>
        <w:pStyle w:val="20"/>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项目严格按照“申报-审批-实施-验收”流程推进。由项目部门按照年初财政下达的项目资金预算来进行采购，经</w:t>
      </w:r>
      <w:r>
        <w:rPr>
          <w:rFonts w:hint="eastAsia" w:ascii="Times New Roman" w:hAnsi="Times New Roman" w:eastAsia="仿宋_GB2312" w:cs="Times New Roman"/>
          <w:sz w:val="32"/>
          <w:szCs w:val="32"/>
          <w:lang w:eastAsia="zh-CN"/>
        </w:rPr>
        <w:t>中心</w:t>
      </w:r>
      <w:r>
        <w:rPr>
          <w:rFonts w:hint="default" w:ascii="Times New Roman" w:hAnsi="Times New Roman" w:eastAsia="仿宋_GB2312" w:cs="Times New Roman"/>
          <w:sz w:val="32"/>
          <w:szCs w:val="32"/>
        </w:rPr>
        <w:t>党委会会议</w:t>
      </w:r>
      <w:r>
        <w:rPr>
          <w:rFonts w:hint="eastAsia" w:ascii="Times New Roman" w:hAnsi="Times New Roman" w:eastAsia="仿宋_GB2312" w:cs="Times New Roman"/>
          <w:sz w:val="32"/>
          <w:szCs w:val="32"/>
          <w:lang w:eastAsia="zh-CN"/>
        </w:rPr>
        <w:t>研究同意</w:t>
      </w:r>
      <w:r>
        <w:rPr>
          <w:rFonts w:hint="default" w:ascii="Times New Roman" w:hAnsi="Times New Roman" w:eastAsia="仿宋_GB2312" w:cs="Times New Roman"/>
          <w:sz w:val="32"/>
          <w:szCs w:val="32"/>
        </w:rPr>
        <w:t>后实行，并按照政府采购程序签订合同。项目实施验收完成后，由项目部门向财务部提交有关项目报销附件。财务部门根据上述报销资料进行初审，报财务分管领导审批后提交到财政归口科室审核，经财政下</w:t>
      </w:r>
      <w:r>
        <w:rPr>
          <w:rFonts w:hint="eastAsia" w:ascii="Times New Roman" w:hAnsi="Times New Roman" w:eastAsia="仿宋_GB2312" w:cs="Times New Roman"/>
          <w:sz w:val="32"/>
          <w:szCs w:val="32"/>
          <w:lang w:eastAsia="zh-CN"/>
        </w:rPr>
        <w:t>达</w:t>
      </w:r>
      <w:r>
        <w:rPr>
          <w:rFonts w:hint="default" w:ascii="Times New Roman" w:hAnsi="Times New Roman" w:eastAsia="仿宋_GB2312" w:cs="Times New Roman"/>
          <w:sz w:val="32"/>
          <w:szCs w:val="32"/>
        </w:rPr>
        <w:t>指标后,按照项目进度及合同约定支付。资金支出严格执行“三重一大”决策制度，严格按照专款专用原则支付项目资金。</w:t>
      </w:r>
    </w:p>
    <w:p w14:paraId="0A6C33B0">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黑体" w:cs="Times New Roman"/>
          <w:b w:val="0"/>
          <w:bCs/>
          <w:spacing w:val="-2"/>
          <w:sz w:val="32"/>
          <w:szCs w:val="32"/>
        </w:rPr>
      </w:pPr>
      <w:r>
        <w:rPr>
          <w:rFonts w:hint="default" w:ascii="Times New Roman" w:hAnsi="Times New Roman" w:eastAsia="黑体" w:cs="Times New Roman"/>
          <w:b w:val="0"/>
          <w:bCs/>
          <w:spacing w:val="-2"/>
          <w:sz w:val="32"/>
          <w:szCs w:val="32"/>
        </w:rPr>
        <w:t>四、资产管理情况</w:t>
      </w:r>
    </w:p>
    <w:p w14:paraId="76205BAB">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资产配置、管理、处置程序严格遵循各项要求。 资产配置有预算，各部门购置固定资产时，需事先向综合部申报。综合部根据存量资产的使用情况、预算上限及配置标准，按照能内部调剂优先调剂使用，确需采购从严从紧购置的原则来进行资产配置。经</w:t>
      </w:r>
      <w:r>
        <w:rPr>
          <w:rFonts w:hint="eastAsia" w:eastAsia="仿宋_GB2312" w:cs="Times New Roman"/>
          <w:sz w:val="32"/>
          <w:szCs w:val="32"/>
          <w:lang w:eastAsia="zh-CN"/>
        </w:rPr>
        <w:t>市</w:t>
      </w:r>
      <w:r>
        <w:rPr>
          <w:rFonts w:hint="default" w:ascii="Times New Roman" w:hAnsi="Times New Roman" w:eastAsia="仿宋_GB2312" w:cs="Times New Roman"/>
          <w:sz w:val="32"/>
          <w:szCs w:val="32"/>
        </w:rPr>
        <w:t>机关事务局或</w:t>
      </w:r>
      <w:r>
        <w:rPr>
          <w:rFonts w:hint="eastAsia" w:eastAsia="仿宋_GB2312" w:cs="Times New Roman"/>
          <w:sz w:val="32"/>
          <w:szCs w:val="32"/>
          <w:lang w:eastAsia="zh-CN"/>
        </w:rPr>
        <w:t>市</w:t>
      </w:r>
      <w:r>
        <w:rPr>
          <w:rFonts w:hint="default" w:ascii="Times New Roman" w:hAnsi="Times New Roman" w:eastAsia="仿宋_GB2312" w:cs="Times New Roman"/>
          <w:sz w:val="32"/>
          <w:szCs w:val="32"/>
        </w:rPr>
        <w:t>财政资产</w:t>
      </w:r>
      <w:r>
        <w:rPr>
          <w:rFonts w:hint="eastAsia" w:eastAsia="仿宋_GB2312" w:cs="Times New Roman"/>
          <w:sz w:val="32"/>
          <w:szCs w:val="32"/>
          <w:lang w:eastAsia="zh-CN"/>
        </w:rPr>
        <w:t>管理</w:t>
      </w:r>
      <w:r>
        <w:rPr>
          <w:rFonts w:hint="default" w:ascii="Times New Roman" w:hAnsi="Times New Roman" w:eastAsia="仿宋_GB2312" w:cs="Times New Roman"/>
          <w:sz w:val="32"/>
          <w:szCs w:val="32"/>
        </w:rPr>
        <w:t>科审批后进行采购。在资产购置验收环节，由综合部会同财务部、机关纪委专人联合验收，涉及信息类的软硬件购置要求科技信息部一同参与验收。资产处置严格按财政部令第36号、第71号、第68号的规定执行。未达到最低使用年限的资产，不得处置更新，因规定技术指标无法使用、损坏无法修复等需要提前报废的资产，国家有规定的，由职能部门出具鉴定意见；暂未规定的，应经综合部和科技信息部鉴定，并严格按照资产处置有关规定办理审批手续。已达到规定使用年限，但尚可继续使用的资产，应继续使用，充分发挥国有资产的使用效益。</w:t>
      </w:r>
    </w:p>
    <w:p w14:paraId="721A3548">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黑体" w:cs="Times New Roman"/>
          <w:b w:val="0"/>
          <w:bCs/>
          <w:spacing w:val="-2"/>
          <w:sz w:val="32"/>
          <w:szCs w:val="32"/>
        </w:rPr>
      </w:pPr>
      <w:r>
        <w:rPr>
          <w:rFonts w:hint="default" w:ascii="Times New Roman" w:hAnsi="Times New Roman" w:eastAsia="黑体" w:cs="Times New Roman"/>
          <w:b w:val="0"/>
          <w:bCs/>
          <w:spacing w:val="-2"/>
          <w:sz w:val="32"/>
          <w:szCs w:val="32"/>
        </w:rPr>
        <w:t>五、政府性基金预算支出情况</w:t>
      </w:r>
    </w:p>
    <w:p w14:paraId="53F1CFD5">
      <w:pPr>
        <w:pStyle w:val="9"/>
        <w:keepNext w:val="0"/>
        <w:keepLines w:val="0"/>
        <w:pageBreakBefore w:val="0"/>
        <w:widowControl w:val="0"/>
        <w:shd w:val="clear" w:color="auto" w:fill="FFFFFF"/>
        <w:kinsoku/>
        <w:wordWrap/>
        <w:overflowPunct/>
        <w:topLinePunct/>
        <w:autoSpaceDE w:val="0"/>
        <w:autoSpaceDN/>
        <w:bidi w:val="0"/>
        <w:adjustRightInd/>
        <w:snapToGrid w:val="0"/>
        <w:spacing w:before="0" w:beforeAutospacing="0" w:after="0" w:afterAutospacing="0" w:line="600" w:lineRule="exact"/>
        <w:ind w:left="0"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无。</w:t>
      </w:r>
    </w:p>
    <w:p w14:paraId="663D4641">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黑体" w:cs="Times New Roman"/>
          <w:b w:val="0"/>
          <w:bCs/>
          <w:spacing w:val="-2"/>
          <w:sz w:val="32"/>
          <w:szCs w:val="32"/>
        </w:rPr>
      </w:pPr>
      <w:r>
        <w:rPr>
          <w:rFonts w:hint="default" w:ascii="Times New Roman" w:hAnsi="Times New Roman" w:eastAsia="黑体" w:cs="Times New Roman"/>
          <w:b w:val="0"/>
          <w:bCs/>
          <w:spacing w:val="-2"/>
          <w:sz w:val="32"/>
          <w:szCs w:val="32"/>
        </w:rPr>
        <w:t>六、国有资本经营预算支出情况</w:t>
      </w:r>
    </w:p>
    <w:p w14:paraId="479F88BF">
      <w:pPr>
        <w:pStyle w:val="9"/>
        <w:keepNext w:val="0"/>
        <w:keepLines w:val="0"/>
        <w:pageBreakBefore w:val="0"/>
        <w:widowControl w:val="0"/>
        <w:shd w:val="clear" w:color="auto" w:fill="FFFFFF"/>
        <w:kinsoku/>
        <w:wordWrap/>
        <w:overflowPunct/>
        <w:topLinePunct/>
        <w:autoSpaceDE w:val="0"/>
        <w:autoSpaceDN/>
        <w:bidi w:val="0"/>
        <w:adjustRightInd/>
        <w:snapToGrid w:val="0"/>
        <w:spacing w:before="0" w:beforeAutospacing="0" w:after="0" w:afterAutospacing="0" w:line="600" w:lineRule="exact"/>
        <w:ind w:left="0"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无。</w:t>
      </w:r>
    </w:p>
    <w:p w14:paraId="2F4D5381">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黑体" w:cs="Times New Roman"/>
          <w:b w:val="0"/>
          <w:bCs/>
          <w:spacing w:val="-2"/>
          <w:sz w:val="32"/>
          <w:szCs w:val="32"/>
        </w:rPr>
      </w:pPr>
      <w:r>
        <w:rPr>
          <w:rFonts w:hint="default" w:ascii="Times New Roman" w:hAnsi="Times New Roman" w:eastAsia="黑体" w:cs="Times New Roman"/>
          <w:b w:val="0"/>
          <w:bCs/>
          <w:spacing w:val="-2"/>
          <w:sz w:val="32"/>
          <w:szCs w:val="32"/>
        </w:rPr>
        <w:t>七、社会保险基金预算支出情况</w:t>
      </w:r>
    </w:p>
    <w:p w14:paraId="517E6E1F">
      <w:pPr>
        <w:pStyle w:val="9"/>
        <w:keepNext w:val="0"/>
        <w:keepLines w:val="0"/>
        <w:pageBreakBefore w:val="0"/>
        <w:widowControl w:val="0"/>
        <w:shd w:val="clear" w:color="auto" w:fill="FFFFFF"/>
        <w:kinsoku/>
        <w:wordWrap/>
        <w:overflowPunct/>
        <w:topLinePunct/>
        <w:autoSpaceDE w:val="0"/>
        <w:autoSpaceDN/>
        <w:bidi w:val="0"/>
        <w:adjustRightInd/>
        <w:snapToGrid w:val="0"/>
        <w:spacing w:before="0" w:beforeAutospacing="0" w:after="0" w:afterAutospacing="0" w:line="600" w:lineRule="exact"/>
        <w:ind w:left="0"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无。</w:t>
      </w:r>
    </w:p>
    <w:p w14:paraId="12F12F47">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黑体" w:cs="Times New Roman"/>
          <w:b w:val="0"/>
          <w:bCs/>
          <w:spacing w:val="-2"/>
          <w:sz w:val="32"/>
          <w:szCs w:val="32"/>
        </w:rPr>
      </w:pPr>
      <w:r>
        <w:rPr>
          <w:rFonts w:hint="default" w:ascii="Times New Roman" w:hAnsi="Times New Roman" w:eastAsia="黑体" w:cs="Times New Roman"/>
          <w:b w:val="0"/>
          <w:bCs/>
          <w:spacing w:val="-2"/>
          <w:sz w:val="32"/>
          <w:szCs w:val="32"/>
        </w:rPr>
        <w:t>八、部门整体支出绩效情况</w:t>
      </w:r>
    </w:p>
    <w:p w14:paraId="18907183">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3" w:firstLineChars="200"/>
        <w:jc w:val="both"/>
        <w:textAlignment w:val="auto"/>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snapToGrid w:val="0"/>
          <w:color w:val="000000"/>
          <w:sz w:val="32"/>
          <w:szCs w:val="32"/>
        </w:rPr>
        <w:t>从整体绩效目标设定情况分析</w:t>
      </w:r>
      <w:r>
        <w:rPr>
          <w:rFonts w:hint="eastAsia" w:eastAsia="仿宋_GB2312" w:cs="Times New Roman"/>
          <w:b/>
          <w:bCs/>
          <w:snapToGrid w:val="0"/>
          <w:color w:val="000000"/>
          <w:sz w:val="32"/>
          <w:szCs w:val="32"/>
          <w:lang w:eastAsia="zh-CN"/>
        </w:rPr>
        <w:t>：</w:t>
      </w:r>
      <w:r>
        <w:rPr>
          <w:rFonts w:hint="default" w:ascii="Times New Roman" w:hAnsi="Times New Roman" w:eastAsia="仿宋_GB2312" w:cs="Times New Roman"/>
          <w:b/>
          <w:bCs/>
          <w:color w:val="000000"/>
          <w:sz w:val="32"/>
          <w:szCs w:val="32"/>
        </w:rPr>
        <w:t xml:space="preserve">      </w:t>
      </w:r>
    </w:p>
    <w:p w14:paraId="49512262">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①住房公积金归集</w:t>
      </w:r>
      <w:r>
        <w:rPr>
          <w:rFonts w:hint="eastAsia" w:eastAsia="仿宋_GB2312" w:cs="Times New Roman"/>
          <w:sz w:val="32"/>
          <w:szCs w:val="32"/>
          <w:lang w:val="en-US" w:eastAsia="zh-CN"/>
        </w:rPr>
        <w:t>44.88</w:t>
      </w:r>
      <w:r>
        <w:rPr>
          <w:rFonts w:hint="default" w:ascii="Times New Roman" w:hAnsi="Times New Roman" w:eastAsia="仿宋_GB2312" w:cs="Times New Roman"/>
          <w:sz w:val="32"/>
          <w:szCs w:val="32"/>
        </w:rPr>
        <w:t>亿元，同比增长</w:t>
      </w:r>
      <w:r>
        <w:rPr>
          <w:rFonts w:hint="eastAsia" w:eastAsia="仿宋_GB2312" w:cs="Times New Roman"/>
          <w:sz w:val="32"/>
          <w:szCs w:val="32"/>
          <w:lang w:val="en-US" w:eastAsia="zh-CN"/>
        </w:rPr>
        <w:t>3.29</w:t>
      </w:r>
      <w:r>
        <w:rPr>
          <w:rFonts w:hint="default" w:ascii="Times New Roman" w:hAnsi="Times New Roman" w:eastAsia="仿宋_GB2312" w:cs="Times New Roman"/>
          <w:sz w:val="32"/>
          <w:szCs w:val="32"/>
        </w:rPr>
        <w:t>%，累计缴存总额</w:t>
      </w:r>
      <w:r>
        <w:rPr>
          <w:rFonts w:hint="eastAsia" w:eastAsia="仿宋_GB2312" w:cs="Times New Roman"/>
          <w:sz w:val="32"/>
          <w:szCs w:val="32"/>
          <w:lang w:val="en-US" w:eastAsia="zh-CN"/>
        </w:rPr>
        <w:t>439.39</w:t>
      </w:r>
      <w:r>
        <w:rPr>
          <w:rFonts w:hint="default" w:ascii="Times New Roman" w:hAnsi="Times New Roman" w:eastAsia="仿宋_GB2312" w:cs="Times New Roman"/>
          <w:sz w:val="32"/>
          <w:szCs w:val="32"/>
        </w:rPr>
        <w:t>亿元，缴存余额</w:t>
      </w:r>
      <w:r>
        <w:rPr>
          <w:rFonts w:hint="eastAsia" w:eastAsia="仿宋_GB2312" w:cs="Times New Roman"/>
          <w:sz w:val="32"/>
          <w:szCs w:val="32"/>
          <w:lang w:val="en-US" w:eastAsia="zh-CN"/>
        </w:rPr>
        <w:t>178.64</w:t>
      </w:r>
      <w:r>
        <w:rPr>
          <w:rFonts w:hint="default" w:ascii="Times New Roman" w:hAnsi="Times New Roman" w:eastAsia="仿宋_GB2312" w:cs="Times New Roman"/>
          <w:sz w:val="32"/>
          <w:szCs w:val="32"/>
        </w:rPr>
        <w:t>亿元；②发放个人住房贷款</w:t>
      </w:r>
      <w:r>
        <w:rPr>
          <w:rFonts w:hint="eastAsia" w:eastAsia="仿宋_GB2312" w:cs="Times New Roman"/>
          <w:sz w:val="32"/>
          <w:szCs w:val="32"/>
          <w:lang w:val="en-US" w:eastAsia="zh-CN"/>
        </w:rPr>
        <w:t>2137</w:t>
      </w:r>
      <w:r>
        <w:rPr>
          <w:rFonts w:hint="default" w:ascii="Times New Roman" w:hAnsi="Times New Roman" w:eastAsia="仿宋_GB2312" w:cs="Times New Roman"/>
          <w:sz w:val="32"/>
          <w:szCs w:val="32"/>
        </w:rPr>
        <w:t>笔共</w:t>
      </w:r>
      <w:r>
        <w:rPr>
          <w:rFonts w:hint="eastAsia" w:eastAsia="仿宋_GB2312" w:cs="Times New Roman"/>
          <w:sz w:val="32"/>
          <w:szCs w:val="32"/>
          <w:lang w:val="en-US" w:eastAsia="zh-CN"/>
        </w:rPr>
        <w:t>7.56</w:t>
      </w:r>
      <w:r>
        <w:rPr>
          <w:rFonts w:hint="default" w:ascii="Times New Roman" w:hAnsi="Times New Roman" w:eastAsia="仿宋_GB2312" w:cs="Times New Roman"/>
          <w:sz w:val="32"/>
          <w:szCs w:val="32"/>
        </w:rPr>
        <w:t>亿元，</w:t>
      </w:r>
      <w:r>
        <w:rPr>
          <w:rFonts w:hint="eastAsia" w:eastAsia="仿宋_GB2312" w:cs="Times New Roman"/>
          <w:sz w:val="32"/>
          <w:szCs w:val="32"/>
          <w:lang w:eastAsia="zh-CN"/>
        </w:rPr>
        <w:t>超额完成年初计划</w:t>
      </w:r>
      <w:r>
        <w:rPr>
          <w:rFonts w:hint="eastAsia" w:eastAsia="仿宋_GB2312" w:cs="Times New Roman"/>
          <w:sz w:val="32"/>
          <w:szCs w:val="32"/>
          <w:lang w:val="en-US" w:eastAsia="zh-CN"/>
        </w:rPr>
        <w:t>0.66亿元，</w:t>
      </w:r>
      <w:r>
        <w:rPr>
          <w:rFonts w:hint="default" w:ascii="Times New Roman" w:hAnsi="Times New Roman" w:eastAsia="仿宋_GB2312" w:cs="Times New Roman"/>
          <w:sz w:val="32"/>
          <w:szCs w:val="32"/>
        </w:rPr>
        <w:t>同比下降</w:t>
      </w:r>
      <w:r>
        <w:rPr>
          <w:rFonts w:hint="eastAsia" w:eastAsia="仿宋_GB2312" w:cs="Times New Roman"/>
          <w:sz w:val="32"/>
          <w:szCs w:val="32"/>
          <w:lang w:val="en-US" w:eastAsia="zh-CN"/>
        </w:rPr>
        <w:t>23.79</w:t>
      </w:r>
      <w:r>
        <w:rPr>
          <w:rFonts w:hint="default" w:ascii="Times New Roman" w:hAnsi="Times New Roman" w:eastAsia="仿宋_GB2312" w:cs="Times New Roman"/>
          <w:sz w:val="32"/>
          <w:szCs w:val="32"/>
        </w:rPr>
        <w:t>%，</w:t>
      </w:r>
      <w:r>
        <w:rPr>
          <w:rFonts w:hint="eastAsia" w:eastAsia="仿宋_GB2312" w:cs="Times New Roman"/>
          <w:sz w:val="32"/>
          <w:szCs w:val="32"/>
          <w:lang w:eastAsia="zh-CN"/>
        </w:rPr>
        <w:t>累计发放个人住房贷款</w:t>
      </w:r>
      <w:r>
        <w:rPr>
          <w:rFonts w:hint="eastAsia" w:eastAsia="仿宋_GB2312" w:cs="Times New Roman"/>
          <w:sz w:val="32"/>
          <w:szCs w:val="32"/>
          <w:lang w:val="en-US" w:eastAsia="zh-CN"/>
        </w:rPr>
        <w:t>250.84亿元，个人贷款余额为111.61亿元，</w:t>
      </w:r>
      <w:r>
        <w:rPr>
          <w:rFonts w:hint="default" w:ascii="Times New Roman" w:hAnsi="Times New Roman" w:eastAsia="仿宋_GB2312" w:cs="Times New Roman"/>
          <w:sz w:val="32"/>
          <w:szCs w:val="32"/>
        </w:rPr>
        <w:t>个贷率为</w:t>
      </w:r>
      <w:r>
        <w:rPr>
          <w:rFonts w:hint="eastAsia" w:eastAsia="仿宋_GB2312" w:cs="Times New Roman"/>
          <w:sz w:val="32"/>
          <w:szCs w:val="32"/>
          <w:lang w:val="en-US" w:eastAsia="zh-CN"/>
        </w:rPr>
        <w:t>62.48</w:t>
      </w:r>
      <w:r>
        <w:rPr>
          <w:rFonts w:hint="default" w:ascii="Times New Roman" w:hAnsi="Times New Roman" w:eastAsia="仿宋_GB2312" w:cs="Times New Roman"/>
          <w:sz w:val="32"/>
          <w:szCs w:val="32"/>
        </w:rPr>
        <w:t>%；③</w:t>
      </w:r>
      <w:r>
        <w:rPr>
          <w:rFonts w:hint="eastAsia" w:eastAsia="仿宋_GB2312" w:cs="Times New Roman"/>
          <w:sz w:val="32"/>
          <w:szCs w:val="32"/>
          <w:lang w:eastAsia="zh-CN"/>
        </w:rPr>
        <w:t>办理公积金提取</w:t>
      </w:r>
      <w:r>
        <w:rPr>
          <w:rFonts w:hint="eastAsia" w:eastAsia="仿宋_GB2312" w:cs="Times New Roman"/>
          <w:sz w:val="32"/>
          <w:szCs w:val="32"/>
          <w:lang w:val="en-US" w:eastAsia="zh-CN"/>
        </w:rPr>
        <w:t>29.5亿元，同比下降10.93%</w:t>
      </w:r>
      <w:r>
        <w:rPr>
          <w:rFonts w:hint="default" w:ascii="Times New Roman" w:hAnsi="Times New Roman" w:eastAsia="仿宋_GB2312" w:cs="Times New Roman"/>
          <w:sz w:val="32"/>
          <w:szCs w:val="32"/>
        </w:rPr>
        <w:t>；④</w:t>
      </w:r>
      <w:r>
        <w:rPr>
          <w:rFonts w:hint="eastAsia" w:eastAsia="仿宋_GB2312" w:cs="Times New Roman"/>
          <w:sz w:val="32"/>
          <w:szCs w:val="32"/>
          <w:lang w:eastAsia="zh-CN"/>
        </w:rPr>
        <w:t>为</w:t>
      </w:r>
      <w:r>
        <w:rPr>
          <w:rFonts w:hint="eastAsia" w:eastAsia="仿宋_GB2312" w:cs="Times New Roman"/>
          <w:sz w:val="32"/>
          <w:szCs w:val="32"/>
          <w:lang w:val="en-US" w:eastAsia="zh-CN"/>
        </w:rPr>
        <w:t>25.74万名缴存职工年度结息2.42亿元，同比增长7.6%；⑤全市住房公积金个贷逾期总额为316.5万元，同比下降10.93%，个贷逾期率为0.0284%，持续稳定在省控标准0.03%以内，个贷风险准备金累计余额达1.12亿元，个人住房贷款逾期额与个人贷款风险准备金余额的比率为2.84%，资金运行安全稳健</w:t>
      </w:r>
      <w:r>
        <w:rPr>
          <w:rFonts w:hint="default" w:ascii="Times New Roman" w:hAnsi="Times New Roman" w:eastAsia="仿宋_GB2312" w:cs="Times New Roman"/>
          <w:sz w:val="32"/>
          <w:szCs w:val="32"/>
        </w:rPr>
        <w:t>。</w:t>
      </w:r>
    </w:p>
    <w:p w14:paraId="20763168">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3" w:firstLineChars="200"/>
        <w:jc w:val="both"/>
        <w:textAlignment w:val="auto"/>
        <w:rPr>
          <w:rFonts w:hint="eastAsia" w:ascii="Times New Roman" w:hAnsi="Times New Roman" w:eastAsia="仿宋_GB2312" w:cs="Times New Roman"/>
          <w:b/>
          <w:bCs/>
          <w:sz w:val="32"/>
          <w:szCs w:val="32"/>
        </w:rPr>
      </w:pPr>
      <w:r>
        <w:rPr>
          <w:rFonts w:hint="eastAsia" w:eastAsia="仿宋_GB2312" w:cs="Times New Roman"/>
          <w:b/>
          <w:bCs/>
          <w:sz w:val="32"/>
          <w:szCs w:val="32"/>
          <w:lang w:val="en-US" w:eastAsia="zh-CN"/>
        </w:rPr>
        <w:t>1.</w:t>
      </w:r>
      <w:r>
        <w:rPr>
          <w:rFonts w:hint="eastAsia" w:ascii="Times New Roman" w:hAnsi="Times New Roman" w:eastAsia="仿宋_GB2312" w:cs="Times New Roman"/>
          <w:b/>
          <w:bCs/>
          <w:sz w:val="32"/>
          <w:szCs w:val="32"/>
        </w:rPr>
        <w:t>运行成本</w:t>
      </w:r>
    </w:p>
    <w:p w14:paraId="47B24DFA">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年，全年一般公共预算财政拨款安排的基本支出</w:t>
      </w:r>
      <w:r>
        <w:rPr>
          <w:rFonts w:hint="eastAsia" w:eastAsia="仿宋_GB2312" w:cs="Times New Roman"/>
          <w:sz w:val="32"/>
          <w:szCs w:val="32"/>
          <w:lang w:val="en-US" w:eastAsia="zh-CN"/>
        </w:rPr>
        <w:t>1979.60</w:t>
      </w:r>
      <w:r>
        <w:rPr>
          <w:rFonts w:hint="default" w:ascii="Times New Roman" w:hAnsi="Times New Roman" w:eastAsia="仿宋_GB2312" w:cs="Times New Roman"/>
          <w:sz w:val="32"/>
          <w:szCs w:val="32"/>
        </w:rPr>
        <w:t>万元，其中，人员经费</w:t>
      </w:r>
      <w:r>
        <w:rPr>
          <w:rFonts w:hint="eastAsia" w:eastAsia="仿宋_GB2312" w:cs="Times New Roman"/>
          <w:sz w:val="32"/>
          <w:szCs w:val="32"/>
          <w:lang w:val="en-US" w:eastAsia="zh-CN"/>
        </w:rPr>
        <w:t>1693.41</w:t>
      </w:r>
      <w:r>
        <w:rPr>
          <w:rFonts w:hint="default" w:ascii="Times New Roman" w:hAnsi="Times New Roman" w:eastAsia="仿宋_GB2312" w:cs="Times New Roman"/>
          <w:sz w:val="32"/>
          <w:szCs w:val="32"/>
        </w:rPr>
        <w:t>万元，日常公用经费</w:t>
      </w:r>
      <w:r>
        <w:rPr>
          <w:rFonts w:hint="eastAsia" w:eastAsia="仿宋_GB2312" w:cs="Times New Roman"/>
          <w:sz w:val="32"/>
          <w:szCs w:val="32"/>
          <w:lang w:val="en-US" w:eastAsia="zh-CN"/>
        </w:rPr>
        <w:t>286.19</w:t>
      </w:r>
      <w:r>
        <w:rPr>
          <w:rFonts w:hint="default" w:ascii="Times New Roman" w:hAnsi="Times New Roman" w:eastAsia="仿宋_GB2312" w:cs="Times New Roman"/>
          <w:sz w:val="32"/>
          <w:szCs w:val="32"/>
        </w:rPr>
        <w:t>万元。根据相关工资标准支出人员经费，未超范围未超标准；严格落实中央、省、市关于压减一般性支出相关规定，坚持厉行节约，遵守国家财务管理规定，重大重点支出坚持事前审批，严格执行一般性公务支出标准，加快预算执行进度。</w:t>
      </w:r>
    </w:p>
    <w:p w14:paraId="7F9DF6C4">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3" w:firstLineChars="200"/>
        <w:jc w:val="both"/>
        <w:textAlignment w:val="auto"/>
        <w:rPr>
          <w:rFonts w:hint="default" w:ascii="Times New Roman" w:hAnsi="Times New Roman" w:eastAsia="仿宋_GB2312" w:cs="Times New Roman"/>
          <w:b/>
          <w:bCs/>
          <w:sz w:val="32"/>
          <w:szCs w:val="32"/>
        </w:rPr>
      </w:pPr>
      <w:r>
        <w:rPr>
          <w:rFonts w:hint="eastAsia" w:eastAsia="仿宋_GB2312" w:cs="Times New Roman"/>
          <w:b/>
          <w:bCs/>
          <w:sz w:val="32"/>
          <w:szCs w:val="32"/>
          <w:lang w:val="en-US" w:eastAsia="zh-CN"/>
        </w:rPr>
        <w:t>2.</w:t>
      </w:r>
      <w:r>
        <w:rPr>
          <w:rFonts w:hint="default" w:ascii="Times New Roman" w:hAnsi="Times New Roman" w:eastAsia="仿宋_GB2312" w:cs="Times New Roman"/>
          <w:b/>
          <w:bCs/>
          <w:sz w:val="32"/>
          <w:szCs w:val="32"/>
        </w:rPr>
        <w:t>管理效率</w:t>
      </w:r>
    </w:p>
    <w:p w14:paraId="01A62877">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w:t>
      </w:r>
      <w:r>
        <w:rPr>
          <w:rFonts w:hint="eastAsia" w:eastAsia="仿宋_GB2312" w:cs="Times New Roman"/>
          <w:sz w:val="32"/>
          <w:szCs w:val="32"/>
          <w:lang w:val="en-US" w:eastAsia="zh-CN"/>
        </w:rPr>
        <w:t>1</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业务收入：</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年，业务收入</w:t>
      </w:r>
      <w:r>
        <w:rPr>
          <w:rFonts w:hint="eastAsia" w:eastAsia="仿宋_GB2312" w:cs="Times New Roman"/>
          <w:sz w:val="32"/>
          <w:szCs w:val="32"/>
          <w:lang w:val="en-US" w:eastAsia="zh-CN"/>
        </w:rPr>
        <w:t>47211.67</w:t>
      </w:r>
      <w:r>
        <w:rPr>
          <w:rFonts w:hint="default" w:ascii="Times New Roman" w:hAnsi="Times New Roman" w:eastAsia="仿宋_GB2312" w:cs="Times New Roman"/>
          <w:sz w:val="32"/>
          <w:szCs w:val="32"/>
        </w:rPr>
        <w:t>万元，同比</w:t>
      </w:r>
      <w:r>
        <w:rPr>
          <w:rFonts w:hint="eastAsia" w:eastAsia="仿宋_GB2312" w:cs="Times New Roman"/>
          <w:sz w:val="32"/>
          <w:szCs w:val="32"/>
          <w:lang w:eastAsia="zh-CN"/>
        </w:rPr>
        <w:t>下降</w:t>
      </w:r>
      <w:r>
        <w:rPr>
          <w:rFonts w:hint="eastAsia" w:eastAsia="仿宋_GB2312" w:cs="Times New Roman"/>
          <w:sz w:val="32"/>
          <w:szCs w:val="32"/>
          <w:lang w:val="en-US" w:eastAsia="zh-CN"/>
        </w:rPr>
        <w:t>6.17</w:t>
      </w:r>
      <w:r>
        <w:rPr>
          <w:rFonts w:hint="default" w:ascii="Times New Roman" w:hAnsi="Times New Roman" w:eastAsia="仿宋_GB2312" w:cs="Times New Roman"/>
          <w:sz w:val="32"/>
          <w:szCs w:val="32"/>
        </w:rPr>
        <w:t>%。其中，存款利息</w:t>
      </w:r>
      <w:r>
        <w:rPr>
          <w:rFonts w:hint="eastAsia" w:eastAsia="仿宋_GB2312" w:cs="Times New Roman"/>
          <w:sz w:val="32"/>
          <w:szCs w:val="32"/>
          <w:lang w:val="en-US" w:eastAsia="zh-CN"/>
        </w:rPr>
        <w:t>13708.97</w:t>
      </w:r>
      <w:r>
        <w:rPr>
          <w:rFonts w:hint="default" w:ascii="Times New Roman" w:hAnsi="Times New Roman" w:eastAsia="仿宋_GB2312" w:cs="Times New Roman"/>
          <w:sz w:val="32"/>
          <w:szCs w:val="32"/>
        </w:rPr>
        <w:t>万元，委托贷款利息</w:t>
      </w:r>
      <w:r>
        <w:rPr>
          <w:rFonts w:hint="eastAsia" w:eastAsia="仿宋_GB2312" w:cs="Times New Roman"/>
          <w:sz w:val="32"/>
          <w:szCs w:val="32"/>
          <w:lang w:val="en-US" w:eastAsia="zh-CN"/>
        </w:rPr>
        <w:t>33496.32</w:t>
      </w:r>
      <w:r>
        <w:rPr>
          <w:rFonts w:hint="default" w:ascii="Times New Roman" w:hAnsi="Times New Roman" w:eastAsia="仿宋_GB2312" w:cs="Times New Roman"/>
          <w:sz w:val="32"/>
          <w:szCs w:val="32"/>
        </w:rPr>
        <w:t>万元，其他</w:t>
      </w:r>
      <w:r>
        <w:rPr>
          <w:rFonts w:hint="eastAsia" w:eastAsia="仿宋_GB2312" w:cs="Times New Roman"/>
          <w:sz w:val="32"/>
          <w:szCs w:val="32"/>
          <w:lang w:val="en-US" w:eastAsia="zh-CN"/>
        </w:rPr>
        <w:t>6.38</w:t>
      </w:r>
      <w:r>
        <w:rPr>
          <w:rFonts w:hint="default" w:ascii="Times New Roman" w:hAnsi="Times New Roman" w:eastAsia="仿宋_GB2312" w:cs="Times New Roman"/>
          <w:sz w:val="32"/>
          <w:szCs w:val="32"/>
        </w:rPr>
        <w:t>万元。</w:t>
      </w:r>
    </w:p>
    <w:p w14:paraId="6375AAAF">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w:t>
      </w:r>
      <w:r>
        <w:rPr>
          <w:rFonts w:hint="eastAsia" w:eastAsia="仿宋_GB2312" w:cs="Times New Roman"/>
          <w:sz w:val="32"/>
          <w:szCs w:val="32"/>
          <w:lang w:val="en-US" w:eastAsia="zh-CN"/>
        </w:rPr>
        <w:t>2</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业务支出：</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年，业务支出</w:t>
      </w:r>
      <w:r>
        <w:rPr>
          <w:rFonts w:hint="eastAsia" w:eastAsia="仿宋_GB2312" w:cs="Times New Roman"/>
          <w:sz w:val="32"/>
          <w:szCs w:val="32"/>
          <w:lang w:val="en-US" w:eastAsia="zh-CN"/>
        </w:rPr>
        <w:t>25999.8</w:t>
      </w:r>
      <w:r>
        <w:rPr>
          <w:rFonts w:hint="default" w:ascii="Times New Roman" w:hAnsi="Times New Roman" w:eastAsia="仿宋_GB2312" w:cs="Times New Roman"/>
          <w:sz w:val="32"/>
          <w:szCs w:val="32"/>
        </w:rPr>
        <w:t>万元，同比增长7.</w:t>
      </w:r>
      <w:r>
        <w:rPr>
          <w:rFonts w:hint="eastAsia" w:eastAsia="仿宋_GB2312" w:cs="Times New Roman"/>
          <w:sz w:val="32"/>
          <w:szCs w:val="32"/>
          <w:lang w:val="en-US" w:eastAsia="zh-CN"/>
        </w:rPr>
        <w:t>95</w:t>
      </w:r>
      <w:r>
        <w:rPr>
          <w:rFonts w:hint="default" w:ascii="Times New Roman" w:hAnsi="Times New Roman" w:eastAsia="仿宋_GB2312" w:cs="Times New Roman"/>
          <w:sz w:val="32"/>
          <w:szCs w:val="32"/>
        </w:rPr>
        <w:t>%。其中，支付职工住房公积金利息</w:t>
      </w:r>
      <w:r>
        <w:rPr>
          <w:rFonts w:hint="eastAsia" w:eastAsia="仿宋_GB2312" w:cs="Times New Roman"/>
          <w:sz w:val="32"/>
          <w:szCs w:val="32"/>
          <w:lang w:val="en-US" w:eastAsia="zh-CN"/>
        </w:rPr>
        <w:t>25961.16</w:t>
      </w:r>
      <w:r>
        <w:rPr>
          <w:rFonts w:hint="default" w:ascii="Times New Roman" w:hAnsi="Times New Roman" w:eastAsia="仿宋_GB2312" w:cs="Times New Roman"/>
          <w:sz w:val="32"/>
          <w:szCs w:val="32"/>
        </w:rPr>
        <w:t>万元，其他</w:t>
      </w:r>
      <w:r>
        <w:rPr>
          <w:rFonts w:hint="eastAsia" w:eastAsia="仿宋_GB2312" w:cs="Times New Roman"/>
          <w:sz w:val="32"/>
          <w:szCs w:val="32"/>
          <w:lang w:val="en-US" w:eastAsia="zh-CN"/>
        </w:rPr>
        <w:t>38.64</w:t>
      </w:r>
      <w:r>
        <w:rPr>
          <w:rFonts w:hint="default" w:ascii="Times New Roman" w:hAnsi="Times New Roman" w:eastAsia="仿宋_GB2312" w:cs="Times New Roman"/>
          <w:sz w:val="32"/>
          <w:szCs w:val="32"/>
        </w:rPr>
        <w:t>万元。</w:t>
      </w:r>
    </w:p>
    <w:p w14:paraId="7AE45451">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w:t>
      </w:r>
      <w:r>
        <w:rPr>
          <w:rFonts w:hint="eastAsia" w:eastAsia="仿宋_GB2312" w:cs="Times New Roman"/>
          <w:sz w:val="32"/>
          <w:szCs w:val="32"/>
          <w:lang w:val="en-US" w:eastAsia="zh-CN"/>
        </w:rPr>
        <w:t>3</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增值收益：</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年，增值收益</w:t>
      </w:r>
      <w:r>
        <w:rPr>
          <w:rFonts w:hint="eastAsia" w:eastAsia="仿宋_GB2312" w:cs="Times New Roman"/>
          <w:sz w:val="32"/>
          <w:szCs w:val="32"/>
          <w:lang w:val="en-US" w:eastAsia="zh-CN"/>
        </w:rPr>
        <w:t>21211.87</w:t>
      </w:r>
      <w:r>
        <w:rPr>
          <w:rFonts w:hint="default" w:ascii="Times New Roman" w:hAnsi="Times New Roman" w:eastAsia="仿宋_GB2312" w:cs="Times New Roman"/>
          <w:sz w:val="32"/>
          <w:szCs w:val="32"/>
        </w:rPr>
        <w:t>万元，同比</w:t>
      </w:r>
      <w:r>
        <w:rPr>
          <w:rFonts w:hint="eastAsia" w:eastAsia="仿宋_GB2312" w:cs="Times New Roman"/>
          <w:sz w:val="32"/>
          <w:szCs w:val="32"/>
          <w:lang w:eastAsia="zh-CN"/>
        </w:rPr>
        <w:t>下降</w:t>
      </w:r>
      <w:r>
        <w:rPr>
          <w:rFonts w:hint="eastAsia" w:eastAsia="仿宋_GB2312" w:cs="Times New Roman"/>
          <w:sz w:val="32"/>
          <w:szCs w:val="32"/>
          <w:lang w:val="en-US" w:eastAsia="zh-CN"/>
        </w:rPr>
        <w:t>19.14</w:t>
      </w:r>
      <w:r>
        <w:rPr>
          <w:rFonts w:hint="default" w:ascii="Times New Roman" w:hAnsi="Times New Roman" w:eastAsia="仿宋_GB2312" w:cs="Times New Roman"/>
          <w:sz w:val="32"/>
          <w:szCs w:val="32"/>
        </w:rPr>
        <w:t>%。</w:t>
      </w:r>
    </w:p>
    <w:p w14:paraId="6216E990">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sz w:val="32"/>
          <w:szCs w:val="32"/>
          <w:lang w:val="en-US" w:eastAsia="zh-CN"/>
        </w:rPr>
      </w:pPr>
      <w:r>
        <w:rPr>
          <w:rFonts w:hint="eastAsia" w:eastAsia="仿宋_GB2312" w:cs="Times New Roman"/>
          <w:sz w:val="32"/>
          <w:szCs w:val="32"/>
          <w:lang w:eastAsia="zh-CN"/>
        </w:rPr>
        <w:t>（</w:t>
      </w:r>
      <w:r>
        <w:rPr>
          <w:rFonts w:hint="eastAsia" w:eastAsia="仿宋_GB2312" w:cs="Times New Roman"/>
          <w:sz w:val="32"/>
          <w:szCs w:val="32"/>
          <w:lang w:val="en-US" w:eastAsia="zh-CN"/>
        </w:rPr>
        <w:t>4</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增值收益分配：</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w:t>
      </w:r>
      <w:r>
        <w:rPr>
          <w:rFonts w:hint="eastAsia" w:eastAsia="仿宋_GB2312" w:cs="Times New Roman"/>
          <w:sz w:val="32"/>
          <w:szCs w:val="32"/>
          <w:lang w:eastAsia="zh-CN"/>
        </w:rPr>
        <w:t>按照《湖南省财政厅湖南省增值收益管理的通知》（湘财综</w:t>
      </w:r>
      <w:r>
        <w:rPr>
          <w:rFonts w:hint="eastAsia" w:eastAsia="仿宋_GB2312" w:cs="Times New Roman"/>
          <w:sz w:val="32"/>
          <w:szCs w:val="32"/>
          <w:lang w:val="en-US" w:eastAsia="zh-CN"/>
        </w:rPr>
        <w:t>[2025]21号）“全省住房公积金贷款风险准备金统一按照年末贷款余额的1%计提，风险准备金余额高于年末贷款余额1%的，超额部分应予以冲回”的要求，提取贷款风险准备金-12513.79万元；提取管理费用2974.01万元，提取城市公共租赁住房（廉租住房）建设补充资金30751.65万元。</w:t>
      </w:r>
    </w:p>
    <w:p w14:paraId="367B1938">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2025年，上交财政管理费用2974.01万元。上缴财政城市公共租赁住房（廉租住房）建设补充资金24246.05万元。</w:t>
      </w:r>
    </w:p>
    <w:p w14:paraId="4D9AD41C">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eastAsia="仿宋_GB2312" w:cs="Times New Roman"/>
          <w:sz w:val="32"/>
          <w:szCs w:val="32"/>
          <w:lang w:val="en-US" w:eastAsia="zh-CN"/>
        </w:rPr>
      </w:pPr>
      <w:r>
        <w:rPr>
          <w:rFonts w:hint="eastAsia" w:eastAsia="仿宋_GB2312" w:cs="Times New Roman"/>
          <w:sz w:val="32"/>
          <w:szCs w:val="32"/>
          <w:lang w:val="en-US" w:eastAsia="zh-CN"/>
        </w:rPr>
        <w:t>2025年末，贷款风险准备金余额11161.30万元。累计提</w:t>
      </w:r>
      <w:r>
        <w:rPr>
          <w:rFonts w:hint="eastAsia" w:eastAsia="仿宋_GB2312" w:cs="Times New Roman"/>
          <w:spacing w:val="-6"/>
          <w:sz w:val="32"/>
          <w:szCs w:val="32"/>
          <w:lang w:val="en-US" w:eastAsia="zh-CN"/>
        </w:rPr>
        <w:t>取城市公共租赁住房（廉租住房）建设补充资金201290.1万元。</w:t>
      </w:r>
    </w:p>
    <w:p w14:paraId="3C9EE6A1">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w:t>
      </w:r>
      <w:r>
        <w:rPr>
          <w:rFonts w:hint="eastAsia" w:eastAsia="仿宋_GB2312" w:cs="Times New Roman"/>
          <w:sz w:val="32"/>
          <w:szCs w:val="32"/>
          <w:lang w:val="en-US" w:eastAsia="zh-CN"/>
        </w:rPr>
        <w:t>5</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管理费用支出：</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年，管理费用支出</w:t>
      </w:r>
      <w:r>
        <w:rPr>
          <w:rFonts w:hint="eastAsia" w:eastAsia="仿宋_GB2312" w:cs="Times New Roman"/>
          <w:sz w:val="32"/>
          <w:szCs w:val="32"/>
          <w:lang w:val="en-US" w:eastAsia="zh-CN"/>
        </w:rPr>
        <w:t>2624.73</w:t>
      </w:r>
      <w:r>
        <w:rPr>
          <w:rFonts w:hint="default" w:ascii="Times New Roman" w:hAnsi="Times New Roman" w:eastAsia="仿宋_GB2312" w:cs="Times New Roman"/>
          <w:sz w:val="32"/>
          <w:szCs w:val="32"/>
        </w:rPr>
        <w:t>万元，同比</w:t>
      </w:r>
      <w:r>
        <w:rPr>
          <w:rFonts w:hint="eastAsia" w:eastAsia="仿宋_GB2312" w:cs="Times New Roman"/>
          <w:sz w:val="32"/>
          <w:szCs w:val="32"/>
          <w:lang w:eastAsia="zh-CN"/>
        </w:rPr>
        <w:t>下降</w:t>
      </w:r>
      <w:r>
        <w:rPr>
          <w:rFonts w:hint="eastAsia" w:eastAsia="仿宋_GB2312" w:cs="Times New Roman"/>
          <w:sz w:val="32"/>
          <w:szCs w:val="32"/>
          <w:lang w:val="en-US" w:eastAsia="zh-CN"/>
        </w:rPr>
        <w:t>7.23</w:t>
      </w:r>
      <w:r>
        <w:rPr>
          <w:rFonts w:hint="default" w:ascii="Times New Roman" w:hAnsi="Times New Roman" w:eastAsia="仿宋_GB2312" w:cs="Times New Roman"/>
          <w:sz w:val="32"/>
          <w:szCs w:val="32"/>
        </w:rPr>
        <w:t>%。其中，人员经费</w:t>
      </w:r>
      <w:r>
        <w:rPr>
          <w:rFonts w:hint="eastAsia" w:eastAsia="仿宋_GB2312" w:cs="Times New Roman"/>
          <w:sz w:val="32"/>
          <w:szCs w:val="32"/>
          <w:lang w:val="en-US" w:eastAsia="zh-CN"/>
        </w:rPr>
        <w:t>1693.41</w:t>
      </w:r>
      <w:r>
        <w:rPr>
          <w:rFonts w:hint="default" w:ascii="Times New Roman" w:hAnsi="Times New Roman" w:eastAsia="仿宋_GB2312" w:cs="Times New Roman"/>
          <w:sz w:val="32"/>
          <w:szCs w:val="32"/>
        </w:rPr>
        <w:t>万元，公用经费</w:t>
      </w:r>
      <w:r>
        <w:rPr>
          <w:rFonts w:hint="eastAsia" w:eastAsia="仿宋_GB2312" w:cs="Times New Roman"/>
          <w:sz w:val="32"/>
          <w:szCs w:val="32"/>
          <w:lang w:val="en-US" w:eastAsia="zh-CN"/>
        </w:rPr>
        <w:t>286.19</w:t>
      </w:r>
      <w:r>
        <w:rPr>
          <w:rFonts w:hint="default" w:ascii="Times New Roman" w:hAnsi="Times New Roman" w:eastAsia="仿宋_GB2312" w:cs="Times New Roman"/>
          <w:sz w:val="32"/>
          <w:szCs w:val="32"/>
        </w:rPr>
        <w:t>万元，专项经费</w:t>
      </w:r>
      <w:r>
        <w:rPr>
          <w:rFonts w:hint="eastAsia" w:eastAsia="仿宋_GB2312" w:cs="Times New Roman"/>
          <w:sz w:val="32"/>
          <w:szCs w:val="32"/>
          <w:lang w:val="en-US" w:eastAsia="zh-CN"/>
        </w:rPr>
        <w:t>645.13</w:t>
      </w:r>
      <w:r>
        <w:rPr>
          <w:rFonts w:hint="default" w:ascii="Times New Roman" w:hAnsi="Times New Roman" w:eastAsia="仿宋_GB2312" w:cs="Times New Roman"/>
          <w:sz w:val="32"/>
          <w:szCs w:val="32"/>
        </w:rPr>
        <w:t>万元。</w:t>
      </w:r>
    </w:p>
    <w:p w14:paraId="2EA7B59C">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3" w:firstLineChars="200"/>
        <w:jc w:val="both"/>
        <w:textAlignment w:val="auto"/>
        <w:rPr>
          <w:rFonts w:hint="default" w:ascii="Times New Roman" w:hAnsi="Times New Roman" w:eastAsia="仿宋_GB2312" w:cs="Times New Roman"/>
          <w:color w:val="FF0000"/>
          <w:sz w:val="32"/>
          <w:szCs w:val="32"/>
        </w:rPr>
      </w:pPr>
      <w:r>
        <w:rPr>
          <w:rFonts w:hint="eastAsia" w:eastAsia="仿宋_GB2312" w:cs="Times New Roman"/>
          <w:b/>
          <w:bCs/>
          <w:sz w:val="32"/>
          <w:szCs w:val="32"/>
          <w:lang w:val="en-US" w:eastAsia="zh-CN"/>
        </w:rPr>
        <w:t>3.</w:t>
      </w:r>
      <w:r>
        <w:rPr>
          <w:rFonts w:hint="default" w:ascii="Times New Roman" w:hAnsi="Times New Roman" w:eastAsia="仿宋_GB2312" w:cs="Times New Roman"/>
          <w:b/>
          <w:bCs/>
          <w:sz w:val="32"/>
          <w:szCs w:val="32"/>
        </w:rPr>
        <w:t>社会效应</w:t>
      </w:r>
    </w:p>
    <w:p w14:paraId="6957C1F4">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w:t>
      </w:r>
      <w:r>
        <w:rPr>
          <w:rFonts w:hint="eastAsia" w:eastAsia="仿宋_GB2312" w:cs="Times New Roman"/>
          <w:b w:val="0"/>
          <w:bCs w:val="0"/>
          <w:sz w:val="32"/>
          <w:szCs w:val="32"/>
          <w:lang w:val="en-US" w:eastAsia="zh-CN"/>
        </w:rPr>
        <w:t>1</w:t>
      </w:r>
      <w:r>
        <w:rPr>
          <w:rFonts w:hint="eastAsia" w:eastAsia="仿宋_GB2312" w:cs="Times New Roman"/>
          <w:b w:val="0"/>
          <w:bCs w:val="0"/>
          <w:sz w:val="32"/>
          <w:szCs w:val="32"/>
          <w:lang w:eastAsia="zh-CN"/>
        </w:rPr>
        <w:t>）缴存业务。</w:t>
      </w:r>
    </w:p>
    <w:p w14:paraId="4C6CC403">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缴存人中，企业单位占24.35%，非企业单位占72.76%，灵活就业人员占2.89%。新开户缴存人中，企业单位占37.54%，非企业单位占62.13%，灵活就业人员占0.33%。</w:t>
      </w:r>
    </w:p>
    <w:p w14:paraId="670D7D17">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w:t>
      </w:r>
      <w:r>
        <w:rPr>
          <w:rFonts w:hint="eastAsia" w:eastAsia="仿宋_GB2312" w:cs="Times New Roman"/>
          <w:b w:val="0"/>
          <w:bCs w:val="0"/>
          <w:sz w:val="32"/>
          <w:szCs w:val="32"/>
          <w:lang w:val="en-US" w:eastAsia="zh-CN"/>
        </w:rPr>
        <w:t>2</w:t>
      </w:r>
      <w:r>
        <w:rPr>
          <w:rFonts w:hint="eastAsia" w:eastAsia="仿宋_GB2312" w:cs="Times New Roman"/>
          <w:b w:val="0"/>
          <w:bCs w:val="0"/>
          <w:sz w:val="32"/>
          <w:szCs w:val="32"/>
          <w:lang w:eastAsia="zh-CN"/>
        </w:rPr>
        <w:t>）提取业务。</w:t>
      </w:r>
    </w:p>
    <w:p w14:paraId="49282297">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提取金额中，购买、建造、翻建、大修自住住房占19.25%，偿还购房贷款本息占42.43%，租赁住房占3.69%，老旧小区改造占0%，离休和退休提取占29.67%，完全丧失劳动能力并与单位终止劳动关系提取占2.74%，出境定居占0%，其他占2.22%。</w:t>
      </w:r>
    </w:p>
    <w:p w14:paraId="1E62D647">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w:t>
      </w:r>
      <w:r>
        <w:rPr>
          <w:rFonts w:hint="eastAsia" w:eastAsia="仿宋_GB2312" w:cs="Times New Roman"/>
          <w:b w:val="0"/>
          <w:bCs w:val="0"/>
          <w:sz w:val="32"/>
          <w:szCs w:val="32"/>
          <w:lang w:val="en-US" w:eastAsia="zh-CN"/>
        </w:rPr>
        <w:t>3</w:t>
      </w:r>
      <w:r>
        <w:rPr>
          <w:rFonts w:hint="eastAsia" w:eastAsia="仿宋_GB2312" w:cs="Times New Roman"/>
          <w:b w:val="0"/>
          <w:bCs w:val="0"/>
          <w:sz w:val="32"/>
          <w:szCs w:val="32"/>
          <w:lang w:eastAsia="zh-CN"/>
        </w:rPr>
        <w:t>）贷款业务。</w:t>
      </w:r>
    </w:p>
    <w:p w14:paraId="0B54E40F">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ascii="宋体" w:hAnsi="宋体" w:eastAsia="宋体" w:cs="宋体"/>
          <w:b w:val="0"/>
          <w:bCs w:val="0"/>
          <w:sz w:val="32"/>
          <w:szCs w:val="32"/>
          <w:lang w:eastAsia="zh-CN"/>
        </w:rPr>
        <w:t>①</w:t>
      </w:r>
      <w:r>
        <w:rPr>
          <w:rFonts w:hint="eastAsia" w:eastAsia="仿宋_GB2312" w:cs="Times New Roman"/>
          <w:b w:val="0"/>
          <w:bCs w:val="0"/>
          <w:sz w:val="32"/>
          <w:szCs w:val="32"/>
          <w:lang w:eastAsia="zh-CN"/>
        </w:rPr>
        <w:t>个人住房贷款：2025年，支持缴存人购建房27.36万平方米（含公转商贴息贷款），年末个人住房贷款市场占有</w:t>
      </w:r>
      <w:r>
        <w:rPr>
          <w:rFonts w:hint="eastAsia" w:eastAsia="仿宋_GB2312" w:cs="Times New Roman"/>
          <w:b w:val="0"/>
          <w:bCs w:val="0"/>
          <w:spacing w:val="-11"/>
          <w:sz w:val="32"/>
          <w:szCs w:val="32"/>
          <w:lang w:eastAsia="zh-CN"/>
        </w:rPr>
        <w:t>率（含公转商贴息贷款）为18.31%，比上年末减少0.3个百分点。</w:t>
      </w:r>
    </w:p>
    <w:p w14:paraId="6E3BA26B">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发放贷款笔数中，购买新建住房占40.9%（其中购买保障性住房占0%），购买二手房占59.1%，建造、翻建、大修自住住房占0%，其他占0%。</w:t>
      </w:r>
    </w:p>
    <w:p w14:paraId="693C2930">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发放贷款笔数中，单缴存人申请贷款占57.04%，双缴存</w:t>
      </w:r>
      <w:r>
        <w:rPr>
          <w:rFonts w:hint="eastAsia" w:eastAsia="仿宋_GB2312" w:cs="Times New Roman"/>
          <w:b w:val="0"/>
          <w:bCs w:val="0"/>
          <w:spacing w:val="-6"/>
          <w:sz w:val="32"/>
          <w:szCs w:val="32"/>
          <w:lang w:eastAsia="zh-CN"/>
        </w:rPr>
        <w:t>人申请贷款占42.96%，三人及以上缴存人共同申请贷款占0%。</w:t>
      </w:r>
    </w:p>
    <w:p w14:paraId="0E1AF23F">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借款人中，30岁（含）以下占56.72%，30岁-40岁（含）占30.88%，40岁-50岁（含）占10.67%，50岁以上占1.73%；购买首套住房申请贷款占86.38%，购买二套及以上申请贷款占13.62%。</w:t>
      </w:r>
    </w:p>
    <w:p w14:paraId="2D7D32A6">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ascii="宋体" w:hAnsi="宋体" w:eastAsia="宋体" w:cs="宋体"/>
          <w:b w:val="0"/>
          <w:bCs w:val="0"/>
          <w:sz w:val="32"/>
          <w:szCs w:val="32"/>
          <w:lang w:eastAsia="zh-CN"/>
        </w:rPr>
        <w:t>②</w:t>
      </w:r>
      <w:r>
        <w:rPr>
          <w:rFonts w:hint="eastAsia" w:eastAsia="仿宋_GB2312" w:cs="Times New Roman"/>
          <w:b w:val="0"/>
          <w:bCs w:val="0"/>
          <w:sz w:val="32"/>
          <w:szCs w:val="32"/>
          <w:lang w:eastAsia="zh-CN"/>
        </w:rPr>
        <w:t>支持保障性住房建设试点项目贷款：无。</w:t>
      </w:r>
    </w:p>
    <w:p w14:paraId="7FF80C47">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w:t>
      </w:r>
      <w:r>
        <w:rPr>
          <w:rFonts w:hint="eastAsia" w:eastAsia="仿宋_GB2312" w:cs="Times New Roman"/>
          <w:b w:val="0"/>
          <w:bCs w:val="0"/>
          <w:sz w:val="32"/>
          <w:szCs w:val="32"/>
          <w:lang w:val="en-US" w:eastAsia="zh-CN"/>
        </w:rPr>
        <w:t>4</w:t>
      </w:r>
      <w:r>
        <w:rPr>
          <w:rFonts w:hint="eastAsia" w:eastAsia="仿宋_GB2312" w:cs="Times New Roman"/>
          <w:b w:val="0"/>
          <w:bCs w:val="0"/>
          <w:sz w:val="32"/>
          <w:szCs w:val="32"/>
          <w:lang w:eastAsia="zh-CN"/>
        </w:rPr>
        <w:t>）住房贡献率。</w:t>
      </w:r>
    </w:p>
    <w:p w14:paraId="155402F5">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2025年，个人住房贷款发放额、公转商贴息贷款发放额、项目贷款发放额、住房消费提取额的总和与当年缴存额的比率为59.8%，比上年减少9.13个百分点。</w:t>
      </w:r>
    </w:p>
    <w:p w14:paraId="5F9CC2BE">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3" w:firstLineChars="200"/>
        <w:jc w:val="both"/>
        <w:textAlignment w:val="auto"/>
        <w:rPr>
          <w:rFonts w:hint="default" w:ascii="Times New Roman" w:hAnsi="Times New Roman" w:eastAsia="仿宋_GB2312" w:cs="Times New Roman"/>
          <w:b/>
          <w:bCs/>
          <w:color w:val="000000"/>
          <w:sz w:val="32"/>
          <w:szCs w:val="32"/>
          <w:shd w:val="clear" w:color="auto" w:fill="FFFFFF"/>
        </w:rPr>
      </w:pPr>
      <w:r>
        <w:rPr>
          <w:rFonts w:hint="eastAsia" w:eastAsia="仿宋_GB2312" w:cs="Times New Roman"/>
          <w:b/>
          <w:bCs/>
          <w:color w:val="000000"/>
          <w:sz w:val="32"/>
          <w:szCs w:val="32"/>
          <w:shd w:val="clear" w:color="auto" w:fill="FFFFFF"/>
          <w:lang w:val="en-US" w:eastAsia="zh-CN"/>
        </w:rPr>
        <w:t>5.</w:t>
      </w:r>
      <w:r>
        <w:rPr>
          <w:rFonts w:hint="default" w:ascii="Times New Roman" w:hAnsi="Times New Roman" w:eastAsia="仿宋_GB2312" w:cs="Times New Roman"/>
          <w:b/>
          <w:bCs/>
          <w:color w:val="000000"/>
          <w:sz w:val="32"/>
          <w:szCs w:val="32"/>
          <w:shd w:val="clear" w:color="auto" w:fill="FFFFFF"/>
        </w:rPr>
        <w:t>可持续发展能力</w:t>
      </w:r>
    </w:p>
    <w:p w14:paraId="2E7050B1">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color w:val="000000"/>
          <w:sz w:val="32"/>
          <w:szCs w:val="32"/>
          <w:shd w:val="clear" w:color="auto" w:fill="FFFFFF"/>
          <w:lang w:val="en-US" w:eastAsia="zh-CN"/>
        </w:rPr>
      </w:pPr>
      <w:r>
        <w:rPr>
          <w:rFonts w:hint="eastAsia" w:eastAsia="仿宋_GB2312" w:cs="Times New Roman"/>
          <w:color w:val="000000"/>
          <w:sz w:val="32"/>
          <w:szCs w:val="32"/>
          <w:shd w:val="clear" w:color="auto" w:fill="FFFFFF"/>
          <w:lang w:val="en-US" w:eastAsia="zh-CN"/>
        </w:rPr>
        <w:t>2025年，中心坚持以习近平新时代中国特色社会主义思想为指导，全面贯彻党中央、省委决策部署，按照市委、市政府工作要求，深化改革、创新实干，全力为群众办大事、解难事、做实事，用高质量发展保障和改善民生，为住房公积金高质量发展积累新优势、创造新胜势。</w:t>
      </w:r>
    </w:p>
    <w:p w14:paraId="2DEC75B2">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3" w:firstLineChars="200"/>
        <w:jc w:val="both"/>
        <w:textAlignment w:val="auto"/>
        <w:rPr>
          <w:rFonts w:hint="default" w:ascii="Times New Roman" w:hAnsi="Times New Roman" w:eastAsia="仿宋_GB2312" w:cs="Times New Roman"/>
          <w:b/>
          <w:bCs/>
          <w:kern w:val="0"/>
          <w:sz w:val="32"/>
          <w:szCs w:val="32"/>
        </w:rPr>
      </w:pPr>
      <w:r>
        <w:rPr>
          <w:rFonts w:hint="eastAsia" w:ascii="Times New Roman" w:hAnsi="Times New Roman" w:eastAsia="仿宋_GB2312" w:cs="Times New Roman"/>
          <w:b/>
          <w:bCs/>
          <w:kern w:val="0"/>
          <w:sz w:val="32"/>
          <w:szCs w:val="32"/>
          <w:lang w:val="en-US" w:eastAsia="zh-CN"/>
        </w:rPr>
        <w:t>6.</w:t>
      </w:r>
      <w:r>
        <w:rPr>
          <w:rFonts w:hint="default" w:ascii="Times New Roman" w:hAnsi="Times New Roman" w:eastAsia="仿宋_GB2312" w:cs="Times New Roman"/>
          <w:b/>
          <w:bCs/>
          <w:kern w:val="0"/>
          <w:sz w:val="32"/>
          <w:szCs w:val="32"/>
        </w:rPr>
        <w:t>服务对象满意度</w:t>
      </w:r>
    </w:p>
    <w:p w14:paraId="6C6C3BB7">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eastAsia="仿宋_GB2312" w:cs="Times New Roman"/>
          <w:kern w:val="0"/>
          <w:sz w:val="32"/>
          <w:szCs w:val="32"/>
          <w:lang w:val="en-US" w:eastAsia="zh-CN"/>
        </w:rPr>
      </w:pPr>
      <w:r>
        <w:rPr>
          <w:rFonts w:hint="eastAsia" w:eastAsia="仿宋_GB2312" w:cs="Times New Roman"/>
          <w:kern w:val="0"/>
          <w:sz w:val="32"/>
          <w:szCs w:val="32"/>
          <w:lang w:eastAsia="zh-CN"/>
        </w:rPr>
        <w:t>服务对象满意度≥</w:t>
      </w:r>
      <w:r>
        <w:rPr>
          <w:rFonts w:hint="eastAsia" w:eastAsia="仿宋_GB2312" w:cs="Times New Roman"/>
          <w:kern w:val="0"/>
          <w:sz w:val="32"/>
          <w:szCs w:val="32"/>
          <w:lang w:val="en-US" w:eastAsia="zh-CN"/>
        </w:rPr>
        <w:t>95%，刚需贷款、提取业务、企业缴存服务认可度高，驻村帮扶基层群众评价良好。</w:t>
      </w:r>
    </w:p>
    <w:p w14:paraId="245D26AA">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ascii="黑体" w:hAnsi="黑体" w:eastAsia="黑体" w:cs="黑体"/>
          <w:kern w:val="0"/>
          <w:sz w:val="32"/>
          <w:szCs w:val="32"/>
        </w:rPr>
      </w:pPr>
      <w:r>
        <w:rPr>
          <w:rFonts w:hint="eastAsia" w:ascii="黑体" w:hAnsi="黑体" w:eastAsia="黑体" w:cs="黑体"/>
          <w:kern w:val="0"/>
          <w:sz w:val="32"/>
          <w:szCs w:val="32"/>
        </w:rPr>
        <w:t>九、存在的问题及原因分析</w:t>
      </w:r>
    </w:p>
    <w:p w14:paraId="1AA002B8">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kern w:val="0"/>
          <w:sz w:val="32"/>
          <w:szCs w:val="32"/>
          <w:lang w:val="en-US" w:eastAsia="zh-CN"/>
        </w:rPr>
      </w:pPr>
      <w:r>
        <w:rPr>
          <w:rFonts w:hint="default" w:ascii="Times New Roman" w:hAnsi="Times New Roman" w:eastAsia="仿宋_GB2312" w:cs="Times New Roman"/>
          <w:kern w:val="0"/>
          <w:sz w:val="32"/>
          <w:szCs w:val="32"/>
        </w:rPr>
        <w:t>1</w:t>
      </w:r>
      <w:r>
        <w:rPr>
          <w:rFonts w:hint="default" w:ascii="Times New Roman" w:hAnsi="Times New Roman" w:eastAsia="仿宋_GB2312" w:cs="Times New Roman"/>
          <w:kern w:val="0"/>
          <w:sz w:val="32"/>
          <w:szCs w:val="32"/>
          <w:lang w:val="en-US" w:eastAsia="zh-CN"/>
        </w:rPr>
        <w:t>.</w:t>
      </w:r>
      <w:r>
        <w:rPr>
          <w:rFonts w:hint="eastAsia" w:eastAsia="仿宋_GB2312" w:cs="Times New Roman"/>
          <w:kern w:val="0"/>
          <w:sz w:val="32"/>
          <w:szCs w:val="32"/>
          <w:lang w:val="en-US" w:eastAsia="zh-CN"/>
        </w:rPr>
        <w:t>项目预算支出时序统筹不足，各项目资金执行节奏差异较大，部分项目前期筹备周期长、资金拨付滞后，部分项目集中收尾阶段批量付款，整体预算执行时序不均衡。</w:t>
      </w:r>
    </w:p>
    <w:p w14:paraId="3DA8B7A6">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eastAsia="仿宋_GB2312" w:cs="Times New Roman"/>
          <w:kern w:val="0"/>
          <w:sz w:val="32"/>
          <w:szCs w:val="32"/>
          <w:lang w:val="en-US" w:eastAsia="zh-CN"/>
        </w:rPr>
      </w:pPr>
      <w:r>
        <w:rPr>
          <w:rFonts w:hint="eastAsia" w:eastAsia="仿宋_GB2312" w:cs="Times New Roman"/>
          <w:kern w:val="0"/>
          <w:sz w:val="32"/>
          <w:szCs w:val="32"/>
          <w:lang w:val="en-US" w:eastAsia="zh-CN"/>
        </w:rPr>
        <w:t>2.预算绩效内控体系仍需优化，全员绩效管理理念不够深入，绩效过程常态化管控不足。</w:t>
      </w:r>
    </w:p>
    <w:p w14:paraId="73BA4376">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color w:val="000000"/>
          <w:sz w:val="32"/>
          <w:szCs w:val="32"/>
          <w:shd w:val="clear" w:color="auto" w:fill="FFFFFF"/>
        </w:rPr>
        <w:t>十、下一步改进措施</w:t>
      </w:r>
    </w:p>
    <w:p w14:paraId="2B4174C0">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1.精准统筹项目资金时序，均衡预算执行节奏。对周期长的项目提前启动前置审批流程，分散支付节点，消化沉淀资金，杜绝年末扎堆支付，保障各项目资金平稳、均衡支出。</w:t>
      </w:r>
    </w:p>
    <w:p w14:paraId="7832246C">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eastAsia="仿宋_GB2312" w:cs="Times New Roman"/>
          <w:sz w:val="32"/>
          <w:szCs w:val="32"/>
          <w:lang w:val="en-US" w:eastAsia="zh-CN"/>
        </w:rPr>
      </w:pPr>
      <w:r>
        <w:rPr>
          <w:rFonts w:hint="eastAsia" w:eastAsia="仿宋_GB2312" w:cs="Times New Roman"/>
          <w:sz w:val="32"/>
          <w:szCs w:val="32"/>
          <w:lang w:val="en-US" w:eastAsia="zh-CN"/>
        </w:rPr>
        <w:t>2. 优化预算绩效内控体系，强化过程绩效管理。完善内控制度，加强绩效理念宣贯，落实全过程绩效管控，健全常态化监控机制，及时纠偏执行偏差，推动绩效管理提质增效。</w:t>
      </w:r>
    </w:p>
    <w:p w14:paraId="2F72B2B9">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十一、绩效自评结果拟应用和公开情况</w:t>
      </w:r>
    </w:p>
    <w:p w14:paraId="3E1E5343">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sz w:val="32"/>
          <w:szCs w:val="32"/>
        </w:rPr>
        <w:t>中心将针对</w:t>
      </w:r>
      <w:r>
        <w:rPr>
          <w:rFonts w:hint="eastAsia" w:eastAsia="仿宋_GB2312" w:cs="Times New Roman"/>
          <w:sz w:val="32"/>
          <w:szCs w:val="32"/>
          <w:lang w:eastAsia="zh-CN"/>
        </w:rPr>
        <w:t>本次</w:t>
      </w:r>
      <w:r>
        <w:rPr>
          <w:rFonts w:hint="default" w:ascii="Times New Roman" w:hAnsi="Times New Roman" w:eastAsia="仿宋_GB2312" w:cs="Times New Roman"/>
          <w:sz w:val="32"/>
          <w:szCs w:val="32"/>
        </w:rPr>
        <w:t>自评中发现的问题，取切实可行的整改举措并落实到位，进一步重视绩效考核激励作用，扎实做好绩效评价工作，提高财政资金使用效益。同时，按照统一部署，在中心门户网站公</w:t>
      </w:r>
      <w:r>
        <w:rPr>
          <w:rFonts w:hint="eastAsia" w:eastAsia="仿宋_GB2312" w:cs="Times New Roman"/>
          <w:sz w:val="32"/>
          <w:szCs w:val="32"/>
          <w:lang w:eastAsia="zh-CN"/>
        </w:rPr>
        <w:t>布2025</w:t>
      </w:r>
      <w:r>
        <w:rPr>
          <w:rFonts w:hint="default" w:ascii="Times New Roman" w:hAnsi="Times New Roman" w:eastAsia="仿宋_GB2312" w:cs="Times New Roman"/>
          <w:sz w:val="32"/>
          <w:szCs w:val="32"/>
        </w:rPr>
        <w:t>年部门整体支出绩效自评报告，接受社会监督。</w:t>
      </w:r>
    </w:p>
    <w:p w14:paraId="034E9928">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十二、其他需要说明的情况</w:t>
      </w:r>
    </w:p>
    <w:p w14:paraId="6D304E5B">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无。</w:t>
      </w:r>
    </w:p>
    <w:p w14:paraId="36AA4EAC">
      <w:pPr>
        <w:rPr>
          <w:rFonts w:hint="default" w:ascii="Times New Roman" w:hAnsi="Times New Roman" w:cs="Times New Roman"/>
        </w:rPr>
      </w:pPr>
    </w:p>
    <w:p w14:paraId="141A2620">
      <w:pPr>
        <w:rPr>
          <w:rFonts w:eastAsia="仿宋_GB2312"/>
          <w:color w:val="000000"/>
          <w:kern w:val="0"/>
          <w:sz w:val="32"/>
          <w:szCs w:val="32"/>
        </w:rPr>
      </w:pPr>
      <w:r>
        <w:rPr>
          <w:rFonts w:eastAsia="仿宋_GB2312"/>
          <w:color w:val="000000"/>
          <w:kern w:val="0"/>
          <w:sz w:val="32"/>
          <w:szCs w:val="32"/>
        </w:rPr>
        <w:br w:type="page"/>
      </w:r>
    </w:p>
    <w:p w14:paraId="2FE13496">
      <w:pPr>
        <w:rPr>
          <w:rFonts w:eastAsia="仿宋_GB2312"/>
          <w:color w:val="000000"/>
          <w:kern w:val="0"/>
          <w:sz w:val="32"/>
          <w:szCs w:val="32"/>
        </w:rPr>
        <w:sectPr>
          <w:footerReference r:id="rId7" w:type="default"/>
          <w:pgSz w:w="11906" w:h="16838"/>
          <w:pgMar w:top="1247" w:right="1800" w:bottom="1247" w:left="1800" w:header="851" w:footer="992" w:gutter="0"/>
          <w:pgNumType w:fmt="decimal"/>
          <w:cols w:space="0" w:num="1"/>
          <w:rtlGutter w:val="0"/>
          <w:docGrid w:type="lines" w:linePitch="312" w:charSpace="0"/>
        </w:sectPr>
      </w:pPr>
    </w:p>
    <w:p w14:paraId="2331981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26F70C3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7B370F13">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10"/>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0121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354" w:type="dxa"/>
            <w:vMerge w:val="restart"/>
            <w:noWrap w:val="0"/>
            <w:vAlign w:val="center"/>
          </w:tcPr>
          <w:p w14:paraId="3451653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3BE299E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577799FC">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1B2695B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4485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54" w:type="dxa"/>
            <w:vMerge w:val="continue"/>
            <w:noWrap w:val="0"/>
            <w:vAlign w:val="center"/>
          </w:tcPr>
          <w:p w14:paraId="02C12AB0">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p>
        </w:tc>
        <w:tc>
          <w:tcPr>
            <w:tcW w:w="2038" w:type="dxa"/>
            <w:gridSpan w:val="2"/>
            <w:noWrap w:val="0"/>
            <w:vAlign w:val="center"/>
          </w:tcPr>
          <w:p w14:paraId="06AC689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98</w:t>
            </w:r>
          </w:p>
        </w:tc>
        <w:tc>
          <w:tcPr>
            <w:tcW w:w="2240" w:type="dxa"/>
            <w:gridSpan w:val="2"/>
            <w:noWrap w:val="0"/>
            <w:vAlign w:val="center"/>
          </w:tcPr>
          <w:p w14:paraId="1EC7A9B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94</w:t>
            </w:r>
          </w:p>
        </w:tc>
        <w:tc>
          <w:tcPr>
            <w:tcW w:w="1832" w:type="dxa"/>
            <w:gridSpan w:val="2"/>
            <w:noWrap w:val="0"/>
            <w:vAlign w:val="center"/>
          </w:tcPr>
          <w:p w14:paraId="53C72DE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95.92%</w:t>
            </w:r>
          </w:p>
        </w:tc>
      </w:tr>
      <w:tr w14:paraId="3727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CAC872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53AD76A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695FAD0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2B31A81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1DF3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9EBB952">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4FA2DAF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27.61</w:t>
            </w:r>
          </w:p>
        </w:tc>
        <w:tc>
          <w:tcPr>
            <w:tcW w:w="2240" w:type="dxa"/>
            <w:gridSpan w:val="2"/>
            <w:noWrap w:val="0"/>
            <w:vAlign w:val="center"/>
          </w:tcPr>
          <w:p w14:paraId="2A721DD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21</w:t>
            </w:r>
          </w:p>
        </w:tc>
        <w:tc>
          <w:tcPr>
            <w:tcW w:w="1832" w:type="dxa"/>
            <w:gridSpan w:val="2"/>
            <w:noWrap w:val="0"/>
            <w:vAlign w:val="center"/>
          </w:tcPr>
          <w:p w14:paraId="7A27670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21</w:t>
            </w:r>
          </w:p>
        </w:tc>
      </w:tr>
      <w:tr w14:paraId="2E30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3354" w:type="dxa"/>
            <w:noWrap w:val="0"/>
            <w:vAlign w:val="center"/>
          </w:tcPr>
          <w:p w14:paraId="081033C1">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noWrap w:val="0"/>
            <w:vAlign w:val="center"/>
          </w:tcPr>
          <w:p w14:paraId="391B8F9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26.82</w:t>
            </w:r>
          </w:p>
        </w:tc>
        <w:tc>
          <w:tcPr>
            <w:tcW w:w="2240" w:type="dxa"/>
            <w:gridSpan w:val="2"/>
            <w:noWrap w:val="0"/>
            <w:vAlign w:val="center"/>
          </w:tcPr>
          <w:p w14:paraId="7950725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rPr>
            </w:pPr>
            <w:r>
              <w:rPr>
                <w:rFonts w:hint="eastAsia" w:ascii="仿宋" w:hAnsi="仿宋" w:eastAsia="仿宋" w:cs="仿宋"/>
                <w:b w:val="0"/>
                <w:bCs w:val="0"/>
                <w:kern w:val="0"/>
                <w:sz w:val="20"/>
                <w:szCs w:val="20"/>
                <w:lang w:val="en-US" w:eastAsia="zh-CN"/>
              </w:rPr>
              <w:t>20</w:t>
            </w:r>
          </w:p>
        </w:tc>
        <w:tc>
          <w:tcPr>
            <w:tcW w:w="1832" w:type="dxa"/>
            <w:gridSpan w:val="2"/>
            <w:noWrap w:val="0"/>
            <w:vAlign w:val="center"/>
          </w:tcPr>
          <w:p w14:paraId="43FBB47F">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21</w:t>
            </w:r>
          </w:p>
        </w:tc>
      </w:tr>
      <w:tr w14:paraId="4F2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A535139">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746C39F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2240" w:type="dxa"/>
            <w:gridSpan w:val="2"/>
            <w:noWrap w:val="0"/>
            <w:vAlign w:val="center"/>
          </w:tcPr>
          <w:p w14:paraId="79D5E606">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0AA6D6E7">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3372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BA619E">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462921EA">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26.82</w:t>
            </w:r>
          </w:p>
        </w:tc>
        <w:tc>
          <w:tcPr>
            <w:tcW w:w="2240" w:type="dxa"/>
            <w:gridSpan w:val="2"/>
            <w:noWrap w:val="0"/>
            <w:vAlign w:val="center"/>
          </w:tcPr>
          <w:p w14:paraId="616B888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rPr>
            </w:pPr>
            <w:r>
              <w:rPr>
                <w:rFonts w:hint="eastAsia" w:ascii="仿宋" w:hAnsi="仿宋" w:eastAsia="仿宋" w:cs="仿宋"/>
                <w:b w:val="0"/>
                <w:bCs w:val="0"/>
                <w:kern w:val="0"/>
                <w:sz w:val="20"/>
                <w:szCs w:val="20"/>
                <w:lang w:val="en-US" w:eastAsia="zh-CN"/>
              </w:rPr>
              <w:t>20</w:t>
            </w:r>
          </w:p>
        </w:tc>
        <w:tc>
          <w:tcPr>
            <w:tcW w:w="1832" w:type="dxa"/>
            <w:gridSpan w:val="2"/>
            <w:noWrap w:val="0"/>
            <w:vAlign w:val="center"/>
          </w:tcPr>
          <w:p w14:paraId="59BEE799">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21</w:t>
            </w:r>
          </w:p>
        </w:tc>
      </w:tr>
      <w:tr w14:paraId="254A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209531">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noWrap w:val="0"/>
            <w:vAlign w:val="center"/>
          </w:tcPr>
          <w:p w14:paraId="43E95A57">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2240" w:type="dxa"/>
            <w:gridSpan w:val="2"/>
            <w:noWrap w:val="0"/>
            <w:vAlign w:val="center"/>
          </w:tcPr>
          <w:p w14:paraId="3317BD60">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6080AEF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05DC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035AFC8">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noWrap w:val="0"/>
            <w:vAlign w:val="center"/>
          </w:tcPr>
          <w:p w14:paraId="5FDCEB49">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7.94</w:t>
            </w:r>
          </w:p>
        </w:tc>
        <w:tc>
          <w:tcPr>
            <w:tcW w:w="2240" w:type="dxa"/>
            <w:gridSpan w:val="2"/>
            <w:noWrap w:val="0"/>
            <w:vAlign w:val="center"/>
          </w:tcPr>
          <w:p w14:paraId="47E07CB7">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rPr>
            </w:pPr>
            <w:r>
              <w:rPr>
                <w:rFonts w:hint="eastAsia" w:ascii="仿宋" w:hAnsi="仿宋" w:eastAsia="仿宋" w:cs="仿宋"/>
                <w:b w:val="0"/>
                <w:bCs w:val="0"/>
                <w:kern w:val="0"/>
                <w:sz w:val="20"/>
                <w:szCs w:val="20"/>
                <w:lang w:val="en-US" w:eastAsia="zh-CN"/>
              </w:rPr>
              <w:t>1</w:t>
            </w:r>
          </w:p>
        </w:tc>
        <w:tc>
          <w:tcPr>
            <w:tcW w:w="1832" w:type="dxa"/>
            <w:gridSpan w:val="2"/>
            <w:noWrap w:val="0"/>
            <w:vAlign w:val="center"/>
          </w:tcPr>
          <w:p w14:paraId="73AEDD45">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r>
      <w:tr w14:paraId="0D0F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noWrap w:val="0"/>
            <w:vAlign w:val="center"/>
          </w:tcPr>
          <w:p w14:paraId="176E7FAA">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735D22C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1085</w:t>
            </w:r>
            <w:r>
              <w:rPr>
                <w:rFonts w:hint="eastAsia" w:ascii="仿宋" w:hAnsi="仿宋" w:eastAsia="仿宋" w:cs="仿宋"/>
                <w:b w:val="0"/>
                <w:bCs w:val="0"/>
                <w:kern w:val="0"/>
                <w:sz w:val="20"/>
                <w:szCs w:val="20"/>
                <w:lang w:val="en-US" w:eastAsia="zh-CN"/>
              </w:rPr>
              <w:t>.</w:t>
            </w:r>
            <w:r>
              <w:rPr>
                <w:rFonts w:hint="eastAsia" w:ascii="仿宋" w:hAnsi="仿宋" w:eastAsia="仿宋" w:cs="仿宋"/>
                <w:b w:val="0"/>
                <w:bCs w:val="0"/>
                <w:kern w:val="0"/>
                <w:sz w:val="20"/>
                <w:szCs w:val="20"/>
              </w:rPr>
              <w:t>48</w:t>
            </w:r>
          </w:p>
        </w:tc>
        <w:tc>
          <w:tcPr>
            <w:tcW w:w="2240" w:type="dxa"/>
            <w:gridSpan w:val="2"/>
            <w:noWrap w:val="0"/>
            <w:vAlign w:val="center"/>
          </w:tcPr>
          <w:p w14:paraId="4D807011">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1088</w:t>
            </w:r>
            <w:r>
              <w:rPr>
                <w:rFonts w:hint="eastAsia" w:ascii="仿宋" w:hAnsi="仿宋" w:eastAsia="仿宋" w:cs="仿宋"/>
                <w:b w:val="0"/>
                <w:bCs w:val="0"/>
                <w:kern w:val="0"/>
                <w:sz w:val="20"/>
                <w:szCs w:val="20"/>
                <w:lang w:val="en-US" w:eastAsia="zh-CN"/>
              </w:rPr>
              <w:t>.</w:t>
            </w:r>
            <w:r>
              <w:rPr>
                <w:rFonts w:hint="eastAsia" w:ascii="仿宋" w:hAnsi="仿宋" w:eastAsia="仿宋" w:cs="仿宋"/>
                <w:b w:val="0"/>
                <w:bCs w:val="0"/>
                <w:kern w:val="0"/>
                <w:sz w:val="20"/>
                <w:szCs w:val="20"/>
              </w:rPr>
              <w:t>57</w:t>
            </w:r>
          </w:p>
        </w:tc>
        <w:tc>
          <w:tcPr>
            <w:tcW w:w="1832" w:type="dxa"/>
            <w:gridSpan w:val="2"/>
            <w:noWrap w:val="0"/>
            <w:vAlign w:val="center"/>
          </w:tcPr>
          <w:p w14:paraId="5CA3106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645</w:t>
            </w:r>
            <w:r>
              <w:rPr>
                <w:rFonts w:hint="eastAsia" w:ascii="仿宋" w:hAnsi="仿宋" w:eastAsia="仿宋" w:cs="仿宋"/>
                <w:b w:val="0"/>
                <w:bCs w:val="0"/>
                <w:kern w:val="0"/>
                <w:sz w:val="20"/>
                <w:szCs w:val="20"/>
                <w:lang w:val="en-US" w:eastAsia="zh-CN"/>
              </w:rPr>
              <w:t>.</w:t>
            </w:r>
            <w:r>
              <w:rPr>
                <w:rFonts w:hint="eastAsia" w:ascii="仿宋" w:hAnsi="仿宋" w:eastAsia="仿宋" w:cs="仿宋"/>
                <w:b w:val="0"/>
                <w:bCs w:val="0"/>
                <w:kern w:val="0"/>
                <w:sz w:val="20"/>
                <w:szCs w:val="20"/>
              </w:rPr>
              <w:t>1</w:t>
            </w:r>
            <w:r>
              <w:rPr>
                <w:rFonts w:hint="eastAsia" w:ascii="仿宋" w:hAnsi="仿宋" w:eastAsia="仿宋" w:cs="仿宋"/>
                <w:b w:val="0"/>
                <w:bCs w:val="0"/>
                <w:kern w:val="0"/>
                <w:sz w:val="20"/>
                <w:szCs w:val="20"/>
                <w:lang w:val="en-US" w:eastAsia="zh-CN"/>
              </w:rPr>
              <w:t>3</w:t>
            </w:r>
          </w:p>
        </w:tc>
      </w:tr>
      <w:tr w14:paraId="78F6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E9435C3">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noWrap w:val="0"/>
            <w:vAlign w:val="center"/>
          </w:tcPr>
          <w:p w14:paraId="02C88F7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p w14:paraId="76187FF6">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2240" w:type="dxa"/>
            <w:gridSpan w:val="2"/>
            <w:noWrap w:val="0"/>
            <w:vAlign w:val="center"/>
          </w:tcPr>
          <w:p w14:paraId="4A8B89A6">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0C8274C0">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55FA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94C8CE4">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noWrap w:val="0"/>
            <w:vAlign w:val="center"/>
          </w:tcPr>
          <w:p w14:paraId="49802F09">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2240" w:type="dxa"/>
            <w:gridSpan w:val="2"/>
            <w:noWrap w:val="0"/>
            <w:vAlign w:val="center"/>
          </w:tcPr>
          <w:p w14:paraId="46E9D1B0">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7383453E">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46AE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FF7017D">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本级</w:t>
            </w:r>
            <w:r>
              <w:rPr>
                <w:rFonts w:hint="eastAsia" w:ascii="仿宋" w:hAnsi="仿宋" w:eastAsia="仿宋" w:cs="仿宋"/>
                <w:b w:val="0"/>
                <w:bCs w:val="0"/>
                <w:kern w:val="0"/>
                <w:sz w:val="20"/>
                <w:szCs w:val="20"/>
              </w:rPr>
              <w:t>专项资金</w:t>
            </w:r>
          </w:p>
          <w:p w14:paraId="34606551">
            <w:pPr>
              <w:keepNext w:val="0"/>
              <w:keepLines w:val="0"/>
              <w:pageBreakBefore w:val="0"/>
              <w:widowControl/>
              <w:kinsoku/>
              <w:wordWrap/>
              <w:overflowPunct/>
              <w:topLinePunct w:val="0"/>
              <w:autoSpaceDE/>
              <w:autoSpaceDN/>
              <w:bidi w:val="0"/>
              <w:adjustRightInd/>
              <w:snapToGrid/>
              <w:spacing w:line="220" w:lineRule="exact"/>
              <w:ind w:firstLine="600" w:firstLineChars="3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（一个专项一行）</w:t>
            </w:r>
          </w:p>
        </w:tc>
        <w:tc>
          <w:tcPr>
            <w:tcW w:w="2038" w:type="dxa"/>
            <w:gridSpan w:val="2"/>
            <w:noWrap w:val="0"/>
            <w:vAlign w:val="center"/>
          </w:tcPr>
          <w:p w14:paraId="10F65A9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1085</w:t>
            </w:r>
            <w:r>
              <w:rPr>
                <w:rFonts w:hint="eastAsia" w:ascii="仿宋" w:hAnsi="仿宋" w:eastAsia="仿宋" w:cs="仿宋"/>
                <w:b w:val="0"/>
                <w:bCs w:val="0"/>
                <w:kern w:val="0"/>
                <w:sz w:val="20"/>
                <w:szCs w:val="20"/>
                <w:lang w:val="en-US" w:eastAsia="zh-CN"/>
              </w:rPr>
              <w:t>.</w:t>
            </w:r>
            <w:r>
              <w:rPr>
                <w:rFonts w:hint="eastAsia" w:ascii="仿宋" w:hAnsi="仿宋" w:eastAsia="仿宋" w:cs="仿宋"/>
                <w:b w:val="0"/>
                <w:bCs w:val="0"/>
                <w:kern w:val="0"/>
                <w:sz w:val="20"/>
                <w:szCs w:val="20"/>
              </w:rPr>
              <w:t>48</w:t>
            </w:r>
          </w:p>
        </w:tc>
        <w:tc>
          <w:tcPr>
            <w:tcW w:w="2240" w:type="dxa"/>
            <w:gridSpan w:val="2"/>
            <w:noWrap w:val="0"/>
            <w:vAlign w:val="center"/>
          </w:tcPr>
          <w:p w14:paraId="3EDCEEE6">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1088</w:t>
            </w:r>
            <w:r>
              <w:rPr>
                <w:rFonts w:hint="eastAsia" w:ascii="仿宋" w:hAnsi="仿宋" w:eastAsia="仿宋" w:cs="仿宋"/>
                <w:b w:val="0"/>
                <w:bCs w:val="0"/>
                <w:kern w:val="0"/>
                <w:sz w:val="20"/>
                <w:szCs w:val="20"/>
                <w:lang w:val="en-US" w:eastAsia="zh-CN"/>
              </w:rPr>
              <w:t>.</w:t>
            </w:r>
            <w:r>
              <w:rPr>
                <w:rFonts w:hint="eastAsia" w:ascii="仿宋" w:hAnsi="仿宋" w:eastAsia="仿宋" w:cs="仿宋"/>
                <w:b w:val="0"/>
                <w:bCs w:val="0"/>
                <w:kern w:val="0"/>
                <w:sz w:val="20"/>
                <w:szCs w:val="20"/>
              </w:rPr>
              <w:t>57</w:t>
            </w:r>
          </w:p>
        </w:tc>
        <w:tc>
          <w:tcPr>
            <w:tcW w:w="1832" w:type="dxa"/>
            <w:gridSpan w:val="2"/>
            <w:noWrap w:val="0"/>
            <w:vAlign w:val="center"/>
          </w:tcPr>
          <w:p w14:paraId="335FDCF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645</w:t>
            </w:r>
            <w:r>
              <w:rPr>
                <w:rFonts w:hint="eastAsia" w:ascii="仿宋" w:hAnsi="仿宋" w:eastAsia="仿宋" w:cs="仿宋"/>
                <w:b w:val="0"/>
                <w:bCs w:val="0"/>
                <w:kern w:val="0"/>
                <w:sz w:val="20"/>
                <w:szCs w:val="20"/>
                <w:lang w:val="en-US" w:eastAsia="zh-CN"/>
              </w:rPr>
              <w:t>.</w:t>
            </w:r>
            <w:r>
              <w:rPr>
                <w:rFonts w:hint="eastAsia" w:ascii="仿宋" w:hAnsi="仿宋" w:eastAsia="仿宋" w:cs="仿宋"/>
                <w:b w:val="0"/>
                <w:bCs w:val="0"/>
                <w:kern w:val="0"/>
                <w:sz w:val="20"/>
                <w:szCs w:val="20"/>
              </w:rPr>
              <w:t>1</w:t>
            </w:r>
            <w:r>
              <w:rPr>
                <w:rFonts w:hint="eastAsia" w:ascii="仿宋" w:hAnsi="仿宋" w:eastAsia="仿宋" w:cs="仿宋"/>
                <w:b w:val="0"/>
                <w:bCs w:val="0"/>
                <w:kern w:val="0"/>
                <w:sz w:val="20"/>
                <w:szCs w:val="20"/>
                <w:lang w:val="en-US" w:eastAsia="zh-CN"/>
              </w:rPr>
              <w:t>3</w:t>
            </w:r>
          </w:p>
        </w:tc>
      </w:tr>
      <w:tr w14:paraId="4E1E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3579C6A4">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引进人才财政补贴</w:t>
            </w:r>
          </w:p>
        </w:tc>
        <w:tc>
          <w:tcPr>
            <w:tcW w:w="2038" w:type="dxa"/>
            <w:gridSpan w:val="2"/>
            <w:noWrap w:val="0"/>
            <w:vAlign w:val="center"/>
          </w:tcPr>
          <w:p w14:paraId="77F8B991">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2.4</w:t>
            </w:r>
          </w:p>
        </w:tc>
        <w:tc>
          <w:tcPr>
            <w:tcW w:w="2240" w:type="dxa"/>
            <w:gridSpan w:val="2"/>
            <w:noWrap w:val="0"/>
            <w:vAlign w:val="center"/>
          </w:tcPr>
          <w:p w14:paraId="27C14DE6">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2.4</w:t>
            </w:r>
          </w:p>
        </w:tc>
        <w:tc>
          <w:tcPr>
            <w:tcW w:w="1832" w:type="dxa"/>
            <w:gridSpan w:val="2"/>
            <w:noWrap w:val="0"/>
            <w:vAlign w:val="center"/>
          </w:tcPr>
          <w:p w14:paraId="30E4CFB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2.4</w:t>
            </w:r>
          </w:p>
        </w:tc>
      </w:tr>
      <w:tr w14:paraId="5903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3C4B6929">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短信平台</w:t>
            </w:r>
          </w:p>
        </w:tc>
        <w:tc>
          <w:tcPr>
            <w:tcW w:w="2038" w:type="dxa"/>
            <w:gridSpan w:val="2"/>
            <w:noWrap w:val="0"/>
            <w:vAlign w:val="center"/>
          </w:tcPr>
          <w:p w14:paraId="2D30F38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44.74</w:t>
            </w:r>
          </w:p>
        </w:tc>
        <w:tc>
          <w:tcPr>
            <w:tcW w:w="2240" w:type="dxa"/>
            <w:gridSpan w:val="2"/>
            <w:noWrap w:val="0"/>
            <w:vAlign w:val="center"/>
          </w:tcPr>
          <w:p w14:paraId="185DB8DF">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17.56</w:t>
            </w:r>
          </w:p>
        </w:tc>
        <w:tc>
          <w:tcPr>
            <w:tcW w:w="1832" w:type="dxa"/>
            <w:gridSpan w:val="2"/>
            <w:noWrap w:val="0"/>
            <w:vAlign w:val="center"/>
          </w:tcPr>
          <w:p w14:paraId="737110E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bCs/>
                <w:kern w:val="0"/>
                <w:sz w:val="20"/>
                <w:szCs w:val="20"/>
                <w:lang w:val="en-US" w:eastAsia="zh-CN"/>
              </w:rPr>
            </w:pPr>
            <w:r>
              <w:rPr>
                <w:rFonts w:hint="eastAsia" w:ascii="仿宋" w:hAnsi="仿宋" w:eastAsia="仿宋" w:cs="仿宋"/>
                <w:b w:val="0"/>
                <w:bCs w:val="0"/>
                <w:kern w:val="0"/>
                <w:sz w:val="20"/>
                <w:szCs w:val="20"/>
                <w:lang w:val="en-US" w:eastAsia="zh-CN"/>
              </w:rPr>
              <w:t>8.14</w:t>
            </w:r>
          </w:p>
        </w:tc>
      </w:tr>
      <w:tr w14:paraId="61CE3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354" w:type="dxa"/>
            <w:noWrap w:val="0"/>
            <w:vAlign w:val="center"/>
          </w:tcPr>
          <w:p w14:paraId="6EBCA0C3">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业务线路费</w:t>
            </w:r>
          </w:p>
        </w:tc>
        <w:tc>
          <w:tcPr>
            <w:tcW w:w="2038" w:type="dxa"/>
            <w:gridSpan w:val="2"/>
            <w:noWrap w:val="0"/>
            <w:vAlign w:val="center"/>
          </w:tcPr>
          <w:p w14:paraId="1D2DC2E0">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39.96</w:t>
            </w:r>
          </w:p>
        </w:tc>
        <w:tc>
          <w:tcPr>
            <w:tcW w:w="2240" w:type="dxa"/>
            <w:gridSpan w:val="2"/>
            <w:noWrap w:val="0"/>
            <w:vAlign w:val="center"/>
          </w:tcPr>
          <w:p w14:paraId="0AD827F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34.63</w:t>
            </w:r>
          </w:p>
        </w:tc>
        <w:tc>
          <w:tcPr>
            <w:tcW w:w="1832" w:type="dxa"/>
            <w:gridSpan w:val="2"/>
            <w:noWrap w:val="0"/>
            <w:vAlign w:val="center"/>
          </w:tcPr>
          <w:p w14:paraId="7FC9C26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3.77</w:t>
            </w:r>
          </w:p>
        </w:tc>
      </w:tr>
      <w:tr w14:paraId="452E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757B9F60">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劳务派遣人员工资奖金</w:t>
            </w:r>
          </w:p>
        </w:tc>
        <w:tc>
          <w:tcPr>
            <w:tcW w:w="2038" w:type="dxa"/>
            <w:gridSpan w:val="2"/>
            <w:shd w:val="clear" w:color="auto" w:fill="auto"/>
            <w:noWrap w:val="0"/>
            <w:vAlign w:val="center"/>
          </w:tcPr>
          <w:p w14:paraId="31988E31">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319.14</w:t>
            </w:r>
          </w:p>
        </w:tc>
        <w:tc>
          <w:tcPr>
            <w:tcW w:w="2240" w:type="dxa"/>
            <w:gridSpan w:val="2"/>
            <w:shd w:val="clear" w:color="auto" w:fill="auto"/>
            <w:noWrap w:val="0"/>
            <w:vAlign w:val="center"/>
          </w:tcPr>
          <w:p w14:paraId="5679CCC6">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310.67</w:t>
            </w:r>
          </w:p>
        </w:tc>
        <w:tc>
          <w:tcPr>
            <w:tcW w:w="1832" w:type="dxa"/>
            <w:gridSpan w:val="2"/>
            <w:shd w:val="clear" w:color="auto" w:fill="auto"/>
            <w:noWrap w:val="0"/>
            <w:vAlign w:val="center"/>
          </w:tcPr>
          <w:p w14:paraId="4BE902C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bCs/>
                <w:kern w:val="0"/>
                <w:sz w:val="20"/>
                <w:szCs w:val="20"/>
                <w:lang w:val="en-US" w:eastAsia="zh-CN" w:bidi="ar-SA"/>
              </w:rPr>
            </w:pPr>
            <w:r>
              <w:rPr>
                <w:rFonts w:hint="eastAsia" w:ascii="仿宋" w:hAnsi="仿宋" w:eastAsia="仿宋" w:cs="仿宋"/>
                <w:b w:val="0"/>
                <w:bCs w:val="0"/>
                <w:kern w:val="0"/>
                <w:sz w:val="20"/>
                <w:szCs w:val="20"/>
                <w:lang w:val="en-US" w:eastAsia="zh-CN"/>
              </w:rPr>
              <w:t>310.67</w:t>
            </w:r>
          </w:p>
        </w:tc>
      </w:tr>
      <w:tr w14:paraId="1F9E3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028246EF">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中心及14个管理部物业管理费</w:t>
            </w:r>
          </w:p>
        </w:tc>
        <w:tc>
          <w:tcPr>
            <w:tcW w:w="2038" w:type="dxa"/>
            <w:gridSpan w:val="2"/>
            <w:shd w:val="clear" w:color="auto" w:fill="auto"/>
            <w:noWrap w:val="0"/>
            <w:vAlign w:val="center"/>
          </w:tcPr>
          <w:p w14:paraId="37981F2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bCs/>
                <w:kern w:val="0"/>
                <w:sz w:val="20"/>
                <w:szCs w:val="20"/>
                <w:lang w:val="en-US" w:eastAsia="zh-CN" w:bidi="ar-SA"/>
              </w:rPr>
            </w:pPr>
            <w:r>
              <w:rPr>
                <w:rFonts w:hint="eastAsia" w:ascii="仿宋" w:hAnsi="仿宋" w:eastAsia="仿宋" w:cs="仿宋"/>
                <w:b w:val="0"/>
                <w:bCs w:val="0"/>
                <w:kern w:val="0"/>
                <w:sz w:val="20"/>
                <w:szCs w:val="20"/>
                <w:lang w:val="en-US" w:eastAsia="zh-CN"/>
              </w:rPr>
              <w:t>141.14</w:t>
            </w:r>
          </w:p>
        </w:tc>
        <w:tc>
          <w:tcPr>
            <w:tcW w:w="2240" w:type="dxa"/>
            <w:gridSpan w:val="2"/>
            <w:shd w:val="clear" w:color="auto" w:fill="auto"/>
            <w:noWrap w:val="0"/>
            <w:vAlign w:val="center"/>
          </w:tcPr>
          <w:p w14:paraId="13607AE9">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134.69</w:t>
            </w:r>
          </w:p>
        </w:tc>
        <w:tc>
          <w:tcPr>
            <w:tcW w:w="1832" w:type="dxa"/>
            <w:gridSpan w:val="2"/>
            <w:shd w:val="clear" w:color="auto" w:fill="auto"/>
            <w:noWrap w:val="0"/>
            <w:vAlign w:val="center"/>
          </w:tcPr>
          <w:p w14:paraId="7CDEA98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112.12</w:t>
            </w:r>
          </w:p>
        </w:tc>
      </w:tr>
      <w:tr w14:paraId="2BC5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354" w:type="dxa"/>
            <w:shd w:val="clear" w:color="auto" w:fill="auto"/>
            <w:noWrap w:val="0"/>
            <w:vAlign w:val="center"/>
          </w:tcPr>
          <w:p w14:paraId="3BE28AB5">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乡村振兴工作经费</w:t>
            </w:r>
          </w:p>
        </w:tc>
        <w:tc>
          <w:tcPr>
            <w:tcW w:w="2038" w:type="dxa"/>
            <w:gridSpan w:val="2"/>
            <w:shd w:val="clear" w:color="auto" w:fill="auto"/>
            <w:noWrap w:val="0"/>
            <w:vAlign w:val="center"/>
          </w:tcPr>
          <w:p w14:paraId="6621171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30.</w:t>
            </w:r>
          </w:p>
        </w:tc>
        <w:tc>
          <w:tcPr>
            <w:tcW w:w="2240" w:type="dxa"/>
            <w:gridSpan w:val="2"/>
            <w:shd w:val="clear" w:color="auto" w:fill="auto"/>
            <w:noWrap w:val="0"/>
            <w:vAlign w:val="center"/>
          </w:tcPr>
          <w:p w14:paraId="3C9835F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30</w:t>
            </w:r>
          </w:p>
        </w:tc>
        <w:tc>
          <w:tcPr>
            <w:tcW w:w="1832" w:type="dxa"/>
            <w:gridSpan w:val="2"/>
            <w:shd w:val="clear" w:color="auto" w:fill="auto"/>
            <w:noWrap w:val="0"/>
            <w:vAlign w:val="center"/>
          </w:tcPr>
          <w:p w14:paraId="60DE226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29.96</w:t>
            </w:r>
          </w:p>
        </w:tc>
      </w:tr>
      <w:tr w14:paraId="4319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19E7D0A2">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电子化办公服务设备和办公家具购置及维修</w:t>
            </w:r>
          </w:p>
        </w:tc>
        <w:tc>
          <w:tcPr>
            <w:tcW w:w="2038" w:type="dxa"/>
            <w:gridSpan w:val="2"/>
            <w:shd w:val="clear" w:color="auto" w:fill="auto"/>
            <w:noWrap w:val="0"/>
            <w:vAlign w:val="center"/>
          </w:tcPr>
          <w:p w14:paraId="5EAFD70A">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20</w:t>
            </w:r>
          </w:p>
        </w:tc>
        <w:tc>
          <w:tcPr>
            <w:tcW w:w="2240" w:type="dxa"/>
            <w:gridSpan w:val="2"/>
            <w:shd w:val="clear" w:color="auto" w:fill="auto"/>
            <w:noWrap w:val="0"/>
            <w:vAlign w:val="center"/>
          </w:tcPr>
          <w:p w14:paraId="479B426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20</w:t>
            </w:r>
          </w:p>
        </w:tc>
        <w:tc>
          <w:tcPr>
            <w:tcW w:w="1832" w:type="dxa"/>
            <w:gridSpan w:val="2"/>
            <w:shd w:val="clear" w:color="auto" w:fill="auto"/>
            <w:noWrap w:val="0"/>
            <w:vAlign w:val="center"/>
          </w:tcPr>
          <w:p w14:paraId="658D0A4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19.46</w:t>
            </w:r>
          </w:p>
        </w:tc>
      </w:tr>
      <w:tr w14:paraId="3DC6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354" w:type="dxa"/>
            <w:noWrap w:val="0"/>
            <w:vAlign w:val="center"/>
          </w:tcPr>
          <w:p w14:paraId="6E735BF5">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业务系统升级和运维费</w:t>
            </w:r>
          </w:p>
        </w:tc>
        <w:tc>
          <w:tcPr>
            <w:tcW w:w="2038" w:type="dxa"/>
            <w:gridSpan w:val="2"/>
            <w:noWrap w:val="0"/>
            <w:vAlign w:val="center"/>
          </w:tcPr>
          <w:p w14:paraId="760A7C5A">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37.21</w:t>
            </w:r>
          </w:p>
        </w:tc>
        <w:tc>
          <w:tcPr>
            <w:tcW w:w="2240" w:type="dxa"/>
            <w:gridSpan w:val="2"/>
            <w:noWrap w:val="0"/>
            <w:vAlign w:val="center"/>
          </w:tcPr>
          <w:p w14:paraId="17FD116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50.60</w:t>
            </w:r>
          </w:p>
        </w:tc>
        <w:tc>
          <w:tcPr>
            <w:tcW w:w="1832" w:type="dxa"/>
            <w:gridSpan w:val="2"/>
            <w:noWrap w:val="0"/>
            <w:vAlign w:val="center"/>
          </w:tcPr>
          <w:p w14:paraId="638474BE">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6D49A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1E7BCFB">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CA维护费</w:t>
            </w:r>
          </w:p>
        </w:tc>
        <w:tc>
          <w:tcPr>
            <w:tcW w:w="2038" w:type="dxa"/>
            <w:gridSpan w:val="2"/>
            <w:noWrap w:val="0"/>
            <w:vAlign w:val="center"/>
          </w:tcPr>
          <w:p w14:paraId="132A7A66">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12.21</w:t>
            </w:r>
          </w:p>
        </w:tc>
        <w:tc>
          <w:tcPr>
            <w:tcW w:w="2240" w:type="dxa"/>
            <w:gridSpan w:val="2"/>
            <w:noWrap w:val="0"/>
            <w:vAlign w:val="center"/>
          </w:tcPr>
          <w:p w14:paraId="2A2AFF3E">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39.44</w:t>
            </w:r>
          </w:p>
        </w:tc>
        <w:tc>
          <w:tcPr>
            <w:tcW w:w="1832" w:type="dxa"/>
            <w:gridSpan w:val="2"/>
            <w:noWrap w:val="0"/>
            <w:vAlign w:val="center"/>
          </w:tcPr>
          <w:p w14:paraId="631F74A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1FC4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0757B9E2">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政务一件事一次办对接</w:t>
            </w:r>
          </w:p>
        </w:tc>
        <w:tc>
          <w:tcPr>
            <w:tcW w:w="2038" w:type="dxa"/>
            <w:gridSpan w:val="2"/>
            <w:shd w:val="clear" w:color="auto" w:fill="auto"/>
            <w:noWrap w:val="0"/>
            <w:vAlign w:val="center"/>
          </w:tcPr>
          <w:p w14:paraId="3E72418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11.62</w:t>
            </w:r>
          </w:p>
        </w:tc>
        <w:tc>
          <w:tcPr>
            <w:tcW w:w="2240" w:type="dxa"/>
            <w:gridSpan w:val="2"/>
            <w:shd w:val="clear" w:color="auto" w:fill="auto"/>
            <w:noWrap w:val="0"/>
            <w:vAlign w:val="center"/>
          </w:tcPr>
          <w:p w14:paraId="1B0726C9">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23.20</w:t>
            </w:r>
          </w:p>
        </w:tc>
        <w:tc>
          <w:tcPr>
            <w:tcW w:w="1832" w:type="dxa"/>
            <w:gridSpan w:val="2"/>
            <w:shd w:val="clear" w:color="auto" w:fill="auto"/>
            <w:noWrap w:val="0"/>
            <w:vAlign w:val="center"/>
          </w:tcPr>
          <w:p w14:paraId="6809C98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p>
        </w:tc>
      </w:tr>
      <w:tr w14:paraId="3227B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581DF158">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手机公积金APP及微信公众号渠道改造</w:t>
            </w:r>
          </w:p>
        </w:tc>
        <w:tc>
          <w:tcPr>
            <w:tcW w:w="2038" w:type="dxa"/>
            <w:gridSpan w:val="2"/>
            <w:shd w:val="clear" w:color="auto" w:fill="auto"/>
            <w:noWrap w:val="0"/>
            <w:vAlign w:val="center"/>
          </w:tcPr>
          <w:p w14:paraId="24CECB1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49.25</w:t>
            </w:r>
          </w:p>
        </w:tc>
        <w:tc>
          <w:tcPr>
            <w:tcW w:w="2240" w:type="dxa"/>
            <w:gridSpan w:val="2"/>
            <w:shd w:val="clear" w:color="auto" w:fill="auto"/>
            <w:noWrap w:val="0"/>
            <w:vAlign w:val="center"/>
          </w:tcPr>
          <w:p w14:paraId="1190FB1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26.03</w:t>
            </w:r>
          </w:p>
        </w:tc>
        <w:tc>
          <w:tcPr>
            <w:tcW w:w="1832" w:type="dxa"/>
            <w:gridSpan w:val="2"/>
            <w:shd w:val="clear" w:color="auto" w:fill="auto"/>
            <w:noWrap w:val="0"/>
            <w:vAlign w:val="center"/>
          </w:tcPr>
          <w:p w14:paraId="1F52E595">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p>
        </w:tc>
      </w:tr>
      <w:tr w14:paraId="6509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6EABFBE5">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国产化前端适配改造</w:t>
            </w:r>
          </w:p>
        </w:tc>
        <w:tc>
          <w:tcPr>
            <w:tcW w:w="2038" w:type="dxa"/>
            <w:gridSpan w:val="2"/>
            <w:shd w:val="clear" w:color="auto" w:fill="auto"/>
            <w:noWrap w:val="0"/>
            <w:vAlign w:val="center"/>
          </w:tcPr>
          <w:p w14:paraId="5ACA9659">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33.71</w:t>
            </w:r>
          </w:p>
        </w:tc>
        <w:tc>
          <w:tcPr>
            <w:tcW w:w="2240" w:type="dxa"/>
            <w:gridSpan w:val="2"/>
            <w:shd w:val="clear" w:color="auto" w:fill="auto"/>
            <w:noWrap w:val="0"/>
            <w:vAlign w:val="center"/>
          </w:tcPr>
          <w:p w14:paraId="3380C411">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26.03</w:t>
            </w:r>
          </w:p>
        </w:tc>
        <w:tc>
          <w:tcPr>
            <w:tcW w:w="1832" w:type="dxa"/>
            <w:gridSpan w:val="2"/>
            <w:shd w:val="clear" w:color="auto" w:fill="auto"/>
            <w:noWrap w:val="0"/>
            <w:vAlign w:val="center"/>
          </w:tcPr>
          <w:p w14:paraId="7B577EFE">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p>
        </w:tc>
      </w:tr>
      <w:tr w14:paraId="61A0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6767869C">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文明创建、廉政文化、LED电子屏</w:t>
            </w:r>
          </w:p>
        </w:tc>
        <w:tc>
          <w:tcPr>
            <w:tcW w:w="2038" w:type="dxa"/>
            <w:gridSpan w:val="2"/>
            <w:shd w:val="clear" w:color="auto" w:fill="auto"/>
            <w:noWrap w:val="0"/>
            <w:vAlign w:val="center"/>
          </w:tcPr>
          <w:p w14:paraId="0051FEA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66.69</w:t>
            </w:r>
          </w:p>
        </w:tc>
        <w:tc>
          <w:tcPr>
            <w:tcW w:w="2240" w:type="dxa"/>
            <w:gridSpan w:val="2"/>
            <w:shd w:val="clear" w:color="auto" w:fill="auto"/>
            <w:noWrap w:val="0"/>
            <w:vAlign w:val="center"/>
          </w:tcPr>
          <w:p w14:paraId="7640CC5F">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28.5</w:t>
            </w:r>
          </w:p>
        </w:tc>
        <w:tc>
          <w:tcPr>
            <w:tcW w:w="1832" w:type="dxa"/>
            <w:gridSpan w:val="2"/>
            <w:shd w:val="clear" w:color="auto" w:fill="auto"/>
            <w:noWrap w:val="0"/>
            <w:vAlign w:val="center"/>
          </w:tcPr>
          <w:p w14:paraId="46D95AF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p>
        </w:tc>
      </w:tr>
      <w:tr w14:paraId="125C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CE4CD39">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工作服制作</w:t>
            </w:r>
          </w:p>
        </w:tc>
        <w:tc>
          <w:tcPr>
            <w:tcW w:w="2038" w:type="dxa"/>
            <w:gridSpan w:val="2"/>
            <w:noWrap w:val="0"/>
            <w:vAlign w:val="center"/>
          </w:tcPr>
          <w:p w14:paraId="38DB6A6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648EA5A7">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9</w:t>
            </w:r>
          </w:p>
        </w:tc>
        <w:tc>
          <w:tcPr>
            <w:tcW w:w="1832" w:type="dxa"/>
            <w:gridSpan w:val="2"/>
            <w:noWrap w:val="0"/>
            <w:vAlign w:val="center"/>
          </w:tcPr>
          <w:p w14:paraId="7D68AE86">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1.5</w:t>
            </w:r>
          </w:p>
        </w:tc>
      </w:tr>
      <w:tr w14:paraId="2C46B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C867586">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业务直接成本</w:t>
            </w:r>
          </w:p>
        </w:tc>
        <w:tc>
          <w:tcPr>
            <w:tcW w:w="2038" w:type="dxa"/>
            <w:gridSpan w:val="2"/>
            <w:noWrap w:val="0"/>
            <w:vAlign w:val="center"/>
          </w:tcPr>
          <w:p w14:paraId="2598431F">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78A9550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25</w:t>
            </w:r>
          </w:p>
        </w:tc>
        <w:tc>
          <w:tcPr>
            <w:tcW w:w="1832" w:type="dxa"/>
            <w:gridSpan w:val="2"/>
            <w:noWrap w:val="0"/>
            <w:vAlign w:val="center"/>
          </w:tcPr>
          <w:p w14:paraId="2FF16A5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25</w:t>
            </w:r>
          </w:p>
        </w:tc>
      </w:tr>
      <w:tr w14:paraId="2053F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7679A6E4">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住房公积金管理中心应急发展专项</w:t>
            </w:r>
          </w:p>
        </w:tc>
        <w:tc>
          <w:tcPr>
            <w:tcW w:w="2038" w:type="dxa"/>
            <w:gridSpan w:val="2"/>
            <w:noWrap w:val="0"/>
            <w:vAlign w:val="center"/>
          </w:tcPr>
          <w:p w14:paraId="2D143E2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7EC20941">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86.80</w:t>
            </w:r>
          </w:p>
        </w:tc>
        <w:tc>
          <w:tcPr>
            <w:tcW w:w="1832" w:type="dxa"/>
            <w:gridSpan w:val="2"/>
            <w:noWrap w:val="0"/>
            <w:vAlign w:val="center"/>
          </w:tcPr>
          <w:p w14:paraId="085BA20A">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83.52</w:t>
            </w:r>
          </w:p>
        </w:tc>
      </w:tr>
      <w:tr w14:paraId="1E58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4A725EF7">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数据治理</w:t>
            </w:r>
          </w:p>
        </w:tc>
        <w:tc>
          <w:tcPr>
            <w:tcW w:w="2038" w:type="dxa"/>
            <w:gridSpan w:val="2"/>
            <w:noWrap w:val="0"/>
            <w:vAlign w:val="center"/>
          </w:tcPr>
          <w:p w14:paraId="5DE0E18A">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62B8C9F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180.40</w:t>
            </w:r>
          </w:p>
        </w:tc>
        <w:tc>
          <w:tcPr>
            <w:tcW w:w="1832" w:type="dxa"/>
            <w:gridSpan w:val="2"/>
            <w:noWrap w:val="0"/>
            <w:vAlign w:val="center"/>
          </w:tcPr>
          <w:p w14:paraId="496E1A9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28.53</w:t>
            </w:r>
          </w:p>
        </w:tc>
      </w:tr>
      <w:tr w14:paraId="0B48F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354" w:type="dxa"/>
            <w:noWrap w:val="0"/>
            <w:vAlign w:val="center"/>
          </w:tcPr>
          <w:p w14:paraId="528FC889">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AK替代专项</w:t>
            </w:r>
          </w:p>
        </w:tc>
        <w:tc>
          <w:tcPr>
            <w:tcW w:w="2038" w:type="dxa"/>
            <w:gridSpan w:val="2"/>
            <w:noWrap w:val="0"/>
            <w:vAlign w:val="center"/>
          </w:tcPr>
          <w:p w14:paraId="27F92E4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3E6CDA8A">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17.6</w:t>
            </w:r>
          </w:p>
        </w:tc>
        <w:tc>
          <w:tcPr>
            <w:tcW w:w="1832" w:type="dxa"/>
            <w:gridSpan w:val="2"/>
            <w:noWrap w:val="0"/>
            <w:vAlign w:val="center"/>
          </w:tcPr>
          <w:p w14:paraId="6136156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17.6</w:t>
            </w:r>
          </w:p>
        </w:tc>
      </w:tr>
      <w:tr w14:paraId="0210F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253359D">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eastAsia="zh-CN"/>
              </w:rPr>
              <w:t>中方办公服务大厅遗留尾款</w:t>
            </w:r>
          </w:p>
        </w:tc>
        <w:tc>
          <w:tcPr>
            <w:tcW w:w="2038" w:type="dxa"/>
            <w:gridSpan w:val="2"/>
            <w:noWrap w:val="0"/>
            <w:vAlign w:val="center"/>
          </w:tcPr>
          <w:p w14:paraId="516195E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0447CDF5">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6.14</w:t>
            </w:r>
          </w:p>
        </w:tc>
        <w:tc>
          <w:tcPr>
            <w:tcW w:w="1832" w:type="dxa"/>
            <w:gridSpan w:val="2"/>
            <w:noWrap w:val="0"/>
            <w:vAlign w:val="center"/>
          </w:tcPr>
          <w:p w14:paraId="398ACC3F">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2.46</w:t>
            </w:r>
          </w:p>
        </w:tc>
      </w:tr>
      <w:tr w14:paraId="4E3C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7B716C0C">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不动产联网</w:t>
            </w:r>
          </w:p>
        </w:tc>
        <w:tc>
          <w:tcPr>
            <w:tcW w:w="2038" w:type="dxa"/>
            <w:gridSpan w:val="2"/>
            <w:noWrap w:val="0"/>
            <w:vAlign w:val="center"/>
          </w:tcPr>
          <w:p w14:paraId="38538031">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9</w:t>
            </w:r>
          </w:p>
        </w:tc>
        <w:tc>
          <w:tcPr>
            <w:tcW w:w="2240" w:type="dxa"/>
            <w:gridSpan w:val="2"/>
            <w:noWrap w:val="0"/>
            <w:vAlign w:val="center"/>
          </w:tcPr>
          <w:p w14:paraId="135C071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33FF916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25208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70CB042">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机房服务器、网络等维护服务</w:t>
            </w:r>
          </w:p>
        </w:tc>
        <w:tc>
          <w:tcPr>
            <w:tcW w:w="2038" w:type="dxa"/>
            <w:gridSpan w:val="2"/>
            <w:noWrap w:val="0"/>
            <w:vAlign w:val="center"/>
          </w:tcPr>
          <w:p w14:paraId="6B2971D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17.1</w:t>
            </w:r>
          </w:p>
        </w:tc>
        <w:tc>
          <w:tcPr>
            <w:tcW w:w="2240" w:type="dxa"/>
            <w:gridSpan w:val="2"/>
            <w:noWrap w:val="0"/>
            <w:vAlign w:val="center"/>
          </w:tcPr>
          <w:p w14:paraId="6BC2122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738EB26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6292A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354" w:type="dxa"/>
            <w:noWrap w:val="0"/>
            <w:vAlign w:val="center"/>
          </w:tcPr>
          <w:p w14:paraId="777430C0">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12329热线</w:t>
            </w:r>
          </w:p>
        </w:tc>
        <w:tc>
          <w:tcPr>
            <w:tcW w:w="2038" w:type="dxa"/>
            <w:gridSpan w:val="2"/>
            <w:noWrap w:val="0"/>
            <w:vAlign w:val="center"/>
          </w:tcPr>
          <w:p w14:paraId="4DF5542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65.61</w:t>
            </w:r>
          </w:p>
        </w:tc>
        <w:tc>
          <w:tcPr>
            <w:tcW w:w="2240" w:type="dxa"/>
            <w:gridSpan w:val="2"/>
            <w:noWrap w:val="0"/>
            <w:vAlign w:val="center"/>
          </w:tcPr>
          <w:p w14:paraId="3F91BFC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24285FD5">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339F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4F85479D">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三级等保测评费</w:t>
            </w:r>
          </w:p>
        </w:tc>
        <w:tc>
          <w:tcPr>
            <w:tcW w:w="2038" w:type="dxa"/>
            <w:gridSpan w:val="2"/>
            <w:noWrap w:val="0"/>
            <w:vAlign w:val="center"/>
          </w:tcPr>
          <w:p w14:paraId="58E565BA">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3.85</w:t>
            </w:r>
          </w:p>
        </w:tc>
        <w:tc>
          <w:tcPr>
            <w:tcW w:w="2240" w:type="dxa"/>
            <w:gridSpan w:val="2"/>
            <w:noWrap w:val="0"/>
            <w:vAlign w:val="center"/>
          </w:tcPr>
          <w:p w14:paraId="662F77B7">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1B6C3A90">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3CBD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354" w:type="dxa"/>
            <w:noWrap w:val="0"/>
            <w:vAlign w:val="center"/>
          </w:tcPr>
          <w:p w14:paraId="7AB3277F">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各管理部服务大厅门头翻修工程</w:t>
            </w:r>
          </w:p>
        </w:tc>
        <w:tc>
          <w:tcPr>
            <w:tcW w:w="2038" w:type="dxa"/>
            <w:gridSpan w:val="2"/>
            <w:noWrap w:val="0"/>
            <w:vAlign w:val="center"/>
          </w:tcPr>
          <w:p w14:paraId="7E5D85FE">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17.9</w:t>
            </w:r>
          </w:p>
        </w:tc>
        <w:tc>
          <w:tcPr>
            <w:tcW w:w="2240" w:type="dxa"/>
            <w:gridSpan w:val="2"/>
            <w:noWrap w:val="0"/>
            <w:vAlign w:val="center"/>
          </w:tcPr>
          <w:p w14:paraId="47C0DAC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455112D9">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5AFE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52B2133">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电子化检测工具维护费</w:t>
            </w:r>
          </w:p>
        </w:tc>
        <w:tc>
          <w:tcPr>
            <w:tcW w:w="2038" w:type="dxa"/>
            <w:gridSpan w:val="2"/>
            <w:noWrap w:val="0"/>
            <w:vAlign w:val="center"/>
          </w:tcPr>
          <w:p w14:paraId="1AFF661A">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4.6</w:t>
            </w:r>
          </w:p>
        </w:tc>
        <w:tc>
          <w:tcPr>
            <w:tcW w:w="2240" w:type="dxa"/>
            <w:gridSpan w:val="2"/>
            <w:noWrap w:val="0"/>
            <w:vAlign w:val="center"/>
          </w:tcPr>
          <w:p w14:paraId="4FBBAA7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251A975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660F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DB12FC9">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住建部征信共享总对总接入</w:t>
            </w:r>
          </w:p>
        </w:tc>
        <w:tc>
          <w:tcPr>
            <w:tcW w:w="2038" w:type="dxa"/>
            <w:gridSpan w:val="2"/>
            <w:noWrap w:val="0"/>
            <w:vAlign w:val="center"/>
          </w:tcPr>
          <w:p w14:paraId="4361C68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1.94</w:t>
            </w:r>
          </w:p>
        </w:tc>
        <w:tc>
          <w:tcPr>
            <w:tcW w:w="2240" w:type="dxa"/>
            <w:gridSpan w:val="2"/>
            <w:noWrap w:val="0"/>
            <w:vAlign w:val="center"/>
          </w:tcPr>
          <w:p w14:paraId="73DC06B7">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018BEADE">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3808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3CD4886">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安全加固</w:t>
            </w:r>
          </w:p>
        </w:tc>
        <w:tc>
          <w:tcPr>
            <w:tcW w:w="2038" w:type="dxa"/>
            <w:gridSpan w:val="2"/>
            <w:noWrap w:val="0"/>
            <w:vAlign w:val="center"/>
          </w:tcPr>
          <w:p w14:paraId="79EAE3A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30.82</w:t>
            </w:r>
          </w:p>
        </w:tc>
        <w:tc>
          <w:tcPr>
            <w:tcW w:w="2240" w:type="dxa"/>
            <w:gridSpan w:val="2"/>
            <w:noWrap w:val="0"/>
            <w:vAlign w:val="center"/>
          </w:tcPr>
          <w:p w14:paraId="382A8DBF">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rPr>
            </w:pPr>
          </w:p>
        </w:tc>
        <w:tc>
          <w:tcPr>
            <w:tcW w:w="1832" w:type="dxa"/>
            <w:gridSpan w:val="2"/>
            <w:noWrap w:val="0"/>
            <w:vAlign w:val="center"/>
          </w:tcPr>
          <w:p w14:paraId="454ED70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3606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354" w:type="dxa"/>
            <w:noWrap w:val="0"/>
            <w:vAlign w:val="center"/>
          </w:tcPr>
          <w:p w14:paraId="3DE45922">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“惠民公积金，服务暖人心”服务能力提升专项行动经费</w:t>
            </w:r>
          </w:p>
        </w:tc>
        <w:tc>
          <w:tcPr>
            <w:tcW w:w="2038" w:type="dxa"/>
            <w:gridSpan w:val="2"/>
            <w:noWrap w:val="0"/>
            <w:vAlign w:val="center"/>
          </w:tcPr>
          <w:p w14:paraId="126BE24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20</w:t>
            </w:r>
          </w:p>
        </w:tc>
        <w:tc>
          <w:tcPr>
            <w:tcW w:w="2240" w:type="dxa"/>
            <w:gridSpan w:val="2"/>
            <w:noWrap w:val="0"/>
            <w:vAlign w:val="center"/>
          </w:tcPr>
          <w:p w14:paraId="4C7F1865">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rPr>
            </w:pPr>
          </w:p>
        </w:tc>
        <w:tc>
          <w:tcPr>
            <w:tcW w:w="1832" w:type="dxa"/>
            <w:gridSpan w:val="2"/>
            <w:noWrap w:val="0"/>
            <w:vAlign w:val="center"/>
          </w:tcPr>
          <w:p w14:paraId="0CB22CC7">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0CE3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B042F8D">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“湘易办”超级移动终端</w:t>
            </w:r>
          </w:p>
        </w:tc>
        <w:tc>
          <w:tcPr>
            <w:tcW w:w="2038" w:type="dxa"/>
            <w:gridSpan w:val="2"/>
            <w:noWrap w:val="0"/>
            <w:vAlign w:val="center"/>
          </w:tcPr>
          <w:p w14:paraId="31E5CF00">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19.9</w:t>
            </w:r>
          </w:p>
        </w:tc>
        <w:tc>
          <w:tcPr>
            <w:tcW w:w="2240" w:type="dxa"/>
            <w:gridSpan w:val="2"/>
            <w:noWrap w:val="0"/>
            <w:vAlign w:val="center"/>
          </w:tcPr>
          <w:p w14:paraId="4ADF1BE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rPr>
            </w:pPr>
          </w:p>
        </w:tc>
        <w:tc>
          <w:tcPr>
            <w:tcW w:w="1832" w:type="dxa"/>
            <w:gridSpan w:val="2"/>
            <w:noWrap w:val="0"/>
            <w:vAlign w:val="center"/>
          </w:tcPr>
          <w:p w14:paraId="5958C42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4D5BC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A832A87">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中心机房设备更换升级</w:t>
            </w:r>
          </w:p>
        </w:tc>
        <w:tc>
          <w:tcPr>
            <w:tcW w:w="2038" w:type="dxa"/>
            <w:gridSpan w:val="2"/>
            <w:noWrap w:val="0"/>
            <w:vAlign w:val="center"/>
          </w:tcPr>
          <w:p w14:paraId="1CF0B0D0">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30</w:t>
            </w:r>
          </w:p>
        </w:tc>
        <w:tc>
          <w:tcPr>
            <w:tcW w:w="2240" w:type="dxa"/>
            <w:gridSpan w:val="2"/>
            <w:noWrap w:val="0"/>
            <w:vAlign w:val="center"/>
          </w:tcPr>
          <w:p w14:paraId="640D43A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rPr>
            </w:pPr>
          </w:p>
        </w:tc>
        <w:tc>
          <w:tcPr>
            <w:tcW w:w="1832" w:type="dxa"/>
            <w:gridSpan w:val="2"/>
            <w:noWrap w:val="0"/>
            <w:vAlign w:val="center"/>
          </w:tcPr>
          <w:p w14:paraId="6061298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3FF0E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354" w:type="dxa"/>
            <w:noWrap w:val="0"/>
            <w:vAlign w:val="center"/>
          </w:tcPr>
          <w:p w14:paraId="65314078">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好差评系统改造</w:t>
            </w:r>
          </w:p>
        </w:tc>
        <w:tc>
          <w:tcPr>
            <w:tcW w:w="2038" w:type="dxa"/>
            <w:gridSpan w:val="2"/>
            <w:noWrap w:val="0"/>
            <w:vAlign w:val="center"/>
          </w:tcPr>
          <w:p w14:paraId="45BCA8C0">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33.1</w:t>
            </w:r>
          </w:p>
        </w:tc>
        <w:tc>
          <w:tcPr>
            <w:tcW w:w="2240" w:type="dxa"/>
            <w:gridSpan w:val="2"/>
            <w:noWrap w:val="0"/>
            <w:vAlign w:val="center"/>
          </w:tcPr>
          <w:p w14:paraId="7BD334A7">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rPr>
            </w:pPr>
          </w:p>
        </w:tc>
        <w:tc>
          <w:tcPr>
            <w:tcW w:w="1832" w:type="dxa"/>
            <w:gridSpan w:val="2"/>
            <w:noWrap w:val="0"/>
            <w:vAlign w:val="center"/>
          </w:tcPr>
          <w:p w14:paraId="3FE070D5">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52C7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3354" w:type="dxa"/>
            <w:noWrap w:val="0"/>
            <w:vAlign w:val="center"/>
          </w:tcPr>
          <w:p w14:paraId="4E9ADCF8">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全国异地公积金贷款还款（报账模式）业务对接</w:t>
            </w:r>
          </w:p>
        </w:tc>
        <w:tc>
          <w:tcPr>
            <w:tcW w:w="2038" w:type="dxa"/>
            <w:gridSpan w:val="2"/>
            <w:noWrap w:val="0"/>
            <w:vAlign w:val="center"/>
          </w:tcPr>
          <w:p w14:paraId="3308A62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23.6</w:t>
            </w:r>
          </w:p>
        </w:tc>
        <w:tc>
          <w:tcPr>
            <w:tcW w:w="2240" w:type="dxa"/>
            <w:gridSpan w:val="2"/>
            <w:noWrap w:val="0"/>
            <w:vAlign w:val="center"/>
          </w:tcPr>
          <w:p w14:paraId="0BCB4F5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rPr>
            </w:pPr>
          </w:p>
        </w:tc>
        <w:tc>
          <w:tcPr>
            <w:tcW w:w="1832" w:type="dxa"/>
            <w:gridSpan w:val="2"/>
            <w:noWrap w:val="0"/>
            <w:vAlign w:val="center"/>
          </w:tcPr>
          <w:p w14:paraId="4DE7466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5DF5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55CE2C7">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准入系统</w:t>
            </w:r>
          </w:p>
        </w:tc>
        <w:tc>
          <w:tcPr>
            <w:tcW w:w="2038" w:type="dxa"/>
            <w:gridSpan w:val="2"/>
            <w:noWrap w:val="0"/>
            <w:vAlign w:val="center"/>
          </w:tcPr>
          <w:p w14:paraId="5A47B0F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73E7DFB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19</w:t>
            </w:r>
          </w:p>
        </w:tc>
        <w:tc>
          <w:tcPr>
            <w:tcW w:w="1832" w:type="dxa"/>
            <w:gridSpan w:val="2"/>
            <w:noWrap w:val="0"/>
            <w:vAlign w:val="center"/>
          </w:tcPr>
          <w:p w14:paraId="4715247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1F0B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41115C25">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信息化适配升级和运维</w:t>
            </w:r>
          </w:p>
        </w:tc>
        <w:tc>
          <w:tcPr>
            <w:tcW w:w="2038" w:type="dxa"/>
            <w:gridSpan w:val="2"/>
            <w:noWrap w:val="0"/>
            <w:vAlign w:val="center"/>
          </w:tcPr>
          <w:p w14:paraId="32C5273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5431E9DF">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54.01</w:t>
            </w:r>
          </w:p>
        </w:tc>
        <w:tc>
          <w:tcPr>
            <w:tcW w:w="1832" w:type="dxa"/>
            <w:gridSpan w:val="2"/>
            <w:noWrap w:val="0"/>
            <w:vAlign w:val="center"/>
          </w:tcPr>
          <w:p w14:paraId="54CAD98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3A8F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6CFCF4B0">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12329热线接入12345平台建设费</w:t>
            </w:r>
          </w:p>
        </w:tc>
        <w:tc>
          <w:tcPr>
            <w:tcW w:w="2038" w:type="dxa"/>
            <w:gridSpan w:val="2"/>
            <w:noWrap w:val="0"/>
            <w:vAlign w:val="center"/>
          </w:tcPr>
          <w:p w14:paraId="574DE3D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531FF37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11</w:t>
            </w:r>
          </w:p>
        </w:tc>
        <w:tc>
          <w:tcPr>
            <w:tcW w:w="1832" w:type="dxa"/>
            <w:gridSpan w:val="2"/>
            <w:noWrap w:val="0"/>
            <w:vAlign w:val="center"/>
          </w:tcPr>
          <w:p w14:paraId="680E8B2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687C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354" w:type="dxa"/>
            <w:noWrap w:val="0"/>
            <w:vAlign w:val="center"/>
          </w:tcPr>
          <w:p w14:paraId="5E441B23">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干部人事档案数字化建设</w:t>
            </w:r>
          </w:p>
        </w:tc>
        <w:tc>
          <w:tcPr>
            <w:tcW w:w="2038" w:type="dxa"/>
            <w:gridSpan w:val="2"/>
            <w:noWrap w:val="0"/>
            <w:vAlign w:val="center"/>
          </w:tcPr>
          <w:p w14:paraId="46C8853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63B48D2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8.38</w:t>
            </w:r>
          </w:p>
        </w:tc>
        <w:tc>
          <w:tcPr>
            <w:tcW w:w="1832" w:type="dxa"/>
            <w:gridSpan w:val="2"/>
            <w:noWrap w:val="0"/>
            <w:vAlign w:val="center"/>
          </w:tcPr>
          <w:p w14:paraId="7022857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126A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6886809">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noWrap w:val="0"/>
            <w:vAlign w:val="center"/>
          </w:tcPr>
          <w:p w14:paraId="2CE08B3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28A3ACA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EDC8EE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7043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4FE6F7C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038" w:type="dxa"/>
            <w:gridSpan w:val="2"/>
            <w:noWrap w:val="0"/>
            <w:vAlign w:val="center"/>
          </w:tcPr>
          <w:p w14:paraId="251C297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p>
        </w:tc>
        <w:tc>
          <w:tcPr>
            <w:tcW w:w="2240" w:type="dxa"/>
            <w:gridSpan w:val="2"/>
            <w:noWrap w:val="0"/>
            <w:vAlign w:val="center"/>
          </w:tcPr>
          <w:p w14:paraId="4813B1B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46E43EA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p>
        </w:tc>
      </w:tr>
      <w:tr w14:paraId="3901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96C5723">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noWrap w:val="0"/>
            <w:vAlign w:val="center"/>
          </w:tcPr>
          <w:p w14:paraId="20C79228">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kern w:val="0"/>
                <w:sz w:val="20"/>
                <w:szCs w:val="20"/>
              </w:rPr>
              <w:t>273.90　</w:t>
            </w:r>
          </w:p>
        </w:tc>
        <w:tc>
          <w:tcPr>
            <w:tcW w:w="2240" w:type="dxa"/>
            <w:gridSpan w:val="2"/>
            <w:noWrap w:val="0"/>
            <w:vAlign w:val="center"/>
          </w:tcPr>
          <w:p w14:paraId="102828A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622.39</w:t>
            </w:r>
            <w:r>
              <w:rPr>
                <w:rFonts w:hint="eastAsia" w:ascii="仿宋" w:hAnsi="仿宋" w:eastAsia="仿宋" w:cs="仿宋"/>
                <w:b w:val="0"/>
                <w:bCs w:val="0"/>
                <w:kern w:val="0"/>
                <w:sz w:val="20"/>
                <w:szCs w:val="20"/>
              </w:rPr>
              <w:t>　</w:t>
            </w:r>
          </w:p>
        </w:tc>
        <w:tc>
          <w:tcPr>
            <w:tcW w:w="1832" w:type="dxa"/>
            <w:gridSpan w:val="2"/>
            <w:noWrap w:val="0"/>
            <w:vAlign w:val="center"/>
          </w:tcPr>
          <w:p w14:paraId="6F675DD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73EA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noWrap w:val="0"/>
            <w:vAlign w:val="center"/>
          </w:tcPr>
          <w:p w14:paraId="2D947BA1">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noWrap w:val="0"/>
            <w:vAlign w:val="center"/>
          </w:tcPr>
          <w:p w14:paraId="0B620EDC">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FF0000"/>
                <w:kern w:val="0"/>
                <w:sz w:val="20"/>
                <w:szCs w:val="20"/>
              </w:rPr>
            </w:pPr>
            <w:r>
              <w:rPr>
                <w:rFonts w:hint="eastAsia" w:ascii="仿宋" w:hAnsi="仿宋" w:eastAsia="仿宋" w:cs="仿宋"/>
                <w:kern w:val="0"/>
                <w:sz w:val="20"/>
                <w:szCs w:val="20"/>
              </w:rPr>
              <w:t>54.06</w:t>
            </w:r>
          </w:p>
        </w:tc>
        <w:tc>
          <w:tcPr>
            <w:tcW w:w="2240" w:type="dxa"/>
            <w:gridSpan w:val="2"/>
            <w:noWrap w:val="0"/>
            <w:vAlign w:val="center"/>
          </w:tcPr>
          <w:p w14:paraId="4ACED14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63.58</w:t>
            </w:r>
            <w:r>
              <w:rPr>
                <w:rFonts w:hint="eastAsia" w:ascii="仿宋" w:hAnsi="仿宋" w:eastAsia="仿宋" w:cs="仿宋"/>
                <w:b w:val="0"/>
                <w:bCs w:val="0"/>
                <w:color w:val="auto"/>
                <w:kern w:val="0"/>
                <w:sz w:val="20"/>
                <w:szCs w:val="20"/>
              </w:rPr>
              <w:t>　</w:t>
            </w:r>
          </w:p>
        </w:tc>
        <w:tc>
          <w:tcPr>
            <w:tcW w:w="1832" w:type="dxa"/>
            <w:gridSpan w:val="2"/>
            <w:noWrap w:val="0"/>
            <w:vAlign w:val="center"/>
          </w:tcPr>
          <w:p w14:paraId="06F4A58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35.43</w:t>
            </w:r>
            <w:r>
              <w:rPr>
                <w:rFonts w:hint="eastAsia" w:ascii="仿宋" w:hAnsi="仿宋" w:eastAsia="仿宋" w:cs="仿宋"/>
                <w:b w:val="0"/>
                <w:bCs w:val="0"/>
                <w:color w:val="auto"/>
                <w:kern w:val="0"/>
                <w:sz w:val="20"/>
                <w:szCs w:val="20"/>
              </w:rPr>
              <w:t>　</w:t>
            </w:r>
          </w:p>
        </w:tc>
      </w:tr>
      <w:tr w14:paraId="0B18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51C46CA">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noWrap w:val="0"/>
            <w:vAlign w:val="center"/>
          </w:tcPr>
          <w:p w14:paraId="25F28B2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FF0000"/>
                <w:kern w:val="0"/>
                <w:sz w:val="20"/>
                <w:szCs w:val="20"/>
              </w:rPr>
            </w:pPr>
            <w:r>
              <w:rPr>
                <w:rFonts w:hint="eastAsia" w:ascii="仿宋" w:hAnsi="仿宋" w:eastAsia="仿宋" w:cs="仿宋"/>
                <w:kern w:val="0"/>
                <w:sz w:val="20"/>
                <w:szCs w:val="20"/>
              </w:rPr>
              <w:t>47.79　</w:t>
            </w:r>
          </w:p>
        </w:tc>
        <w:tc>
          <w:tcPr>
            <w:tcW w:w="2240" w:type="dxa"/>
            <w:gridSpan w:val="2"/>
            <w:noWrap w:val="0"/>
            <w:vAlign w:val="center"/>
          </w:tcPr>
          <w:p w14:paraId="2891DCE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rPr>
              <w:t>　</w:t>
            </w:r>
            <w:r>
              <w:rPr>
                <w:rFonts w:hint="eastAsia" w:ascii="仿宋" w:hAnsi="仿宋" w:eastAsia="仿宋" w:cs="仿宋"/>
                <w:b w:val="0"/>
                <w:bCs w:val="0"/>
                <w:color w:val="auto"/>
                <w:kern w:val="0"/>
                <w:sz w:val="20"/>
                <w:szCs w:val="20"/>
                <w:lang w:val="en-US" w:eastAsia="zh-CN"/>
              </w:rPr>
              <w:t>48</w:t>
            </w:r>
          </w:p>
        </w:tc>
        <w:tc>
          <w:tcPr>
            <w:tcW w:w="1832" w:type="dxa"/>
            <w:gridSpan w:val="2"/>
            <w:noWrap w:val="0"/>
            <w:vAlign w:val="center"/>
          </w:tcPr>
          <w:p w14:paraId="7622164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40.15</w:t>
            </w:r>
            <w:r>
              <w:rPr>
                <w:rFonts w:hint="eastAsia" w:ascii="仿宋" w:hAnsi="仿宋" w:eastAsia="仿宋" w:cs="仿宋"/>
                <w:b w:val="0"/>
                <w:bCs w:val="0"/>
                <w:color w:val="auto"/>
                <w:kern w:val="0"/>
                <w:sz w:val="20"/>
                <w:szCs w:val="20"/>
              </w:rPr>
              <w:t>　</w:t>
            </w:r>
          </w:p>
        </w:tc>
      </w:tr>
      <w:tr w14:paraId="73ED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2" w:hRule="atLeast"/>
          <w:jc w:val="center"/>
        </w:trPr>
        <w:tc>
          <w:tcPr>
            <w:tcW w:w="3354" w:type="dxa"/>
            <w:noWrap w:val="0"/>
            <w:vAlign w:val="center"/>
          </w:tcPr>
          <w:p w14:paraId="0511FA55">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noWrap w:val="0"/>
            <w:vAlign w:val="center"/>
          </w:tcPr>
          <w:p w14:paraId="317307B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FF0000"/>
                <w:kern w:val="0"/>
                <w:sz w:val="20"/>
                <w:szCs w:val="20"/>
              </w:rPr>
            </w:pPr>
            <w:r>
              <w:rPr>
                <w:rFonts w:hint="eastAsia" w:ascii="仿宋" w:hAnsi="仿宋" w:eastAsia="仿宋" w:cs="仿宋"/>
                <w:kern w:val="0"/>
                <w:sz w:val="20"/>
                <w:szCs w:val="20"/>
              </w:rPr>
              <w:t>3.01　</w:t>
            </w:r>
          </w:p>
        </w:tc>
        <w:tc>
          <w:tcPr>
            <w:tcW w:w="2240" w:type="dxa"/>
            <w:gridSpan w:val="2"/>
            <w:noWrap w:val="0"/>
            <w:vAlign w:val="center"/>
          </w:tcPr>
          <w:p w14:paraId="18A83968">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5</w:t>
            </w:r>
            <w:r>
              <w:rPr>
                <w:rFonts w:hint="eastAsia" w:ascii="仿宋" w:hAnsi="仿宋" w:eastAsia="仿宋" w:cs="仿宋"/>
                <w:b w:val="0"/>
                <w:bCs w:val="0"/>
                <w:color w:val="auto"/>
                <w:kern w:val="0"/>
                <w:sz w:val="20"/>
                <w:szCs w:val="20"/>
              </w:rPr>
              <w:t>　</w:t>
            </w:r>
          </w:p>
        </w:tc>
        <w:tc>
          <w:tcPr>
            <w:tcW w:w="1832" w:type="dxa"/>
            <w:gridSpan w:val="2"/>
            <w:noWrap w:val="0"/>
            <w:vAlign w:val="center"/>
          </w:tcPr>
          <w:p w14:paraId="3206C23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2</w:t>
            </w:r>
            <w:r>
              <w:rPr>
                <w:rFonts w:hint="eastAsia" w:ascii="仿宋" w:hAnsi="仿宋" w:eastAsia="仿宋" w:cs="仿宋"/>
                <w:b w:val="0"/>
                <w:bCs w:val="0"/>
                <w:color w:val="auto"/>
                <w:kern w:val="0"/>
                <w:sz w:val="20"/>
                <w:szCs w:val="20"/>
              </w:rPr>
              <w:t>　</w:t>
            </w:r>
          </w:p>
        </w:tc>
      </w:tr>
      <w:tr w14:paraId="2AE6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AF5BA98">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6B399178">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kern w:val="0"/>
                <w:sz w:val="20"/>
                <w:szCs w:val="20"/>
              </w:rPr>
              <w:t>807.95　</w:t>
            </w:r>
          </w:p>
        </w:tc>
        <w:tc>
          <w:tcPr>
            <w:tcW w:w="2240" w:type="dxa"/>
            <w:gridSpan w:val="2"/>
            <w:noWrap w:val="0"/>
            <w:vAlign w:val="center"/>
          </w:tcPr>
          <w:p w14:paraId="4ED0C37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1186.24</w:t>
            </w:r>
            <w:r>
              <w:rPr>
                <w:rFonts w:hint="eastAsia" w:ascii="仿宋" w:hAnsi="仿宋" w:eastAsia="仿宋" w:cs="仿宋"/>
                <w:b w:val="0"/>
                <w:bCs w:val="0"/>
                <w:color w:val="auto"/>
                <w:kern w:val="0"/>
                <w:sz w:val="20"/>
                <w:szCs w:val="20"/>
              </w:rPr>
              <w:t>　</w:t>
            </w:r>
          </w:p>
        </w:tc>
        <w:tc>
          <w:tcPr>
            <w:tcW w:w="1832" w:type="dxa"/>
            <w:gridSpan w:val="2"/>
            <w:noWrap w:val="0"/>
            <w:vAlign w:val="center"/>
          </w:tcPr>
          <w:p w14:paraId="785F6FF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rPr>
              <w:t>　</w:t>
            </w:r>
            <w:r>
              <w:rPr>
                <w:rFonts w:hint="eastAsia" w:ascii="仿宋" w:hAnsi="仿宋" w:eastAsia="仿宋" w:cs="仿宋"/>
                <w:b w:val="0"/>
                <w:bCs w:val="0"/>
                <w:color w:val="auto"/>
                <w:kern w:val="0"/>
                <w:sz w:val="20"/>
                <w:szCs w:val="20"/>
                <w:lang w:val="en-US" w:eastAsia="zh-CN"/>
              </w:rPr>
              <w:t>645.13</w:t>
            </w:r>
          </w:p>
        </w:tc>
      </w:tr>
      <w:tr w14:paraId="6CF3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DBB2E83">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2F97EA2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kern w:val="0"/>
                <w:sz w:val="20"/>
                <w:szCs w:val="20"/>
              </w:rPr>
              <w:t>1743.92　</w:t>
            </w:r>
          </w:p>
        </w:tc>
        <w:tc>
          <w:tcPr>
            <w:tcW w:w="2240" w:type="dxa"/>
            <w:gridSpan w:val="2"/>
            <w:noWrap w:val="0"/>
            <w:vAlign w:val="center"/>
          </w:tcPr>
          <w:p w14:paraId="3CD31B2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1983.04</w:t>
            </w:r>
            <w:r>
              <w:rPr>
                <w:rFonts w:hint="eastAsia" w:ascii="仿宋" w:hAnsi="仿宋" w:eastAsia="仿宋" w:cs="仿宋"/>
                <w:b w:val="0"/>
                <w:bCs w:val="0"/>
                <w:kern w:val="0"/>
                <w:sz w:val="20"/>
                <w:szCs w:val="20"/>
              </w:rPr>
              <w:t>　</w:t>
            </w:r>
          </w:p>
        </w:tc>
        <w:tc>
          <w:tcPr>
            <w:tcW w:w="1832" w:type="dxa"/>
            <w:gridSpan w:val="2"/>
            <w:noWrap w:val="0"/>
            <w:vAlign w:val="center"/>
          </w:tcPr>
          <w:p w14:paraId="5735980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1979.60</w:t>
            </w:r>
            <w:r>
              <w:rPr>
                <w:rFonts w:hint="eastAsia" w:ascii="仿宋" w:hAnsi="仿宋" w:eastAsia="仿宋" w:cs="仿宋"/>
                <w:b w:val="0"/>
                <w:bCs w:val="0"/>
                <w:kern w:val="0"/>
                <w:sz w:val="20"/>
                <w:szCs w:val="20"/>
              </w:rPr>
              <w:t>　</w:t>
            </w:r>
          </w:p>
        </w:tc>
      </w:tr>
      <w:tr w14:paraId="2F90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7020F75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2025年完工情况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528C688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32D21B9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5967688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5E5E4E2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6977746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07C7079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2C72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4" w:hRule="atLeast"/>
          <w:jc w:val="center"/>
        </w:trPr>
        <w:tc>
          <w:tcPr>
            <w:tcW w:w="3354" w:type="dxa"/>
            <w:vMerge w:val="continue"/>
            <w:noWrap w:val="0"/>
            <w:vAlign w:val="center"/>
          </w:tcPr>
          <w:p w14:paraId="14413BF4">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p>
        </w:tc>
        <w:tc>
          <w:tcPr>
            <w:tcW w:w="1189" w:type="dxa"/>
            <w:noWrap w:val="0"/>
            <w:vAlign w:val="center"/>
          </w:tcPr>
          <w:p w14:paraId="745CE46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eastAsia="zh-CN"/>
              </w:rPr>
              <w:t>无</w:t>
            </w:r>
          </w:p>
        </w:tc>
        <w:tc>
          <w:tcPr>
            <w:tcW w:w="849" w:type="dxa"/>
            <w:noWrap w:val="0"/>
            <w:vAlign w:val="center"/>
          </w:tcPr>
          <w:p w14:paraId="1B100B4D">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29" w:type="dxa"/>
            <w:noWrap w:val="0"/>
            <w:vAlign w:val="center"/>
          </w:tcPr>
          <w:p w14:paraId="7F8628FE">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11" w:type="dxa"/>
            <w:noWrap w:val="0"/>
            <w:vAlign w:val="center"/>
          </w:tcPr>
          <w:p w14:paraId="0EBDDCAF">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969" w:type="dxa"/>
            <w:noWrap w:val="0"/>
            <w:vAlign w:val="center"/>
          </w:tcPr>
          <w:p w14:paraId="090CB1AB">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63" w:type="dxa"/>
            <w:noWrap w:val="0"/>
            <w:vAlign w:val="center"/>
          </w:tcPr>
          <w:p w14:paraId="67F15FFA">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6B50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24A3C26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4847C39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202</w:t>
            </w:r>
            <w:r>
              <w:rPr>
                <w:rFonts w:hint="eastAsia" w:ascii="仿宋" w:hAnsi="仿宋" w:eastAsia="仿宋" w:cs="仿宋"/>
                <w:b w:val="0"/>
                <w:bCs w:val="0"/>
                <w:kern w:val="0"/>
                <w:sz w:val="20"/>
                <w:szCs w:val="20"/>
                <w:lang w:val="en-US" w:eastAsia="zh-CN"/>
              </w:rPr>
              <w:t>5</w:t>
            </w:r>
            <w:r>
              <w:rPr>
                <w:rFonts w:hint="eastAsia" w:ascii="仿宋" w:hAnsi="仿宋" w:eastAsia="仿宋" w:cs="仿宋"/>
                <w:b w:val="0"/>
                <w:bCs w:val="0"/>
                <w:kern w:val="0"/>
                <w:sz w:val="20"/>
                <w:szCs w:val="20"/>
              </w:rPr>
              <w:t>年中心更为严格控制一般性支出，压减不必要的开支。从细节处落实厉行节约措施，加强对中心的货物、服务采购事前审批管理；严明公务接待纪律，实施公务接待互联网+监督公开，确保“过紧日子”要求落在实处。　</w:t>
            </w:r>
          </w:p>
        </w:tc>
      </w:tr>
    </w:tbl>
    <w:p w14:paraId="00F6D30B">
      <w:pPr>
        <w:pStyle w:val="21"/>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4E00B4E1">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肖安培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2026年6月15日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0745-2278616</w:t>
      </w:r>
    </w:p>
    <w:p w14:paraId="7879906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p>
    <w:p w14:paraId="0796D89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09888C20">
      <w:pPr>
        <w:rPr>
          <w:rFonts w:eastAsia="仿宋_GB2312"/>
          <w:color w:val="000000"/>
          <w:kern w:val="0"/>
          <w:sz w:val="32"/>
          <w:szCs w:val="32"/>
        </w:rPr>
        <w:sectPr>
          <w:pgSz w:w="11906" w:h="16838"/>
          <w:pgMar w:top="1247" w:right="1800" w:bottom="1247" w:left="1800" w:header="851" w:footer="992" w:gutter="0"/>
          <w:pgNumType w:fmt="decimal"/>
          <w:cols w:space="0" w:num="1"/>
          <w:rtlGutter w:val="0"/>
          <w:docGrid w:type="lines" w:linePitch="312" w:charSpace="0"/>
        </w:sectPr>
      </w:pPr>
    </w:p>
    <w:p w14:paraId="34E0E85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附件2</w:t>
      </w:r>
    </w:p>
    <w:p w14:paraId="6AD95C55">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10"/>
        <w:tblW w:w="98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1112"/>
        <w:gridCol w:w="1052"/>
        <w:gridCol w:w="989"/>
        <w:gridCol w:w="639"/>
        <w:gridCol w:w="615"/>
        <w:gridCol w:w="554"/>
        <w:gridCol w:w="1111"/>
        <w:gridCol w:w="688"/>
        <w:gridCol w:w="816"/>
        <w:gridCol w:w="1187"/>
      </w:tblGrid>
      <w:tr w14:paraId="4C9E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7" w:hRule="atLeast"/>
          <w:jc w:val="center"/>
        </w:trPr>
        <w:tc>
          <w:tcPr>
            <w:tcW w:w="1109" w:type="dxa"/>
            <w:noWrap w:val="0"/>
            <w:vAlign w:val="center"/>
          </w:tcPr>
          <w:p w14:paraId="4AF3267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763" w:type="dxa"/>
            <w:gridSpan w:val="10"/>
            <w:noWrap w:val="0"/>
            <w:vAlign w:val="center"/>
          </w:tcPr>
          <w:p w14:paraId="7D2D625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怀化市住房公积金管理中心</w:t>
            </w:r>
            <w:r>
              <w:rPr>
                <w:rFonts w:hint="eastAsia" w:ascii="仿宋" w:hAnsi="仿宋" w:eastAsia="仿宋" w:cs="仿宋"/>
                <w:color w:val="000000"/>
                <w:kern w:val="0"/>
                <w:sz w:val="20"/>
                <w:szCs w:val="20"/>
              </w:rPr>
              <w:t>　</w:t>
            </w:r>
          </w:p>
        </w:tc>
      </w:tr>
      <w:tr w14:paraId="55A7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5" w:hRule="atLeast"/>
          <w:jc w:val="center"/>
        </w:trPr>
        <w:tc>
          <w:tcPr>
            <w:tcW w:w="1109" w:type="dxa"/>
            <w:vMerge w:val="restart"/>
            <w:noWrap w:val="0"/>
            <w:vAlign w:val="center"/>
          </w:tcPr>
          <w:p w14:paraId="6F37F9D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23137C9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4" w:type="dxa"/>
            <w:gridSpan w:val="2"/>
            <w:noWrap w:val="0"/>
            <w:vAlign w:val="center"/>
          </w:tcPr>
          <w:p w14:paraId="6398368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p>
        </w:tc>
        <w:tc>
          <w:tcPr>
            <w:tcW w:w="989" w:type="dxa"/>
            <w:noWrap w:val="0"/>
            <w:vAlign w:val="center"/>
          </w:tcPr>
          <w:p w14:paraId="68E1896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5DAC3C1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254" w:type="dxa"/>
            <w:gridSpan w:val="2"/>
            <w:noWrap w:val="0"/>
            <w:vAlign w:val="center"/>
          </w:tcPr>
          <w:p w14:paraId="7A2F225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665" w:type="dxa"/>
            <w:gridSpan w:val="2"/>
            <w:noWrap w:val="0"/>
            <w:vAlign w:val="center"/>
          </w:tcPr>
          <w:p w14:paraId="2F8CA43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179EC1D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88" w:type="dxa"/>
            <w:noWrap w:val="0"/>
            <w:vAlign w:val="center"/>
          </w:tcPr>
          <w:p w14:paraId="5A57A91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16" w:type="dxa"/>
            <w:noWrap w:val="0"/>
            <w:vAlign w:val="center"/>
          </w:tcPr>
          <w:p w14:paraId="0FFEEAFC">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87" w:type="dxa"/>
            <w:noWrap w:val="0"/>
            <w:vAlign w:val="center"/>
          </w:tcPr>
          <w:p w14:paraId="01D8F20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426C0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09" w:type="dxa"/>
            <w:vMerge w:val="continue"/>
            <w:noWrap w:val="0"/>
            <w:vAlign w:val="center"/>
          </w:tcPr>
          <w:p w14:paraId="3B76A47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2164" w:type="dxa"/>
            <w:gridSpan w:val="2"/>
            <w:noWrap w:val="0"/>
            <w:vAlign w:val="center"/>
          </w:tcPr>
          <w:p w14:paraId="28F130B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989" w:type="dxa"/>
            <w:noWrap w:val="0"/>
            <w:vAlign w:val="center"/>
          </w:tcPr>
          <w:p w14:paraId="5F7A873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3194.18</w:t>
            </w:r>
          </w:p>
        </w:tc>
        <w:tc>
          <w:tcPr>
            <w:tcW w:w="1254" w:type="dxa"/>
            <w:gridSpan w:val="2"/>
            <w:noWrap w:val="0"/>
            <w:vAlign w:val="center"/>
          </w:tcPr>
          <w:p w14:paraId="6969294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2994.01</w:t>
            </w:r>
          </w:p>
        </w:tc>
        <w:tc>
          <w:tcPr>
            <w:tcW w:w="1665" w:type="dxa"/>
            <w:gridSpan w:val="2"/>
            <w:noWrap w:val="0"/>
            <w:vAlign w:val="center"/>
          </w:tcPr>
          <w:p w14:paraId="59E32D5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2624.73</w:t>
            </w:r>
          </w:p>
        </w:tc>
        <w:tc>
          <w:tcPr>
            <w:tcW w:w="688" w:type="dxa"/>
            <w:noWrap w:val="0"/>
            <w:vAlign w:val="center"/>
          </w:tcPr>
          <w:p w14:paraId="2DBE728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816" w:type="dxa"/>
            <w:noWrap w:val="0"/>
            <w:vAlign w:val="center"/>
          </w:tcPr>
          <w:p w14:paraId="5794DFF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87.67%</w:t>
            </w:r>
          </w:p>
        </w:tc>
        <w:tc>
          <w:tcPr>
            <w:tcW w:w="1187" w:type="dxa"/>
            <w:noWrap w:val="0"/>
            <w:vAlign w:val="center"/>
          </w:tcPr>
          <w:p w14:paraId="60ACBCA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8.77</w:t>
            </w:r>
          </w:p>
        </w:tc>
      </w:tr>
      <w:tr w14:paraId="69B9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09" w:type="dxa"/>
            <w:vMerge w:val="continue"/>
            <w:noWrap w:val="0"/>
            <w:vAlign w:val="center"/>
          </w:tcPr>
          <w:p w14:paraId="05F2D8F2">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p>
        </w:tc>
        <w:tc>
          <w:tcPr>
            <w:tcW w:w="4407" w:type="dxa"/>
            <w:gridSpan w:val="5"/>
            <w:noWrap w:val="0"/>
            <w:vAlign w:val="center"/>
          </w:tcPr>
          <w:p w14:paraId="7760E991">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4356" w:type="dxa"/>
            <w:gridSpan w:val="5"/>
            <w:noWrap w:val="0"/>
            <w:vAlign w:val="center"/>
          </w:tcPr>
          <w:p w14:paraId="33A5F864">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273FF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09" w:type="dxa"/>
            <w:vMerge w:val="continue"/>
            <w:noWrap w:val="0"/>
            <w:vAlign w:val="center"/>
          </w:tcPr>
          <w:p w14:paraId="3612840E">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p>
        </w:tc>
        <w:tc>
          <w:tcPr>
            <w:tcW w:w="4407" w:type="dxa"/>
            <w:gridSpan w:val="5"/>
            <w:noWrap w:val="0"/>
            <w:vAlign w:val="center"/>
          </w:tcPr>
          <w:p w14:paraId="7EA8BC03">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color w:val="000000"/>
                <w:kern w:val="0"/>
                <w:sz w:val="20"/>
                <w:szCs w:val="20"/>
                <w:lang w:val="en-US" w:eastAsia="zh-CN"/>
              </w:rPr>
              <w:t>2994.01</w:t>
            </w:r>
          </w:p>
        </w:tc>
        <w:tc>
          <w:tcPr>
            <w:tcW w:w="4356" w:type="dxa"/>
            <w:gridSpan w:val="5"/>
            <w:noWrap w:val="0"/>
            <w:vAlign w:val="center"/>
          </w:tcPr>
          <w:p w14:paraId="2C87C9BA">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1979.60</w:t>
            </w:r>
          </w:p>
        </w:tc>
      </w:tr>
      <w:tr w14:paraId="36B4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09" w:type="dxa"/>
            <w:vMerge w:val="continue"/>
            <w:noWrap w:val="0"/>
            <w:vAlign w:val="center"/>
          </w:tcPr>
          <w:p w14:paraId="788AE933">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p>
        </w:tc>
        <w:tc>
          <w:tcPr>
            <w:tcW w:w="4407" w:type="dxa"/>
            <w:gridSpan w:val="5"/>
            <w:noWrap w:val="0"/>
            <w:vAlign w:val="center"/>
          </w:tcPr>
          <w:p w14:paraId="41B70A55">
            <w:pPr>
              <w:keepNext w:val="0"/>
              <w:keepLines w:val="0"/>
              <w:pageBreakBefore w:val="0"/>
              <w:widowControl/>
              <w:kinsoku/>
              <w:wordWrap/>
              <w:overflowPunct/>
              <w:topLinePunct w:val="0"/>
              <w:autoSpaceDE/>
              <w:autoSpaceDN/>
              <w:bidi w:val="0"/>
              <w:adjustRightInd/>
              <w:snapToGrid/>
              <w:spacing w:line="220" w:lineRule="exact"/>
              <w:ind w:firstLine="800" w:firstLineChars="4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4356" w:type="dxa"/>
            <w:gridSpan w:val="5"/>
            <w:noWrap w:val="0"/>
            <w:vAlign w:val="center"/>
          </w:tcPr>
          <w:p w14:paraId="5F090397">
            <w:pPr>
              <w:keepNext w:val="0"/>
              <w:keepLines w:val="0"/>
              <w:pageBreakBefore w:val="0"/>
              <w:widowControl/>
              <w:kinsoku/>
              <w:wordWrap/>
              <w:overflowPunct/>
              <w:topLinePunct w:val="0"/>
              <w:autoSpaceDE/>
              <w:autoSpaceDN/>
              <w:bidi w:val="0"/>
              <w:adjustRightInd/>
              <w:snapToGrid/>
              <w:spacing w:line="220" w:lineRule="exact"/>
              <w:ind w:firstLine="600" w:firstLineChars="3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645.13</w:t>
            </w:r>
          </w:p>
        </w:tc>
      </w:tr>
      <w:tr w14:paraId="674DD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09" w:type="dxa"/>
            <w:vMerge w:val="continue"/>
            <w:noWrap w:val="0"/>
            <w:vAlign w:val="center"/>
          </w:tcPr>
          <w:p w14:paraId="2900FE25">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p>
        </w:tc>
        <w:tc>
          <w:tcPr>
            <w:tcW w:w="4407" w:type="dxa"/>
            <w:gridSpan w:val="5"/>
            <w:noWrap w:val="0"/>
            <w:vAlign w:val="center"/>
          </w:tcPr>
          <w:p w14:paraId="5BB15DF7">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4356" w:type="dxa"/>
            <w:gridSpan w:val="5"/>
            <w:noWrap w:val="0"/>
            <w:vAlign w:val="center"/>
          </w:tcPr>
          <w:p w14:paraId="7AC1EF01">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p>
        </w:tc>
      </w:tr>
      <w:tr w14:paraId="7FF55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1109" w:type="dxa"/>
            <w:vMerge w:val="continue"/>
            <w:noWrap w:val="0"/>
            <w:vAlign w:val="center"/>
          </w:tcPr>
          <w:p w14:paraId="73F9EBE7">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p>
        </w:tc>
        <w:tc>
          <w:tcPr>
            <w:tcW w:w="4407" w:type="dxa"/>
            <w:gridSpan w:val="5"/>
            <w:noWrap w:val="0"/>
            <w:vAlign w:val="center"/>
          </w:tcPr>
          <w:p w14:paraId="1344DA6F">
            <w:pPr>
              <w:keepNext w:val="0"/>
              <w:keepLines w:val="0"/>
              <w:pageBreakBefore w:val="0"/>
              <w:widowControl/>
              <w:kinsoku/>
              <w:wordWrap/>
              <w:overflowPunct/>
              <w:topLinePunct w:val="0"/>
              <w:autoSpaceDE/>
              <w:autoSpaceDN/>
              <w:bidi w:val="0"/>
              <w:adjustRightInd/>
              <w:snapToGrid/>
              <w:spacing w:line="220" w:lineRule="exact"/>
              <w:ind w:firstLine="1400" w:firstLineChars="7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4356" w:type="dxa"/>
            <w:gridSpan w:val="5"/>
            <w:noWrap w:val="0"/>
            <w:vAlign w:val="center"/>
          </w:tcPr>
          <w:p w14:paraId="0CA9A5BB">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p>
        </w:tc>
      </w:tr>
      <w:tr w14:paraId="2553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6" w:hRule="atLeast"/>
          <w:jc w:val="center"/>
        </w:trPr>
        <w:tc>
          <w:tcPr>
            <w:tcW w:w="1109" w:type="dxa"/>
            <w:vMerge w:val="restart"/>
            <w:noWrap w:val="0"/>
            <w:vAlign w:val="center"/>
          </w:tcPr>
          <w:p w14:paraId="026F21F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407" w:type="dxa"/>
            <w:gridSpan w:val="5"/>
            <w:noWrap w:val="0"/>
            <w:vAlign w:val="center"/>
          </w:tcPr>
          <w:p w14:paraId="1D70960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356" w:type="dxa"/>
            <w:gridSpan w:val="5"/>
            <w:noWrap w:val="0"/>
            <w:vAlign w:val="center"/>
          </w:tcPr>
          <w:p w14:paraId="3C5DBD3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4959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5" w:hRule="atLeast"/>
          <w:jc w:val="center"/>
        </w:trPr>
        <w:tc>
          <w:tcPr>
            <w:tcW w:w="1109" w:type="dxa"/>
            <w:vMerge w:val="continue"/>
            <w:noWrap w:val="0"/>
            <w:vAlign w:val="center"/>
          </w:tcPr>
          <w:p w14:paraId="60C4FA65">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p>
        </w:tc>
        <w:tc>
          <w:tcPr>
            <w:tcW w:w="4407" w:type="dxa"/>
            <w:gridSpan w:val="5"/>
            <w:noWrap w:val="0"/>
            <w:vAlign w:val="center"/>
          </w:tcPr>
          <w:p w14:paraId="548EEEE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进一步完善资金管理制度,规范资金分配、使用程序,实时跟进财政资金的支出进度,严格执行年度工作计划,重点加强绩效目标的管理,开展对部门专项绩效自评工作</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　　</w:t>
            </w:r>
          </w:p>
        </w:tc>
        <w:tc>
          <w:tcPr>
            <w:tcW w:w="4356" w:type="dxa"/>
            <w:gridSpan w:val="5"/>
            <w:noWrap w:val="0"/>
            <w:vAlign w:val="center"/>
          </w:tcPr>
          <w:p w14:paraId="46375DFE">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本年度完善资金管理内控制度，规范资金分配、使用全流程；按月跟踪财政资金支出进度，对照年度工作计划统筹资金执行；落实全流程绩效目标管控，按期完成全部门专项绩效自评工作，预算资金规范有序使用，各项管理任务均按计划落地实施。</w:t>
            </w:r>
          </w:p>
        </w:tc>
      </w:tr>
      <w:tr w14:paraId="36E3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5" w:hRule="atLeast"/>
          <w:jc w:val="center"/>
        </w:trPr>
        <w:tc>
          <w:tcPr>
            <w:tcW w:w="1109" w:type="dxa"/>
            <w:vMerge w:val="restart"/>
            <w:noWrap w:val="0"/>
            <w:vAlign w:val="center"/>
          </w:tcPr>
          <w:p w14:paraId="6167EB9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BF52DF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2AC008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200DD4C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112" w:type="dxa"/>
            <w:noWrap w:val="0"/>
            <w:vAlign w:val="center"/>
          </w:tcPr>
          <w:p w14:paraId="7BA60B1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52" w:type="dxa"/>
            <w:noWrap w:val="0"/>
            <w:vAlign w:val="center"/>
          </w:tcPr>
          <w:p w14:paraId="35092E78">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628" w:type="dxa"/>
            <w:gridSpan w:val="2"/>
            <w:noWrap w:val="0"/>
            <w:vAlign w:val="center"/>
          </w:tcPr>
          <w:p w14:paraId="3EC0153C">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69" w:type="dxa"/>
            <w:gridSpan w:val="2"/>
            <w:noWrap w:val="0"/>
            <w:vAlign w:val="center"/>
          </w:tcPr>
          <w:p w14:paraId="3E35C2F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FD4F3B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11" w:type="dxa"/>
            <w:noWrap w:val="0"/>
            <w:vAlign w:val="center"/>
          </w:tcPr>
          <w:p w14:paraId="4033554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5BF42FD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88" w:type="dxa"/>
            <w:noWrap w:val="0"/>
            <w:vAlign w:val="center"/>
          </w:tcPr>
          <w:p w14:paraId="245C1E6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6" w:type="dxa"/>
            <w:noWrap w:val="0"/>
            <w:vAlign w:val="center"/>
          </w:tcPr>
          <w:p w14:paraId="02613C6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87" w:type="dxa"/>
            <w:noWrap w:val="0"/>
            <w:vAlign w:val="top"/>
          </w:tcPr>
          <w:p w14:paraId="34CFC1E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762E74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2421149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48B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9" w:hRule="atLeast"/>
          <w:jc w:val="center"/>
        </w:trPr>
        <w:tc>
          <w:tcPr>
            <w:tcW w:w="1109" w:type="dxa"/>
            <w:vMerge w:val="continue"/>
            <w:noWrap w:val="0"/>
            <w:vAlign w:val="center"/>
          </w:tcPr>
          <w:p w14:paraId="51EC64E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restart"/>
            <w:noWrap w:val="0"/>
            <w:vAlign w:val="center"/>
          </w:tcPr>
          <w:p w14:paraId="398D669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i w:val="0"/>
                <w:iCs w:val="0"/>
                <w:color w:val="000000"/>
                <w:kern w:val="0"/>
                <w:sz w:val="20"/>
                <w:szCs w:val="20"/>
                <w:u w:val="none"/>
                <w:lang w:val="en-US" w:eastAsia="zh-CN" w:bidi="ar"/>
              </w:rPr>
              <w:t>成本指标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（20分）</w:t>
            </w:r>
          </w:p>
        </w:tc>
        <w:tc>
          <w:tcPr>
            <w:tcW w:w="1052" w:type="dxa"/>
            <w:noWrap w:val="0"/>
            <w:vAlign w:val="center"/>
          </w:tcPr>
          <w:p w14:paraId="3661294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i w:val="0"/>
                <w:iCs w:val="0"/>
                <w:color w:val="000000"/>
                <w:kern w:val="0"/>
                <w:sz w:val="20"/>
                <w:szCs w:val="20"/>
                <w:u w:val="none"/>
                <w:lang w:val="en-US" w:eastAsia="zh-CN" w:bidi="ar"/>
              </w:rPr>
              <w:t>经济效益指标</w:t>
            </w:r>
          </w:p>
        </w:tc>
        <w:tc>
          <w:tcPr>
            <w:tcW w:w="1628" w:type="dxa"/>
            <w:gridSpan w:val="2"/>
            <w:noWrap w:val="0"/>
            <w:vAlign w:val="center"/>
          </w:tcPr>
          <w:p w14:paraId="5691F24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部门整体支出成本</w:t>
            </w:r>
          </w:p>
        </w:tc>
        <w:tc>
          <w:tcPr>
            <w:tcW w:w="1169" w:type="dxa"/>
            <w:gridSpan w:val="2"/>
            <w:noWrap w:val="0"/>
            <w:vAlign w:val="center"/>
          </w:tcPr>
          <w:p w14:paraId="62F7CBE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3194.18</w:t>
            </w:r>
          </w:p>
        </w:tc>
        <w:tc>
          <w:tcPr>
            <w:tcW w:w="1111" w:type="dxa"/>
            <w:noWrap w:val="0"/>
            <w:vAlign w:val="center"/>
          </w:tcPr>
          <w:p w14:paraId="28F8C4B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2624.73</w:t>
            </w:r>
          </w:p>
        </w:tc>
        <w:tc>
          <w:tcPr>
            <w:tcW w:w="688" w:type="dxa"/>
            <w:noWrap w:val="0"/>
            <w:vAlign w:val="center"/>
          </w:tcPr>
          <w:p w14:paraId="422067C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60587CC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87" w:type="dxa"/>
            <w:noWrap w:val="0"/>
            <w:vAlign w:val="center"/>
          </w:tcPr>
          <w:p w14:paraId="16E880A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4FE5F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109" w:type="dxa"/>
            <w:vMerge w:val="continue"/>
            <w:noWrap w:val="0"/>
            <w:vAlign w:val="center"/>
          </w:tcPr>
          <w:p w14:paraId="05E736C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4C9184E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noWrap w:val="0"/>
            <w:vAlign w:val="center"/>
          </w:tcPr>
          <w:p w14:paraId="3DA5570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社会成本指标</w:t>
            </w:r>
          </w:p>
        </w:tc>
        <w:tc>
          <w:tcPr>
            <w:tcW w:w="1628" w:type="dxa"/>
            <w:gridSpan w:val="2"/>
            <w:noWrap w:val="0"/>
            <w:vAlign w:val="center"/>
          </w:tcPr>
          <w:p w14:paraId="33326E1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社会成本节约率</w:t>
            </w:r>
          </w:p>
        </w:tc>
        <w:tc>
          <w:tcPr>
            <w:tcW w:w="1169" w:type="dxa"/>
            <w:gridSpan w:val="2"/>
            <w:noWrap w:val="0"/>
            <w:vAlign w:val="center"/>
          </w:tcPr>
          <w:p w14:paraId="3B5C1B7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1111" w:type="dxa"/>
            <w:noWrap w:val="0"/>
            <w:vAlign w:val="center"/>
          </w:tcPr>
          <w:p w14:paraId="30EF7D0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88" w:type="dxa"/>
            <w:noWrap w:val="0"/>
            <w:vAlign w:val="center"/>
          </w:tcPr>
          <w:p w14:paraId="290C746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196FF3A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87" w:type="dxa"/>
            <w:noWrap w:val="0"/>
            <w:vAlign w:val="center"/>
          </w:tcPr>
          <w:p w14:paraId="57B0E53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5CAC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 w:hRule="atLeast"/>
          <w:jc w:val="center"/>
        </w:trPr>
        <w:tc>
          <w:tcPr>
            <w:tcW w:w="1109" w:type="dxa"/>
            <w:vMerge w:val="continue"/>
            <w:noWrap w:val="0"/>
            <w:vAlign w:val="center"/>
          </w:tcPr>
          <w:p w14:paraId="7568363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07D2D44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noWrap w:val="0"/>
            <w:vAlign w:val="center"/>
          </w:tcPr>
          <w:p w14:paraId="624E319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i w:val="0"/>
                <w:iCs w:val="0"/>
                <w:color w:val="000000"/>
                <w:kern w:val="0"/>
                <w:sz w:val="20"/>
                <w:szCs w:val="20"/>
                <w:u w:val="none"/>
                <w:lang w:val="en-US" w:eastAsia="zh-CN" w:bidi="ar"/>
              </w:rPr>
              <w:t>生态环境成本指标</w:t>
            </w:r>
          </w:p>
        </w:tc>
        <w:tc>
          <w:tcPr>
            <w:tcW w:w="1628" w:type="dxa"/>
            <w:gridSpan w:val="2"/>
            <w:noWrap w:val="0"/>
            <w:vAlign w:val="center"/>
          </w:tcPr>
          <w:p w14:paraId="3FEA769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生态环境成本节约率</w:t>
            </w:r>
          </w:p>
        </w:tc>
        <w:tc>
          <w:tcPr>
            <w:tcW w:w="1169" w:type="dxa"/>
            <w:gridSpan w:val="2"/>
            <w:noWrap w:val="0"/>
            <w:vAlign w:val="center"/>
          </w:tcPr>
          <w:p w14:paraId="1A0AEC9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1111" w:type="dxa"/>
            <w:noWrap w:val="0"/>
            <w:vAlign w:val="center"/>
          </w:tcPr>
          <w:p w14:paraId="7ADF254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88" w:type="dxa"/>
            <w:noWrap w:val="0"/>
            <w:vAlign w:val="center"/>
          </w:tcPr>
          <w:p w14:paraId="3FC9F07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6A5C949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87" w:type="dxa"/>
            <w:noWrap w:val="0"/>
            <w:vAlign w:val="center"/>
          </w:tcPr>
          <w:p w14:paraId="26F23B48">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446E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109" w:type="dxa"/>
            <w:vMerge w:val="continue"/>
            <w:noWrap w:val="0"/>
            <w:vAlign w:val="center"/>
          </w:tcPr>
          <w:p w14:paraId="1BAAC51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restart"/>
            <w:noWrap w:val="0"/>
            <w:vAlign w:val="center"/>
          </w:tcPr>
          <w:p w14:paraId="1229459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产出指标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（30分）</w:t>
            </w:r>
          </w:p>
        </w:tc>
        <w:tc>
          <w:tcPr>
            <w:tcW w:w="1052" w:type="dxa"/>
            <w:vMerge w:val="restart"/>
            <w:noWrap w:val="0"/>
            <w:vAlign w:val="center"/>
          </w:tcPr>
          <w:p w14:paraId="17DC251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数量指标</w:t>
            </w:r>
          </w:p>
        </w:tc>
        <w:tc>
          <w:tcPr>
            <w:tcW w:w="1628" w:type="dxa"/>
            <w:gridSpan w:val="2"/>
            <w:noWrap w:val="0"/>
            <w:vAlign w:val="center"/>
          </w:tcPr>
          <w:p w14:paraId="4E30E6B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发放个人住房贷款金额</w:t>
            </w:r>
          </w:p>
        </w:tc>
        <w:tc>
          <w:tcPr>
            <w:tcW w:w="1169" w:type="dxa"/>
            <w:gridSpan w:val="2"/>
            <w:noWrap w:val="0"/>
            <w:vAlign w:val="center"/>
          </w:tcPr>
          <w:p w14:paraId="47C028A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6.9</w:t>
            </w:r>
          </w:p>
        </w:tc>
        <w:tc>
          <w:tcPr>
            <w:tcW w:w="1111" w:type="dxa"/>
            <w:noWrap w:val="0"/>
            <w:vAlign w:val="center"/>
          </w:tcPr>
          <w:p w14:paraId="3918D53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7.56</w:t>
            </w:r>
          </w:p>
        </w:tc>
        <w:tc>
          <w:tcPr>
            <w:tcW w:w="688" w:type="dxa"/>
            <w:noWrap w:val="0"/>
            <w:vAlign w:val="center"/>
          </w:tcPr>
          <w:p w14:paraId="14DD925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noWrap w:val="0"/>
            <w:vAlign w:val="center"/>
          </w:tcPr>
          <w:p w14:paraId="4C953AB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187" w:type="dxa"/>
            <w:noWrap w:val="0"/>
            <w:vAlign w:val="center"/>
          </w:tcPr>
          <w:p w14:paraId="63C88FB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0588D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09" w:type="dxa"/>
            <w:vMerge w:val="continue"/>
            <w:noWrap w:val="0"/>
            <w:vAlign w:val="center"/>
          </w:tcPr>
          <w:p w14:paraId="4D8D0EF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58F7463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vMerge w:val="continue"/>
            <w:noWrap w:val="0"/>
            <w:vAlign w:val="center"/>
          </w:tcPr>
          <w:p w14:paraId="6211750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eastAsia="zh-CN"/>
              </w:rPr>
            </w:pPr>
          </w:p>
        </w:tc>
        <w:tc>
          <w:tcPr>
            <w:tcW w:w="1628" w:type="dxa"/>
            <w:gridSpan w:val="2"/>
            <w:noWrap w:val="0"/>
            <w:vAlign w:val="center"/>
          </w:tcPr>
          <w:p w14:paraId="1FC6630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开展稽核次数</w:t>
            </w:r>
          </w:p>
        </w:tc>
        <w:tc>
          <w:tcPr>
            <w:tcW w:w="1169" w:type="dxa"/>
            <w:gridSpan w:val="2"/>
            <w:noWrap w:val="0"/>
            <w:vAlign w:val="center"/>
          </w:tcPr>
          <w:p w14:paraId="5A4E9F4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30</w:t>
            </w:r>
          </w:p>
        </w:tc>
        <w:tc>
          <w:tcPr>
            <w:tcW w:w="1111" w:type="dxa"/>
            <w:noWrap w:val="0"/>
            <w:vAlign w:val="center"/>
          </w:tcPr>
          <w:p w14:paraId="6A5BFDF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30</w:t>
            </w:r>
          </w:p>
        </w:tc>
        <w:tc>
          <w:tcPr>
            <w:tcW w:w="688" w:type="dxa"/>
            <w:noWrap w:val="0"/>
            <w:vAlign w:val="center"/>
          </w:tcPr>
          <w:p w14:paraId="66D4440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noWrap w:val="0"/>
            <w:vAlign w:val="center"/>
          </w:tcPr>
          <w:p w14:paraId="434BBD3C">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187" w:type="dxa"/>
            <w:noWrap w:val="0"/>
            <w:vAlign w:val="center"/>
          </w:tcPr>
          <w:p w14:paraId="577BF93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016DD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1109" w:type="dxa"/>
            <w:vMerge w:val="continue"/>
            <w:noWrap w:val="0"/>
            <w:vAlign w:val="center"/>
          </w:tcPr>
          <w:p w14:paraId="0E750D6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7E08B73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vMerge w:val="restart"/>
            <w:noWrap w:val="0"/>
            <w:vAlign w:val="center"/>
          </w:tcPr>
          <w:p w14:paraId="4322C83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质量指标</w:t>
            </w:r>
          </w:p>
        </w:tc>
        <w:tc>
          <w:tcPr>
            <w:tcW w:w="1628" w:type="dxa"/>
            <w:gridSpan w:val="2"/>
            <w:noWrap w:val="0"/>
            <w:vAlign w:val="center"/>
          </w:tcPr>
          <w:p w14:paraId="36B1CFF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每日办结业务</w:t>
            </w:r>
          </w:p>
          <w:p w14:paraId="050C502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及时率</w:t>
            </w:r>
          </w:p>
        </w:tc>
        <w:tc>
          <w:tcPr>
            <w:tcW w:w="1169" w:type="dxa"/>
            <w:gridSpan w:val="2"/>
            <w:noWrap w:val="0"/>
            <w:vAlign w:val="center"/>
          </w:tcPr>
          <w:p w14:paraId="46DAA16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100</w:t>
            </w:r>
          </w:p>
        </w:tc>
        <w:tc>
          <w:tcPr>
            <w:tcW w:w="1111" w:type="dxa"/>
            <w:noWrap w:val="0"/>
            <w:vAlign w:val="center"/>
          </w:tcPr>
          <w:p w14:paraId="06D8C7C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88" w:type="dxa"/>
            <w:noWrap w:val="0"/>
            <w:vAlign w:val="center"/>
          </w:tcPr>
          <w:p w14:paraId="27C9ACA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noWrap w:val="0"/>
            <w:vAlign w:val="center"/>
          </w:tcPr>
          <w:p w14:paraId="29D4C28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187" w:type="dxa"/>
            <w:noWrap w:val="0"/>
            <w:vAlign w:val="center"/>
          </w:tcPr>
          <w:p w14:paraId="7024861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553F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09" w:type="dxa"/>
            <w:vMerge w:val="continue"/>
            <w:noWrap w:val="0"/>
            <w:vAlign w:val="center"/>
          </w:tcPr>
          <w:p w14:paraId="53A6A13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609611C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vMerge w:val="continue"/>
            <w:noWrap w:val="0"/>
            <w:vAlign w:val="center"/>
          </w:tcPr>
          <w:p w14:paraId="47577BD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628" w:type="dxa"/>
            <w:gridSpan w:val="2"/>
            <w:noWrap w:val="0"/>
            <w:vAlign w:val="center"/>
          </w:tcPr>
          <w:p w14:paraId="744ADCF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贷款逾期率</w:t>
            </w:r>
          </w:p>
        </w:tc>
        <w:tc>
          <w:tcPr>
            <w:tcW w:w="1169" w:type="dxa"/>
            <w:gridSpan w:val="2"/>
            <w:noWrap w:val="0"/>
            <w:vAlign w:val="center"/>
          </w:tcPr>
          <w:p w14:paraId="2C25F4D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0.03</w:t>
            </w:r>
          </w:p>
        </w:tc>
        <w:tc>
          <w:tcPr>
            <w:tcW w:w="1111" w:type="dxa"/>
            <w:noWrap w:val="0"/>
            <w:vAlign w:val="center"/>
          </w:tcPr>
          <w:p w14:paraId="3B76A67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0.0284%</w:t>
            </w:r>
          </w:p>
        </w:tc>
        <w:tc>
          <w:tcPr>
            <w:tcW w:w="688" w:type="dxa"/>
            <w:noWrap w:val="0"/>
            <w:vAlign w:val="center"/>
          </w:tcPr>
          <w:p w14:paraId="7444601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noWrap w:val="0"/>
            <w:vAlign w:val="center"/>
          </w:tcPr>
          <w:p w14:paraId="6F4174A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187" w:type="dxa"/>
            <w:noWrap w:val="0"/>
            <w:vAlign w:val="center"/>
          </w:tcPr>
          <w:p w14:paraId="00BD912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49CD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109" w:type="dxa"/>
            <w:vMerge w:val="continue"/>
            <w:noWrap w:val="0"/>
            <w:vAlign w:val="center"/>
          </w:tcPr>
          <w:p w14:paraId="5BCEB53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709A6E5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vMerge w:val="continue"/>
            <w:noWrap w:val="0"/>
            <w:vAlign w:val="center"/>
          </w:tcPr>
          <w:p w14:paraId="02F563A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628" w:type="dxa"/>
            <w:gridSpan w:val="2"/>
            <w:noWrap w:val="0"/>
            <w:vAlign w:val="center"/>
          </w:tcPr>
          <w:p w14:paraId="02FEAFD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基础业务网办率</w:t>
            </w:r>
          </w:p>
        </w:tc>
        <w:tc>
          <w:tcPr>
            <w:tcW w:w="1169" w:type="dxa"/>
            <w:gridSpan w:val="2"/>
            <w:noWrap w:val="0"/>
            <w:vAlign w:val="center"/>
          </w:tcPr>
          <w:p w14:paraId="1E3CC6D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95</w:t>
            </w:r>
          </w:p>
        </w:tc>
        <w:tc>
          <w:tcPr>
            <w:tcW w:w="1111" w:type="dxa"/>
            <w:noWrap w:val="0"/>
            <w:vAlign w:val="center"/>
          </w:tcPr>
          <w:p w14:paraId="4CE8E1B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688" w:type="dxa"/>
            <w:noWrap w:val="0"/>
            <w:vAlign w:val="center"/>
          </w:tcPr>
          <w:p w14:paraId="07D308B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noWrap w:val="0"/>
            <w:vAlign w:val="center"/>
          </w:tcPr>
          <w:p w14:paraId="54C4DB6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187" w:type="dxa"/>
            <w:noWrap w:val="0"/>
            <w:vAlign w:val="center"/>
          </w:tcPr>
          <w:p w14:paraId="55B2D48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7214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09" w:type="dxa"/>
            <w:vMerge w:val="continue"/>
            <w:noWrap w:val="0"/>
            <w:vAlign w:val="center"/>
          </w:tcPr>
          <w:p w14:paraId="5D4A7E1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6EFD076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vMerge w:val="continue"/>
            <w:noWrap w:val="0"/>
            <w:vAlign w:val="center"/>
          </w:tcPr>
          <w:p w14:paraId="7FA0FE58">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628" w:type="dxa"/>
            <w:gridSpan w:val="2"/>
            <w:noWrap w:val="0"/>
            <w:vAlign w:val="center"/>
          </w:tcPr>
          <w:p w14:paraId="52450E5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中心业务“好差评”好评率</w:t>
            </w:r>
          </w:p>
        </w:tc>
        <w:tc>
          <w:tcPr>
            <w:tcW w:w="1169" w:type="dxa"/>
            <w:gridSpan w:val="2"/>
            <w:noWrap w:val="0"/>
            <w:vAlign w:val="center"/>
          </w:tcPr>
          <w:p w14:paraId="1C90FC5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100</w:t>
            </w:r>
          </w:p>
        </w:tc>
        <w:tc>
          <w:tcPr>
            <w:tcW w:w="1111" w:type="dxa"/>
            <w:noWrap w:val="0"/>
            <w:vAlign w:val="center"/>
          </w:tcPr>
          <w:p w14:paraId="5407A5A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88" w:type="dxa"/>
            <w:noWrap w:val="0"/>
            <w:vAlign w:val="center"/>
          </w:tcPr>
          <w:p w14:paraId="7C223AB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noWrap w:val="0"/>
            <w:vAlign w:val="center"/>
          </w:tcPr>
          <w:p w14:paraId="6008E07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187" w:type="dxa"/>
            <w:noWrap w:val="0"/>
            <w:vAlign w:val="center"/>
          </w:tcPr>
          <w:p w14:paraId="6A90A67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19867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09" w:type="dxa"/>
            <w:vMerge w:val="continue"/>
            <w:noWrap w:val="0"/>
            <w:vAlign w:val="center"/>
          </w:tcPr>
          <w:p w14:paraId="6212B3C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74BE87C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noWrap w:val="0"/>
            <w:vAlign w:val="center"/>
          </w:tcPr>
          <w:p w14:paraId="58668B4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时效指标</w:t>
            </w:r>
          </w:p>
        </w:tc>
        <w:tc>
          <w:tcPr>
            <w:tcW w:w="1628" w:type="dxa"/>
            <w:gridSpan w:val="2"/>
            <w:noWrap w:val="0"/>
            <w:vAlign w:val="center"/>
          </w:tcPr>
          <w:p w14:paraId="46A4A46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工作完成时间</w:t>
            </w:r>
          </w:p>
        </w:tc>
        <w:tc>
          <w:tcPr>
            <w:tcW w:w="1169" w:type="dxa"/>
            <w:gridSpan w:val="2"/>
            <w:noWrap w:val="0"/>
            <w:vAlign w:val="center"/>
          </w:tcPr>
          <w:p w14:paraId="017075D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2025年12月31日前</w:t>
            </w:r>
          </w:p>
        </w:tc>
        <w:tc>
          <w:tcPr>
            <w:tcW w:w="1111" w:type="dxa"/>
            <w:noWrap w:val="0"/>
            <w:vAlign w:val="center"/>
          </w:tcPr>
          <w:p w14:paraId="40A4D79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2025年12月31日前</w:t>
            </w:r>
          </w:p>
        </w:tc>
        <w:tc>
          <w:tcPr>
            <w:tcW w:w="688" w:type="dxa"/>
            <w:noWrap w:val="0"/>
            <w:vAlign w:val="center"/>
          </w:tcPr>
          <w:p w14:paraId="0F7E1E9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w:t>
            </w:r>
          </w:p>
        </w:tc>
        <w:tc>
          <w:tcPr>
            <w:tcW w:w="816" w:type="dxa"/>
            <w:noWrap w:val="0"/>
            <w:vAlign w:val="center"/>
          </w:tcPr>
          <w:p w14:paraId="5F83133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w:t>
            </w:r>
          </w:p>
        </w:tc>
        <w:tc>
          <w:tcPr>
            <w:tcW w:w="1187" w:type="dxa"/>
            <w:noWrap w:val="0"/>
            <w:vAlign w:val="center"/>
          </w:tcPr>
          <w:p w14:paraId="25F89CC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57F8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6" w:hRule="atLeast"/>
          <w:jc w:val="center"/>
        </w:trPr>
        <w:tc>
          <w:tcPr>
            <w:tcW w:w="1109" w:type="dxa"/>
            <w:vMerge w:val="continue"/>
            <w:noWrap w:val="0"/>
            <w:vAlign w:val="center"/>
          </w:tcPr>
          <w:p w14:paraId="0228B13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restart"/>
            <w:noWrap w:val="0"/>
            <w:vAlign w:val="center"/>
          </w:tcPr>
          <w:p w14:paraId="37DA1C9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效益指标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（30分）</w:t>
            </w:r>
          </w:p>
        </w:tc>
        <w:tc>
          <w:tcPr>
            <w:tcW w:w="1052" w:type="dxa"/>
            <w:noWrap w:val="0"/>
            <w:vAlign w:val="center"/>
          </w:tcPr>
          <w:p w14:paraId="48E2AC4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经济效益指标</w:t>
            </w:r>
          </w:p>
        </w:tc>
        <w:tc>
          <w:tcPr>
            <w:tcW w:w="1628" w:type="dxa"/>
            <w:gridSpan w:val="2"/>
            <w:noWrap w:val="0"/>
            <w:vAlign w:val="center"/>
          </w:tcPr>
          <w:p w14:paraId="1DEE16F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服务经济发展</w:t>
            </w:r>
          </w:p>
        </w:tc>
        <w:tc>
          <w:tcPr>
            <w:tcW w:w="1169" w:type="dxa"/>
            <w:gridSpan w:val="2"/>
            <w:noWrap w:val="0"/>
            <w:vAlign w:val="center"/>
          </w:tcPr>
          <w:p w14:paraId="601A68A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效果明显</w:t>
            </w:r>
          </w:p>
        </w:tc>
        <w:tc>
          <w:tcPr>
            <w:tcW w:w="1111" w:type="dxa"/>
            <w:noWrap w:val="0"/>
            <w:vAlign w:val="center"/>
          </w:tcPr>
          <w:p w14:paraId="578190C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效果明显</w:t>
            </w:r>
          </w:p>
        </w:tc>
        <w:tc>
          <w:tcPr>
            <w:tcW w:w="688" w:type="dxa"/>
            <w:noWrap w:val="0"/>
            <w:vAlign w:val="center"/>
          </w:tcPr>
          <w:p w14:paraId="1B48F0F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68A29AC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87" w:type="dxa"/>
            <w:noWrap w:val="0"/>
            <w:vAlign w:val="center"/>
          </w:tcPr>
          <w:p w14:paraId="375C51E8">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3EC27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109" w:type="dxa"/>
            <w:vMerge w:val="continue"/>
            <w:noWrap w:val="0"/>
            <w:vAlign w:val="center"/>
          </w:tcPr>
          <w:p w14:paraId="0A3A481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14EFB1A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noWrap w:val="0"/>
            <w:vAlign w:val="center"/>
          </w:tcPr>
          <w:p w14:paraId="1A60BD1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社会效益指标</w:t>
            </w:r>
          </w:p>
        </w:tc>
        <w:tc>
          <w:tcPr>
            <w:tcW w:w="1628" w:type="dxa"/>
            <w:gridSpan w:val="2"/>
            <w:noWrap w:val="0"/>
            <w:vAlign w:val="center"/>
          </w:tcPr>
          <w:p w14:paraId="2CF426A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spacing w:val="-11"/>
                <w:kern w:val="0"/>
                <w:sz w:val="20"/>
                <w:szCs w:val="20"/>
                <w:u w:val="none"/>
                <w:lang w:val="en-US" w:eastAsia="zh-CN" w:bidi="ar"/>
              </w:rPr>
              <w:t>提高公积金贷款风险防范，提升公积金相关法规、政策的社会覆盖面</w:t>
            </w:r>
          </w:p>
        </w:tc>
        <w:tc>
          <w:tcPr>
            <w:tcW w:w="1169" w:type="dxa"/>
            <w:gridSpan w:val="2"/>
            <w:noWrap w:val="0"/>
            <w:vAlign w:val="center"/>
          </w:tcPr>
          <w:p w14:paraId="4715693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效果明显</w:t>
            </w:r>
          </w:p>
        </w:tc>
        <w:tc>
          <w:tcPr>
            <w:tcW w:w="1111" w:type="dxa"/>
            <w:noWrap w:val="0"/>
            <w:vAlign w:val="center"/>
          </w:tcPr>
          <w:p w14:paraId="427570C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效果明显</w:t>
            </w:r>
          </w:p>
        </w:tc>
        <w:tc>
          <w:tcPr>
            <w:tcW w:w="688" w:type="dxa"/>
            <w:noWrap w:val="0"/>
            <w:vAlign w:val="center"/>
          </w:tcPr>
          <w:p w14:paraId="0B8BBE2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0AE6237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87" w:type="dxa"/>
            <w:noWrap w:val="0"/>
            <w:vAlign w:val="center"/>
          </w:tcPr>
          <w:p w14:paraId="57B61C0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37BE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09" w:type="dxa"/>
            <w:vMerge w:val="continue"/>
            <w:noWrap w:val="0"/>
            <w:vAlign w:val="center"/>
          </w:tcPr>
          <w:p w14:paraId="0F136A0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73DD785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noWrap w:val="0"/>
            <w:vAlign w:val="center"/>
          </w:tcPr>
          <w:p w14:paraId="4917725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生态效益指标</w:t>
            </w:r>
          </w:p>
        </w:tc>
        <w:tc>
          <w:tcPr>
            <w:tcW w:w="1628" w:type="dxa"/>
            <w:gridSpan w:val="2"/>
            <w:noWrap w:val="0"/>
            <w:vAlign w:val="center"/>
          </w:tcPr>
          <w:p w14:paraId="5581AED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生态效益情况</w:t>
            </w:r>
          </w:p>
        </w:tc>
        <w:tc>
          <w:tcPr>
            <w:tcW w:w="1169" w:type="dxa"/>
            <w:gridSpan w:val="2"/>
            <w:noWrap w:val="0"/>
            <w:vAlign w:val="center"/>
          </w:tcPr>
          <w:p w14:paraId="3994303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效果明显</w:t>
            </w:r>
          </w:p>
        </w:tc>
        <w:tc>
          <w:tcPr>
            <w:tcW w:w="1111" w:type="dxa"/>
            <w:noWrap w:val="0"/>
            <w:vAlign w:val="center"/>
          </w:tcPr>
          <w:p w14:paraId="4154BC7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效果明显</w:t>
            </w:r>
          </w:p>
        </w:tc>
        <w:tc>
          <w:tcPr>
            <w:tcW w:w="688" w:type="dxa"/>
            <w:noWrap w:val="0"/>
            <w:vAlign w:val="center"/>
          </w:tcPr>
          <w:p w14:paraId="5182F7E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1634DEC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87" w:type="dxa"/>
            <w:noWrap w:val="0"/>
            <w:vAlign w:val="center"/>
          </w:tcPr>
          <w:p w14:paraId="32B45F8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4E65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109" w:type="dxa"/>
            <w:vMerge w:val="continue"/>
            <w:noWrap w:val="0"/>
            <w:vAlign w:val="center"/>
          </w:tcPr>
          <w:p w14:paraId="0264315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7887E90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noWrap w:val="0"/>
            <w:vAlign w:val="center"/>
          </w:tcPr>
          <w:p w14:paraId="5D61DCD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可持续影响指标</w:t>
            </w:r>
          </w:p>
        </w:tc>
        <w:tc>
          <w:tcPr>
            <w:tcW w:w="1628" w:type="dxa"/>
            <w:gridSpan w:val="2"/>
            <w:noWrap w:val="0"/>
            <w:vAlign w:val="center"/>
          </w:tcPr>
          <w:p w14:paraId="7279E01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提高住房公积金管理水平</w:t>
            </w:r>
          </w:p>
        </w:tc>
        <w:tc>
          <w:tcPr>
            <w:tcW w:w="1169" w:type="dxa"/>
            <w:gridSpan w:val="2"/>
            <w:noWrap w:val="0"/>
            <w:vAlign w:val="center"/>
          </w:tcPr>
          <w:p w14:paraId="6C1426D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效果明显</w:t>
            </w:r>
          </w:p>
        </w:tc>
        <w:tc>
          <w:tcPr>
            <w:tcW w:w="1111" w:type="dxa"/>
            <w:noWrap w:val="0"/>
            <w:vAlign w:val="center"/>
          </w:tcPr>
          <w:p w14:paraId="01AE247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效果明显</w:t>
            </w:r>
          </w:p>
        </w:tc>
        <w:tc>
          <w:tcPr>
            <w:tcW w:w="688" w:type="dxa"/>
            <w:noWrap w:val="0"/>
            <w:vAlign w:val="center"/>
          </w:tcPr>
          <w:p w14:paraId="3FB56A3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12768EA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87" w:type="dxa"/>
            <w:noWrap w:val="0"/>
            <w:vAlign w:val="center"/>
          </w:tcPr>
          <w:p w14:paraId="6A2A335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0ACE4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0" w:hRule="atLeast"/>
          <w:jc w:val="center"/>
        </w:trPr>
        <w:tc>
          <w:tcPr>
            <w:tcW w:w="1109" w:type="dxa"/>
            <w:vMerge w:val="continue"/>
            <w:noWrap w:val="0"/>
            <w:vAlign w:val="center"/>
          </w:tcPr>
          <w:p w14:paraId="6664930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noWrap w:val="0"/>
            <w:vAlign w:val="center"/>
          </w:tcPr>
          <w:p w14:paraId="672C9C8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满意度</w:t>
            </w:r>
          </w:p>
          <w:p w14:paraId="166FCA6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指标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（10分）</w:t>
            </w:r>
          </w:p>
        </w:tc>
        <w:tc>
          <w:tcPr>
            <w:tcW w:w="1052" w:type="dxa"/>
            <w:noWrap w:val="0"/>
            <w:vAlign w:val="center"/>
          </w:tcPr>
          <w:p w14:paraId="39BBCFF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服务对象满意度指标</w:t>
            </w:r>
          </w:p>
        </w:tc>
        <w:tc>
          <w:tcPr>
            <w:tcW w:w="1628" w:type="dxa"/>
            <w:gridSpan w:val="2"/>
            <w:noWrap w:val="0"/>
            <w:vAlign w:val="center"/>
          </w:tcPr>
          <w:p w14:paraId="2119A29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服务对象满意度</w:t>
            </w:r>
          </w:p>
        </w:tc>
        <w:tc>
          <w:tcPr>
            <w:tcW w:w="1169" w:type="dxa"/>
            <w:gridSpan w:val="2"/>
            <w:noWrap w:val="0"/>
            <w:vAlign w:val="center"/>
          </w:tcPr>
          <w:p w14:paraId="1018B80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95</w:t>
            </w:r>
          </w:p>
        </w:tc>
        <w:tc>
          <w:tcPr>
            <w:tcW w:w="1111" w:type="dxa"/>
            <w:noWrap w:val="0"/>
            <w:vAlign w:val="center"/>
          </w:tcPr>
          <w:p w14:paraId="1B7A6AC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688" w:type="dxa"/>
            <w:noWrap w:val="0"/>
            <w:vAlign w:val="center"/>
          </w:tcPr>
          <w:p w14:paraId="5C2FA4D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570CD6E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87" w:type="dxa"/>
            <w:noWrap w:val="0"/>
            <w:vAlign w:val="center"/>
          </w:tcPr>
          <w:p w14:paraId="04F1D4C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77803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81" w:type="dxa"/>
            <w:gridSpan w:val="8"/>
            <w:noWrap w:val="0"/>
            <w:vAlign w:val="center"/>
          </w:tcPr>
          <w:p w14:paraId="00A4F3B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88" w:type="dxa"/>
            <w:noWrap w:val="0"/>
            <w:vAlign w:val="center"/>
          </w:tcPr>
          <w:p w14:paraId="62CFD9B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6" w:type="dxa"/>
            <w:noWrap w:val="0"/>
            <w:vAlign w:val="center"/>
          </w:tcPr>
          <w:p w14:paraId="3AFF3073">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98.77</w:t>
            </w:r>
          </w:p>
        </w:tc>
        <w:tc>
          <w:tcPr>
            <w:tcW w:w="1187" w:type="dxa"/>
            <w:noWrap w:val="0"/>
            <w:vAlign w:val="center"/>
          </w:tcPr>
          <w:p w14:paraId="45E937A9">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240FC435">
      <w:pPr>
        <w:widowControl w:val="0"/>
        <w:kinsoku/>
        <w:autoSpaceDE/>
        <w:autoSpaceDN/>
        <w:adjustRightInd/>
        <w:snapToGrid/>
        <w:spacing w:line="600" w:lineRule="exact"/>
        <w:jc w:val="both"/>
        <w:textAlignment w:val="auto"/>
        <w:rPr>
          <w:rFonts w:hint="default" w:eastAsia="仿宋_GB2312"/>
          <w:color w:val="000000"/>
          <w:kern w:val="0"/>
          <w:sz w:val="32"/>
          <w:szCs w:val="32"/>
          <w:lang w:val="en-US"/>
        </w:rPr>
        <w:sectPr>
          <w:pgSz w:w="11906" w:h="16838"/>
          <w:pgMar w:top="1134" w:right="1134" w:bottom="1134" w:left="1134" w:header="851" w:footer="992" w:gutter="0"/>
          <w:pgNumType w:fmt="decimal"/>
          <w:cols w:space="0" w:num="1"/>
          <w:rtlGutter w:val="0"/>
          <w:docGrid w:type="lines" w:linePitch="312" w:charSpace="0"/>
        </w:sect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肖安培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2026年6月15日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0745-2278616</w:t>
      </w:r>
    </w:p>
    <w:p w14:paraId="5954BAA2">
      <w:pPr>
        <w:pStyle w:val="14"/>
        <w:spacing w:line="600" w:lineRule="exact"/>
        <w:rPr>
          <w:rFonts w:ascii="Times New Roman" w:hAnsi="Times New Roman" w:eastAsia="仿宋_GB2312" w:cs="Times New Roman"/>
          <w:sz w:val="32"/>
          <w:szCs w:val="32"/>
        </w:rPr>
      </w:pPr>
    </w:p>
    <w:p w14:paraId="5D3F2AD0">
      <w:pPr>
        <w:pStyle w:val="14"/>
        <w:jc w:val="center"/>
        <w:rPr>
          <w:rFonts w:ascii="Times New Roman" w:hAnsi="Times New Roman" w:cs="Times New Roman"/>
          <w:sz w:val="72"/>
          <w:szCs w:val="72"/>
        </w:rPr>
      </w:pPr>
    </w:p>
    <w:p w14:paraId="699AE689">
      <w:pPr>
        <w:pStyle w:val="14"/>
        <w:jc w:val="center"/>
        <w:rPr>
          <w:rFonts w:ascii="Times New Roman" w:hAnsi="Times New Roman" w:cs="Times New Roman"/>
          <w:sz w:val="72"/>
          <w:szCs w:val="72"/>
        </w:rPr>
      </w:pPr>
    </w:p>
    <w:p w14:paraId="24103BB2">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C3412">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5349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E2DDD">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7D0C4">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3C7E6">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753C7E6">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B104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8" name="文本框 1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2515D5">
                          <w:pPr>
                            <w:pStyle w:val="6"/>
                            <w:rPr>
                              <w:rFonts w:hint="eastAsia" w:eastAsia="宋体"/>
                              <w:sz w:val="28"/>
                              <w:szCs w:val="28"/>
                              <w:lang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rFonts w:hint="eastAsia"/>
                              <w:sz w:val="28"/>
                              <w:szCs w:val="28"/>
                              <w:lang w:val="en-US" w:eastAsia="zh-CN"/>
                            </w:rPr>
                            <w:t xml:space="preserve"> </w:t>
                          </w:r>
                          <w:r>
                            <w:rPr>
                              <w:rFonts w:hint="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99rAQ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99rAQzAgAAZQQAAA4AAAAAAAAAAQAgAAAAHwEAAGRycy9lMm9Eb2MueG1sUEsF&#10;BgAAAAAGAAYAWQEAAMQFAAAAAA==&#10;">
              <v:fill on="f" focussize="0,0"/>
              <v:stroke on="f" weight="0.5pt"/>
              <v:imagedata o:title=""/>
              <o:lock v:ext="edit" aspectratio="f"/>
              <v:textbox inset="0mm,0mm,0mm,0mm" style="mso-fit-shape-to-text:t;">
                <w:txbxContent>
                  <w:p w14:paraId="6B2515D5">
                    <w:pPr>
                      <w:pStyle w:val="6"/>
                      <w:rPr>
                        <w:rFonts w:hint="eastAsia" w:eastAsia="宋体"/>
                        <w:sz w:val="28"/>
                        <w:szCs w:val="28"/>
                        <w:lang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rFonts w:hint="eastAsia"/>
                        <w:sz w:val="28"/>
                        <w:szCs w:val="28"/>
                        <w:lang w:val="en-US" w:eastAsia="zh-CN"/>
                      </w:rPr>
                      <w:t xml:space="preserve"> </w:t>
                    </w:r>
                    <w:r>
                      <w:rPr>
                        <w:rFonts w:hint="eastAsia"/>
                        <w:sz w:val="28"/>
                        <w:szCs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8C84E2"/>
    <w:multiLevelType w:val="singleLevel"/>
    <w:tmpl w:val="F38C84E2"/>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wNWZkYzk1MDhlN2IyYjkwNjljMWJlM2MyNWM4Yzc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866B52"/>
    <w:rsid w:val="02F079B0"/>
    <w:rsid w:val="09A24612"/>
    <w:rsid w:val="0AFC1508"/>
    <w:rsid w:val="131904E6"/>
    <w:rsid w:val="14745797"/>
    <w:rsid w:val="16183AE4"/>
    <w:rsid w:val="17C15D7E"/>
    <w:rsid w:val="189A5F9C"/>
    <w:rsid w:val="19BD1366"/>
    <w:rsid w:val="1D97DEFF"/>
    <w:rsid w:val="1DB945BC"/>
    <w:rsid w:val="1DFF72E5"/>
    <w:rsid w:val="1EFC6F07"/>
    <w:rsid w:val="20A7251B"/>
    <w:rsid w:val="244410FD"/>
    <w:rsid w:val="2661459D"/>
    <w:rsid w:val="26642E8F"/>
    <w:rsid w:val="285A2DEF"/>
    <w:rsid w:val="29193321"/>
    <w:rsid w:val="2B0A5203"/>
    <w:rsid w:val="2C7C3EDF"/>
    <w:rsid w:val="2FDF85B8"/>
    <w:rsid w:val="2FFFEE04"/>
    <w:rsid w:val="301C68D5"/>
    <w:rsid w:val="30760FFB"/>
    <w:rsid w:val="30BA6D84"/>
    <w:rsid w:val="32805DAB"/>
    <w:rsid w:val="338A43CA"/>
    <w:rsid w:val="33C31EBC"/>
    <w:rsid w:val="34DF85B0"/>
    <w:rsid w:val="36EC067C"/>
    <w:rsid w:val="3A914FF9"/>
    <w:rsid w:val="3B6267E6"/>
    <w:rsid w:val="3B8F36BC"/>
    <w:rsid w:val="3EB62267"/>
    <w:rsid w:val="4246491B"/>
    <w:rsid w:val="43F73068"/>
    <w:rsid w:val="4473567F"/>
    <w:rsid w:val="45C55FAA"/>
    <w:rsid w:val="482A5773"/>
    <w:rsid w:val="484C6A03"/>
    <w:rsid w:val="491FF225"/>
    <w:rsid w:val="4952453B"/>
    <w:rsid w:val="4A1878EC"/>
    <w:rsid w:val="4A857FAB"/>
    <w:rsid w:val="4B09762A"/>
    <w:rsid w:val="4C2B076C"/>
    <w:rsid w:val="4D5D520F"/>
    <w:rsid w:val="4E26582F"/>
    <w:rsid w:val="4FFD214C"/>
    <w:rsid w:val="506F7733"/>
    <w:rsid w:val="52144BCA"/>
    <w:rsid w:val="52663F14"/>
    <w:rsid w:val="55F81F79"/>
    <w:rsid w:val="56420294"/>
    <w:rsid w:val="5777D4F5"/>
    <w:rsid w:val="57855BEF"/>
    <w:rsid w:val="59DD8326"/>
    <w:rsid w:val="5B0D2022"/>
    <w:rsid w:val="5DEF592A"/>
    <w:rsid w:val="5EC72D47"/>
    <w:rsid w:val="5FB30413"/>
    <w:rsid w:val="5FC6BB1E"/>
    <w:rsid w:val="5FF720F1"/>
    <w:rsid w:val="60664487"/>
    <w:rsid w:val="60844B35"/>
    <w:rsid w:val="610E43FE"/>
    <w:rsid w:val="641F230D"/>
    <w:rsid w:val="666F1DE3"/>
    <w:rsid w:val="676B467A"/>
    <w:rsid w:val="679FE734"/>
    <w:rsid w:val="67FF5C0B"/>
    <w:rsid w:val="6CB72660"/>
    <w:rsid w:val="6D517903"/>
    <w:rsid w:val="6EFC0924"/>
    <w:rsid w:val="6FB74722"/>
    <w:rsid w:val="6FEF8B7E"/>
    <w:rsid w:val="70904E30"/>
    <w:rsid w:val="71A6591B"/>
    <w:rsid w:val="737D59BA"/>
    <w:rsid w:val="753353C9"/>
    <w:rsid w:val="77C37683"/>
    <w:rsid w:val="79D19834"/>
    <w:rsid w:val="79FF515B"/>
    <w:rsid w:val="7A7B08FF"/>
    <w:rsid w:val="7B503B39"/>
    <w:rsid w:val="7B7B048A"/>
    <w:rsid w:val="7BF549BF"/>
    <w:rsid w:val="7E751B09"/>
    <w:rsid w:val="7E9E1962"/>
    <w:rsid w:val="7E9F11B4"/>
    <w:rsid w:val="7F37EC1E"/>
    <w:rsid w:val="7F5F20B8"/>
    <w:rsid w:val="7F7DCD9D"/>
    <w:rsid w:val="7F970A6F"/>
    <w:rsid w:val="7FBB354B"/>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styleId="20">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1">
    <w:name w:val="标题1"/>
    <w:basedOn w:val="2"/>
    <w:autoRedefine/>
    <w:qFormat/>
    <w:uiPriority w:val="0"/>
    <w:pPr>
      <w:spacing w:before="0" w:after="0" w:line="560" w:lineRule="exact"/>
      <w:ind w:firstLine="200" w:firstLineChars="200"/>
    </w:pPr>
    <w:rPr>
      <w:rFonts w:eastAsia="黑体"/>
      <w:b w:val="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46</Pages>
  <Words>1463</Words>
  <Characters>8342</Characters>
  <Lines>69</Lines>
  <Paragraphs>19</Paragraphs>
  <TotalTime>45</TotalTime>
  <ScaleCrop>false</ScaleCrop>
  <LinksUpToDate>false</LinksUpToDate>
  <CharactersWithSpaces>9786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2026-09-21T15:22:00Z</cp:lastPrinted>
  <dcterms:modified xsi:type="dcterms:W3CDTF">2026-10-16T16:32:57Z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86FC9DF1A1E04FF192209FDED57749E1_13</vt:lpwstr>
  </property>
</Properties>
</file>