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EFC4EBD">
      <w:pPr>
        <w:pStyle w:val="14"/>
        <w:jc w:val="both"/>
        <w:rPr>
          <w:rFonts w:hint="eastAsia" w:hAnsi="黑体" w:eastAsia="黑体"/>
          <w:sz w:val="36"/>
          <w:szCs w:val="36"/>
          <w:lang w:eastAsia="zh-CN"/>
        </w:rPr>
      </w:pPr>
      <w:r>
        <w:rPr>
          <w:rFonts w:hint="eastAsia" w:hAnsi="黑体"/>
          <w:sz w:val="36"/>
          <w:szCs w:val="36"/>
        </w:rPr>
        <w:t>附件</w:t>
      </w:r>
      <w:r>
        <w:rPr>
          <w:rFonts w:hint="eastAsia" w:hAnsi="黑体"/>
          <w:sz w:val="36"/>
          <w:szCs w:val="36"/>
          <w:lang w:val="en-US" w:eastAsia="zh-CN"/>
        </w:rPr>
        <w:t>2</w:t>
      </w:r>
    </w:p>
    <w:p w14:paraId="5397CD10">
      <w:pPr>
        <w:pStyle w:val="14"/>
        <w:jc w:val="center"/>
        <w:rPr>
          <w:rFonts w:ascii="Times New Roman" w:hAnsi="Times New Roman" w:cs="Times New Roman"/>
          <w:sz w:val="56"/>
          <w:szCs w:val="56"/>
        </w:rPr>
      </w:pPr>
    </w:p>
    <w:p w14:paraId="20EFAEEC">
      <w:pPr>
        <w:pStyle w:val="14"/>
        <w:jc w:val="center"/>
        <w:rPr>
          <w:rFonts w:ascii="Times New Roman" w:hAnsi="Times New Roman" w:cs="Times New Roman"/>
          <w:sz w:val="84"/>
          <w:szCs w:val="84"/>
        </w:rPr>
      </w:pPr>
    </w:p>
    <w:p w14:paraId="742FD22F">
      <w:pPr>
        <w:pStyle w:val="14"/>
        <w:jc w:val="center"/>
        <w:rPr>
          <w:rFonts w:ascii="Times New Roman" w:hAnsi="Times New Roman" w:cs="Times New Roman"/>
          <w:sz w:val="84"/>
          <w:szCs w:val="84"/>
        </w:rPr>
      </w:pPr>
    </w:p>
    <w:p w14:paraId="7747824D">
      <w:pPr>
        <w:pStyle w:val="14"/>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202</w:t>
      </w:r>
      <w:r>
        <w:rPr>
          <w:rFonts w:hint="eastAsia" w:ascii="Times New Roman" w:hAnsi="Times New Roman" w:eastAsia="方正小标宋简体" w:cs="Times New Roman"/>
          <w:sz w:val="72"/>
          <w:szCs w:val="72"/>
          <w:lang w:val="en-US" w:eastAsia="zh-CN"/>
        </w:rPr>
        <w:t>5</w:t>
      </w:r>
      <w:r>
        <w:rPr>
          <w:rFonts w:ascii="Times New Roman" w:hAnsi="Times New Roman" w:eastAsia="方正小标宋简体" w:cs="Times New Roman"/>
          <w:sz w:val="72"/>
          <w:szCs w:val="72"/>
        </w:rPr>
        <w:t>年度</w:t>
      </w:r>
    </w:p>
    <w:p w14:paraId="3B8FD228">
      <w:pPr>
        <w:pStyle w:val="14"/>
        <w:jc w:val="center"/>
        <w:rPr>
          <w:rFonts w:hint="eastAsia" w:ascii="Times New Roman" w:hAnsi="Times New Roman" w:eastAsia="方正小标宋简体" w:cs="Times New Roman"/>
          <w:sz w:val="72"/>
          <w:szCs w:val="72"/>
          <w:lang w:eastAsia="zh-CN"/>
        </w:rPr>
      </w:pPr>
      <w:r>
        <w:rPr>
          <w:rFonts w:hint="eastAsia" w:ascii="Times New Roman" w:hAnsi="Times New Roman" w:eastAsia="方正小标宋简体" w:cs="Times New Roman"/>
          <w:sz w:val="72"/>
          <w:szCs w:val="72"/>
          <w:lang w:eastAsia="zh-CN"/>
        </w:rPr>
        <w:t>怀化市住房公积金管理中心</w:t>
      </w:r>
    </w:p>
    <w:p w14:paraId="02AADFE9">
      <w:pPr>
        <w:pStyle w:val="14"/>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部门决算</w:t>
      </w:r>
    </w:p>
    <w:p w14:paraId="0A040D82">
      <w:pPr>
        <w:pStyle w:val="14"/>
        <w:jc w:val="center"/>
        <w:rPr>
          <w:rFonts w:ascii="Times New Roman" w:hAnsi="Times New Roman" w:eastAsia="方正小标宋_GBK" w:cs="Times New Roman"/>
          <w:sz w:val="56"/>
          <w:szCs w:val="56"/>
        </w:rPr>
      </w:pPr>
    </w:p>
    <w:p w14:paraId="7360EFEB">
      <w:pPr>
        <w:pStyle w:val="14"/>
        <w:jc w:val="center"/>
        <w:rPr>
          <w:rFonts w:ascii="Times New Roman" w:hAnsi="Times New Roman" w:cs="Times New Roman"/>
          <w:sz w:val="56"/>
          <w:szCs w:val="56"/>
        </w:rPr>
      </w:pPr>
    </w:p>
    <w:p w14:paraId="544DB369">
      <w:pPr>
        <w:pStyle w:val="14"/>
        <w:rPr>
          <w:rFonts w:ascii="Times New Roman" w:hAnsi="Times New Roman" w:cs="Times New Roman"/>
          <w:sz w:val="56"/>
          <w:szCs w:val="56"/>
        </w:rPr>
      </w:pPr>
    </w:p>
    <w:p w14:paraId="431B7F53">
      <w:pPr>
        <w:pStyle w:val="14"/>
        <w:jc w:val="center"/>
        <w:rPr>
          <w:rFonts w:ascii="Times New Roman" w:hAnsi="Times New Roman" w:cs="Times New Roman"/>
          <w:sz w:val="32"/>
          <w:szCs w:val="32"/>
        </w:rPr>
      </w:pPr>
    </w:p>
    <w:p w14:paraId="0CF8585D">
      <w:pPr>
        <w:pStyle w:val="14"/>
        <w:jc w:val="center"/>
        <w:rPr>
          <w:rFonts w:ascii="Times New Roman" w:hAnsi="Times New Roman" w:cs="Times New Roman"/>
          <w:sz w:val="32"/>
          <w:szCs w:val="32"/>
        </w:rPr>
      </w:pPr>
    </w:p>
    <w:p w14:paraId="718CB2DE">
      <w:pPr>
        <w:pStyle w:val="14"/>
        <w:jc w:val="center"/>
        <w:rPr>
          <w:rFonts w:ascii="Times New Roman" w:hAnsi="Times New Roman" w:cs="Times New Roman"/>
          <w:sz w:val="32"/>
          <w:szCs w:val="32"/>
        </w:rPr>
      </w:pPr>
    </w:p>
    <w:p w14:paraId="75C6398F">
      <w:pPr>
        <w:pStyle w:val="14"/>
        <w:jc w:val="center"/>
        <w:rPr>
          <w:rFonts w:ascii="Times New Roman" w:hAnsi="Times New Roman" w:cs="Times New Roman"/>
          <w:sz w:val="32"/>
          <w:szCs w:val="32"/>
        </w:rPr>
      </w:pPr>
    </w:p>
    <w:p w14:paraId="345AFD70">
      <w:pPr>
        <w:pStyle w:val="14"/>
        <w:jc w:val="center"/>
        <w:rPr>
          <w:rFonts w:ascii="Times New Roman" w:hAnsi="Times New Roman" w:cs="Times New Roman"/>
          <w:sz w:val="32"/>
          <w:szCs w:val="32"/>
        </w:rPr>
      </w:pPr>
    </w:p>
    <w:p w14:paraId="6B249DA4">
      <w:pPr>
        <w:pStyle w:val="14"/>
        <w:jc w:val="center"/>
        <w:rPr>
          <w:rFonts w:ascii="Times New Roman" w:hAnsi="Times New Roman" w:cs="Times New Roman"/>
          <w:sz w:val="32"/>
          <w:szCs w:val="32"/>
        </w:rPr>
      </w:pPr>
    </w:p>
    <w:p w14:paraId="61853E63">
      <w:pPr>
        <w:pStyle w:val="14"/>
        <w:spacing w:line="540" w:lineRule="exact"/>
        <w:jc w:val="center"/>
        <w:rPr>
          <w:rFonts w:ascii="Times New Roman" w:hAnsi="Times New Roman" w:cs="Times New Roman"/>
          <w:sz w:val="56"/>
          <w:szCs w:val="56"/>
        </w:rPr>
      </w:pPr>
    </w:p>
    <w:p w14:paraId="3A3EC1A4">
      <w:pPr>
        <w:rPr>
          <w:rFonts w:ascii="Times New Roman" w:hAnsi="Times New Roman" w:cs="Times New Roman"/>
          <w:b/>
          <w:sz w:val="36"/>
          <w:szCs w:val="28"/>
        </w:rPr>
        <w:sectPr>
          <w:pgSz w:w="11906" w:h="16838"/>
          <w:pgMar w:top="1417" w:right="1588" w:bottom="1417" w:left="1588" w:header="851" w:footer="992" w:gutter="0"/>
          <w:cols w:space="425" w:num="1"/>
          <w:docGrid w:type="lines" w:linePitch="312" w:charSpace="0"/>
        </w:sectPr>
      </w:pPr>
    </w:p>
    <w:p w14:paraId="3574C152">
      <w:pPr>
        <w:pStyle w:val="14"/>
        <w:spacing w:line="600" w:lineRule="exact"/>
        <w:jc w:val="both"/>
        <w:rPr>
          <w:rFonts w:ascii="Times New Roman" w:hAnsi="Times New Roman" w:cs="Times New Roman"/>
          <w:b/>
          <w:sz w:val="36"/>
          <w:szCs w:val="28"/>
        </w:rPr>
        <w:sectPr>
          <w:footerReference r:id="rId3" w:type="default"/>
          <w:pgSz w:w="11906" w:h="16838"/>
          <w:pgMar w:top="1417" w:right="1588" w:bottom="1417" w:left="1588" w:header="851" w:footer="992" w:gutter="0"/>
          <w:pgNumType w:start="1"/>
          <w:cols w:space="425" w:num="1"/>
          <w:docGrid w:type="lines" w:linePitch="312" w:charSpace="0"/>
        </w:sectPr>
      </w:pPr>
    </w:p>
    <w:p w14:paraId="25450E48">
      <w:pPr>
        <w:pStyle w:val="14"/>
        <w:spacing w:line="600" w:lineRule="exact"/>
        <w:jc w:val="both"/>
        <w:rPr>
          <w:rFonts w:ascii="Times New Roman" w:hAnsi="Times New Roman" w:cs="Times New Roman"/>
          <w:b/>
          <w:sz w:val="36"/>
          <w:szCs w:val="28"/>
        </w:rPr>
      </w:pPr>
    </w:p>
    <w:p w14:paraId="0E42FD32">
      <w:pPr>
        <w:pStyle w:val="14"/>
        <w:spacing w:line="600" w:lineRule="exact"/>
        <w:jc w:val="center"/>
        <w:rPr>
          <w:rFonts w:ascii="Times New Roman" w:hAnsi="Times New Roman" w:cs="Times New Roman"/>
          <w:bCs/>
          <w:sz w:val="36"/>
          <w:szCs w:val="28"/>
        </w:rPr>
      </w:pPr>
      <w:r>
        <w:rPr>
          <w:rFonts w:ascii="Times New Roman" w:hAnsi="Times New Roman" w:cs="Times New Roman"/>
          <w:bCs/>
          <w:sz w:val="36"/>
          <w:szCs w:val="28"/>
        </w:rPr>
        <w:t>目  录</w:t>
      </w:r>
    </w:p>
    <w:p w14:paraId="357615D8">
      <w:pPr>
        <w:pStyle w:val="14"/>
        <w:spacing w:line="600" w:lineRule="exact"/>
        <w:jc w:val="center"/>
        <w:rPr>
          <w:rFonts w:ascii="Times New Roman" w:hAnsi="Times New Roman" w:cs="Times New Roman"/>
          <w:b/>
          <w:sz w:val="36"/>
          <w:szCs w:val="28"/>
        </w:rPr>
      </w:pPr>
    </w:p>
    <w:p w14:paraId="3F4B5693">
      <w:pPr>
        <w:pStyle w:val="14"/>
        <w:spacing w:after="156" w:afterLines="50" w:line="600" w:lineRule="exact"/>
        <w:rPr>
          <w:rFonts w:hint="eastAsia" w:ascii="Times New Roman" w:hAnsi="Times New Roman" w:cs="Times New Roman"/>
          <w:bCs/>
          <w:sz w:val="32"/>
          <w:szCs w:val="32"/>
          <w:lang w:eastAsia="zh-CN"/>
        </w:rPr>
      </w:pPr>
      <w:r>
        <w:rPr>
          <w:rFonts w:ascii="Times New Roman" w:hAnsi="Times New Roman" w:cs="Times New Roman"/>
          <w:bCs/>
          <w:sz w:val="32"/>
          <w:szCs w:val="32"/>
        </w:rPr>
        <w:t>第一部分</w:t>
      </w:r>
      <w:r>
        <w:rPr>
          <w:rFonts w:hint="eastAsia" w:ascii="Times New Roman" w:hAnsi="Times New Roman" w:cs="Times New Roman"/>
          <w:bCs/>
          <w:sz w:val="32"/>
          <w:szCs w:val="32"/>
          <w:lang w:val="en-US" w:eastAsia="zh-CN"/>
        </w:rPr>
        <w:t xml:space="preserve"> </w:t>
      </w:r>
      <w:r>
        <w:rPr>
          <w:rFonts w:hint="eastAsia" w:ascii="Times New Roman" w:hAnsi="Times New Roman" w:cs="Times New Roman"/>
          <w:bCs/>
          <w:sz w:val="32"/>
          <w:szCs w:val="32"/>
          <w:lang w:eastAsia="zh-CN"/>
        </w:rPr>
        <w:t>怀化市住房公积金管理中心概况</w:t>
      </w:r>
    </w:p>
    <w:p w14:paraId="50EA51E0">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一、部门职责</w:t>
      </w:r>
    </w:p>
    <w:p w14:paraId="034DB8FF">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二、机构设置及决算单位构成</w:t>
      </w:r>
    </w:p>
    <w:p w14:paraId="10154ACA">
      <w:pPr>
        <w:pStyle w:val="14"/>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第二部分 部门决算表</w:t>
      </w:r>
    </w:p>
    <w:p w14:paraId="377E603A">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一、收入支出决算总表</w:t>
      </w:r>
    </w:p>
    <w:p w14:paraId="6C7E8706">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二、收入决算表</w:t>
      </w:r>
    </w:p>
    <w:p w14:paraId="0A88ED8A">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三、支出决算表</w:t>
      </w:r>
    </w:p>
    <w:p w14:paraId="104C2E87">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四、财政拨款收入支出决算总表</w:t>
      </w:r>
    </w:p>
    <w:p w14:paraId="346E18D8">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五、一般公共预算财政拨款支出决算表</w:t>
      </w:r>
    </w:p>
    <w:p w14:paraId="77AEA229">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六、一般公共预算财政拨款基本支出决算明细表</w:t>
      </w:r>
    </w:p>
    <w:p w14:paraId="142B4235">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七、政府性基金预算财政拨款收入支出决算表</w:t>
      </w:r>
    </w:p>
    <w:p w14:paraId="6CE58130">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八、国有资本经营预算财政拨款支出决算表</w:t>
      </w:r>
    </w:p>
    <w:p w14:paraId="77F80174">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九、财政拨款“三公”经费支出决算表</w:t>
      </w:r>
    </w:p>
    <w:p w14:paraId="4F3ADDA6">
      <w:pPr>
        <w:pStyle w:val="14"/>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第三部分 部门决算情况说明</w:t>
      </w:r>
    </w:p>
    <w:p w14:paraId="0C22110E">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14:paraId="52A4F8F4">
      <w:pPr>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14:paraId="1A99E240">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三、支出决算情况说明</w:t>
      </w:r>
    </w:p>
    <w:p w14:paraId="0C720C50">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四、财政拨款收入支出决算总体情况说明</w:t>
      </w:r>
    </w:p>
    <w:p w14:paraId="1B6C5B4A">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五、一般公共预算财政拨款支出决算情况说明</w:t>
      </w:r>
    </w:p>
    <w:p w14:paraId="41B47312">
      <w:pPr>
        <w:autoSpaceDE w:val="0"/>
        <w:autoSpaceDN w:val="0"/>
        <w:adjustRightInd w:val="0"/>
        <w:spacing w:line="600" w:lineRule="exact"/>
        <w:jc w:val="left"/>
        <w:rPr>
          <w:rFonts w:ascii="Times New Roman" w:hAnsi="Times New Roman" w:eastAsia="仿宋_GB2312" w:cs="Times New Roman"/>
          <w:color w:val="000000"/>
          <w:kern w:val="0"/>
          <w:sz w:val="32"/>
          <w:szCs w:val="32"/>
        </w:rPr>
        <w:sectPr>
          <w:footerReference r:id="rId4" w:type="default"/>
          <w:pgSz w:w="11906" w:h="16838"/>
          <w:pgMar w:top="1417" w:right="1588" w:bottom="1417" w:left="1588" w:header="851" w:footer="992" w:gutter="0"/>
          <w:pgNumType w:start="1"/>
          <w:cols w:space="425" w:num="1"/>
          <w:docGrid w:type="lines" w:linePitch="312" w:charSpace="0"/>
        </w:sectPr>
      </w:pPr>
    </w:p>
    <w:p w14:paraId="7D050AB4">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六、一般公共预算财政拨款基本支出决算情况说明</w:t>
      </w:r>
    </w:p>
    <w:p w14:paraId="1194D67B">
      <w:pPr>
        <w:autoSpaceDE w:val="0"/>
        <w:autoSpaceDN w:val="0"/>
        <w:adjustRightInd w:val="0"/>
        <w:spacing w:line="600" w:lineRule="exact"/>
        <w:jc w:val="left"/>
        <w:rPr>
          <w:rFonts w:hint="eastAsia" w:ascii="Times New Roman" w:hAnsi="Times New Roman" w:eastAsia="仿宋_GB2312" w:cs="Times New Roman"/>
          <w:color w:val="000000"/>
          <w:kern w:val="0"/>
          <w:sz w:val="32"/>
          <w:szCs w:val="32"/>
          <w:lang w:eastAsia="zh-CN"/>
        </w:rPr>
      </w:pPr>
      <w:r>
        <w:rPr>
          <w:rFonts w:ascii="Times New Roman" w:hAnsi="Times New Roman" w:eastAsia="仿宋_GB2312" w:cs="Times New Roman"/>
          <w:color w:val="000000"/>
          <w:kern w:val="0"/>
          <w:sz w:val="32"/>
          <w:szCs w:val="32"/>
        </w:rPr>
        <w:t>七</w:t>
      </w:r>
      <w:r>
        <w:rPr>
          <w:rFonts w:hint="eastAsia" w:ascii="Times New Roman" w:hAnsi="Times New Roman" w:eastAsia="仿宋_GB2312" w:cs="Times New Roman"/>
          <w:color w:val="000000"/>
          <w:kern w:val="0"/>
          <w:sz w:val="32"/>
          <w:szCs w:val="32"/>
          <w:lang w:eastAsia="zh-CN"/>
        </w:rPr>
        <w:t>、财政拨款“三公”经费支出决算情况说明</w:t>
      </w:r>
    </w:p>
    <w:p w14:paraId="44690D85">
      <w:pPr>
        <w:autoSpaceDE w:val="0"/>
        <w:autoSpaceDN w:val="0"/>
        <w:adjustRightInd w:val="0"/>
        <w:spacing w:line="600" w:lineRule="exact"/>
        <w:jc w:val="left"/>
        <w:rPr>
          <w:rFonts w:hint="eastAsia" w:ascii="Times New Roman" w:hAnsi="Times New Roman" w:eastAsia="仿宋_GB2312" w:cs="Times New Roman"/>
          <w:color w:val="000000"/>
          <w:kern w:val="0"/>
          <w:sz w:val="32"/>
          <w:szCs w:val="32"/>
          <w:lang w:eastAsia="zh-CN"/>
        </w:rPr>
      </w:pPr>
      <w:r>
        <w:rPr>
          <w:rFonts w:hint="eastAsia" w:ascii="Times New Roman" w:hAnsi="Times New Roman" w:eastAsia="仿宋_GB2312" w:cs="Times New Roman"/>
          <w:color w:val="000000"/>
          <w:kern w:val="0"/>
          <w:sz w:val="32"/>
          <w:szCs w:val="32"/>
          <w:lang w:eastAsia="zh-CN"/>
        </w:rPr>
        <w:t>八、政府性基金预算收入支出决算情况</w:t>
      </w:r>
    </w:p>
    <w:p w14:paraId="167D99FF">
      <w:pPr>
        <w:autoSpaceDE w:val="0"/>
        <w:autoSpaceDN w:val="0"/>
        <w:adjustRightInd w:val="0"/>
        <w:spacing w:line="600" w:lineRule="exact"/>
        <w:jc w:val="left"/>
        <w:rPr>
          <w:rFonts w:hint="eastAsia" w:ascii="Times New Roman" w:hAnsi="Times New Roman" w:eastAsia="仿宋_GB2312" w:cs="Times New Roman"/>
          <w:color w:val="000000"/>
          <w:kern w:val="0"/>
          <w:sz w:val="32"/>
          <w:szCs w:val="32"/>
          <w:lang w:eastAsia="zh-CN"/>
        </w:rPr>
      </w:pPr>
      <w:r>
        <w:rPr>
          <w:rFonts w:hint="eastAsia" w:ascii="Times New Roman" w:hAnsi="Times New Roman" w:eastAsia="仿宋_GB2312" w:cs="Times New Roman"/>
          <w:color w:val="000000"/>
          <w:kern w:val="0"/>
          <w:sz w:val="32"/>
          <w:szCs w:val="32"/>
          <w:lang w:eastAsia="zh-CN"/>
        </w:rPr>
        <w:t>九、国有资本经营预算收入支出决算情况</w:t>
      </w:r>
    </w:p>
    <w:p w14:paraId="79A0D4B4">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lang w:eastAsia="zh-CN"/>
        </w:rPr>
        <w:t>十</w:t>
      </w:r>
      <w:r>
        <w:rPr>
          <w:rFonts w:ascii="Times New Roman" w:hAnsi="Times New Roman" w:eastAsia="仿宋_GB2312" w:cs="Times New Roman"/>
          <w:color w:val="000000"/>
          <w:kern w:val="0"/>
          <w:sz w:val="32"/>
          <w:szCs w:val="32"/>
        </w:rPr>
        <w:t>、关于机关运行经费支出说明</w:t>
      </w:r>
    </w:p>
    <w:p w14:paraId="4D184DE3">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十一、一般性支出情况说明</w:t>
      </w:r>
    </w:p>
    <w:p w14:paraId="66157A90">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sz w:val="32"/>
          <w:szCs w:val="32"/>
        </w:rPr>
        <w:t>十二</w:t>
      </w:r>
      <w:r>
        <w:rPr>
          <w:rFonts w:ascii="Times New Roman" w:hAnsi="Times New Roman" w:eastAsia="仿宋_GB2312" w:cs="Times New Roman"/>
          <w:color w:val="000000"/>
          <w:kern w:val="0"/>
          <w:sz w:val="32"/>
          <w:szCs w:val="32"/>
        </w:rPr>
        <w:t>、关于政府采购支出说明</w:t>
      </w:r>
    </w:p>
    <w:p w14:paraId="64BAF8E4">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十三、关于国有资产占用情况说明</w:t>
      </w:r>
    </w:p>
    <w:p w14:paraId="5B424207">
      <w:pPr>
        <w:pStyle w:val="14"/>
        <w:spacing w:before="156" w:beforeLines="50" w:after="156" w:afterLines="50" w:line="600" w:lineRule="exact"/>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十四</w:t>
      </w:r>
      <w:r>
        <w:rPr>
          <w:rFonts w:ascii="Times New Roman" w:hAnsi="Times New Roman" w:eastAsia="仿宋_GB2312" w:cs="Times New Roman"/>
          <w:sz w:val="32"/>
          <w:szCs w:val="32"/>
        </w:rPr>
        <w:t>、关于2024年度预算绩效管理情况的说明</w:t>
      </w:r>
    </w:p>
    <w:p w14:paraId="7B1FDC30">
      <w:pPr>
        <w:pStyle w:val="14"/>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第四部分 名词解释</w:t>
      </w:r>
    </w:p>
    <w:p w14:paraId="2D38BFB5">
      <w:pPr>
        <w:pStyle w:val="14"/>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第五部分 附件</w:t>
      </w:r>
    </w:p>
    <w:p w14:paraId="500F2EE0">
      <w:pPr>
        <w:pStyle w:val="14"/>
        <w:spacing w:line="600" w:lineRule="exact"/>
        <w:rPr>
          <w:rFonts w:ascii="Times New Roman" w:hAnsi="Times New Roman" w:cs="Times New Roman"/>
          <w:bCs/>
          <w:sz w:val="28"/>
          <w:szCs w:val="28"/>
        </w:rPr>
      </w:pPr>
    </w:p>
    <w:p w14:paraId="5BF7037E">
      <w:pPr>
        <w:jc w:val="center"/>
        <w:rPr>
          <w:rFonts w:ascii="Times New Roman" w:hAnsi="Times New Roman" w:cs="Times New Roman"/>
          <w:sz w:val="72"/>
          <w:szCs w:val="72"/>
        </w:rPr>
      </w:pPr>
    </w:p>
    <w:p w14:paraId="3CE5AFC3">
      <w:pPr>
        <w:jc w:val="center"/>
        <w:rPr>
          <w:rFonts w:ascii="Times New Roman" w:hAnsi="Times New Roman" w:cs="Times New Roman"/>
          <w:sz w:val="72"/>
          <w:szCs w:val="72"/>
        </w:rPr>
      </w:pPr>
    </w:p>
    <w:p w14:paraId="6F0FE02D">
      <w:pPr>
        <w:jc w:val="center"/>
        <w:rPr>
          <w:rFonts w:ascii="Times New Roman" w:hAnsi="Times New Roman" w:cs="Times New Roman"/>
          <w:sz w:val="72"/>
          <w:szCs w:val="72"/>
        </w:rPr>
      </w:pPr>
    </w:p>
    <w:p w14:paraId="33BF9AB3">
      <w:pPr>
        <w:pStyle w:val="8"/>
        <w:rPr>
          <w:rFonts w:ascii="Times New Roman" w:hAnsi="Times New Roman" w:cs="Times New Roman"/>
        </w:rPr>
        <w:sectPr>
          <w:footerReference r:id="rId5" w:type="default"/>
          <w:pgSz w:w="11906" w:h="16838"/>
          <w:pgMar w:top="1417" w:right="1588" w:bottom="1417" w:left="1588" w:header="851" w:footer="992" w:gutter="0"/>
          <w:pgNumType w:start="1"/>
          <w:cols w:space="425" w:num="1"/>
          <w:docGrid w:type="lines" w:linePitch="312" w:charSpace="0"/>
        </w:sectPr>
      </w:pPr>
    </w:p>
    <w:p w14:paraId="3326B2D9">
      <w:pPr>
        <w:rPr>
          <w:rFonts w:ascii="Times New Roman" w:hAnsi="Times New Roman" w:eastAsia="方正小标宋_GBK" w:cs="Times New Roman"/>
          <w:sz w:val="72"/>
          <w:szCs w:val="72"/>
        </w:rPr>
      </w:pPr>
    </w:p>
    <w:p w14:paraId="2702FAD9">
      <w:pPr>
        <w:pStyle w:val="14"/>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第一部分</w:t>
      </w:r>
    </w:p>
    <w:p w14:paraId="56915EC6">
      <w:pPr>
        <w:pStyle w:val="14"/>
        <w:spacing w:line="360" w:lineRule="auto"/>
        <w:jc w:val="center"/>
        <w:rPr>
          <w:rFonts w:ascii="Times New Roman" w:hAnsi="Times New Roman" w:eastAsia="方正小标宋_GBK" w:cs="Times New Roman"/>
          <w:sz w:val="52"/>
          <w:szCs w:val="52"/>
        </w:rPr>
      </w:pPr>
      <w:r>
        <w:rPr>
          <w:rFonts w:hint="eastAsia" w:ascii="Times New Roman" w:hAnsi="Times New Roman" w:eastAsia="方正小标宋_GBK" w:cs="Times New Roman"/>
          <w:sz w:val="52"/>
          <w:szCs w:val="52"/>
          <w:lang w:eastAsia="zh-CN"/>
        </w:rPr>
        <w:t>怀化市住房公积金管理中心</w:t>
      </w:r>
      <w:r>
        <w:rPr>
          <w:rFonts w:ascii="Times New Roman" w:hAnsi="Times New Roman" w:eastAsia="方正小标宋_GBK" w:cs="Times New Roman"/>
          <w:sz w:val="52"/>
          <w:szCs w:val="52"/>
        </w:rPr>
        <w:t>概况</w:t>
      </w:r>
    </w:p>
    <w:p w14:paraId="6FE232EA">
      <w:pPr>
        <w:pStyle w:val="4"/>
        <w:ind w:left="0" w:leftChars="0" w:firstLine="0" w:firstLineChars="0"/>
        <w:rPr>
          <w:rFonts w:ascii="Times New Roman" w:hAnsi="Times New Roman" w:cs="Times New Roman"/>
        </w:rPr>
      </w:pPr>
    </w:p>
    <w:p w14:paraId="2C4AA143">
      <w:pPr>
        <w:pStyle w:val="15"/>
        <w:spacing w:line="600" w:lineRule="exact"/>
        <w:ind w:firstLine="0" w:firstLineChars="0"/>
        <w:jc w:val="left"/>
        <w:rPr>
          <w:rFonts w:ascii="Times New Roman" w:hAnsi="Times New Roman" w:eastAsia="黑体" w:cs="Times New Roman"/>
          <w:sz w:val="32"/>
          <w:szCs w:val="32"/>
        </w:rPr>
      </w:pPr>
      <w:r>
        <w:rPr>
          <w:rFonts w:hint="eastAsia" w:ascii="Times New Roman" w:hAnsi="Times New Roman" w:eastAsia="黑体" w:cs="Times New Roman"/>
          <w:sz w:val="32"/>
          <w:szCs w:val="32"/>
        </w:rPr>
        <w:t>一、</w:t>
      </w:r>
      <w:r>
        <w:rPr>
          <w:rFonts w:ascii="Times New Roman" w:hAnsi="Times New Roman" w:eastAsia="黑体" w:cs="Times New Roman"/>
          <w:sz w:val="32"/>
          <w:szCs w:val="32"/>
        </w:rPr>
        <w:t>部门职责</w:t>
      </w:r>
    </w:p>
    <w:p w14:paraId="19DF9F7C">
      <w:pPr>
        <w:widowControl/>
        <w:spacing w:line="600" w:lineRule="exact"/>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怀化市住房公积金管理中心</w:t>
      </w:r>
      <w:r>
        <w:rPr>
          <w:rFonts w:hint="eastAsia" w:ascii="Times New Roman" w:hAnsi="Times New Roman" w:eastAsia="仿宋_GB2312" w:cs="Times New Roman"/>
          <w:sz w:val="32"/>
          <w:szCs w:val="32"/>
          <w:lang w:eastAsia="zh-CN"/>
        </w:rPr>
        <w:t>（以下简称“中心”）</w:t>
      </w:r>
      <w:r>
        <w:rPr>
          <w:rFonts w:hint="eastAsia" w:ascii="Times New Roman" w:hAnsi="Times New Roman" w:eastAsia="仿宋_GB2312" w:cs="Times New Roman"/>
          <w:sz w:val="32"/>
          <w:szCs w:val="32"/>
        </w:rPr>
        <w:t>为市人民政府直属公益一类事业单位，机构规格相当于正处级。中心贯彻落实党中央和省委关于住房公积金管理工作的方针政策和决策部署，全面落实市委市政府关于住房公积金管理工作的部署要求，在履行职责过程中坚持和加强党对住房公积金管理工作的集中统一领导。主要职责是：</w:t>
      </w:r>
    </w:p>
    <w:p w14:paraId="70187C79">
      <w:pPr>
        <w:widowControl/>
        <w:spacing w:line="600" w:lineRule="exact"/>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（一）贯彻执行国家、省、市关于住房公积金管理的法律法规、政策规定；拟订全市住房公积金事业发展规划；负责住房公积金制度的宣传、建立和推广；负责全市住房公积金的管理运作。</w:t>
      </w:r>
    </w:p>
    <w:p w14:paraId="696D56DF">
      <w:pPr>
        <w:widowControl/>
        <w:spacing w:line="600" w:lineRule="exact"/>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（二）拟订全市住房公积金业务操作规程、实施细则并组织实施；对住房公积金管理的法规政策、规章制度执行情况进行监督，对违规行为进行处理。</w:t>
      </w:r>
    </w:p>
    <w:p w14:paraId="50422F1B">
      <w:pPr>
        <w:widowControl/>
        <w:spacing w:line="600" w:lineRule="exact"/>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 xml:space="preserve">（三）编制、执行全市住房公积金年度归集、使用计划；编制全市住房公积金年度归集、使用计划执行情况报告和增值收益分配方案，经市财政部门审核，报管委会审议后执行。  </w:t>
      </w:r>
    </w:p>
    <w:p w14:paraId="07DDF7CC">
      <w:pPr>
        <w:widowControl/>
        <w:spacing w:line="600" w:lineRule="exact"/>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（四）编制全市住房公积金年度预决算，经市财政部门审核，报管委会审议后执行。</w:t>
      </w:r>
    </w:p>
    <w:p w14:paraId="61DA90A2">
      <w:pPr>
        <w:widowControl/>
        <w:spacing w:line="600" w:lineRule="exact"/>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（五）编制住房公积金年度报告，经管委会审议后定期向社会公布。</w:t>
      </w:r>
    </w:p>
    <w:p w14:paraId="53CAC49F">
      <w:pPr>
        <w:widowControl/>
        <w:spacing w:line="600" w:lineRule="exact"/>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六）定期核定、调整全市住房公积金的缴存基数、缴存比例，督促缴存单位和个人按时足额缴纳住房公积金；负责记载职工个人住房公积金的缴存、使用、转移、封存、冻结、账户注销等情况以及与缴存单位、个人定期对账。</w:t>
      </w:r>
    </w:p>
    <w:p w14:paraId="68D5CF3A">
      <w:pPr>
        <w:widowControl/>
        <w:spacing w:line="600" w:lineRule="exact"/>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（七）审核单位降低住房公积金缴存比例或者缓缴的申请，报管委会批准后执行。</w:t>
      </w:r>
    </w:p>
    <w:p w14:paraId="1E761F5B">
      <w:pPr>
        <w:widowControl/>
        <w:spacing w:line="600" w:lineRule="exact"/>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（八）审批个人住房公积金的提取、贷款。</w:t>
      </w:r>
    </w:p>
    <w:p w14:paraId="4290F06E">
      <w:pPr>
        <w:widowControl/>
        <w:spacing w:line="600" w:lineRule="exact"/>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（九）负责住房公积金的保值增值和归还。</w:t>
      </w:r>
    </w:p>
    <w:p w14:paraId="76C19E38">
      <w:pPr>
        <w:widowControl/>
        <w:spacing w:line="600" w:lineRule="exact"/>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（十）依规办理全市住房公积金呆账核销工作。</w:t>
      </w:r>
    </w:p>
    <w:p w14:paraId="507F9349">
      <w:pPr>
        <w:widowControl/>
        <w:spacing w:line="600" w:lineRule="exact"/>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（十一）负责市本级原房改房住房基金及维修基金的管理工作。</w:t>
      </w:r>
    </w:p>
    <w:p w14:paraId="0627A2A4">
      <w:pPr>
        <w:widowControl/>
        <w:spacing w:line="600" w:lineRule="exact"/>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（十二）负责建设、维护、管理全市住房公积金业务管理信息系统，建立健全住房公积金业务信息系统互联互通和信息资源共享机制。</w:t>
      </w:r>
    </w:p>
    <w:p w14:paraId="53C6B8BE">
      <w:pPr>
        <w:widowControl/>
        <w:spacing w:line="600" w:lineRule="exact"/>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（十三）负责全市住房公积金管理系统思想政治建设、组织文化建设和队伍建设，提高全市住房公积金管理人员的业务能力和综合素质。</w:t>
      </w:r>
    </w:p>
    <w:p w14:paraId="1D68010D">
      <w:pPr>
        <w:widowControl/>
        <w:spacing w:line="600" w:lineRule="exact"/>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（十四）负责对各县市区管理部人、财、物的全面管理，直接负责全市住房公积金管理系统人员招录、中层及以下工作人员的考察任免事项。</w:t>
      </w:r>
    </w:p>
    <w:p w14:paraId="7D6C5924">
      <w:pPr>
        <w:widowControl/>
        <w:spacing w:line="600" w:lineRule="exact"/>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（十五）承办市委、市政府交办的其他工作。</w:t>
      </w:r>
    </w:p>
    <w:p w14:paraId="7339A881">
      <w:pPr>
        <w:widowControl/>
        <w:spacing w:line="600" w:lineRule="exac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二、机构设置及决算单位构成</w:t>
      </w:r>
    </w:p>
    <w:p w14:paraId="613A9F49">
      <w:pPr>
        <w:widowControl/>
        <w:spacing w:line="600" w:lineRule="exact"/>
        <w:rPr>
          <w:rFonts w:hint="eastAsia" w:ascii="Times New Roman" w:hAnsi="Times New Roman" w:eastAsia="仿宋_GB2312" w:cs="Times New Roman"/>
          <w:bCs/>
          <w:kern w:val="0"/>
          <w:sz w:val="32"/>
          <w:szCs w:val="32"/>
        </w:rPr>
      </w:pPr>
      <w:r>
        <w:rPr>
          <w:rFonts w:hint="eastAsia" w:ascii="Times New Roman" w:hAnsi="Times New Roman" w:eastAsia="仿宋_GB2312" w:cs="Times New Roman"/>
          <w:bCs/>
          <w:kern w:val="0"/>
          <w:sz w:val="32"/>
          <w:szCs w:val="32"/>
        </w:rPr>
        <w:t>（一）内设机构设置。中心作为一级部门预算单位，内设科室8个：综合部、人事部、财务部、稽核部、资金核算部、科技信息部、政策法规部、网办政务服务部；下设不具备独立法人资格的正科级分支机构15个：市直管理一部、市直管理二部、沅陵县管理部、辰溪县管理部、溆浦县管理部、麻阳苗族自治县管理部、新晃侗族自治县管理部、芷江侗族自治县管理部、鹤城区管理部、中方县管理部、洪江市管理部、洪江区管理部、会同县管理部、靖州苗族侗族自治县管理部、通道侗族自治县管理部。</w:t>
      </w:r>
    </w:p>
    <w:p w14:paraId="305EAD5E">
      <w:pPr>
        <w:jc w:val="left"/>
        <w:rPr>
          <w:rFonts w:ascii="Times New Roman" w:hAnsi="Times New Roman" w:eastAsia="黑体" w:cs="Times New Roman"/>
          <w:sz w:val="28"/>
          <w:szCs w:val="28"/>
        </w:rPr>
      </w:pPr>
      <w:r>
        <w:rPr>
          <w:rFonts w:hint="eastAsia" w:ascii="Times New Roman" w:hAnsi="Times New Roman" w:eastAsia="仿宋_GB2312" w:cs="Times New Roman"/>
          <w:bCs/>
          <w:kern w:val="0"/>
          <w:sz w:val="32"/>
          <w:szCs w:val="32"/>
        </w:rPr>
        <w:t>（二）决算单位构成。中心202</w:t>
      </w:r>
      <w:r>
        <w:rPr>
          <w:rFonts w:hint="eastAsia" w:ascii="Times New Roman" w:hAnsi="Times New Roman" w:eastAsia="仿宋_GB2312" w:cs="Times New Roman"/>
          <w:bCs/>
          <w:kern w:val="0"/>
          <w:sz w:val="32"/>
          <w:szCs w:val="32"/>
          <w:lang w:val="en-US" w:eastAsia="zh-CN"/>
        </w:rPr>
        <w:t>5</w:t>
      </w:r>
      <w:r>
        <w:rPr>
          <w:rFonts w:hint="eastAsia" w:ascii="Times New Roman" w:hAnsi="Times New Roman" w:eastAsia="仿宋_GB2312" w:cs="Times New Roman"/>
          <w:bCs/>
          <w:kern w:val="0"/>
          <w:sz w:val="32"/>
          <w:szCs w:val="32"/>
        </w:rPr>
        <w:t>年部门决算汇总公开单位构</w:t>
      </w:r>
      <w:r>
        <w:rPr>
          <w:rFonts w:hint="eastAsia" w:ascii="Times New Roman" w:hAnsi="Times New Roman" w:eastAsia="仿宋_GB2312" w:cs="Times New Roman"/>
          <w:bCs/>
          <w:kern w:val="0"/>
          <w:sz w:val="32"/>
          <w:szCs w:val="32"/>
          <w:lang w:eastAsia="zh-CN"/>
        </w:rPr>
        <w:t>成</w:t>
      </w:r>
      <w:r>
        <w:rPr>
          <w:rFonts w:hint="eastAsia" w:ascii="Times New Roman" w:hAnsi="Times New Roman" w:eastAsia="仿宋_GB2312" w:cs="Times New Roman"/>
          <w:bCs/>
          <w:kern w:val="0"/>
          <w:sz w:val="32"/>
          <w:szCs w:val="32"/>
        </w:rPr>
        <w:t>包括：中心本级。</w:t>
      </w:r>
    </w:p>
    <w:p w14:paraId="0A55BD87">
      <w:pPr>
        <w:widowControl/>
        <w:spacing w:line="600" w:lineRule="exact"/>
        <w:ind w:firstLine="420" w:firstLineChars="0"/>
        <w:rPr>
          <w:rFonts w:ascii="Times New Roman" w:hAnsi="Times New Roman" w:eastAsia="仿宋_GB2312" w:cs="Times New Roman"/>
          <w:bCs/>
          <w:kern w:val="0"/>
          <w:sz w:val="32"/>
          <w:szCs w:val="32"/>
        </w:rPr>
      </w:pPr>
    </w:p>
    <w:p w14:paraId="600A2DC4">
      <w:pPr>
        <w:jc w:val="left"/>
        <w:rPr>
          <w:rFonts w:ascii="Times New Roman" w:hAnsi="Times New Roman" w:eastAsia="仿宋_GB2312" w:cs="Times New Roman"/>
          <w:sz w:val="28"/>
          <w:szCs w:val="32"/>
        </w:rPr>
      </w:pPr>
    </w:p>
    <w:p w14:paraId="10555C85">
      <w:pPr>
        <w:jc w:val="center"/>
        <w:rPr>
          <w:rFonts w:ascii="Times New Roman" w:hAnsi="Times New Roman" w:eastAsia="黑体" w:cs="Times New Roman"/>
          <w:sz w:val="28"/>
          <w:szCs w:val="28"/>
        </w:rPr>
      </w:pPr>
    </w:p>
    <w:p w14:paraId="04F8726B">
      <w:pPr>
        <w:jc w:val="center"/>
        <w:rPr>
          <w:rFonts w:ascii="Times New Roman" w:hAnsi="Times New Roman" w:eastAsia="黑体" w:cs="Times New Roman"/>
          <w:sz w:val="28"/>
          <w:szCs w:val="28"/>
        </w:rPr>
      </w:pPr>
    </w:p>
    <w:p w14:paraId="285C11E4">
      <w:pPr>
        <w:jc w:val="center"/>
        <w:rPr>
          <w:rFonts w:ascii="Times New Roman" w:hAnsi="Times New Roman" w:eastAsia="黑体" w:cs="Times New Roman"/>
          <w:sz w:val="28"/>
          <w:szCs w:val="28"/>
        </w:rPr>
      </w:pPr>
    </w:p>
    <w:p w14:paraId="73AF785C">
      <w:pPr>
        <w:jc w:val="center"/>
        <w:rPr>
          <w:rFonts w:ascii="Times New Roman" w:hAnsi="Times New Roman" w:eastAsia="黑体" w:cs="Times New Roman"/>
          <w:sz w:val="28"/>
          <w:szCs w:val="28"/>
        </w:rPr>
      </w:pPr>
    </w:p>
    <w:p w14:paraId="0137E366">
      <w:pPr>
        <w:jc w:val="center"/>
        <w:rPr>
          <w:rFonts w:ascii="Times New Roman" w:hAnsi="Times New Roman" w:eastAsia="黑体" w:cs="Times New Roman"/>
          <w:sz w:val="28"/>
          <w:szCs w:val="28"/>
        </w:rPr>
      </w:pPr>
    </w:p>
    <w:p w14:paraId="63BF5019">
      <w:pPr>
        <w:pStyle w:val="8"/>
        <w:rPr>
          <w:rFonts w:ascii="Times New Roman" w:hAnsi="Times New Roman" w:cs="Times New Roman"/>
        </w:rPr>
        <w:sectPr>
          <w:footerReference r:id="rId6" w:type="default"/>
          <w:pgSz w:w="11906" w:h="16838"/>
          <w:pgMar w:top="1417" w:right="1588" w:bottom="1417" w:left="1588" w:header="851" w:footer="992" w:gutter="0"/>
          <w:pgNumType w:start="1"/>
          <w:cols w:space="425" w:num="1"/>
          <w:docGrid w:type="lines" w:linePitch="312" w:charSpace="0"/>
        </w:sectPr>
      </w:pPr>
    </w:p>
    <w:p w14:paraId="4A543B86">
      <w:pPr>
        <w:pStyle w:val="14"/>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第二部分    部门决算表</w:t>
      </w:r>
    </w:p>
    <w:p w14:paraId="5566CE7B">
      <w:pPr>
        <w:widowControl/>
        <w:spacing w:after="156" w:afterLines="50"/>
        <w:jc w:val="center"/>
        <w:textAlignment w:val="center"/>
        <w:rPr>
          <w:rFonts w:ascii="Times New Roman" w:hAnsi="Times New Roman" w:eastAsia="黑体" w:cs="Times New Roman"/>
          <w:color w:val="000000"/>
          <w:sz w:val="36"/>
          <w:szCs w:val="36"/>
        </w:rPr>
      </w:pPr>
      <w:r>
        <w:rPr>
          <w:rFonts w:ascii="Times New Roman" w:hAnsi="Times New Roman" w:eastAsia="黑体" w:cs="Times New Roman"/>
          <w:color w:val="000000"/>
          <w:kern w:val="0"/>
          <w:sz w:val="36"/>
          <w:szCs w:val="36"/>
          <w:lang w:bidi="ar"/>
        </w:rPr>
        <w:t>收入支出决算总表</w:t>
      </w:r>
    </w:p>
    <w:p w14:paraId="78156C8C">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公开01表</w:t>
      </w:r>
    </w:p>
    <w:p w14:paraId="60D82983">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hint="eastAsia" w:ascii="Times New Roman" w:hAnsi="Times New Roman" w:eastAsia="仿宋_GB2312" w:cs="Times New Roman"/>
          <w:color w:val="000000"/>
          <w:kern w:val="0"/>
          <w:sz w:val="20"/>
          <w:szCs w:val="20"/>
          <w:lang w:eastAsia="zh-CN" w:bidi="ar"/>
        </w:rPr>
        <w:t>怀化市住房公积金管理中心</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单位：万元</w:t>
      </w:r>
    </w:p>
    <w:tbl>
      <w:tblPr>
        <w:tblStyle w:val="10"/>
        <w:tblW w:w="14896" w:type="dxa"/>
        <w:jc w:val="center"/>
        <w:tblLayout w:type="autofit"/>
        <w:tblCellMar>
          <w:top w:w="0" w:type="dxa"/>
          <w:left w:w="108" w:type="dxa"/>
          <w:bottom w:w="0" w:type="dxa"/>
          <w:right w:w="108" w:type="dxa"/>
        </w:tblCellMar>
      </w:tblPr>
      <w:tblGrid>
        <w:gridCol w:w="5762"/>
        <w:gridCol w:w="850"/>
        <w:gridCol w:w="1291"/>
        <w:gridCol w:w="4851"/>
        <w:gridCol w:w="850"/>
        <w:gridCol w:w="1292"/>
      </w:tblGrid>
      <w:tr w14:paraId="7D39CC71">
        <w:tblPrEx>
          <w:tblCellMar>
            <w:top w:w="0" w:type="dxa"/>
            <w:left w:w="108" w:type="dxa"/>
            <w:bottom w:w="0" w:type="dxa"/>
            <w:right w:w="108" w:type="dxa"/>
          </w:tblCellMar>
        </w:tblPrEx>
        <w:trPr>
          <w:trHeight w:val="340" w:hRule="exact"/>
          <w:jc w:val="center"/>
        </w:trPr>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0373666">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收入</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F33FCCA">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支出</w:t>
            </w:r>
          </w:p>
        </w:tc>
      </w:tr>
      <w:tr w14:paraId="4DA6F8ED">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0B48C17">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项    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A8421A7">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B8FB514">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决算数</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984EF04">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项    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214CA12">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F11FFB">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决算数</w:t>
            </w:r>
          </w:p>
        </w:tc>
      </w:tr>
      <w:tr w14:paraId="43BEE6E2">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3D0AB4C">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    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B82906A">
            <w:pPr>
              <w:jc w:val="center"/>
              <w:rPr>
                <w:rFonts w:ascii="Times New Roman" w:hAnsi="Times New Roman" w:eastAsia="仿宋_GB2312" w:cs="Times New Roman"/>
                <w:color w:val="000000"/>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44F207C">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AAE233C">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    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F2498F2">
            <w:pPr>
              <w:jc w:val="center"/>
              <w:rPr>
                <w:rFonts w:ascii="Times New Roman" w:hAnsi="Times New Roman" w:eastAsia="仿宋_GB2312" w:cs="Times New Roman"/>
                <w:color w:val="000000"/>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1AF783E">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r>
      <w:tr w14:paraId="24D97E00">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2EC810">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一、一般公共预算财政拨款收入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9417B46">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3F096C">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2624.73</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0A026F4">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一、一般公共服务支出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42C0A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C9C9A9">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76.55</w:t>
            </w:r>
          </w:p>
        </w:tc>
      </w:tr>
      <w:tr w14:paraId="053C7416">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F757990">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二、政府性基金预算财政拨款收入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55E0F1E">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BB7B7D">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FC49478">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二、外交支出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F8D9A62">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833189">
            <w:pPr>
              <w:jc w:val="right"/>
              <w:rPr>
                <w:rFonts w:ascii="Times New Roman" w:hAnsi="Times New Roman" w:eastAsia="仿宋_GB2312" w:cs="Times New Roman"/>
                <w:color w:val="000000"/>
                <w:sz w:val="22"/>
              </w:rPr>
            </w:pPr>
          </w:p>
        </w:tc>
      </w:tr>
      <w:tr w14:paraId="7B07588E">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E0BA36">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三、国有资本经营预算财政拨款收入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567C25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F4C0E1">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BCEE20">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三、国防支出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BE20C6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CCC7F1">
            <w:pPr>
              <w:jc w:val="right"/>
              <w:rPr>
                <w:rFonts w:ascii="Times New Roman" w:hAnsi="Times New Roman" w:eastAsia="仿宋_GB2312" w:cs="Times New Roman"/>
                <w:color w:val="000000"/>
                <w:sz w:val="22"/>
              </w:rPr>
            </w:pPr>
          </w:p>
        </w:tc>
      </w:tr>
      <w:tr w14:paraId="1F92FF32">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EAB43C">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四、上级补助收入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D4572A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A028AD">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9518C33">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四、公共安全支出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CBC419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32D3AD">
            <w:pPr>
              <w:jc w:val="right"/>
              <w:rPr>
                <w:rFonts w:ascii="Times New Roman" w:hAnsi="Times New Roman" w:eastAsia="仿宋_GB2312" w:cs="Times New Roman"/>
                <w:color w:val="000000"/>
                <w:sz w:val="22"/>
              </w:rPr>
            </w:pPr>
          </w:p>
        </w:tc>
      </w:tr>
      <w:tr w14:paraId="0CDAD2C1">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3EC518C">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五、事业收入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A771CDC">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C65D48">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55AD11B">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五、教育支出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CF326D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7C7BA6">
            <w:pPr>
              <w:jc w:val="right"/>
              <w:rPr>
                <w:rFonts w:ascii="Times New Roman" w:hAnsi="Times New Roman" w:eastAsia="仿宋_GB2312" w:cs="Times New Roman"/>
                <w:color w:val="000000"/>
                <w:sz w:val="22"/>
              </w:rPr>
            </w:pPr>
          </w:p>
        </w:tc>
      </w:tr>
      <w:tr w14:paraId="11BEB86D">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ACC3C5F">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六、经营收入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BD538E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467EF8">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6A6F6E8">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六、科学技术支出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5B5ABB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DB336D">
            <w:pPr>
              <w:jc w:val="right"/>
              <w:rPr>
                <w:rFonts w:ascii="Times New Roman" w:hAnsi="Times New Roman" w:eastAsia="仿宋_GB2312" w:cs="Times New Roman"/>
                <w:color w:val="000000"/>
                <w:sz w:val="22"/>
              </w:rPr>
            </w:pPr>
          </w:p>
        </w:tc>
      </w:tr>
      <w:tr w14:paraId="0FCCA111">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7B6190D">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七、附属单位上缴收入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363BF5C">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B5175E">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0330BE">
            <w:pPr>
              <w:widowControl/>
              <w:jc w:val="left"/>
              <w:textAlignment w:val="center"/>
              <w:rPr>
                <w:rFonts w:hint="eastAsia"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七、资源勘探工业信息等支出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A2DF52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F3932E">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17.6</w:t>
            </w:r>
          </w:p>
        </w:tc>
      </w:tr>
      <w:tr w14:paraId="4B718BD3">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723341">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八、其他收入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050FD9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F79E71">
            <w:pPr>
              <w:jc w:val="lef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B101C1">
            <w:pPr>
              <w:jc w:val="left"/>
              <w:rPr>
                <w:rFonts w:hint="eastAsia" w:ascii="Times New Roman" w:hAnsi="Times New Roman" w:eastAsia="仿宋_GB2312" w:cs="Times New Roman"/>
                <w:color w:val="000000"/>
                <w:sz w:val="22"/>
                <w:lang w:eastAsia="zh-CN"/>
              </w:rPr>
            </w:pPr>
            <w:r>
              <w:rPr>
                <w:rFonts w:hint="eastAsia" w:ascii="Times New Roman" w:hAnsi="Times New Roman" w:eastAsia="仿宋_GB2312" w:cs="Times New Roman"/>
                <w:color w:val="000000"/>
                <w:sz w:val="22"/>
                <w:lang w:eastAsia="zh-CN"/>
              </w:rPr>
              <w:t>八、住房保障支出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2F90E7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93BE22">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2530.47</w:t>
            </w:r>
          </w:p>
        </w:tc>
      </w:tr>
      <w:tr w14:paraId="258D36CB">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2CE31F">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35C2B2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54ACA9">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172414">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A7C272C">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E95906">
            <w:pPr>
              <w:rPr>
                <w:rFonts w:ascii="Times New Roman" w:hAnsi="Times New Roman" w:eastAsia="仿宋_GB2312" w:cs="Times New Roman"/>
                <w:b/>
                <w:color w:val="000000"/>
                <w:sz w:val="22"/>
              </w:rPr>
            </w:pPr>
          </w:p>
        </w:tc>
      </w:tr>
      <w:tr w14:paraId="71AEFDA1">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132B6A">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本年收入合计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E4A9F6A">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7534DD">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2624.73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17AC14">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本年支出合计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854741">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937022">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2624.73</w:t>
            </w:r>
          </w:p>
        </w:tc>
      </w:tr>
      <w:tr w14:paraId="23B77149">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EEF676">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使用非财政拨款结余（含专用结余）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A72CAA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6A9A69">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45A8AA">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结余分配</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D0E626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830C3A">
            <w:pPr>
              <w:jc w:val="right"/>
              <w:rPr>
                <w:rFonts w:ascii="Times New Roman" w:hAnsi="Times New Roman" w:eastAsia="仿宋_GB2312" w:cs="Times New Roman"/>
                <w:color w:val="000000"/>
                <w:sz w:val="22"/>
              </w:rPr>
            </w:pPr>
          </w:p>
        </w:tc>
      </w:tr>
      <w:tr w14:paraId="217E76F2">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81764A">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年初结转和结余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11C7F3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1B39D8">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A6E870">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年末结转和结余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33F0D0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D858A6">
            <w:pPr>
              <w:jc w:val="right"/>
              <w:rPr>
                <w:rFonts w:ascii="Times New Roman" w:hAnsi="Times New Roman" w:eastAsia="仿宋_GB2312" w:cs="Times New Roman"/>
                <w:color w:val="000000"/>
                <w:sz w:val="22"/>
              </w:rPr>
            </w:pPr>
          </w:p>
        </w:tc>
      </w:tr>
      <w:tr w14:paraId="34650CB1">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A74C8AA">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9AC21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1B95DB">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2624.73</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50528D4">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73CB3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EB31C3">
            <w:pPr>
              <w:jc w:val="right"/>
              <w:rPr>
                <w:rFonts w:hint="default"/>
                <w:lang w:val="en-US" w:eastAsia="zh-CN"/>
              </w:rPr>
            </w:pPr>
            <w:r>
              <w:rPr>
                <w:rFonts w:hint="eastAsia" w:ascii="Times New Roman" w:hAnsi="Times New Roman" w:eastAsia="仿宋_GB2312" w:cs="Times New Roman"/>
                <w:b/>
                <w:color w:val="000000"/>
                <w:sz w:val="22"/>
                <w:lang w:val="en-US" w:eastAsia="zh-CN"/>
              </w:rPr>
              <w:t>2624.73</w:t>
            </w:r>
          </w:p>
        </w:tc>
      </w:tr>
    </w:tbl>
    <w:p w14:paraId="725F6FCE">
      <w:pPr>
        <w:widowControl/>
        <w:jc w:val="left"/>
        <w:textAlignment w:val="center"/>
        <w:rPr>
          <w:rFonts w:ascii="Times New Roman" w:hAnsi="Times New Roman" w:eastAsia="宋体" w:cs="Times New Roman"/>
          <w:color w:val="000000"/>
          <w:kern w:val="0"/>
          <w:sz w:val="24"/>
          <w:szCs w:val="24"/>
          <w:lang w:bidi="ar"/>
        </w:rPr>
      </w:pPr>
    </w:p>
    <w:p w14:paraId="0E300715">
      <w:pPr>
        <w:widowControl/>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注：1.本表反映部门本年度的总收支和年末结转结余情况。</w:t>
      </w:r>
      <w:r>
        <w:rPr>
          <w:rFonts w:ascii="Times New Roman" w:hAnsi="Times New Roman" w:eastAsia="仿宋_GB2312" w:cs="Times New Roman"/>
          <w:color w:val="000000"/>
          <w:kern w:val="0"/>
          <w:sz w:val="24"/>
          <w:szCs w:val="24"/>
          <w:lang w:bidi="ar"/>
        </w:rPr>
        <w:br w:type="textWrapping"/>
      </w:r>
      <w:r>
        <w:rPr>
          <w:rFonts w:ascii="Times New Roman" w:hAnsi="Times New Roman" w:eastAsia="仿宋_GB2312" w:cs="Times New Roman"/>
          <w:color w:val="000000"/>
          <w:kern w:val="0"/>
          <w:sz w:val="24"/>
          <w:szCs w:val="24"/>
          <w:lang w:bidi="ar"/>
        </w:rPr>
        <w:t xml:space="preserve">    2.本套报表金额单位转换时可能存在尾数误差。</w:t>
      </w:r>
    </w:p>
    <w:p w14:paraId="03B26625">
      <w:pPr>
        <w:rPr>
          <w:rFonts w:ascii="Times New Roman" w:hAnsi="Times New Roman" w:eastAsia="华文中宋" w:cs="Times New Roman"/>
          <w:color w:val="000000"/>
          <w:sz w:val="32"/>
          <w:szCs w:val="32"/>
        </w:rPr>
      </w:pPr>
      <w:r>
        <w:rPr>
          <w:rFonts w:ascii="Times New Roman" w:hAnsi="Times New Roman" w:eastAsia="华文中宋" w:cs="Times New Roman"/>
          <w:color w:val="000000"/>
          <w:sz w:val="32"/>
          <w:szCs w:val="32"/>
        </w:rPr>
        <w:br w:type="page"/>
      </w:r>
    </w:p>
    <w:p w14:paraId="4E629318">
      <w:pPr>
        <w:widowControl/>
        <w:spacing w:line="400" w:lineRule="exact"/>
        <w:jc w:val="center"/>
        <w:textAlignment w:val="center"/>
        <w:rPr>
          <w:rFonts w:ascii="Times New Roman" w:hAnsi="Times New Roman" w:eastAsia="黑体" w:cs="Times New Roman"/>
          <w:color w:val="000000"/>
          <w:kern w:val="0"/>
          <w:sz w:val="32"/>
          <w:szCs w:val="32"/>
          <w:lang w:bidi="ar"/>
        </w:rPr>
      </w:pPr>
    </w:p>
    <w:p w14:paraId="197D556A">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收入决算表</w:t>
      </w:r>
    </w:p>
    <w:p w14:paraId="52819699">
      <w:pPr>
        <w:tabs>
          <w:tab w:val="left" w:pos="315"/>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公开02表</w:t>
      </w:r>
    </w:p>
    <w:p w14:paraId="0CCD8EBB">
      <w:pPr>
        <w:tabs>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部门：</w:t>
      </w:r>
      <w:r>
        <w:rPr>
          <w:rFonts w:hint="eastAsia" w:ascii="Times New Roman" w:hAnsi="Times New Roman" w:eastAsia="仿宋_GB2312" w:cs="Times New Roman"/>
          <w:color w:val="000000"/>
          <w:sz w:val="20"/>
          <w:szCs w:val="20"/>
          <w:lang w:eastAsia="zh-CN"/>
        </w:rPr>
        <w:t>怀化市住房公积金管理中心</w:t>
      </w:r>
      <w:r>
        <w:rPr>
          <w:rFonts w:hint="eastAsia" w:ascii="Times New Roman" w:hAnsi="Times New Roman" w:eastAsia="仿宋_GB2312" w:cs="Times New Roman"/>
          <w:color w:val="000000"/>
          <w:sz w:val="20"/>
          <w:szCs w:val="20"/>
          <w:lang w:val="en-US" w:eastAsia="zh-CN"/>
        </w:rPr>
        <w:t xml:space="preserve">                       </w:t>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　</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单位：万元</w:t>
      </w:r>
    </w:p>
    <w:tbl>
      <w:tblPr>
        <w:tblStyle w:val="10"/>
        <w:tblW w:w="14666" w:type="dxa"/>
        <w:jc w:val="center"/>
        <w:tblLayout w:type="fixed"/>
        <w:tblCellMar>
          <w:top w:w="0" w:type="dxa"/>
          <w:left w:w="0" w:type="dxa"/>
          <w:bottom w:w="0" w:type="dxa"/>
          <w:right w:w="0" w:type="dxa"/>
        </w:tblCellMar>
      </w:tblPr>
      <w:tblGrid>
        <w:gridCol w:w="1421"/>
        <w:gridCol w:w="1765"/>
        <w:gridCol w:w="1640"/>
        <w:gridCol w:w="1640"/>
        <w:gridCol w:w="1640"/>
        <w:gridCol w:w="1640"/>
        <w:gridCol w:w="1640"/>
        <w:gridCol w:w="1897"/>
        <w:gridCol w:w="1383"/>
      </w:tblGrid>
      <w:tr w14:paraId="5CFD1C56">
        <w:tblPrEx>
          <w:tblCellMar>
            <w:top w:w="0" w:type="dxa"/>
            <w:left w:w="0" w:type="dxa"/>
            <w:bottom w:w="0" w:type="dxa"/>
            <w:right w:w="0" w:type="dxa"/>
          </w:tblCellMar>
        </w:tblPrEx>
        <w:trPr>
          <w:trHeight w:val="188"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53E5F858">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项    目</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02F80F05">
            <w:pPr>
              <w:jc w:val="center"/>
              <w:rPr>
                <w:rFonts w:ascii="Times New Roman" w:hAnsi="Times New Roman" w:eastAsia="仿宋_GB2312" w:cs="Times New Roman"/>
                <w:b/>
                <w:bCs/>
                <w:sz w:val="24"/>
                <w:szCs w:val="24"/>
              </w:rPr>
            </w:pPr>
            <w:r>
              <w:rPr>
                <w:rFonts w:ascii="Times New Roman" w:hAnsi="Times New Roman" w:eastAsia="仿宋_GB2312" w:cs="Times New Roman"/>
                <w:b/>
                <w:bCs/>
              </w:rPr>
              <w:t>本年收入合计</w:t>
            </w:r>
          </w:p>
        </w:tc>
        <w:tc>
          <w:tcPr>
            <w:tcW w:w="1640"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332837EE">
            <w:pPr>
              <w:jc w:val="center"/>
              <w:rPr>
                <w:rFonts w:ascii="Times New Roman" w:hAnsi="Times New Roman" w:eastAsia="仿宋_GB2312" w:cs="Times New Roman"/>
                <w:b/>
                <w:bCs/>
                <w:sz w:val="24"/>
                <w:szCs w:val="24"/>
              </w:rPr>
            </w:pPr>
            <w:r>
              <w:rPr>
                <w:rFonts w:ascii="Times New Roman" w:hAnsi="Times New Roman" w:eastAsia="仿宋_GB2312" w:cs="Times New Roman"/>
                <w:b/>
                <w:bCs/>
              </w:rPr>
              <w:t>财政拨款收入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275C63F">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上级补助收入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D9AF841">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事业收入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57A79166">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经营收入</w:t>
            </w:r>
          </w:p>
        </w:tc>
        <w:tc>
          <w:tcPr>
            <w:tcW w:w="1897"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6E256FE">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附属单位上缴收入</w:t>
            </w:r>
          </w:p>
        </w:tc>
        <w:tc>
          <w:tcPr>
            <w:tcW w:w="138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62D0A926">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其他收入</w:t>
            </w:r>
          </w:p>
        </w:tc>
      </w:tr>
      <w:tr w14:paraId="77C8B8D6">
        <w:tblPrEx>
          <w:tblCellMar>
            <w:top w:w="0" w:type="dxa"/>
            <w:left w:w="0" w:type="dxa"/>
            <w:bottom w:w="0" w:type="dxa"/>
            <w:right w:w="0" w:type="dxa"/>
          </w:tblCellMar>
        </w:tblPrEx>
        <w:trPr>
          <w:trHeight w:val="334" w:hRule="exact"/>
          <w:jc w:val="center"/>
        </w:trPr>
        <w:tc>
          <w:tcPr>
            <w:tcW w:w="1421"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5C4B6A32">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功能分类科目编码</w:t>
            </w:r>
          </w:p>
        </w:tc>
        <w:tc>
          <w:tcPr>
            <w:tcW w:w="1765" w:type="dxa"/>
            <w:vMerge w:val="restart"/>
            <w:tcBorders>
              <w:top w:val="nil"/>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3B8B8AB8">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科目名称</w:t>
            </w: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1BFC3A6B">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643AE195">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5EB2A776">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1BDDBCA9">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5BA8774A">
            <w:pPr>
              <w:rPr>
                <w:rFonts w:ascii="Times New Roman" w:hAnsi="Times New Roman" w:eastAsia="仿宋_GB2312" w:cs="Times New Roman"/>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14:paraId="3C746F86">
            <w:pP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14:paraId="55094E34">
            <w:pPr>
              <w:rPr>
                <w:rFonts w:ascii="Times New Roman" w:hAnsi="Times New Roman" w:eastAsia="仿宋_GB2312" w:cs="Times New Roman"/>
                <w:sz w:val="24"/>
                <w:szCs w:val="24"/>
              </w:rPr>
            </w:pPr>
          </w:p>
        </w:tc>
      </w:tr>
      <w:tr w14:paraId="4AC79FC5">
        <w:tblPrEx>
          <w:tblCellMar>
            <w:top w:w="0" w:type="dxa"/>
            <w:left w:w="0" w:type="dxa"/>
            <w:bottom w:w="0" w:type="dxa"/>
            <w:right w:w="0" w:type="dxa"/>
          </w:tblCellMar>
        </w:tblPrEx>
        <w:trPr>
          <w:trHeight w:val="312" w:hRule="atLeast"/>
          <w:jc w:val="center"/>
        </w:trPr>
        <w:tc>
          <w:tcPr>
            <w:tcW w:w="1421" w:type="dxa"/>
            <w:vMerge w:val="continue"/>
            <w:tcBorders>
              <w:top w:val="single" w:color="auto" w:sz="4" w:space="0"/>
              <w:left w:val="single" w:color="auto" w:sz="4" w:space="0"/>
              <w:bottom w:val="single" w:color="auto" w:sz="4" w:space="0"/>
              <w:right w:val="single" w:color="auto" w:sz="4" w:space="0"/>
            </w:tcBorders>
            <w:vAlign w:val="center"/>
          </w:tcPr>
          <w:p w14:paraId="21397766">
            <w:pPr>
              <w:rPr>
                <w:rFonts w:ascii="Times New Roman" w:hAnsi="Times New Roman" w:eastAsia="仿宋_GB2312" w:cs="Times New Roman"/>
                <w:sz w:val="24"/>
                <w:szCs w:val="24"/>
              </w:rPr>
            </w:pPr>
          </w:p>
        </w:tc>
        <w:tc>
          <w:tcPr>
            <w:tcW w:w="1765" w:type="dxa"/>
            <w:vMerge w:val="continue"/>
            <w:tcBorders>
              <w:top w:val="nil"/>
              <w:left w:val="single" w:color="auto" w:sz="4" w:space="0"/>
              <w:bottom w:val="single" w:color="auto" w:sz="4" w:space="0"/>
              <w:right w:val="single" w:color="auto" w:sz="4" w:space="0"/>
            </w:tcBorders>
            <w:vAlign w:val="center"/>
          </w:tcPr>
          <w:p w14:paraId="119CDCF9">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46F00F16">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5654CB54">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2B22CA34">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1E277489">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5A4B664B">
            <w:pPr>
              <w:rPr>
                <w:rFonts w:ascii="Times New Roman" w:hAnsi="Times New Roman" w:eastAsia="仿宋_GB2312" w:cs="Times New Roman"/>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14:paraId="1E3D1706">
            <w:pP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14:paraId="0CC2498D">
            <w:pPr>
              <w:rPr>
                <w:rFonts w:ascii="Times New Roman" w:hAnsi="Times New Roman" w:eastAsia="仿宋_GB2312" w:cs="Times New Roman"/>
                <w:sz w:val="24"/>
                <w:szCs w:val="24"/>
              </w:rPr>
            </w:pPr>
          </w:p>
        </w:tc>
      </w:tr>
      <w:tr w14:paraId="11629825">
        <w:tblPrEx>
          <w:tblCellMar>
            <w:top w:w="0" w:type="dxa"/>
            <w:left w:w="0" w:type="dxa"/>
            <w:bottom w:w="0" w:type="dxa"/>
            <w:right w:w="0" w:type="dxa"/>
          </w:tblCellMar>
        </w:tblPrEx>
        <w:trPr>
          <w:trHeight w:val="291"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942DB41">
            <w:pPr>
              <w:jc w:val="center"/>
              <w:rPr>
                <w:rFonts w:ascii="Times New Roman" w:hAnsi="Times New Roman" w:eastAsia="仿宋_GB2312" w:cs="Times New Roman"/>
                <w:sz w:val="24"/>
                <w:szCs w:val="24"/>
              </w:rPr>
            </w:pPr>
            <w:r>
              <w:rPr>
                <w:rFonts w:ascii="Times New Roman" w:hAnsi="Times New Roman" w:eastAsia="仿宋_GB2312" w:cs="Times New Roman"/>
              </w:rPr>
              <w:t>栏次</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11E3730">
            <w:pPr>
              <w:jc w:val="center"/>
              <w:rPr>
                <w:rFonts w:ascii="Times New Roman" w:hAnsi="Times New Roman" w:eastAsia="仿宋_GB2312" w:cs="Times New Roman"/>
                <w:sz w:val="24"/>
                <w:szCs w:val="24"/>
              </w:rPr>
            </w:pPr>
            <w:r>
              <w:rPr>
                <w:rFonts w:ascii="Times New Roman" w:hAnsi="Times New Roman" w:eastAsia="仿宋_GB2312" w:cs="Times New Roman"/>
              </w:rPr>
              <w:t>1</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EBE683B">
            <w:pPr>
              <w:jc w:val="center"/>
              <w:rPr>
                <w:rFonts w:ascii="Times New Roman" w:hAnsi="Times New Roman" w:eastAsia="仿宋_GB2312" w:cs="Times New Roman"/>
                <w:sz w:val="24"/>
                <w:szCs w:val="24"/>
              </w:rPr>
            </w:pPr>
            <w:r>
              <w:rPr>
                <w:rFonts w:ascii="Times New Roman" w:hAnsi="Times New Roman" w:eastAsia="仿宋_GB2312" w:cs="Times New Roman"/>
              </w:rPr>
              <w:t>2</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89C9653">
            <w:pPr>
              <w:jc w:val="center"/>
              <w:rPr>
                <w:rFonts w:ascii="Times New Roman" w:hAnsi="Times New Roman" w:eastAsia="仿宋_GB2312" w:cs="Times New Roman"/>
                <w:sz w:val="24"/>
                <w:szCs w:val="24"/>
              </w:rPr>
            </w:pPr>
            <w:r>
              <w:rPr>
                <w:rFonts w:ascii="Times New Roman" w:hAnsi="Times New Roman" w:eastAsia="仿宋_GB2312" w:cs="Times New Roman"/>
              </w:rPr>
              <w:t>3</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0BF191B">
            <w:pPr>
              <w:jc w:val="center"/>
              <w:rPr>
                <w:rFonts w:ascii="Times New Roman" w:hAnsi="Times New Roman" w:eastAsia="仿宋_GB2312" w:cs="Times New Roman"/>
                <w:sz w:val="24"/>
                <w:szCs w:val="24"/>
              </w:rPr>
            </w:pPr>
            <w:r>
              <w:rPr>
                <w:rFonts w:ascii="Times New Roman" w:hAnsi="Times New Roman" w:eastAsia="仿宋_GB2312" w:cs="Times New Roman"/>
              </w:rPr>
              <w:t>4</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9174E5A">
            <w:pPr>
              <w:jc w:val="center"/>
              <w:rPr>
                <w:rFonts w:ascii="Times New Roman" w:hAnsi="Times New Roman" w:eastAsia="仿宋_GB2312" w:cs="Times New Roman"/>
                <w:sz w:val="24"/>
                <w:szCs w:val="24"/>
              </w:rPr>
            </w:pPr>
            <w:r>
              <w:rPr>
                <w:rFonts w:ascii="Times New Roman" w:hAnsi="Times New Roman" w:eastAsia="仿宋_GB2312" w:cs="Times New Roman"/>
              </w:rPr>
              <w:t>5</w:t>
            </w:r>
          </w:p>
        </w:tc>
        <w:tc>
          <w:tcPr>
            <w:tcW w:w="189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FA36C84">
            <w:pPr>
              <w:jc w:val="center"/>
              <w:rPr>
                <w:rFonts w:ascii="Times New Roman" w:hAnsi="Times New Roman" w:eastAsia="仿宋_GB2312" w:cs="Times New Roman"/>
                <w:sz w:val="24"/>
                <w:szCs w:val="24"/>
              </w:rPr>
            </w:pPr>
            <w:r>
              <w:rPr>
                <w:rFonts w:ascii="Times New Roman" w:hAnsi="Times New Roman" w:eastAsia="仿宋_GB2312" w:cs="Times New Roman"/>
              </w:rPr>
              <w:t>6</w:t>
            </w:r>
          </w:p>
        </w:tc>
        <w:tc>
          <w:tcPr>
            <w:tcW w:w="138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33285F5">
            <w:pPr>
              <w:jc w:val="center"/>
              <w:rPr>
                <w:rFonts w:ascii="Times New Roman" w:hAnsi="Times New Roman" w:eastAsia="仿宋_GB2312" w:cs="Times New Roman"/>
                <w:sz w:val="24"/>
                <w:szCs w:val="24"/>
              </w:rPr>
            </w:pPr>
            <w:r>
              <w:rPr>
                <w:rFonts w:ascii="Times New Roman" w:hAnsi="Times New Roman" w:eastAsia="仿宋_GB2312" w:cs="Times New Roman"/>
              </w:rPr>
              <w:t>7</w:t>
            </w:r>
          </w:p>
        </w:tc>
      </w:tr>
      <w:tr w14:paraId="2CB1BA3F">
        <w:tblPrEx>
          <w:tblCellMar>
            <w:top w:w="0" w:type="dxa"/>
            <w:left w:w="0" w:type="dxa"/>
            <w:bottom w:w="0" w:type="dxa"/>
            <w:right w:w="0" w:type="dxa"/>
          </w:tblCellMar>
        </w:tblPrEx>
        <w:trPr>
          <w:trHeight w:val="450"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D7F507A">
            <w:pPr>
              <w:jc w:val="center"/>
              <w:rPr>
                <w:rFonts w:ascii="Times New Roman" w:hAnsi="Times New Roman" w:eastAsia="仿宋_GB2312" w:cs="Times New Roman"/>
                <w:sz w:val="24"/>
                <w:szCs w:val="24"/>
              </w:rPr>
            </w:pPr>
            <w:r>
              <w:rPr>
                <w:rFonts w:ascii="Times New Roman" w:hAnsi="Times New Roman" w:eastAsia="仿宋_GB2312" w:cs="Times New Roman"/>
              </w:rPr>
              <w:t>合计</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22FE09F">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b/>
                <w:bCs/>
                <w:i w:val="0"/>
                <w:iCs w:val="0"/>
                <w:color w:val="000000"/>
                <w:kern w:val="0"/>
                <w:sz w:val="22"/>
                <w:szCs w:val="22"/>
                <w:u w:val="none"/>
                <w:lang w:val="en-US" w:eastAsia="zh-CN" w:bidi="ar"/>
              </w:rPr>
              <w:t>2,624.73</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895B1DA">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b/>
                <w:bCs/>
                <w:i w:val="0"/>
                <w:iCs w:val="0"/>
                <w:color w:val="000000"/>
                <w:kern w:val="0"/>
                <w:sz w:val="22"/>
                <w:szCs w:val="22"/>
                <w:u w:val="none"/>
                <w:lang w:val="en-US" w:eastAsia="zh-CN" w:bidi="ar"/>
              </w:rPr>
              <w:t>2,624.73</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FAD119D">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b/>
                <w:bCs/>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57507D8">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b/>
                <w:bCs/>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5A51A4C">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b/>
                <w:bCs/>
                <w:i w:val="0"/>
                <w:iCs w:val="0"/>
                <w:color w:val="000000"/>
                <w:kern w:val="0"/>
                <w:sz w:val="22"/>
                <w:szCs w:val="22"/>
                <w:u w:val="none"/>
                <w:lang w:val="en-US" w:eastAsia="zh-CN" w:bidi="ar"/>
              </w:rPr>
              <w:t>0.00</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DF34849">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b/>
                <w:bCs/>
                <w:i w:val="0"/>
                <w:iCs w:val="0"/>
                <w:color w:val="000000"/>
                <w:kern w:val="0"/>
                <w:sz w:val="22"/>
                <w:szCs w:val="22"/>
                <w:u w:val="none"/>
                <w:lang w:val="en-US" w:eastAsia="zh-CN" w:bidi="ar"/>
              </w:rPr>
              <w:t>0.00</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9FB6404">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b/>
                <w:bCs/>
                <w:i w:val="0"/>
                <w:iCs w:val="0"/>
                <w:color w:val="000000"/>
                <w:kern w:val="0"/>
                <w:sz w:val="22"/>
                <w:szCs w:val="22"/>
                <w:u w:val="none"/>
                <w:lang w:val="en-US" w:eastAsia="zh-CN" w:bidi="ar"/>
              </w:rPr>
              <w:t>0.00</w:t>
            </w:r>
          </w:p>
        </w:tc>
      </w:tr>
      <w:tr w14:paraId="54D4EA41">
        <w:tblPrEx>
          <w:tblCellMar>
            <w:top w:w="0" w:type="dxa"/>
            <w:left w:w="0" w:type="dxa"/>
            <w:bottom w:w="0" w:type="dxa"/>
            <w:right w:w="0" w:type="dxa"/>
          </w:tblCellMar>
        </w:tblPrEx>
        <w:trPr>
          <w:trHeight w:val="450" w:hRule="atLeast"/>
          <w:jc w:val="center"/>
        </w:trPr>
        <w:tc>
          <w:tcPr>
            <w:tcW w:w="1421"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A8BC6DC">
            <w:pPr>
              <w:rPr>
                <w:rFonts w:hint="default" w:ascii="Times New Roman" w:hAnsi="Times New Roman" w:eastAsia="仿宋_GB2312" w:cs="Times New Roman"/>
                <w:sz w:val="24"/>
                <w:szCs w:val="24"/>
                <w:lang w:val="en-US" w:eastAsia="zh-CN"/>
              </w:rPr>
            </w:pPr>
            <w:r>
              <w:rPr>
                <w:rFonts w:ascii="Times New Roman" w:hAnsi="Times New Roman" w:eastAsia="仿宋_GB2312" w:cs="Times New Roman"/>
              </w:rPr>
              <w:t>　</w:t>
            </w:r>
            <w:r>
              <w:rPr>
                <w:rFonts w:hint="eastAsia" w:ascii="Times New Roman" w:hAnsi="Times New Roman" w:eastAsia="仿宋_GB2312" w:cs="Times New Roman"/>
                <w:lang w:val="en-US" w:eastAsia="zh-CN"/>
              </w:rPr>
              <w:t>201</w:t>
            </w:r>
          </w:p>
        </w:tc>
        <w:tc>
          <w:tcPr>
            <w:tcW w:w="176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A501E12">
            <w:pPr>
              <w:rPr>
                <w:rFonts w:ascii="Times New Roman" w:hAnsi="Times New Roman" w:eastAsia="仿宋_GB2312" w:cs="Times New Roman"/>
                <w:sz w:val="24"/>
                <w:szCs w:val="24"/>
              </w:rPr>
            </w:pPr>
            <w:r>
              <w:rPr>
                <w:rFonts w:ascii="Times New Roman" w:hAnsi="Times New Roman" w:eastAsia="仿宋_GB2312" w:cs="Times New Roman"/>
              </w:rPr>
              <w:t>　</w:t>
            </w:r>
            <w:r>
              <w:rPr>
                <w:rFonts w:hint="eastAsia" w:ascii="Times New Roman" w:hAnsi="Times New Roman" w:eastAsia="仿宋_GB2312" w:cs="Times New Roman"/>
              </w:rPr>
              <w:t>一般公共服务支出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EEA2BC6">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76.65</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C8FF9AE">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76.65</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9C872B2">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2AB65C7">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A7A6E5F">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4E15B0C">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72D4168">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1AB77616">
        <w:tblPrEx>
          <w:tblCellMar>
            <w:top w:w="0" w:type="dxa"/>
            <w:left w:w="0" w:type="dxa"/>
            <w:bottom w:w="0" w:type="dxa"/>
            <w:right w:w="0" w:type="dxa"/>
          </w:tblCellMar>
        </w:tblPrEx>
        <w:trPr>
          <w:trHeight w:val="450" w:hRule="atLeast"/>
          <w:jc w:val="center"/>
        </w:trPr>
        <w:tc>
          <w:tcPr>
            <w:tcW w:w="1421"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6DBCC78">
            <w:pPr>
              <w:rPr>
                <w:rFonts w:hint="default" w:ascii="Times New Roman" w:hAnsi="Times New Roman" w:eastAsia="仿宋_GB2312" w:cs="Times New Roman"/>
                <w:sz w:val="24"/>
                <w:szCs w:val="24"/>
                <w:lang w:val="en-US" w:eastAsia="zh-CN"/>
              </w:rPr>
            </w:pPr>
            <w:r>
              <w:rPr>
                <w:rFonts w:ascii="Times New Roman" w:hAnsi="Times New Roman" w:eastAsia="仿宋_GB2312" w:cs="Times New Roman"/>
              </w:rPr>
              <w:t>　</w:t>
            </w:r>
            <w:r>
              <w:rPr>
                <w:rFonts w:hint="eastAsia" w:ascii="Times New Roman" w:hAnsi="Times New Roman" w:eastAsia="仿宋_GB2312" w:cs="Times New Roman"/>
                <w:lang w:val="en-US" w:eastAsia="zh-CN"/>
              </w:rPr>
              <w:t>20199</w:t>
            </w:r>
          </w:p>
        </w:tc>
        <w:tc>
          <w:tcPr>
            <w:tcW w:w="176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48A0EE6">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其他一般公共服务支出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C1F78EB">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76.65</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4943CCF">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76.65</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A607CC5">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F12B136">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2CA7031">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9EFA631">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D02405D">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31C4A20B">
        <w:tblPrEx>
          <w:tblCellMar>
            <w:top w:w="0" w:type="dxa"/>
            <w:left w:w="0" w:type="dxa"/>
            <w:bottom w:w="0" w:type="dxa"/>
            <w:right w:w="0" w:type="dxa"/>
          </w:tblCellMar>
        </w:tblPrEx>
        <w:trPr>
          <w:trHeight w:val="450" w:hRule="atLeast"/>
          <w:jc w:val="center"/>
        </w:trPr>
        <w:tc>
          <w:tcPr>
            <w:tcW w:w="1421"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2BFCD6C">
            <w:pPr>
              <w:rPr>
                <w:rFonts w:hint="default" w:ascii="Times New Roman" w:hAnsi="Times New Roman" w:eastAsia="仿宋_GB2312" w:cs="Times New Roman"/>
                <w:sz w:val="24"/>
                <w:szCs w:val="24"/>
                <w:lang w:val="en-US" w:eastAsia="zh-CN"/>
              </w:rPr>
            </w:pPr>
            <w:r>
              <w:rPr>
                <w:rFonts w:ascii="Times New Roman" w:hAnsi="Times New Roman" w:eastAsia="仿宋_GB2312" w:cs="Times New Roman"/>
              </w:rPr>
              <w:t>　</w:t>
            </w:r>
            <w:r>
              <w:rPr>
                <w:rFonts w:hint="eastAsia" w:ascii="Times New Roman" w:hAnsi="Times New Roman" w:eastAsia="仿宋_GB2312" w:cs="Times New Roman"/>
                <w:lang w:val="en-US" w:eastAsia="zh-CN"/>
              </w:rPr>
              <w:t>2019999</w:t>
            </w:r>
          </w:p>
        </w:tc>
        <w:tc>
          <w:tcPr>
            <w:tcW w:w="176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CABEB40">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  其他一般公共服务支出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8E86DB5">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76.65</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2C34470">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76.65</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8DF64A5">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81C15AC">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205A11B">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2745B79">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EF1BD93">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2E09F0A5">
        <w:tblPrEx>
          <w:tblCellMar>
            <w:top w:w="0" w:type="dxa"/>
            <w:left w:w="0" w:type="dxa"/>
            <w:bottom w:w="0" w:type="dxa"/>
            <w:right w:w="0" w:type="dxa"/>
          </w:tblCellMar>
        </w:tblPrEx>
        <w:trPr>
          <w:trHeight w:val="450" w:hRule="atLeast"/>
          <w:jc w:val="center"/>
        </w:trPr>
        <w:tc>
          <w:tcPr>
            <w:tcW w:w="1421"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6D8FDAA">
            <w:pPr>
              <w:rPr>
                <w:rFonts w:hint="default" w:ascii="Times New Roman" w:hAnsi="Times New Roman" w:eastAsia="仿宋_GB2312" w:cs="Times New Roman"/>
                <w:sz w:val="24"/>
                <w:szCs w:val="24"/>
                <w:lang w:val="en-US" w:eastAsia="zh-CN"/>
              </w:rPr>
            </w:pPr>
            <w:r>
              <w:rPr>
                <w:rFonts w:ascii="Times New Roman" w:hAnsi="Times New Roman" w:eastAsia="仿宋_GB2312" w:cs="Times New Roman"/>
              </w:rPr>
              <w:t>　</w:t>
            </w:r>
            <w:r>
              <w:rPr>
                <w:rFonts w:hint="eastAsia" w:ascii="Times New Roman" w:hAnsi="Times New Roman" w:eastAsia="仿宋_GB2312" w:cs="Times New Roman"/>
                <w:lang w:val="en-US" w:eastAsia="zh-CN"/>
              </w:rPr>
              <w:t>215</w:t>
            </w:r>
          </w:p>
        </w:tc>
        <w:tc>
          <w:tcPr>
            <w:tcW w:w="176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C19B6E9">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资源勘探工业信息等支出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D9DE1F1">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17.60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546873E">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17.60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0E04427">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8DB835F">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985F1E8">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D6F3947">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A68079E">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0C0CBF12">
        <w:tblPrEx>
          <w:tblCellMar>
            <w:top w:w="0" w:type="dxa"/>
            <w:left w:w="0" w:type="dxa"/>
            <w:bottom w:w="0" w:type="dxa"/>
            <w:right w:w="0" w:type="dxa"/>
          </w:tblCellMar>
        </w:tblPrEx>
        <w:trPr>
          <w:trHeight w:val="450" w:hRule="atLeast"/>
          <w:jc w:val="center"/>
        </w:trPr>
        <w:tc>
          <w:tcPr>
            <w:tcW w:w="1421"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19BDD5B">
            <w:pPr>
              <w:rPr>
                <w:rFonts w:hint="default" w:ascii="Times New Roman" w:hAnsi="Times New Roman" w:eastAsia="仿宋_GB2312" w:cs="Times New Roman"/>
                <w:sz w:val="24"/>
                <w:szCs w:val="24"/>
                <w:lang w:val="en-US" w:eastAsia="zh-CN"/>
              </w:rPr>
            </w:pPr>
            <w:r>
              <w:rPr>
                <w:rFonts w:ascii="Times New Roman" w:hAnsi="Times New Roman" w:eastAsia="仿宋_GB2312" w:cs="Times New Roman"/>
              </w:rPr>
              <w:t>　</w:t>
            </w:r>
            <w:r>
              <w:rPr>
                <w:rFonts w:hint="eastAsia" w:ascii="Times New Roman" w:hAnsi="Times New Roman" w:eastAsia="仿宋_GB2312" w:cs="Times New Roman"/>
                <w:lang w:val="en-US" w:eastAsia="zh-CN"/>
              </w:rPr>
              <w:t>21502</w:t>
            </w:r>
          </w:p>
        </w:tc>
        <w:tc>
          <w:tcPr>
            <w:tcW w:w="176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1B179C4">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制造业</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3D093EA">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17.60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6A457FB">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17.60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42D8ACB">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CBF157E">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D0D2008">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C2CF72D">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DA28776">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4713EF92">
        <w:tblPrEx>
          <w:tblCellMar>
            <w:top w:w="0" w:type="dxa"/>
            <w:left w:w="0" w:type="dxa"/>
            <w:bottom w:w="0" w:type="dxa"/>
            <w:right w:w="0" w:type="dxa"/>
          </w:tblCellMar>
        </w:tblPrEx>
        <w:trPr>
          <w:trHeight w:val="450" w:hRule="atLeast"/>
          <w:jc w:val="center"/>
        </w:trPr>
        <w:tc>
          <w:tcPr>
            <w:tcW w:w="1421"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1150C89">
            <w:pPr>
              <w:rPr>
                <w:rFonts w:hint="default" w:ascii="Times New Roman" w:hAnsi="Times New Roman" w:eastAsia="仿宋_GB2312" w:cs="Times New Roman"/>
                <w:sz w:val="24"/>
                <w:szCs w:val="24"/>
                <w:lang w:val="en-US" w:eastAsia="zh-CN"/>
              </w:rPr>
            </w:pPr>
            <w:r>
              <w:rPr>
                <w:rFonts w:ascii="Times New Roman" w:hAnsi="Times New Roman" w:eastAsia="仿宋_GB2312" w:cs="Times New Roman"/>
              </w:rPr>
              <w:t>　</w:t>
            </w:r>
            <w:r>
              <w:rPr>
                <w:rFonts w:hint="eastAsia" w:ascii="Times New Roman" w:hAnsi="Times New Roman" w:eastAsia="仿宋_GB2312" w:cs="Times New Roman"/>
                <w:lang w:val="en-US" w:eastAsia="zh-CN"/>
              </w:rPr>
              <w:t>2150207</w:t>
            </w:r>
          </w:p>
        </w:tc>
        <w:tc>
          <w:tcPr>
            <w:tcW w:w="1765" w:type="dxa"/>
            <w:tcBorders>
              <w:top w:val="nil"/>
              <w:left w:val="nil"/>
              <w:bottom w:val="nil"/>
              <w:right w:val="single" w:color="auto" w:sz="4" w:space="0"/>
            </w:tcBorders>
            <w:shd w:val="clear" w:color="000000" w:fill="FFFFFF"/>
            <w:noWrap/>
            <w:tcMar>
              <w:top w:w="15" w:type="dxa"/>
              <w:left w:w="15" w:type="dxa"/>
              <w:bottom w:w="0" w:type="dxa"/>
              <w:right w:w="15" w:type="dxa"/>
            </w:tcMar>
            <w:vAlign w:val="center"/>
          </w:tcPr>
          <w:p w14:paraId="6DBACAA8">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  通信设备、计算机及其他电子设备制造业</w:t>
            </w:r>
          </w:p>
        </w:tc>
        <w:tc>
          <w:tcPr>
            <w:tcW w:w="1640"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14:paraId="2CA0D40E">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17.60</w:t>
            </w:r>
          </w:p>
        </w:tc>
        <w:tc>
          <w:tcPr>
            <w:tcW w:w="1640"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14:paraId="06B615F6">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17.60</w:t>
            </w:r>
          </w:p>
        </w:tc>
        <w:tc>
          <w:tcPr>
            <w:tcW w:w="1640"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14:paraId="78BC2C18">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14:paraId="38FCA20B">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14:paraId="1C120E90">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897"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14:paraId="2DBCCC80">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383"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14:paraId="29DF7412">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6EB74E24">
        <w:tblPrEx>
          <w:tblCellMar>
            <w:top w:w="0" w:type="dxa"/>
            <w:left w:w="0" w:type="dxa"/>
            <w:bottom w:w="0" w:type="dxa"/>
            <w:right w:w="0" w:type="dxa"/>
          </w:tblCellMar>
        </w:tblPrEx>
        <w:trPr>
          <w:trHeight w:val="462" w:hRule="atLeast"/>
          <w:jc w:val="center"/>
        </w:trPr>
        <w:tc>
          <w:tcPr>
            <w:tcW w:w="1421"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B1629B6">
            <w:pPr>
              <w:ind w:firstLine="210" w:firstLineChars="100"/>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221</w:t>
            </w:r>
          </w:p>
        </w:tc>
        <w:tc>
          <w:tcPr>
            <w:tcW w:w="1765" w:type="dxa"/>
            <w:tcBorders>
              <w:top w:val="nil"/>
              <w:left w:val="nil"/>
              <w:bottom w:val="nil"/>
              <w:right w:val="single" w:color="auto" w:sz="4" w:space="0"/>
            </w:tcBorders>
            <w:shd w:val="clear" w:color="000000" w:fill="FFFFFF"/>
            <w:noWrap/>
            <w:tcMar>
              <w:top w:w="15" w:type="dxa"/>
              <w:left w:w="15" w:type="dxa"/>
              <w:bottom w:w="0" w:type="dxa"/>
              <w:right w:w="15" w:type="dxa"/>
            </w:tcMar>
            <w:vAlign w:val="center"/>
          </w:tcPr>
          <w:p w14:paraId="175F100B">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住房保障支出</w:t>
            </w:r>
          </w:p>
        </w:tc>
        <w:tc>
          <w:tcPr>
            <w:tcW w:w="1640"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14:paraId="07948FD0">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2,530.47</w:t>
            </w:r>
          </w:p>
        </w:tc>
        <w:tc>
          <w:tcPr>
            <w:tcW w:w="1640"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14:paraId="2A934389">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2,530.47</w:t>
            </w:r>
          </w:p>
        </w:tc>
        <w:tc>
          <w:tcPr>
            <w:tcW w:w="1640"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14:paraId="23D24D24">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14:paraId="256871F3">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14:paraId="5EA27C86">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897"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14:paraId="27383F25">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383"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14:paraId="7AA05A55">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r>
      <w:tr w14:paraId="6F6070BE">
        <w:tblPrEx>
          <w:tblCellMar>
            <w:top w:w="0" w:type="dxa"/>
            <w:left w:w="0" w:type="dxa"/>
            <w:bottom w:w="0" w:type="dxa"/>
            <w:right w:w="0" w:type="dxa"/>
          </w:tblCellMar>
        </w:tblPrEx>
        <w:trPr>
          <w:trHeight w:val="450" w:hRule="atLeast"/>
          <w:jc w:val="center"/>
        </w:trPr>
        <w:tc>
          <w:tcPr>
            <w:tcW w:w="1421"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189A09A">
            <w:pPr>
              <w:ind w:firstLine="210" w:firstLineChars="100"/>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22103</w:t>
            </w:r>
          </w:p>
        </w:tc>
        <w:tc>
          <w:tcPr>
            <w:tcW w:w="1765" w:type="dxa"/>
            <w:tcBorders>
              <w:top w:val="nil"/>
              <w:left w:val="nil"/>
              <w:bottom w:val="nil"/>
              <w:right w:val="single" w:color="auto" w:sz="4" w:space="0"/>
            </w:tcBorders>
            <w:shd w:val="clear" w:color="000000" w:fill="FFFFFF"/>
            <w:noWrap/>
            <w:tcMar>
              <w:top w:w="15" w:type="dxa"/>
              <w:left w:w="15" w:type="dxa"/>
              <w:bottom w:w="0" w:type="dxa"/>
              <w:right w:w="15" w:type="dxa"/>
            </w:tcMar>
            <w:vAlign w:val="center"/>
          </w:tcPr>
          <w:p w14:paraId="4EE123A3">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城乡社区住宅</w:t>
            </w:r>
          </w:p>
        </w:tc>
        <w:tc>
          <w:tcPr>
            <w:tcW w:w="1640"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14:paraId="57D93F17">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2,530.47</w:t>
            </w:r>
          </w:p>
        </w:tc>
        <w:tc>
          <w:tcPr>
            <w:tcW w:w="1640"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14:paraId="40654F63">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2,530.47</w:t>
            </w:r>
          </w:p>
        </w:tc>
        <w:tc>
          <w:tcPr>
            <w:tcW w:w="1640"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14:paraId="2FF6FFDE">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14:paraId="1D52BB90">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14:paraId="2D837E1B">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897"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14:paraId="7243076C">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383"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14:paraId="47F76D0B">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r>
      <w:tr w14:paraId="62C0BD4D">
        <w:tblPrEx>
          <w:tblCellMar>
            <w:top w:w="0" w:type="dxa"/>
            <w:left w:w="0" w:type="dxa"/>
            <w:bottom w:w="0" w:type="dxa"/>
            <w:right w:w="0" w:type="dxa"/>
          </w:tblCellMar>
        </w:tblPrEx>
        <w:trPr>
          <w:trHeight w:val="450" w:hRule="atLeast"/>
          <w:jc w:val="center"/>
        </w:trPr>
        <w:tc>
          <w:tcPr>
            <w:tcW w:w="1421"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3C10575">
            <w:pP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  210302</w:t>
            </w:r>
          </w:p>
        </w:tc>
        <w:tc>
          <w:tcPr>
            <w:tcW w:w="176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24AB504">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  住房公积金管理</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1EAA320">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2,530.47</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D4BFEAC">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2,530.47</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416AE26">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ECFE907">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C78A10F">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7A7176D">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9DEDACD">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r>
    </w:tbl>
    <w:p w14:paraId="2A9FA835">
      <w:pPr>
        <w:spacing w:before="120"/>
        <w:rPr>
          <w:rFonts w:ascii="Times New Roman" w:hAnsi="Times New Roman" w:eastAsia="黑体" w:cs="Times New Roman"/>
          <w:color w:val="000000"/>
          <w:kern w:val="0"/>
          <w:sz w:val="32"/>
          <w:szCs w:val="32"/>
          <w:lang w:bidi="ar"/>
        </w:rPr>
      </w:pPr>
      <w:r>
        <w:rPr>
          <w:rFonts w:ascii="Times New Roman" w:hAnsi="Times New Roman" w:eastAsia="仿宋_GB2312" w:cs="Times New Roman"/>
        </w:rPr>
        <w:t>注：本表反映部门本年度取得的各项收入情况。</w:t>
      </w:r>
    </w:p>
    <w:p w14:paraId="2CAB0D92">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支出决算表</w:t>
      </w:r>
    </w:p>
    <w:p w14:paraId="4C9509C9">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公开03表</w:t>
      </w:r>
    </w:p>
    <w:p w14:paraId="65E2DEF9">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sz w:val="20"/>
          <w:szCs w:val="20"/>
        </w:rPr>
        <w:t>部门：</w:t>
      </w:r>
      <w:r>
        <w:rPr>
          <w:rFonts w:hint="eastAsia" w:ascii="Times New Roman" w:hAnsi="Times New Roman" w:eastAsia="仿宋_GB2312" w:cs="Times New Roman"/>
          <w:color w:val="000000"/>
          <w:sz w:val="20"/>
          <w:szCs w:val="20"/>
          <w:lang w:eastAsia="zh-CN"/>
        </w:rPr>
        <w:t>怀化市住房公积金管理中心</w:t>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　</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单位：万元</w:t>
      </w:r>
    </w:p>
    <w:tbl>
      <w:tblPr>
        <w:tblStyle w:val="10"/>
        <w:tblW w:w="4996" w:type="pct"/>
        <w:jc w:val="center"/>
        <w:tblLayout w:type="fixed"/>
        <w:tblCellMar>
          <w:top w:w="0" w:type="dxa"/>
          <w:left w:w="108" w:type="dxa"/>
          <w:bottom w:w="0" w:type="dxa"/>
          <w:right w:w="108" w:type="dxa"/>
        </w:tblCellMar>
      </w:tblPr>
      <w:tblGrid>
        <w:gridCol w:w="1446"/>
        <w:gridCol w:w="2311"/>
        <w:gridCol w:w="1877"/>
        <w:gridCol w:w="1334"/>
        <w:gridCol w:w="1334"/>
        <w:gridCol w:w="1877"/>
        <w:gridCol w:w="1427"/>
        <w:gridCol w:w="2603"/>
      </w:tblGrid>
      <w:tr w14:paraId="02F124B8">
        <w:tblPrEx>
          <w:tblCellMar>
            <w:top w:w="0" w:type="dxa"/>
            <w:left w:w="108" w:type="dxa"/>
            <w:bottom w:w="0" w:type="dxa"/>
            <w:right w:w="108" w:type="dxa"/>
          </w:tblCellMar>
        </w:tblPrEx>
        <w:trPr>
          <w:trHeight w:val="319" w:hRule="atLeast"/>
          <w:jc w:val="center"/>
        </w:trPr>
        <w:tc>
          <w:tcPr>
            <w:tcW w:w="1322" w:type="pct"/>
            <w:gridSpan w:val="2"/>
            <w:tcBorders>
              <w:top w:val="single" w:color="auto" w:sz="4" w:space="0"/>
              <w:left w:val="single" w:color="auto" w:sz="4" w:space="0"/>
              <w:bottom w:val="single" w:color="auto" w:sz="4" w:space="0"/>
              <w:right w:val="single" w:color="auto" w:sz="4" w:space="0"/>
            </w:tcBorders>
            <w:shd w:val="clear" w:color="000000" w:fill="FFFFFF"/>
            <w:vAlign w:val="center"/>
          </w:tcPr>
          <w:p w14:paraId="6CFB6B98">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    目</w:t>
            </w:r>
          </w:p>
        </w:tc>
        <w:tc>
          <w:tcPr>
            <w:tcW w:w="660"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7154335E">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本年支出合计</w:t>
            </w:r>
          </w:p>
        </w:tc>
        <w:tc>
          <w:tcPr>
            <w:tcW w:w="46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2E9C2C8F">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基本支出</w:t>
            </w:r>
          </w:p>
        </w:tc>
        <w:tc>
          <w:tcPr>
            <w:tcW w:w="46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57960CE9">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项目支出</w:t>
            </w:r>
          </w:p>
        </w:tc>
        <w:tc>
          <w:tcPr>
            <w:tcW w:w="660"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321006F5">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上缴上级支出</w:t>
            </w:r>
          </w:p>
        </w:tc>
        <w:tc>
          <w:tcPr>
            <w:tcW w:w="502"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66DA273A">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经营支出</w:t>
            </w:r>
          </w:p>
        </w:tc>
        <w:tc>
          <w:tcPr>
            <w:tcW w:w="915"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32A1DA52">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对附属单位补助支出</w:t>
            </w:r>
          </w:p>
        </w:tc>
      </w:tr>
      <w:tr w14:paraId="0BC03799">
        <w:tblPrEx>
          <w:tblCellMar>
            <w:top w:w="0" w:type="dxa"/>
            <w:left w:w="108" w:type="dxa"/>
            <w:bottom w:w="0" w:type="dxa"/>
            <w:right w:w="108" w:type="dxa"/>
          </w:tblCellMar>
        </w:tblPrEx>
        <w:trPr>
          <w:trHeight w:val="312" w:hRule="exact"/>
          <w:jc w:val="center"/>
        </w:trPr>
        <w:tc>
          <w:tcPr>
            <w:tcW w:w="508"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6820DAB4">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功能分类科目编码</w:t>
            </w:r>
          </w:p>
        </w:tc>
        <w:tc>
          <w:tcPr>
            <w:tcW w:w="813" w:type="pct"/>
            <w:vMerge w:val="restart"/>
            <w:tcBorders>
              <w:top w:val="nil"/>
              <w:left w:val="single" w:color="auto" w:sz="4" w:space="0"/>
              <w:bottom w:val="single" w:color="auto" w:sz="4" w:space="0"/>
              <w:right w:val="single" w:color="auto" w:sz="4" w:space="0"/>
            </w:tcBorders>
            <w:shd w:val="clear" w:color="000000" w:fill="FFFFFF"/>
            <w:vAlign w:val="center"/>
          </w:tcPr>
          <w:p w14:paraId="38A08140">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科目名称</w:t>
            </w:r>
          </w:p>
        </w:tc>
        <w:tc>
          <w:tcPr>
            <w:tcW w:w="660" w:type="pct"/>
            <w:vMerge w:val="continue"/>
            <w:tcBorders>
              <w:top w:val="single" w:color="auto" w:sz="4" w:space="0"/>
              <w:left w:val="single" w:color="auto" w:sz="4" w:space="0"/>
              <w:bottom w:val="single" w:color="auto" w:sz="4" w:space="0"/>
              <w:right w:val="single" w:color="auto" w:sz="4" w:space="0"/>
            </w:tcBorders>
            <w:vAlign w:val="center"/>
          </w:tcPr>
          <w:p w14:paraId="0A5ABEBC">
            <w:pPr>
              <w:widowControl/>
              <w:jc w:val="left"/>
              <w:rPr>
                <w:rFonts w:ascii="Times New Roman" w:hAnsi="Times New Roman" w:eastAsia="仿宋_GB2312" w:cs="Times New Roman"/>
                <w:b/>
                <w:bCs/>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0C9A8EE4">
            <w:pPr>
              <w:widowControl/>
              <w:jc w:val="left"/>
              <w:rPr>
                <w:rFonts w:ascii="Times New Roman" w:hAnsi="Times New Roman" w:eastAsia="仿宋_GB2312" w:cs="Times New Roman"/>
                <w:b/>
                <w:bCs/>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7A61BFDF">
            <w:pPr>
              <w:widowControl/>
              <w:jc w:val="left"/>
              <w:rPr>
                <w:rFonts w:ascii="Times New Roman" w:hAnsi="Times New Roman" w:eastAsia="仿宋_GB2312" w:cs="Times New Roman"/>
                <w:b/>
                <w:bCs/>
                <w:kern w:val="0"/>
                <w:sz w:val="24"/>
                <w:szCs w:val="24"/>
              </w:rPr>
            </w:pPr>
          </w:p>
        </w:tc>
        <w:tc>
          <w:tcPr>
            <w:tcW w:w="660" w:type="pct"/>
            <w:vMerge w:val="continue"/>
            <w:tcBorders>
              <w:top w:val="single" w:color="auto" w:sz="4" w:space="0"/>
              <w:left w:val="single" w:color="auto" w:sz="4" w:space="0"/>
              <w:bottom w:val="single" w:color="auto" w:sz="4" w:space="0"/>
              <w:right w:val="single" w:color="auto" w:sz="4" w:space="0"/>
            </w:tcBorders>
            <w:vAlign w:val="center"/>
          </w:tcPr>
          <w:p w14:paraId="16CDDF72">
            <w:pPr>
              <w:widowControl/>
              <w:jc w:val="left"/>
              <w:rPr>
                <w:rFonts w:ascii="Times New Roman" w:hAnsi="Times New Roman" w:eastAsia="仿宋_GB2312" w:cs="Times New Roman"/>
                <w:b/>
                <w:bCs/>
                <w:kern w:val="0"/>
                <w:sz w:val="24"/>
                <w:szCs w:val="24"/>
              </w:rPr>
            </w:pPr>
          </w:p>
        </w:tc>
        <w:tc>
          <w:tcPr>
            <w:tcW w:w="502" w:type="pct"/>
            <w:vMerge w:val="continue"/>
            <w:tcBorders>
              <w:top w:val="single" w:color="auto" w:sz="4" w:space="0"/>
              <w:left w:val="single" w:color="auto" w:sz="4" w:space="0"/>
              <w:bottom w:val="single" w:color="auto" w:sz="4" w:space="0"/>
              <w:right w:val="single" w:color="auto" w:sz="4" w:space="0"/>
            </w:tcBorders>
            <w:vAlign w:val="center"/>
          </w:tcPr>
          <w:p w14:paraId="476EE418">
            <w:pPr>
              <w:widowControl/>
              <w:jc w:val="left"/>
              <w:rPr>
                <w:rFonts w:ascii="Times New Roman" w:hAnsi="Times New Roman" w:eastAsia="仿宋_GB2312" w:cs="Times New Roman"/>
                <w:b/>
                <w:bCs/>
                <w:kern w:val="0"/>
                <w:sz w:val="24"/>
                <w:szCs w:val="24"/>
              </w:rPr>
            </w:pPr>
          </w:p>
        </w:tc>
        <w:tc>
          <w:tcPr>
            <w:tcW w:w="915" w:type="pct"/>
            <w:vMerge w:val="continue"/>
            <w:tcBorders>
              <w:top w:val="single" w:color="auto" w:sz="4" w:space="0"/>
              <w:left w:val="single" w:color="auto" w:sz="4" w:space="0"/>
              <w:bottom w:val="single" w:color="auto" w:sz="4" w:space="0"/>
              <w:right w:val="single" w:color="auto" w:sz="4" w:space="0"/>
            </w:tcBorders>
            <w:vAlign w:val="center"/>
          </w:tcPr>
          <w:p w14:paraId="62303CC7">
            <w:pPr>
              <w:widowControl/>
              <w:jc w:val="left"/>
              <w:rPr>
                <w:rFonts w:ascii="Times New Roman" w:hAnsi="Times New Roman" w:eastAsia="仿宋_GB2312" w:cs="Times New Roman"/>
                <w:b/>
                <w:bCs/>
                <w:kern w:val="0"/>
                <w:sz w:val="24"/>
                <w:szCs w:val="24"/>
              </w:rPr>
            </w:pPr>
          </w:p>
        </w:tc>
      </w:tr>
      <w:tr w14:paraId="0B474BAA">
        <w:tblPrEx>
          <w:tblCellMar>
            <w:top w:w="0" w:type="dxa"/>
            <w:left w:w="108" w:type="dxa"/>
            <w:bottom w:w="0" w:type="dxa"/>
            <w:right w:w="108" w:type="dxa"/>
          </w:tblCellMar>
        </w:tblPrEx>
        <w:trPr>
          <w:trHeight w:val="595" w:hRule="atLeast"/>
          <w:jc w:val="center"/>
        </w:trPr>
        <w:tc>
          <w:tcPr>
            <w:tcW w:w="508" w:type="pct"/>
            <w:vMerge w:val="continue"/>
            <w:tcBorders>
              <w:top w:val="single" w:color="auto" w:sz="4" w:space="0"/>
              <w:left w:val="single" w:color="auto" w:sz="4" w:space="0"/>
              <w:bottom w:val="single" w:color="auto" w:sz="4" w:space="0"/>
              <w:right w:val="single" w:color="auto" w:sz="4" w:space="0"/>
            </w:tcBorders>
            <w:vAlign w:val="center"/>
          </w:tcPr>
          <w:p w14:paraId="3BEC6644">
            <w:pPr>
              <w:widowControl/>
              <w:jc w:val="left"/>
              <w:rPr>
                <w:rFonts w:ascii="Times New Roman" w:hAnsi="Times New Roman" w:eastAsia="仿宋_GB2312" w:cs="Times New Roman"/>
                <w:kern w:val="0"/>
                <w:sz w:val="24"/>
                <w:szCs w:val="24"/>
              </w:rPr>
            </w:pPr>
          </w:p>
        </w:tc>
        <w:tc>
          <w:tcPr>
            <w:tcW w:w="813" w:type="pct"/>
            <w:vMerge w:val="continue"/>
            <w:tcBorders>
              <w:top w:val="nil"/>
              <w:left w:val="single" w:color="auto" w:sz="4" w:space="0"/>
              <w:bottom w:val="single" w:color="auto" w:sz="4" w:space="0"/>
              <w:right w:val="single" w:color="auto" w:sz="4" w:space="0"/>
            </w:tcBorders>
            <w:vAlign w:val="center"/>
          </w:tcPr>
          <w:p w14:paraId="551DB2D8">
            <w:pPr>
              <w:widowControl/>
              <w:jc w:val="left"/>
              <w:rPr>
                <w:rFonts w:ascii="Times New Roman" w:hAnsi="Times New Roman" w:eastAsia="仿宋_GB2312" w:cs="Times New Roman"/>
                <w:kern w:val="0"/>
                <w:sz w:val="24"/>
                <w:szCs w:val="24"/>
              </w:rPr>
            </w:pPr>
          </w:p>
        </w:tc>
        <w:tc>
          <w:tcPr>
            <w:tcW w:w="660" w:type="pct"/>
            <w:vMerge w:val="continue"/>
            <w:tcBorders>
              <w:top w:val="single" w:color="auto" w:sz="4" w:space="0"/>
              <w:left w:val="single" w:color="auto" w:sz="4" w:space="0"/>
              <w:bottom w:val="single" w:color="auto" w:sz="4" w:space="0"/>
              <w:right w:val="single" w:color="auto" w:sz="4" w:space="0"/>
            </w:tcBorders>
            <w:vAlign w:val="center"/>
          </w:tcPr>
          <w:p w14:paraId="41F91E76">
            <w:pPr>
              <w:widowControl/>
              <w:jc w:val="left"/>
              <w:rPr>
                <w:rFonts w:ascii="Times New Roman" w:hAnsi="Times New Roman" w:eastAsia="仿宋_GB2312" w:cs="Times New Roman"/>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6898F2F0">
            <w:pPr>
              <w:widowControl/>
              <w:jc w:val="left"/>
              <w:rPr>
                <w:rFonts w:ascii="Times New Roman" w:hAnsi="Times New Roman" w:eastAsia="仿宋_GB2312" w:cs="Times New Roman"/>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4D2F5C02">
            <w:pPr>
              <w:widowControl/>
              <w:jc w:val="left"/>
              <w:rPr>
                <w:rFonts w:ascii="Times New Roman" w:hAnsi="Times New Roman" w:eastAsia="仿宋_GB2312" w:cs="Times New Roman"/>
                <w:kern w:val="0"/>
                <w:sz w:val="24"/>
                <w:szCs w:val="24"/>
              </w:rPr>
            </w:pPr>
          </w:p>
        </w:tc>
        <w:tc>
          <w:tcPr>
            <w:tcW w:w="660" w:type="pct"/>
            <w:vMerge w:val="continue"/>
            <w:tcBorders>
              <w:top w:val="single" w:color="auto" w:sz="4" w:space="0"/>
              <w:left w:val="single" w:color="auto" w:sz="4" w:space="0"/>
              <w:bottom w:val="single" w:color="auto" w:sz="4" w:space="0"/>
              <w:right w:val="single" w:color="auto" w:sz="4" w:space="0"/>
            </w:tcBorders>
            <w:vAlign w:val="center"/>
          </w:tcPr>
          <w:p w14:paraId="38E55BB1">
            <w:pPr>
              <w:widowControl/>
              <w:jc w:val="left"/>
              <w:rPr>
                <w:rFonts w:ascii="Times New Roman" w:hAnsi="Times New Roman" w:eastAsia="仿宋_GB2312" w:cs="Times New Roman"/>
                <w:kern w:val="0"/>
                <w:sz w:val="24"/>
                <w:szCs w:val="24"/>
              </w:rPr>
            </w:pPr>
          </w:p>
        </w:tc>
        <w:tc>
          <w:tcPr>
            <w:tcW w:w="502" w:type="pct"/>
            <w:vMerge w:val="continue"/>
            <w:tcBorders>
              <w:top w:val="single" w:color="auto" w:sz="4" w:space="0"/>
              <w:left w:val="single" w:color="auto" w:sz="4" w:space="0"/>
              <w:bottom w:val="single" w:color="auto" w:sz="4" w:space="0"/>
              <w:right w:val="single" w:color="auto" w:sz="4" w:space="0"/>
            </w:tcBorders>
            <w:vAlign w:val="center"/>
          </w:tcPr>
          <w:p w14:paraId="2A161F53">
            <w:pPr>
              <w:widowControl/>
              <w:jc w:val="left"/>
              <w:rPr>
                <w:rFonts w:ascii="Times New Roman" w:hAnsi="Times New Roman" w:eastAsia="仿宋_GB2312" w:cs="Times New Roman"/>
                <w:kern w:val="0"/>
                <w:sz w:val="24"/>
                <w:szCs w:val="24"/>
              </w:rPr>
            </w:pPr>
          </w:p>
        </w:tc>
        <w:tc>
          <w:tcPr>
            <w:tcW w:w="915" w:type="pct"/>
            <w:vMerge w:val="continue"/>
            <w:tcBorders>
              <w:top w:val="single" w:color="auto" w:sz="4" w:space="0"/>
              <w:left w:val="single" w:color="auto" w:sz="4" w:space="0"/>
              <w:bottom w:val="single" w:color="auto" w:sz="4" w:space="0"/>
              <w:right w:val="single" w:color="auto" w:sz="4" w:space="0"/>
            </w:tcBorders>
            <w:vAlign w:val="center"/>
          </w:tcPr>
          <w:p w14:paraId="2E4CA0E0">
            <w:pPr>
              <w:widowControl/>
              <w:jc w:val="left"/>
              <w:rPr>
                <w:rFonts w:ascii="Times New Roman" w:hAnsi="Times New Roman" w:eastAsia="仿宋_GB2312" w:cs="Times New Roman"/>
                <w:kern w:val="0"/>
                <w:sz w:val="24"/>
                <w:szCs w:val="24"/>
              </w:rPr>
            </w:pPr>
          </w:p>
        </w:tc>
      </w:tr>
      <w:tr w14:paraId="107DB7D6">
        <w:tblPrEx>
          <w:tblCellMar>
            <w:top w:w="0" w:type="dxa"/>
            <w:left w:w="108" w:type="dxa"/>
            <w:bottom w:w="0" w:type="dxa"/>
            <w:right w:w="108" w:type="dxa"/>
          </w:tblCellMar>
        </w:tblPrEx>
        <w:trPr>
          <w:trHeight w:val="355" w:hRule="atLeast"/>
          <w:jc w:val="center"/>
        </w:trPr>
        <w:tc>
          <w:tcPr>
            <w:tcW w:w="1322"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1B81B84A">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栏次</w:t>
            </w:r>
          </w:p>
        </w:tc>
        <w:tc>
          <w:tcPr>
            <w:tcW w:w="660" w:type="pct"/>
            <w:tcBorders>
              <w:top w:val="nil"/>
              <w:left w:val="nil"/>
              <w:bottom w:val="single" w:color="auto" w:sz="4" w:space="0"/>
              <w:right w:val="single" w:color="auto" w:sz="4" w:space="0"/>
            </w:tcBorders>
            <w:shd w:val="clear" w:color="000000" w:fill="FFFFFF"/>
            <w:noWrap/>
            <w:vAlign w:val="center"/>
          </w:tcPr>
          <w:p w14:paraId="12784054">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469" w:type="pct"/>
            <w:tcBorders>
              <w:top w:val="nil"/>
              <w:left w:val="nil"/>
              <w:bottom w:val="single" w:color="auto" w:sz="4" w:space="0"/>
              <w:right w:val="single" w:color="auto" w:sz="4" w:space="0"/>
            </w:tcBorders>
            <w:shd w:val="clear" w:color="000000" w:fill="FFFFFF"/>
            <w:noWrap/>
            <w:vAlign w:val="center"/>
          </w:tcPr>
          <w:p w14:paraId="5409C021">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469" w:type="pct"/>
            <w:tcBorders>
              <w:top w:val="nil"/>
              <w:left w:val="nil"/>
              <w:bottom w:val="single" w:color="auto" w:sz="4" w:space="0"/>
              <w:right w:val="single" w:color="auto" w:sz="4" w:space="0"/>
            </w:tcBorders>
            <w:shd w:val="clear" w:color="000000" w:fill="FFFFFF"/>
            <w:noWrap/>
            <w:vAlign w:val="center"/>
          </w:tcPr>
          <w:p w14:paraId="68208D16">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660" w:type="pct"/>
            <w:tcBorders>
              <w:top w:val="nil"/>
              <w:left w:val="nil"/>
              <w:bottom w:val="single" w:color="auto" w:sz="4" w:space="0"/>
              <w:right w:val="single" w:color="auto" w:sz="4" w:space="0"/>
            </w:tcBorders>
            <w:shd w:val="clear" w:color="000000" w:fill="FFFFFF"/>
            <w:noWrap/>
            <w:vAlign w:val="center"/>
          </w:tcPr>
          <w:p w14:paraId="1141C728">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502" w:type="pct"/>
            <w:tcBorders>
              <w:top w:val="nil"/>
              <w:left w:val="nil"/>
              <w:bottom w:val="single" w:color="auto" w:sz="4" w:space="0"/>
              <w:right w:val="single" w:color="auto" w:sz="4" w:space="0"/>
            </w:tcBorders>
            <w:shd w:val="clear" w:color="000000" w:fill="FFFFFF"/>
            <w:noWrap/>
            <w:vAlign w:val="center"/>
          </w:tcPr>
          <w:p w14:paraId="6AE0DCA0">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c>
          <w:tcPr>
            <w:tcW w:w="915" w:type="pct"/>
            <w:tcBorders>
              <w:top w:val="nil"/>
              <w:left w:val="nil"/>
              <w:bottom w:val="single" w:color="auto" w:sz="4" w:space="0"/>
              <w:right w:val="single" w:color="auto" w:sz="4" w:space="0"/>
            </w:tcBorders>
            <w:shd w:val="clear" w:color="000000" w:fill="FFFFFF"/>
            <w:noWrap/>
            <w:vAlign w:val="center"/>
          </w:tcPr>
          <w:p w14:paraId="034D3B89">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6</w:t>
            </w:r>
          </w:p>
        </w:tc>
      </w:tr>
      <w:tr w14:paraId="6089F77E">
        <w:tblPrEx>
          <w:tblCellMar>
            <w:top w:w="0" w:type="dxa"/>
            <w:left w:w="108" w:type="dxa"/>
            <w:bottom w:w="0" w:type="dxa"/>
            <w:right w:w="108" w:type="dxa"/>
          </w:tblCellMar>
        </w:tblPrEx>
        <w:trPr>
          <w:trHeight w:val="395" w:hRule="atLeast"/>
          <w:jc w:val="center"/>
        </w:trPr>
        <w:tc>
          <w:tcPr>
            <w:tcW w:w="1322"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64D5D01B">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660" w:type="pct"/>
            <w:tcBorders>
              <w:top w:val="nil"/>
              <w:left w:val="nil"/>
              <w:bottom w:val="single" w:color="auto" w:sz="4" w:space="0"/>
              <w:right w:val="single" w:color="auto" w:sz="4" w:space="0"/>
            </w:tcBorders>
            <w:shd w:val="clear" w:color="auto" w:fill="auto"/>
            <w:noWrap/>
            <w:vAlign w:val="center"/>
          </w:tcPr>
          <w:p w14:paraId="678096B8">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b/>
                <w:bCs/>
                <w:i w:val="0"/>
                <w:iCs w:val="0"/>
                <w:color w:val="000000"/>
                <w:kern w:val="0"/>
                <w:sz w:val="22"/>
                <w:szCs w:val="22"/>
                <w:u w:val="none"/>
                <w:lang w:val="en-US" w:eastAsia="zh-CN" w:bidi="ar"/>
              </w:rPr>
              <w:t>2,624.73</w:t>
            </w:r>
          </w:p>
        </w:tc>
        <w:tc>
          <w:tcPr>
            <w:tcW w:w="469" w:type="pct"/>
            <w:tcBorders>
              <w:top w:val="nil"/>
              <w:left w:val="nil"/>
              <w:bottom w:val="single" w:color="auto" w:sz="4" w:space="0"/>
              <w:right w:val="single" w:color="auto" w:sz="4" w:space="0"/>
            </w:tcBorders>
            <w:shd w:val="clear" w:color="auto" w:fill="auto"/>
            <w:noWrap/>
            <w:vAlign w:val="center"/>
          </w:tcPr>
          <w:p w14:paraId="0F0A05B2">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b/>
                <w:bCs/>
                <w:i w:val="0"/>
                <w:iCs w:val="0"/>
                <w:color w:val="000000"/>
                <w:kern w:val="0"/>
                <w:sz w:val="22"/>
                <w:szCs w:val="22"/>
                <w:u w:val="none"/>
                <w:lang w:val="en-US" w:eastAsia="zh-CN" w:bidi="ar"/>
              </w:rPr>
              <w:t>1,979.60</w:t>
            </w:r>
          </w:p>
        </w:tc>
        <w:tc>
          <w:tcPr>
            <w:tcW w:w="469" w:type="pct"/>
            <w:tcBorders>
              <w:top w:val="nil"/>
              <w:left w:val="nil"/>
              <w:bottom w:val="single" w:color="auto" w:sz="4" w:space="0"/>
              <w:right w:val="single" w:color="auto" w:sz="4" w:space="0"/>
            </w:tcBorders>
            <w:shd w:val="clear" w:color="auto" w:fill="auto"/>
            <w:noWrap/>
            <w:vAlign w:val="center"/>
          </w:tcPr>
          <w:p w14:paraId="0ABC7339">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b/>
                <w:bCs/>
                <w:i w:val="0"/>
                <w:iCs w:val="0"/>
                <w:color w:val="000000"/>
                <w:kern w:val="0"/>
                <w:sz w:val="22"/>
                <w:szCs w:val="22"/>
                <w:u w:val="none"/>
                <w:lang w:val="en-US" w:eastAsia="zh-CN" w:bidi="ar"/>
              </w:rPr>
              <w:t>645.13</w:t>
            </w:r>
          </w:p>
        </w:tc>
        <w:tc>
          <w:tcPr>
            <w:tcW w:w="660" w:type="pct"/>
            <w:tcBorders>
              <w:top w:val="nil"/>
              <w:left w:val="nil"/>
              <w:bottom w:val="single" w:color="auto" w:sz="4" w:space="0"/>
              <w:right w:val="single" w:color="auto" w:sz="4" w:space="0"/>
            </w:tcBorders>
            <w:shd w:val="clear" w:color="auto" w:fill="auto"/>
            <w:noWrap/>
            <w:vAlign w:val="center"/>
          </w:tcPr>
          <w:p w14:paraId="067866CE">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b/>
                <w:bCs/>
                <w:i w:val="0"/>
                <w:iCs w:val="0"/>
                <w:color w:val="000000"/>
                <w:kern w:val="0"/>
                <w:sz w:val="22"/>
                <w:szCs w:val="22"/>
                <w:u w:val="none"/>
                <w:lang w:val="en-US" w:eastAsia="zh-CN" w:bidi="ar"/>
              </w:rPr>
              <w:t>0.00</w:t>
            </w:r>
          </w:p>
        </w:tc>
        <w:tc>
          <w:tcPr>
            <w:tcW w:w="502" w:type="pct"/>
            <w:tcBorders>
              <w:top w:val="nil"/>
              <w:left w:val="nil"/>
              <w:bottom w:val="single" w:color="auto" w:sz="4" w:space="0"/>
              <w:right w:val="single" w:color="auto" w:sz="4" w:space="0"/>
            </w:tcBorders>
            <w:shd w:val="clear" w:color="auto" w:fill="auto"/>
            <w:noWrap/>
            <w:vAlign w:val="center"/>
          </w:tcPr>
          <w:p w14:paraId="0E807A99">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b/>
                <w:bCs/>
                <w:i w:val="0"/>
                <w:iCs w:val="0"/>
                <w:color w:val="000000"/>
                <w:kern w:val="0"/>
                <w:sz w:val="22"/>
                <w:szCs w:val="22"/>
                <w:u w:val="none"/>
                <w:lang w:val="en-US" w:eastAsia="zh-CN" w:bidi="ar"/>
              </w:rPr>
              <w:t>0.00</w:t>
            </w:r>
          </w:p>
        </w:tc>
        <w:tc>
          <w:tcPr>
            <w:tcW w:w="915" w:type="pct"/>
            <w:tcBorders>
              <w:top w:val="nil"/>
              <w:left w:val="nil"/>
              <w:bottom w:val="single" w:color="auto" w:sz="4" w:space="0"/>
              <w:right w:val="single" w:color="auto" w:sz="4" w:space="0"/>
            </w:tcBorders>
            <w:shd w:val="clear" w:color="auto" w:fill="auto"/>
            <w:noWrap/>
            <w:vAlign w:val="center"/>
          </w:tcPr>
          <w:p w14:paraId="1C76B7DD">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b/>
                <w:bCs/>
                <w:i w:val="0"/>
                <w:iCs w:val="0"/>
                <w:color w:val="000000"/>
                <w:kern w:val="0"/>
                <w:sz w:val="22"/>
                <w:szCs w:val="22"/>
                <w:u w:val="none"/>
                <w:lang w:val="en-US" w:eastAsia="zh-CN" w:bidi="ar"/>
              </w:rPr>
              <w:t>0.00</w:t>
            </w:r>
          </w:p>
        </w:tc>
      </w:tr>
      <w:tr w14:paraId="396CCEA2">
        <w:tblPrEx>
          <w:tblCellMar>
            <w:top w:w="0" w:type="dxa"/>
            <w:left w:w="108" w:type="dxa"/>
            <w:bottom w:w="0" w:type="dxa"/>
            <w:right w:w="108" w:type="dxa"/>
          </w:tblCellMar>
        </w:tblPrEx>
        <w:trPr>
          <w:trHeight w:val="595" w:hRule="atLeast"/>
          <w:jc w:val="center"/>
        </w:trPr>
        <w:tc>
          <w:tcPr>
            <w:tcW w:w="508"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309845BF">
            <w:pPr>
              <w:rPr>
                <w:rFonts w:ascii="Times New Roman" w:hAnsi="Times New Roman" w:eastAsia="仿宋_GB2312" w:cs="Times New Roman"/>
                <w:kern w:val="0"/>
                <w:sz w:val="24"/>
                <w:szCs w:val="24"/>
              </w:rPr>
            </w:pPr>
            <w:r>
              <w:rPr>
                <w:rFonts w:ascii="Times New Roman" w:hAnsi="Times New Roman" w:eastAsia="仿宋_GB2312" w:cs="Times New Roman"/>
              </w:rPr>
              <w:t>　</w:t>
            </w:r>
            <w:r>
              <w:rPr>
                <w:rFonts w:hint="eastAsia" w:ascii="Times New Roman" w:hAnsi="Times New Roman" w:eastAsia="仿宋_GB2312" w:cs="Times New Roman"/>
                <w:lang w:val="en-US" w:eastAsia="zh-CN"/>
              </w:rPr>
              <w:t>201</w:t>
            </w:r>
          </w:p>
        </w:tc>
        <w:tc>
          <w:tcPr>
            <w:tcW w:w="813" w:type="pct"/>
            <w:tcBorders>
              <w:top w:val="nil"/>
              <w:left w:val="nil"/>
              <w:bottom w:val="single" w:color="auto" w:sz="4" w:space="0"/>
              <w:right w:val="single" w:color="auto" w:sz="4" w:space="0"/>
            </w:tcBorders>
            <w:shd w:val="clear" w:color="000000" w:fill="FFFFFF"/>
            <w:noWrap/>
            <w:vAlign w:val="center"/>
          </w:tcPr>
          <w:p w14:paraId="624F91D7">
            <w:pPr>
              <w:rPr>
                <w:rFonts w:ascii="Times New Roman" w:hAnsi="Times New Roman" w:eastAsia="仿宋_GB2312" w:cs="Times New Roman"/>
                <w:kern w:val="0"/>
                <w:sz w:val="24"/>
                <w:szCs w:val="24"/>
              </w:rPr>
            </w:pPr>
            <w:r>
              <w:rPr>
                <w:rFonts w:ascii="Times New Roman" w:hAnsi="Times New Roman" w:eastAsia="仿宋_GB2312" w:cs="Times New Roman"/>
              </w:rPr>
              <w:t>　</w:t>
            </w:r>
            <w:r>
              <w:rPr>
                <w:rFonts w:hint="eastAsia" w:ascii="Times New Roman" w:hAnsi="Times New Roman" w:eastAsia="仿宋_GB2312" w:cs="Times New Roman"/>
              </w:rPr>
              <w:t>一般公共服务支出</w:t>
            </w:r>
          </w:p>
        </w:tc>
        <w:tc>
          <w:tcPr>
            <w:tcW w:w="660" w:type="pct"/>
            <w:tcBorders>
              <w:top w:val="nil"/>
              <w:left w:val="nil"/>
              <w:bottom w:val="single" w:color="auto" w:sz="4" w:space="0"/>
              <w:right w:val="single" w:color="auto" w:sz="4" w:space="0"/>
            </w:tcBorders>
            <w:shd w:val="clear" w:color="auto" w:fill="auto"/>
            <w:noWrap/>
            <w:vAlign w:val="center"/>
          </w:tcPr>
          <w:p w14:paraId="50362FF4">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76.65</w:t>
            </w:r>
          </w:p>
        </w:tc>
        <w:tc>
          <w:tcPr>
            <w:tcW w:w="469" w:type="pct"/>
            <w:tcBorders>
              <w:top w:val="nil"/>
              <w:left w:val="nil"/>
              <w:bottom w:val="single" w:color="auto" w:sz="4" w:space="0"/>
              <w:right w:val="single" w:color="auto" w:sz="4" w:space="0"/>
            </w:tcBorders>
            <w:shd w:val="clear" w:color="auto" w:fill="auto"/>
            <w:noWrap/>
            <w:vAlign w:val="center"/>
          </w:tcPr>
          <w:p w14:paraId="60C68954">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74.25</w:t>
            </w:r>
          </w:p>
        </w:tc>
        <w:tc>
          <w:tcPr>
            <w:tcW w:w="469" w:type="pct"/>
            <w:tcBorders>
              <w:top w:val="nil"/>
              <w:left w:val="nil"/>
              <w:bottom w:val="single" w:color="auto" w:sz="4" w:space="0"/>
              <w:right w:val="single" w:color="auto" w:sz="4" w:space="0"/>
            </w:tcBorders>
            <w:shd w:val="clear" w:color="auto" w:fill="auto"/>
            <w:noWrap/>
            <w:vAlign w:val="center"/>
          </w:tcPr>
          <w:p w14:paraId="03CE52FC">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2.40</w:t>
            </w:r>
          </w:p>
        </w:tc>
        <w:tc>
          <w:tcPr>
            <w:tcW w:w="660" w:type="pct"/>
            <w:tcBorders>
              <w:top w:val="nil"/>
              <w:left w:val="nil"/>
              <w:bottom w:val="single" w:color="auto" w:sz="4" w:space="0"/>
              <w:right w:val="single" w:color="auto" w:sz="4" w:space="0"/>
            </w:tcBorders>
            <w:shd w:val="clear" w:color="auto" w:fill="auto"/>
            <w:noWrap/>
            <w:vAlign w:val="center"/>
          </w:tcPr>
          <w:p w14:paraId="72F66049">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502" w:type="pct"/>
            <w:tcBorders>
              <w:top w:val="nil"/>
              <w:left w:val="nil"/>
              <w:bottom w:val="single" w:color="auto" w:sz="4" w:space="0"/>
              <w:right w:val="single" w:color="auto" w:sz="4" w:space="0"/>
            </w:tcBorders>
            <w:shd w:val="clear" w:color="auto" w:fill="auto"/>
            <w:noWrap/>
            <w:vAlign w:val="center"/>
          </w:tcPr>
          <w:p w14:paraId="33E83575">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915" w:type="pct"/>
            <w:tcBorders>
              <w:top w:val="nil"/>
              <w:left w:val="nil"/>
              <w:bottom w:val="single" w:color="auto" w:sz="4" w:space="0"/>
              <w:right w:val="single" w:color="auto" w:sz="4" w:space="0"/>
            </w:tcBorders>
            <w:shd w:val="clear" w:color="auto" w:fill="auto"/>
            <w:noWrap/>
            <w:vAlign w:val="center"/>
          </w:tcPr>
          <w:p w14:paraId="252F64AD">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6E566428">
        <w:tblPrEx>
          <w:tblCellMar>
            <w:top w:w="0" w:type="dxa"/>
            <w:left w:w="108" w:type="dxa"/>
            <w:bottom w:w="0" w:type="dxa"/>
            <w:right w:w="108" w:type="dxa"/>
          </w:tblCellMar>
        </w:tblPrEx>
        <w:trPr>
          <w:trHeight w:val="595" w:hRule="atLeast"/>
          <w:jc w:val="center"/>
        </w:trPr>
        <w:tc>
          <w:tcPr>
            <w:tcW w:w="508"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25A23B71">
            <w:pPr>
              <w:rPr>
                <w:rFonts w:ascii="Times New Roman" w:hAnsi="Times New Roman" w:eastAsia="仿宋_GB2312" w:cs="Times New Roman"/>
                <w:kern w:val="0"/>
                <w:sz w:val="24"/>
                <w:szCs w:val="24"/>
              </w:rPr>
            </w:pPr>
            <w:r>
              <w:rPr>
                <w:rFonts w:ascii="Times New Roman" w:hAnsi="Times New Roman" w:eastAsia="仿宋_GB2312" w:cs="Times New Roman"/>
              </w:rPr>
              <w:t>　</w:t>
            </w:r>
            <w:r>
              <w:rPr>
                <w:rFonts w:hint="eastAsia" w:ascii="Times New Roman" w:hAnsi="Times New Roman" w:eastAsia="仿宋_GB2312" w:cs="Times New Roman"/>
                <w:lang w:val="en-US" w:eastAsia="zh-CN"/>
              </w:rPr>
              <w:t>20199</w:t>
            </w:r>
          </w:p>
        </w:tc>
        <w:tc>
          <w:tcPr>
            <w:tcW w:w="813" w:type="pct"/>
            <w:tcBorders>
              <w:top w:val="nil"/>
              <w:left w:val="nil"/>
              <w:bottom w:val="single" w:color="auto" w:sz="4" w:space="0"/>
              <w:right w:val="single" w:color="auto" w:sz="4" w:space="0"/>
            </w:tcBorders>
            <w:shd w:val="clear" w:color="000000" w:fill="FFFFFF"/>
            <w:noWrap/>
            <w:vAlign w:val="center"/>
          </w:tcPr>
          <w:p w14:paraId="0F78D55F">
            <w:pPr>
              <w:rPr>
                <w:rFonts w:ascii="Times New Roman" w:hAnsi="Times New Roman" w:eastAsia="仿宋_GB2312" w:cs="Times New Roman"/>
                <w:kern w:val="0"/>
                <w:sz w:val="24"/>
                <w:szCs w:val="24"/>
              </w:rPr>
            </w:pPr>
            <w:r>
              <w:rPr>
                <w:rFonts w:hint="eastAsia" w:ascii="Times New Roman" w:hAnsi="Times New Roman" w:eastAsia="仿宋_GB2312" w:cs="Times New Roman"/>
                <w:lang w:val="en-US" w:eastAsia="zh-CN"/>
              </w:rPr>
              <w:t>其他一般公共服务支出</w:t>
            </w:r>
          </w:p>
        </w:tc>
        <w:tc>
          <w:tcPr>
            <w:tcW w:w="660" w:type="pct"/>
            <w:tcBorders>
              <w:top w:val="nil"/>
              <w:left w:val="nil"/>
              <w:bottom w:val="single" w:color="auto" w:sz="4" w:space="0"/>
              <w:right w:val="single" w:color="auto" w:sz="4" w:space="0"/>
            </w:tcBorders>
            <w:shd w:val="clear" w:color="auto" w:fill="auto"/>
            <w:noWrap/>
            <w:vAlign w:val="center"/>
          </w:tcPr>
          <w:p w14:paraId="34E38A39">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76.65</w:t>
            </w:r>
          </w:p>
        </w:tc>
        <w:tc>
          <w:tcPr>
            <w:tcW w:w="469" w:type="pct"/>
            <w:tcBorders>
              <w:top w:val="nil"/>
              <w:left w:val="nil"/>
              <w:bottom w:val="single" w:color="auto" w:sz="4" w:space="0"/>
              <w:right w:val="single" w:color="auto" w:sz="4" w:space="0"/>
            </w:tcBorders>
            <w:shd w:val="clear" w:color="auto" w:fill="auto"/>
            <w:noWrap/>
            <w:vAlign w:val="center"/>
          </w:tcPr>
          <w:p w14:paraId="77FE3701">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74.25</w:t>
            </w:r>
          </w:p>
        </w:tc>
        <w:tc>
          <w:tcPr>
            <w:tcW w:w="469" w:type="pct"/>
            <w:tcBorders>
              <w:top w:val="nil"/>
              <w:left w:val="nil"/>
              <w:bottom w:val="single" w:color="auto" w:sz="4" w:space="0"/>
              <w:right w:val="single" w:color="auto" w:sz="4" w:space="0"/>
            </w:tcBorders>
            <w:shd w:val="clear" w:color="auto" w:fill="auto"/>
            <w:noWrap/>
            <w:vAlign w:val="center"/>
          </w:tcPr>
          <w:p w14:paraId="1C220B9A">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2.40</w:t>
            </w:r>
          </w:p>
        </w:tc>
        <w:tc>
          <w:tcPr>
            <w:tcW w:w="660" w:type="pct"/>
            <w:tcBorders>
              <w:top w:val="nil"/>
              <w:left w:val="nil"/>
              <w:bottom w:val="single" w:color="auto" w:sz="4" w:space="0"/>
              <w:right w:val="single" w:color="auto" w:sz="4" w:space="0"/>
            </w:tcBorders>
            <w:shd w:val="clear" w:color="auto" w:fill="auto"/>
            <w:noWrap/>
            <w:vAlign w:val="center"/>
          </w:tcPr>
          <w:p w14:paraId="30807F76">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502" w:type="pct"/>
            <w:tcBorders>
              <w:top w:val="nil"/>
              <w:left w:val="nil"/>
              <w:bottom w:val="single" w:color="auto" w:sz="4" w:space="0"/>
              <w:right w:val="single" w:color="auto" w:sz="4" w:space="0"/>
            </w:tcBorders>
            <w:shd w:val="clear" w:color="auto" w:fill="auto"/>
            <w:noWrap/>
            <w:vAlign w:val="center"/>
          </w:tcPr>
          <w:p w14:paraId="4E0CF3D8">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915" w:type="pct"/>
            <w:tcBorders>
              <w:top w:val="nil"/>
              <w:left w:val="nil"/>
              <w:bottom w:val="single" w:color="auto" w:sz="4" w:space="0"/>
              <w:right w:val="single" w:color="auto" w:sz="4" w:space="0"/>
            </w:tcBorders>
            <w:shd w:val="clear" w:color="auto" w:fill="auto"/>
            <w:noWrap/>
            <w:vAlign w:val="center"/>
          </w:tcPr>
          <w:p w14:paraId="3C3C7F2A">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1B2D9FD4">
        <w:tblPrEx>
          <w:tblCellMar>
            <w:top w:w="0" w:type="dxa"/>
            <w:left w:w="108" w:type="dxa"/>
            <w:bottom w:w="0" w:type="dxa"/>
            <w:right w:w="108" w:type="dxa"/>
          </w:tblCellMar>
        </w:tblPrEx>
        <w:trPr>
          <w:trHeight w:val="595" w:hRule="atLeast"/>
          <w:jc w:val="center"/>
        </w:trPr>
        <w:tc>
          <w:tcPr>
            <w:tcW w:w="508"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7CB13C97">
            <w:pPr>
              <w:rPr>
                <w:rFonts w:ascii="Times New Roman" w:hAnsi="Times New Roman" w:eastAsia="仿宋_GB2312" w:cs="Times New Roman"/>
                <w:kern w:val="0"/>
                <w:sz w:val="24"/>
                <w:szCs w:val="24"/>
              </w:rPr>
            </w:pPr>
            <w:r>
              <w:rPr>
                <w:rFonts w:ascii="Times New Roman" w:hAnsi="Times New Roman" w:eastAsia="仿宋_GB2312" w:cs="Times New Roman"/>
              </w:rPr>
              <w:t>　</w:t>
            </w:r>
            <w:r>
              <w:rPr>
                <w:rFonts w:hint="eastAsia" w:ascii="Times New Roman" w:hAnsi="Times New Roman" w:eastAsia="仿宋_GB2312" w:cs="Times New Roman"/>
                <w:lang w:val="en-US" w:eastAsia="zh-CN"/>
              </w:rPr>
              <w:t>2019999</w:t>
            </w:r>
          </w:p>
        </w:tc>
        <w:tc>
          <w:tcPr>
            <w:tcW w:w="813" w:type="pct"/>
            <w:tcBorders>
              <w:top w:val="nil"/>
              <w:left w:val="nil"/>
              <w:bottom w:val="single" w:color="auto" w:sz="4" w:space="0"/>
              <w:right w:val="single" w:color="auto" w:sz="4" w:space="0"/>
            </w:tcBorders>
            <w:shd w:val="clear" w:color="000000" w:fill="FFFFFF"/>
            <w:noWrap/>
            <w:vAlign w:val="center"/>
          </w:tcPr>
          <w:p w14:paraId="6AC8D4DD">
            <w:pPr>
              <w:rPr>
                <w:rFonts w:ascii="Times New Roman" w:hAnsi="Times New Roman" w:eastAsia="仿宋_GB2312" w:cs="Times New Roman"/>
                <w:kern w:val="0"/>
                <w:sz w:val="24"/>
                <w:szCs w:val="24"/>
              </w:rPr>
            </w:pPr>
            <w:r>
              <w:rPr>
                <w:rFonts w:hint="eastAsia" w:ascii="Times New Roman" w:hAnsi="Times New Roman" w:eastAsia="仿宋_GB2312" w:cs="Times New Roman"/>
                <w:lang w:val="en-US" w:eastAsia="zh-CN"/>
              </w:rPr>
              <w:t xml:space="preserve">  其他一般公共服务支出</w:t>
            </w:r>
          </w:p>
        </w:tc>
        <w:tc>
          <w:tcPr>
            <w:tcW w:w="660" w:type="pct"/>
            <w:tcBorders>
              <w:top w:val="nil"/>
              <w:left w:val="nil"/>
              <w:bottom w:val="single" w:color="auto" w:sz="4" w:space="0"/>
              <w:right w:val="single" w:color="auto" w:sz="4" w:space="0"/>
            </w:tcBorders>
            <w:shd w:val="clear" w:color="auto" w:fill="auto"/>
            <w:noWrap/>
            <w:vAlign w:val="center"/>
          </w:tcPr>
          <w:p w14:paraId="53839219">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76.65</w:t>
            </w:r>
          </w:p>
        </w:tc>
        <w:tc>
          <w:tcPr>
            <w:tcW w:w="469" w:type="pct"/>
            <w:tcBorders>
              <w:top w:val="nil"/>
              <w:left w:val="nil"/>
              <w:bottom w:val="single" w:color="auto" w:sz="4" w:space="0"/>
              <w:right w:val="single" w:color="auto" w:sz="4" w:space="0"/>
            </w:tcBorders>
            <w:shd w:val="clear" w:color="auto" w:fill="auto"/>
            <w:noWrap/>
            <w:vAlign w:val="center"/>
          </w:tcPr>
          <w:p w14:paraId="7CC46E3D">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74.25</w:t>
            </w:r>
          </w:p>
        </w:tc>
        <w:tc>
          <w:tcPr>
            <w:tcW w:w="469" w:type="pct"/>
            <w:tcBorders>
              <w:top w:val="nil"/>
              <w:left w:val="nil"/>
              <w:bottom w:val="single" w:color="auto" w:sz="4" w:space="0"/>
              <w:right w:val="single" w:color="auto" w:sz="4" w:space="0"/>
            </w:tcBorders>
            <w:shd w:val="clear" w:color="auto" w:fill="auto"/>
            <w:noWrap/>
            <w:vAlign w:val="center"/>
          </w:tcPr>
          <w:p w14:paraId="08791946">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2.40</w:t>
            </w:r>
          </w:p>
        </w:tc>
        <w:tc>
          <w:tcPr>
            <w:tcW w:w="660" w:type="pct"/>
            <w:tcBorders>
              <w:top w:val="nil"/>
              <w:left w:val="nil"/>
              <w:bottom w:val="single" w:color="auto" w:sz="4" w:space="0"/>
              <w:right w:val="single" w:color="auto" w:sz="4" w:space="0"/>
            </w:tcBorders>
            <w:shd w:val="clear" w:color="auto" w:fill="auto"/>
            <w:noWrap/>
            <w:vAlign w:val="center"/>
          </w:tcPr>
          <w:p w14:paraId="54683960">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502" w:type="pct"/>
            <w:tcBorders>
              <w:top w:val="nil"/>
              <w:left w:val="nil"/>
              <w:bottom w:val="single" w:color="auto" w:sz="4" w:space="0"/>
              <w:right w:val="single" w:color="auto" w:sz="4" w:space="0"/>
            </w:tcBorders>
            <w:shd w:val="clear" w:color="auto" w:fill="auto"/>
            <w:noWrap/>
            <w:vAlign w:val="center"/>
          </w:tcPr>
          <w:p w14:paraId="2C1F3C4D">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915" w:type="pct"/>
            <w:tcBorders>
              <w:top w:val="nil"/>
              <w:left w:val="nil"/>
              <w:bottom w:val="single" w:color="auto" w:sz="4" w:space="0"/>
              <w:right w:val="single" w:color="auto" w:sz="4" w:space="0"/>
            </w:tcBorders>
            <w:shd w:val="clear" w:color="auto" w:fill="auto"/>
            <w:noWrap/>
            <w:vAlign w:val="center"/>
          </w:tcPr>
          <w:p w14:paraId="406390F5">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7B500EA3">
        <w:tblPrEx>
          <w:tblCellMar>
            <w:top w:w="0" w:type="dxa"/>
            <w:left w:w="108" w:type="dxa"/>
            <w:bottom w:w="0" w:type="dxa"/>
            <w:right w:w="108" w:type="dxa"/>
          </w:tblCellMar>
        </w:tblPrEx>
        <w:trPr>
          <w:trHeight w:val="595" w:hRule="atLeast"/>
          <w:jc w:val="center"/>
        </w:trPr>
        <w:tc>
          <w:tcPr>
            <w:tcW w:w="508"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7BD589B4">
            <w:pPr>
              <w:rPr>
                <w:rFonts w:ascii="Times New Roman" w:hAnsi="Times New Roman" w:eastAsia="仿宋_GB2312" w:cs="Times New Roman"/>
                <w:kern w:val="0"/>
                <w:sz w:val="24"/>
                <w:szCs w:val="24"/>
              </w:rPr>
            </w:pPr>
            <w:r>
              <w:rPr>
                <w:rFonts w:ascii="Times New Roman" w:hAnsi="Times New Roman" w:eastAsia="仿宋_GB2312" w:cs="Times New Roman"/>
              </w:rPr>
              <w:t>　</w:t>
            </w:r>
            <w:r>
              <w:rPr>
                <w:rFonts w:hint="eastAsia" w:ascii="Times New Roman" w:hAnsi="Times New Roman" w:eastAsia="仿宋_GB2312" w:cs="Times New Roman"/>
                <w:lang w:val="en-US" w:eastAsia="zh-CN"/>
              </w:rPr>
              <w:t>215</w:t>
            </w:r>
          </w:p>
        </w:tc>
        <w:tc>
          <w:tcPr>
            <w:tcW w:w="813" w:type="pct"/>
            <w:tcBorders>
              <w:top w:val="nil"/>
              <w:left w:val="nil"/>
              <w:bottom w:val="single" w:color="auto" w:sz="4" w:space="0"/>
              <w:right w:val="single" w:color="auto" w:sz="4" w:space="0"/>
            </w:tcBorders>
            <w:shd w:val="clear" w:color="000000" w:fill="FFFFFF"/>
            <w:noWrap/>
            <w:vAlign w:val="center"/>
          </w:tcPr>
          <w:p w14:paraId="040AC908">
            <w:pPr>
              <w:rPr>
                <w:rFonts w:ascii="Times New Roman" w:hAnsi="Times New Roman" w:eastAsia="仿宋_GB2312" w:cs="Times New Roman"/>
                <w:kern w:val="0"/>
                <w:sz w:val="24"/>
                <w:szCs w:val="24"/>
              </w:rPr>
            </w:pPr>
            <w:r>
              <w:rPr>
                <w:rFonts w:hint="eastAsia" w:ascii="Times New Roman" w:hAnsi="Times New Roman" w:eastAsia="仿宋_GB2312" w:cs="Times New Roman"/>
                <w:lang w:val="en-US" w:eastAsia="zh-CN"/>
              </w:rPr>
              <w:t>资源勘探工业信息等支出</w:t>
            </w:r>
          </w:p>
        </w:tc>
        <w:tc>
          <w:tcPr>
            <w:tcW w:w="660" w:type="pct"/>
            <w:tcBorders>
              <w:top w:val="nil"/>
              <w:left w:val="nil"/>
              <w:bottom w:val="single" w:color="auto" w:sz="4" w:space="0"/>
              <w:right w:val="single" w:color="auto" w:sz="4" w:space="0"/>
            </w:tcBorders>
            <w:shd w:val="clear" w:color="auto" w:fill="auto"/>
            <w:noWrap/>
            <w:vAlign w:val="center"/>
          </w:tcPr>
          <w:p w14:paraId="7104CDDF">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17.60</w:t>
            </w:r>
          </w:p>
        </w:tc>
        <w:tc>
          <w:tcPr>
            <w:tcW w:w="469" w:type="pct"/>
            <w:tcBorders>
              <w:top w:val="nil"/>
              <w:left w:val="nil"/>
              <w:bottom w:val="single" w:color="auto" w:sz="4" w:space="0"/>
              <w:right w:val="single" w:color="auto" w:sz="4" w:space="0"/>
            </w:tcBorders>
            <w:shd w:val="clear" w:color="auto" w:fill="auto"/>
            <w:noWrap/>
            <w:vAlign w:val="center"/>
          </w:tcPr>
          <w:p w14:paraId="184BA304">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469" w:type="pct"/>
            <w:tcBorders>
              <w:top w:val="nil"/>
              <w:left w:val="nil"/>
              <w:bottom w:val="single" w:color="auto" w:sz="4" w:space="0"/>
              <w:right w:val="single" w:color="auto" w:sz="4" w:space="0"/>
            </w:tcBorders>
            <w:shd w:val="clear" w:color="auto" w:fill="auto"/>
            <w:noWrap/>
            <w:vAlign w:val="center"/>
          </w:tcPr>
          <w:p w14:paraId="6AAD1195">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17.60</w:t>
            </w:r>
          </w:p>
        </w:tc>
        <w:tc>
          <w:tcPr>
            <w:tcW w:w="660" w:type="pct"/>
            <w:tcBorders>
              <w:top w:val="nil"/>
              <w:left w:val="nil"/>
              <w:bottom w:val="single" w:color="auto" w:sz="4" w:space="0"/>
              <w:right w:val="single" w:color="auto" w:sz="4" w:space="0"/>
            </w:tcBorders>
            <w:shd w:val="clear" w:color="auto" w:fill="auto"/>
            <w:noWrap/>
            <w:vAlign w:val="center"/>
          </w:tcPr>
          <w:p w14:paraId="0099B115">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502" w:type="pct"/>
            <w:tcBorders>
              <w:top w:val="nil"/>
              <w:left w:val="nil"/>
              <w:bottom w:val="single" w:color="auto" w:sz="4" w:space="0"/>
              <w:right w:val="single" w:color="auto" w:sz="4" w:space="0"/>
            </w:tcBorders>
            <w:shd w:val="clear" w:color="auto" w:fill="auto"/>
            <w:noWrap/>
            <w:vAlign w:val="center"/>
          </w:tcPr>
          <w:p w14:paraId="1A746BF9">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915" w:type="pct"/>
            <w:tcBorders>
              <w:top w:val="nil"/>
              <w:left w:val="nil"/>
              <w:bottom w:val="single" w:color="auto" w:sz="4" w:space="0"/>
              <w:right w:val="single" w:color="auto" w:sz="4" w:space="0"/>
            </w:tcBorders>
            <w:shd w:val="clear" w:color="auto" w:fill="auto"/>
            <w:noWrap/>
            <w:vAlign w:val="center"/>
          </w:tcPr>
          <w:p w14:paraId="69A3749F">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4F15F5E8">
        <w:tblPrEx>
          <w:tblCellMar>
            <w:top w:w="0" w:type="dxa"/>
            <w:left w:w="108" w:type="dxa"/>
            <w:bottom w:w="0" w:type="dxa"/>
            <w:right w:w="108" w:type="dxa"/>
          </w:tblCellMar>
        </w:tblPrEx>
        <w:trPr>
          <w:trHeight w:val="595" w:hRule="atLeast"/>
          <w:jc w:val="center"/>
        </w:trPr>
        <w:tc>
          <w:tcPr>
            <w:tcW w:w="508"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6CE6C7D0">
            <w:pPr>
              <w:rPr>
                <w:rFonts w:ascii="Times New Roman" w:hAnsi="Times New Roman" w:eastAsia="仿宋_GB2312" w:cs="Times New Roman"/>
                <w:kern w:val="0"/>
                <w:sz w:val="24"/>
                <w:szCs w:val="24"/>
              </w:rPr>
            </w:pPr>
            <w:r>
              <w:rPr>
                <w:rFonts w:ascii="Times New Roman" w:hAnsi="Times New Roman" w:eastAsia="仿宋_GB2312" w:cs="Times New Roman"/>
              </w:rPr>
              <w:t>　</w:t>
            </w:r>
            <w:r>
              <w:rPr>
                <w:rFonts w:hint="eastAsia" w:ascii="Times New Roman" w:hAnsi="Times New Roman" w:eastAsia="仿宋_GB2312" w:cs="Times New Roman"/>
                <w:lang w:val="en-US" w:eastAsia="zh-CN"/>
              </w:rPr>
              <w:t>21502</w:t>
            </w:r>
          </w:p>
        </w:tc>
        <w:tc>
          <w:tcPr>
            <w:tcW w:w="813" w:type="pct"/>
            <w:tcBorders>
              <w:top w:val="nil"/>
              <w:left w:val="nil"/>
              <w:bottom w:val="single" w:color="auto" w:sz="4" w:space="0"/>
              <w:right w:val="single" w:color="auto" w:sz="4" w:space="0"/>
            </w:tcBorders>
            <w:shd w:val="clear" w:color="000000" w:fill="FFFFFF"/>
            <w:noWrap/>
            <w:vAlign w:val="center"/>
          </w:tcPr>
          <w:p w14:paraId="73741215">
            <w:pPr>
              <w:rPr>
                <w:rFonts w:ascii="Times New Roman" w:hAnsi="Times New Roman" w:eastAsia="仿宋_GB2312" w:cs="Times New Roman"/>
                <w:kern w:val="0"/>
                <w:sz w:val="24"/>
                <w:szCs w:val="24"/>
              </w:rPr>
            </w:pPr>
            <w:r>
              <w:rPr>
                <w:rFonts w:hint="eastAsia" w:ascii="Times New Roman" w:hAnsi="Times New Roman" w:eastAsia="仿宋_GB2312" w:cs="Times New Roman"/>
                <w:lang w:val="en-US" w:eastAsia="zh-CN"/>
              </w:rPr>
              <w:t>制造业</w:t>
            </w:r>
          </w:p>
        </w:tc>
        <w:tc>
          <w:tcPr>
            <w:tcW w:w="660" w:type="pct"/>
            <w:tcBorders>
              <w:top w:val="nil"/>
              <w:left w:val="nil"/>
              <w:bottom w:val="single" w:color="auto" w:sz="4" w:space="0"/>
              <w:right w:val="single" w:color="auto" w:sz="4" w:space="0"/>
            </w:tcBorders>
            <w:shd w:val="clear" w:color="auto" w:fill="auto"/>
            <w:noWrap/>
            <w:vAlign w:val="center"/>
          </w:tcPr>
          <w:p w14:paraId="5015E948">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17.60</w:t>
            </w:r>
          </w:p>
        </w:tc>
        <w:tc>
          <w:tcPr>
            <w:tcW w:w="469" w:type="pct"/>
            <w:tcBorders>
              <w:top w:val="nil"/>
              <w:left w:val="nil"/>
              <w:bottom w:val="single" w:color="auto" w:sz="4" w:space="0"/>
              <w:right w:val="single" w:color="auto" w:sz="4" w:space="0"/>
            </w:tcBorders>
            <w:shd w:val="clear" w:color="auto" w:fill="auto"/>
            <w:noWrap/>
            <w:vAlign w:val="center"/>
          </w:tcPr>
          <w:p w14:paraId="2DE34D03">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469" w:type="pct"/>
            <w:tcBorders>
              <w:top w:val="nil"/>
              <w:left w:val="nil"/>
              <w:bottom w:val="single" w:color="auto" w:sz="4" w:space="0"/>
              <w:right w:val="single" w:color="auto" w:sz="4" w:space="0"/>
            </w:tcBorders>
            <w:shd w:val="clear" w:color="auto" w:fill="auto"/>
            <w:noWrap/>
            <w:vAlign w:val="center"/>
          </w:tcPr>
          <w:p w14:paraId="77646108">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17.60</w:t>
            </w:r>
          </w:p>
        </w:tc>
        <w:tc>
          <w:tcPr>
            <w:tcW w:w="660" w:type="pct"/>
            <w:tcBorders>
              <w:top w:val="nil"/>
              <w:left w:val="nil"/>
              <w:bottom w:val="single" w:color="auto" w:sz="4" w:space="0"/>
              <w:right w:val="single" w:color="auto" w:sz="4" w:space="0"/>
            </w:tcBorders>
            <w:shd w:val="clear" w:color="auto" w:fill="auto"/>
            <w:noWrap/>
            <w:vAlign w:val="center"/>
          </w:tcPr>
          <w:p w14:paraId="711A4BAF">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502" w:type="pct"/>
            <w:tcBorders>
              <w:top w:val="nil"/>
              <w:left w:val="nil"/>
              <w:bottom w:val="single" w:color="auto" w:sz="4" w:space="0"/>
              <w:right w:val="single" w:color="auto" w:sz="4" w:space="0"/>
            </w:tcBorders>
            <w:shd w:val="clear" w:color="auto" w:fill="auto"/>
            <w:noWrap/>
            <w:vAlign w:val="center"/>
          </w:tcPr>
          <w:p w14:paraId="0B492DAD">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915" w:type="pct"/>
            <w:tcBorders>
              <w:top w:val="nil"/>
              <w:left w:val="nil"/>
              <w:bottom w:val="single" w:color="auto" w:sz="4" w:space="0"/>
              <w:right w:val="single" w:color="auto" w:sz="4" w:space="0"/>
            </w:tcBorders>
            <w:shd w:val="clear" w:color="auto" w:fill="auto"/>
            <w:noWrap/>
            <w:vAlign w:val="center"/>
          </w:tcPr>
          <w:p w14:paraId="4B7EFFD7">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4F729C61">
        <w:tblPrEx>
          <w:tblCellMar>
            <w:top w:w="0" w:type="dxa"/>
            <w:left w:w="108" w:type="dxa"/>
            <w:bottom w:w="0" w:type="dxa"/>
            <w:right w:w="108" w:type="dxa"/>
          </w:tblCellMar>
        </w:tblPrEx>
        <w:trPr>
          <w:trHeight w:val="595" w:hRule="atLeast"/>
          <w:jc w:val="center"/>
        </w:trPr>
        <w:tc>
          <w:tcPr>
            <w:tcW w:w="508"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04E67889">
            <w:pPr>
              <w:rPr>
                <w:rFonts w:ascii="Times New Roman" w:hAnsi="Times New Roman" w:eastAsia="仿宋_GB2312" w:cs="Times New Roman"/>
                <w:kern w:val="0"/>
                <w:sz w:val="24"/>
                <w:szCs w:val="24"/>
              </w:rPr>
            </w:pPr>
            <w:r>
              <w:rPr>
                <w:rFonts w:ascii="Times New Roman" w:hAnsi="Times New Roman" w:eastAsia="仿宋_GB2312" w:cs="Times New Roman"/>
              </w:rPr>
              <w:t>　</w:t>
            </w:r>
            <w:r>
              <w:rPr>
                <w:rFonts w:hint="eastAsia" w:ascii="Times New Roman" w:hAnsi="Times New Roman" w:eastAsia="仿宋_GB2312" w:cs="Times New Roman"/>
                <w:lang w:val="en-US" w:eastAsia="zh-CN"/>
              </w:rPr>
              <w:t>2150207</w:t>
            </w:r>
          </w:p>
        </w:tc>
        <w:tc>
          <w:tcPr>
            <w:tcW w:w="813" w:type="pct"/>
            <w:tcBorders>
              <w:top w:val="nil"/>
              <w:left w:val="nil"/>
              <w:bottom w:val="nil"/>
              <w:right w:val="single" w:color="auto" w:sz="4" w:space="0"/>
            </w:tcBorders>
            <w:shd w:val="clear" w:color="000000" w:fill="FFFFFF"/>
            <w:noWrap/>
            <w:vAlign w:val="center"/>
          </w:tcPr>
          <w:p w14:paraId="16BAD26E">
            <w:pPr>
              <w:rPr>
                <w:rFonts w:ascii="Times New Roman" w:hAnsi="Times New Roman" w:eastAsia="仿宋_GB2312" w:cs="Times New Roman"/>
                <w:kern w:val="0"/>
                <w:sz w:val="24"/>
                <w:szCs w:val="24"/>
              </w:rPr>
            </w:pPr>
            <w:r>
              <w:rPr>
                <w:rFonts w:hint="eastAsia" w:ascii="Times New Roman" w:hAnsi="Times New Roman" w:eastAsia="仿宋_GB2312" w:cs="Times New Roman"/>
                <w:lang w:val="en-US" w:eastAsia="zh-CN"/>
              </w:rPr>
              <w:t xml:space="preserve">  通信设备、计算机及其他电子设备制造业</w:t>
            </w:r>
          </w:p>
        </w:tc>
        <w:tc>
          <w:tcPr>
            <w:tcW w:w="660" w:type="pct"/>
            <w:tcBorders>
              <w:top w:val="nil"/>
              <w:left w:val="nil"/>
              <w:bottom w:val="nil"/>
              <w:right w:val="single" w:color="auto" w:sz="4" w:space="0"/>
            </w:tcBorders>
            <w:shd w:val="clear" w:color="auto" w:fill="auto"/>
            <w:noWrap/>
            <w:vAlign w:val="center"/>
          </w:tcPr>
          <w:p w14:paraId="0CB9B749">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17.60</w:t>
            </w:r>
          </w:p>
        </w:tc>
        <w:tc>
          <w:tcPr>
            <w:tcW w:w="469" w:type="pct"/>
            <w:tcBorders>
              <w:top w:val="nil"/>
              <w:left w:val="nil"/>
              <w:bottom w:val="nil"/>
              <w:right w:val="single" w:color="auto" w:sz="4" w:space="0"/>
            </w:tcBorders>
            <w:shd w:val="clear" w:color="auto" w:fill="auto"/>
            <w:noWrap/>
            <w:vAlign w:val="center"/>
          </w:tcPr>
          <w:p w14:paraId="6DD86F78">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469" w:type="pct"/>
            <w:tcBorders>
              <w:top w:val="nil"/>
              <w:left w:val="nil"/>
              <w:bottom w:val="nil"/>
              <w:right w:val="single" w:color="auto" w:sz="4" w:space="0"/>
            </w:tcBorders>
            <w:shd w:val="clear" w:color="auto" w:fill="auto"/>
            <w:noWrap/>
            <w:vAlign w:val="center"/>
          </w:tcPr>
          <w:p w14:paraId="35C46FFA">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17.60</w:t>
            </w:r>
          </w:p>
        </w:tc>
        <w:tc>
          <w:tcPr>
            <w:tcW w:w="660" w:type="pct"/>
            <w:tcBorders>
              <w:top w:val="nil"/>
              <w:left w:val="nil"/>
              <w:bottom w:val="nil"/>
              <w:right w:val="single" w:color="auto" w:sz="4" w:space="0"/>
            </w:tcBorders>
            <w:shd w:val="clear" w:color="auto" w:fill="auto"/>
            <w:noWrap/>
            <w:vAlign w:val="center"/>
          </w:tcPr>
          <w:p w14:paraId="7FC918DC">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502" w:type="pct"/>
            <w:tcBorders>
              <w:top w:val="nil"/>
              <w:left w:val="nil"/>
              <w:bottom w:val="nil"/>
              <w:right w:val="single" w:color="auto" w:sz="4" w:space="0"/>
            </w:tcBorders>
            <w:shd w:val="clear" w:color="auto" w:fill="auto"/>
            <w:noWrap/>
            <w:vAlign w:val="center"/>
          </w:tcPr>
          <w:p w14:paraId="4F0965E3">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915" w:type="pct"/>
            <w:tcBorders>
              <w:top w:val="nil"/>
              <w:left w:val="nil"/>
              <w:bottom w:val="nil"/>
              <w:right w:val="single" w:color="auto" w:sz="4" w:space="0"/>
            </w:tcBorders>
            <w:shd w:val="clear" w:color="auto" w:fill="auto"/>
            <w:noWrap/>
            <w:vAlign w:val="center"/>
          </w:tcPr>
          <w:p w14:paraId="58A080E8">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250E366E">
        <w:tblPrEx>
          <w:tblCellMar>
            <w:top w:w="0" w:type="dxa"/>
            <w:left w:w="108" w:type="dxa"/>
            <w:bottom w:w="0" w:type="dxa"/>
            <w:right w:w="108" w:type="dxa"/>
          </w:tblCellMar>
        </w:tblPrEx>
        <w:trPr>
          <w:trHeight w:val="595" w:hRule="atLeast"/>
          <w:jc w:val="center"/>
        </w:trPr>
        <w:tc>
          <w:tcPr>
            <w:tcW w:w="508"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48C425C7">
            <w:pPr>
              <w:ind w:firstLine="210" w:firstLineChars="100"/>
              <w:rPr>
                <w:rFonts w:ascii="Times New Roman" w:hAnsi="Times New Roman" w:eastAsia="仿宋_GB2312" w:cs="Times New Roman"/>
                <w:kern w:val="0"/>
                <w:sz w:val="24"/>
                <w:szCs w:val="24"/>
              </w:rPr>
            </w:pPr>
            <w:r>
              <w:rPr>
                <w:rFonts w:hint="eastAsia" w:ascii="Times New Roman" w:hAnsi="Times New Roman" w:eastAsia="仿宋_GB2312" w:cs="Times New Roman"/>
                <w:lang w:val="en-US" w:eastAsia="zh-CN"/>
              </w:rPr>
              <w:t>221</w:t>
            </w:r>
          </w:p>
        </w:tc>
        <w:tc>
          <w:tcPr>
            <w:tcW w:w="813" w:type="pct"/>
            <w:tcBorders>
              <w:top w:val="nil"/>
              <w:left w:val="nil"/>
              <w:bottom w:val="nil"/>
              <w:right w:val="single" w:color="auto" w:sz="4" w:space="0"/>
            </w:tcBorders>
            <w:shd w:val="clear" w:color="000000" w:fill="FFFFFF"/>
            <w:noWrap/>
            <w:vAlign w:val="center"/>
          </w:tcPr>
          <w:p w14:paraId="39D99BAB">
            <w:pPr>
              <w:rPr>
                <w:rFonts w:ascii="Times New Roman" w:hAnsi="Times New Roman" w:eastAsia="仿宋_GB2312" w:cs="Times New Roman"/>
                <w:kern w:val="0"/>
                <w:sz w:val="24"/>
                <w:szCs w:val="24"/>
              </w:rPr>
            </w:pPr>
            <w:r>
              <w:rPr>
                <w:rFonts w:hint="eastAsia" w:ascii="Times New Roman" w:hAnsi="Times New Roman" w:eastAsia="仿宋_GB2312" w:cs="Times New Roman"/>
                <w:lang w:val="en-US" w:eastAsia="zh-CN"/>
              </w:rPr>
              <w:t>住房保障支出</w:t>
            </w:r>
          </w:p>
        </w:tc>
        <w:tc>
          <w:tcPr>
            <w:tcW w:w="660" w:type="pct"/>
            <w:tcBorders>
              <w:top w:val="nil"/>
              <w:left w:val="nil"/>
              <w:bottom w:val="nil"/>
              <w:right w:val="single" w:color="auto" w:sz="4" w:space="0"/>
            </w:tcBorders>
            <w:shd w:val="clear" w:color="auto" w:fill="auto"/>
            <w:noWrap/>
            <w:vAlign w:val="center"/>
          </w:tcPr>
          <w:p w14:paraId="5B017E2C">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2,530.47</w:t>
            </w:r>
          </w:p>
        </w:tc>
        <w:tc>
          <w:tcPr>
            <w:tcW w:w="469" w:type="pct"/>
            <w:tcBorders>
              <w:top w:val="nil"/>
              <w:left w:val="nil"/>
              <w:bottom w:val="nil"/>
              <w:right w:val="single" w:color="auto" w:sz="4" w:space="0"/>
            </w:tcBorders>
            <w:shd w:val="clear" w:color="auto" w:fill="auto"/>
            <w:noWrap/>
            <w:vAlign w:val="center"/>
          </w:tcPr>
          <w:p w14:paraId="5E3AAD6D">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1,905.35</w:t>
            </w:r>
          </w:p>
        </w:tc>
        <w:tc>
          <w:tcPr>
            <w:tcW w:w="469" w:type="pct"/>
            <w:tcBorders>
              <w:top w:val="nil"/>
              <w:left w:val="nil"/>
              <w:bottom w:val="nil"/>
              <w:right w:val="single" w:color="auto" w:sz="4" w:space="0"/>
            </w:tcBorders>
            <w:shd w:val="clear" w:color="auto" w:fill="auto"/>
            <w:noWrap/>
            <w:vAlign w:val="center"/>
          </w:tcPr>
          <w:p w14:paraId="73F9BE1B">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625.13</w:t>
            </w:r>
          </w:p>
        </w:tc>
        <w:tc>
          <w:tcPr>
            <w:tcW w:w="660" w:type="pct"/>
            <w:tcBorders>
              <w:top w:val="nil"/>
              <w:left w:val="nil"/>
              <w:bottom w:val="nil"/>
              <w:right w:val="single" w:color="auto" w:sz="4" w:space="0"/>
            </w:tcBorders>
            <w:shd w:val="clear" w:color="auto" w:fill="auto"/>
            <w:noWrap/>
            <w:vAlign w:val="center"/>
          </w:tcPr>
          <w:p w14:paraId="32DA9282">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502" w:type="pct"/>
            <w:tcBorders>
              <w:top w:val="nil"/>
              <w:left w:val="nil"/>
              <w:bottom w:val="nil"/>
              <w:right w:val="single" w:color="auto" w:sz="4" w:space="0"/>
            </w:tcBorders>
            <w:shd w:val="clear" w:color="auto" w:fill="auto"/>
            <w:noWrap/>
            <w:vAlign w:val="center"/>
          </w:tcPr>
          <w:p w14:paraId="16888E28">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915" w:type="pct"/>
            <w:tcBorders>
              <w:top w:val="nil"/>
              <w:left w:val="nil"/>
              <w:bottom w:val="nil"/>
              <w:right w:val="single" w:color="auto" w:sz="4" w:space="0"/>
            </w:tcBorders>
            <w:shd w:val="clear" w:color="auto" w:fill="auto"/>
            <w:noWrap/>
            <w:vAlign w:val="center"/>
          </w:tcPr>
          <w:p w14:paraId="20EE12BC">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6D07CE18">
        <w:tblPrEx>
          <w:tblCellMar>
            <w:top w:w="0" w:type="dxa"/>
            <w:left w:w="108" w:type="dxa"/>
            <w:bottom w:w="0" w:type="dxa"/>
            <w:right w:w="108" w:type="dxa"/>
          </w:tblCellMar>
        </w:tblPrEx>
        <w:trPr>
          <w:trHeight w:val="595" w:hRule="atLeast"/>
          <w:jc w:val="center"/>
        </w:trPr>
        <w:tc>
          <w:tcPr>
            <w:tcW w:w="508"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02340017">
            <w:pPr>
              <w:ind w:firstLine="210" w:firstLineChars="100"/>
              <w:rPr>
                <w:rFonts w:ascii="Times New Roman" w:hAnsi="Times New Roman" w:eastAsia="仿宋_GB2312" w:cs="Times New Roman"/>
                <w:kern w:val="0"/>
                <w:sz w:val="24"/>
                <w:szCs w:val="24"/>
              </w:rPr>
            </w:pPr>
            <w:r>
              <w:rPr>
                <w:rFonts w:hint="eastAsia" w:ascii="Times New Roman" w:hAnsi="Times New Roman" w:eastAsia="仿宋_GB2312" w:cs="Times New Roman"/>
                <w:lang w:val="en-US" w:eastAsia="zh-CN"/>
              </w:rPr>
              <w:t>22103</w:t>
            </w:r>
          </w:p>
        </w:tc>
        <w:tc>
          <w:tcPr>
            <w:tcW w:w="813" w:type="pct"/>
            <w:tcBorders>
              <w:top w:val="nil"/>
              <w:left w:val="nil"/>
              <w:bottom w:val="nil"/>
              <w:right w:val="single" w:color="auto" w:sz="4" w:space="0"/>
            </w:tcBorders>
            <w:shd w:val="clear" w:color="000000" w:fill="FFFFFF"/>
            <w:noWrap/>
            <w:vAlign w:val="center"/>
          </w:tcPr>
          <w:p w14:paraId="57B19532">
            <w:pPr>
              <w:rPr>
                <w:rFonts w:ascii="Times New Roman" w:hAnsi="Times New Roman" w:eastAsia="仿宋_GB2312" w:cs="Times New Roman"/>
                <w:kern w:val="0"/>
                <w:sz w:val="24"/>
                <w:szCs w:val="24"/>
              </w:rPr>
            </w:pPr>
            <w:r>
              <w:rPr>
                <w:rFonts w:hint="eastAsia" w:ascii="Times New Roman" w:hAnsi="Times New Roman" w:eastAsia="仿宋_GB2312" w:cs="Times New Roman"/>
                <w:lang w:val="en-US" w:eastAsia="zh-CN"/>
              </w:rPr>
              <w:t>城乡社区住宅</w:t>
            </w:r>
          </w:p>
        </w:tc>
        <w:tc>
          <w:tcPr>
            <w:tcW w:w="660" w:type="pct"/>
            <w:tcBorders>
              <w:top w:val="nil"/>
              <w:left w:val="nil"/>
              <w:bottom w:val="nil"/>
              <w:right w:val="single" w:color="auto" w:sz="4" w:space="0"/>
            </w:tcBorders>
            <w:shd w:val="clear" w:color="auto" w:fill="auto"/>
            <w:noWrap/>
            <w:vAlign w:val="center"/>
          </w:tcPr>
          <w:p w14:paraId="1079BA2D">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2,530.47</w:t>
            </w:r>
          </w:p>
        </w:tc>
        <w:tc>
          <w:tcPr>
            <w:tcW w:w="469" w:type="pct"/>
            <w:tcBorders>
              <w:top w:val="nil"/>
              <w:left w:val="nil"/>
              <w:bottom w:val="nil"/>
              <w:right w:val="single" w:color="auto" w:sz="4" w:space="0"/>
            </w:tcBorders>
            <w:shd w:val="clear" w:color="auto" w:fill="auto"/>
            <w:noWrap/>
            <w:vAlign w:val="center"/>
          </w:tcPr>
          <w:p w14:paraId="28276F17">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1,905.35</w:t>
            </w:r>
          </w:p>
        </w:tc>
        <w:tc>
          <w:tcPr>
            <w:tcW w:w="469" w:type="pct"/>
            <w:tcBorders>
              <w:top w:val="nil"/>
              <w:left w:val="nil"/>
              <w:bottom w:val="nil"/>
              <w:right w:val="single" w:color="auto" w:sz="4" w:space="0"/>
            </w:tcBorders>
            <w:shd w:val="clear" w:color="auto" w:fill="auto"/>
            <w:noWrap/>
            <w:vAlign w:val="center"/>
          </w:tcPr>
          <w:p w14:paraId="3B88148E">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625.13</w:t>
            </w:r>
          </w:p>
        </w:tc>
        <w:tc>
          <w:tcPr>
            <w:tcW w:w="660" w:type="pct"/>
            <w:tcBorders>
              <w:top w:val="nil"/>
              <w:left w:val="nil"/>
              <w:bottom w:val="nil"/>
              <w:right w:val="single" w:color="auto" w:sz="4" w:space="0"/>
            </w:tcBorders>
            <w:shd w:val="clear" w:color="auto" w:fill="auto"/>
            <w:noWrap/>
            <w:vAlign w:val="center"/>
          </w:tcPr>
          <w:p w14:paraId="62C73191">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502" w:type="pct"/>
            <w:tcBorders>
              <w:top w:val="nil"/>
              <w:left w:val="nil"/>
              <w:bottom w:val="nil"/>
              <w:right w:val="single" w:color="auto" w:sz="4" w:space="0"/>
            </w:tcBorders>
            <w:shd w:val="clear" w:color="auto" w:fill="auto"/>
            <w:noWrap/>
            <w:vAlign w:val="center"/>
          </w:tcPr>
          <w:p w14:paraId="6A923C81">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915" w:type="pct"/>
            <w:tcBorders>
              <w:top w:val="nil"/>
              <w:left w:val="nil"/>
              <w:bottom w:val="nil"/>
              <w:right w:val="single" w:color="auto" w:sz="4" w:space="0"/>
            </w:tcBorders>
            <w:shd w:val="clear" w:color="auto" w:fill="auto"/>
            <w:noWrap/>
            <w:vAlign w:val="center"/>
          </w:tcPr>
          <w:p w14:paraId="36A1598A">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1AA22651">
        <w:tblPrEx>
          <w:tblCellMar>
            <w:top w:w="0" w:type="dxa"/>
            <w:left w:w="108" w:type="dxa"/>
            <w:bottom w:w="0" w:type="dxa"/>
            <w:right w:w="108" w:type="dxa"/>
          </w:tblCellMar>
        </w:tblPrEx>
        <w:trPr>
          <w:trHeight w:val="595" w:hRule="atLeast"/>
          <w:jc w:val="center"/>
        </w:trPr>
        <w:tc>
          <w:tcPr>
            <w:tcW w:w="508"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1DF28FC1">
            <w:pPr>
              <w:rPr>
                <w:rFonts w:ascii="Times New Roman" w:hAnsi="Times New Roman" w:eastAsia="仿宋_GB2312" w:cs="Times New Roman"/>
                <w:kern w:val="0"/>
                <w:sz w:val="24"/>
                <w:szCs w:val="24"/>
              </w:rPr>
            </w:pPr>
            <w:r>
              <w:rPr>
                <w:rFonts w:hint="eastAsia" w:ascii="Times New Roman" w:hAnsi="Times New Roman" w:eastAsia="仿宋_GB2312" w:cs="Times New Roman"/>
                <w:lang w:val="en-US" w:eastAsia="zh-CN"/>
              </w:rPr>
              <w:t xml:space="preserve">  210302</w:t>
            </w:r>
          </w:p>
        </w:tc>
        <w:tc>
          <w:tcPr>
            <w:tcW w:w="813" w:type="pct"/>
            <w:tcBorders>
              <w:top w:val="nil"/>
              <w:left w:val="nil"/>
              <w:bottom w:val="single" w:color="auto" w:sz="4" w:space="0"/>
              <w:right w:val="single" w:color="auto" w:sz="4" w:space="0"/>
            </w:tcBorders>
            <w:shd w:val="clear" w:color="000000" w:fill="FFFFFF"/>
            <w:noWrap/>
            <w:vAlign w:val="center"/>
          </w:tcPr>
          <w:p w14:paraId="1F3C0DE8">
            <w:pPr>
              <w:rPr>
                <w:rFonts w:ascii="Times New Roman" w:hAnsi="Times New Roman" w:eastAsia="仿宋_GB2312" w:cs="Times New Roman"/>
                <w:kern w:val="0"/>
                <w:sz w:val="24"/>
                <w:szCs w:val="24"/>
              </w:rPr>
            </w:pPr>
            <w:r>
              <w:rPr>
                <w:rFonts w:hint="eastAsia" w:ascii="Times New Roman" w:hAnsi="Times New Roman" w:eastAsia="仿宋_GB2312" w:cs="Times New Roman"/>
                <w:lang w:val="en-US" w:eastAsia="zh-CN"/>
              </w:rPr>
              <w:t xml:space="preserve">  住房公积金管理</w:t>
            </w:r>
          </w:p>
        </w:tc>
        <w:tc>
          <w:tcPr>
            <w:tcW w:w="660" w:type="pct"/>
            <w:tcBorders>
              <w:top w:val="nil"/>
              <w:left w:val="nil"/>
              <w:bottom w:val="single" w:color="auto" w:sz="4" w:space="0"/>
              <w:right w:val="single" w:color="auto" w:sz="4" w:space="0"/>
            </w:tcBorders>
            <w:shd w:val="clear" w:color="auto" w:fill="auto"/>
            <w:noWrap/>
            <w:vAlign w:val="center"/>
          </w:tcPr>
          <w:p w14:paraId="5FDFB204">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2,530.47</w:t>
            </w:r>
          </w:p>
        </w:tc>
        <w:tc>
          <w:tcPr>
            <w:tcW w:w="469" w:type="pct"/>
            <w:tcBorders>
              <w:top w:val="nil"/>
              <w:left w:val="nil"/>
              <w:bottom w:val="single" w:color="auto" w:sz="4" w:space="0"/>
              <w:right w:val="single" w:color="auto" w:sz="4" w:space="0"/>
            </w:tcBorders>
            <w:shd w:val="clear" w:color="auto" w:fill="auto"/>
            <w:noWrap/>
            <w:vAlign w:val="center"/>
          </w:tcPr>
          <w:p w14:paraId="0A582539">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1,905.35</w:t>
            </w:r>
          </w:p>
        </w:tc>
        <w:tc>
          <w:tcPr>
            <w:tcW w:w="469" w:type="pct"/>
            <w:tcBorders>
              <w:top w:val="nil"/>
              <w:left w:val="nil"/>
              <w:bottom w:val="single" w:color="auto" w:sz="4" w:space="0"/>
              <w:right w:val="single" w:color="auto" w:sz="4" w:space="0"/>
            </w:tcBorders>
            <w:shd w:val="clear" w:color="auto" w:fill="auto"/>
            <w:noWrap/>
            <w:vAlign w:val="center"/>
          </w:tcPr>
          <w:p w14:paraId="6DAA68F7">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625.13</w:t>
            </w:r>
          </w:p>
        </w:tc>
        <w:tc>
          <w:tcPr>
            <w:tcW w:w="660" w:type="pct"/>
            <w:tcBorders>
              <w:top w:val="nil"/>
              <w:left w:val="nil"/>
              <w:bottom w:val="single" w:color="auto" w:sz="4" w:space="0"/>
              <w:right w:val="single" w:color="auto" w:sz="4" w:space="0"/>
            </w:tcBorders>
            <w:shd w:val="clear" w:color="auto" w:fill="auto"/>
            <w:noWrap/>
            <w:vAlign w:val="center"/>
          </w:tcPr>
          <w:p w14:paraId="032A539C">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502" w:type="pct"/>
            <w:tcBorders>
              <w:top w:val="nil"/>
              <w:left w:val="nil"/>
              <w:bottom w:val="single" w:color="auto" w:sz="4" w:space="0"/>
              <w:right w:val="single" w:color="auto" w:sz="4" w:space="0"/>
            </w:tcBorders>
            <w:shd w:val="clear" w:color="auto" w:fill="auto"/>
            <w:noWrap/>
            <w:vAlign w:val="center"/>
          </w:tcPr>
          <w:p w14:paraId="5067FF1F">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915" w:type="pct"/>
            <w:tcBorders>
              <w:top w:val="nil"/>
              <w:left w:val="nil"/>
              <w:bottom w:val="single" w:color="auto" w:sz="4" w:space="0"/>
              <w:right w:val="single" w:color="auto" w:sz="4" w:space="0"/>
            </w:tcBorders>
            <w:shd w:val="clear" w:color="auto" w:fill="auto"/>
            <w:noWrap/>
            <w:vAlign w:val="center"/>
          </w:tcPr>
          <w:p w14:paraId="6B0124CD">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r>
    </w:tbl>
    <w:p w14:paraId="68EF12B9">
      <w:pPr>
        <w:widowControl/>
        <w:spacing w:before="120"/>
        <w:jc w:val="left"/>
        <w:rPr>
          <w:rFonts w:ascii="Times New Roman" w:hAnsi="Times New Roman" w:eastAsia="黑体" w:cs="Times New Roman"/>
          <w:color w:val="000000"/>
          <w:kern w:val="0"/>
          <w:sz w:val="32"/>
          <w:szCs w:val="32"/>
          <w:lang w:bidi="ar"/>
        </w:rPr>
      </w:pPr>
      <w:r>
        <w:rPr>
          <w:rFonts w:ascii="Times New Roman" w:hAnsi="Times New Roman" w:eastAsia="仿宋_GB2312" w:cs="Times New Roman"/>
          <w:kern w:val="0"/>
          <w:sz w:val="24"/>
          <w:szCs w:val="24"/>
        </w:rPr>
        <w:t>注：本表反映部门本年度各项支出情况。</w:t>
      </w:r>
      <w:bookmarkStart w:id="0" w:name="RANGE!A1:I22"/>
      <w:bookmarkEnd w:id="0"/>
      <w:bookmarkStart w:id="1" w:name="RANGE!A1:F16"/>
      <w:r>
        <w:rPr>
          <w:rFonts w:ascii="Times New Roman" w:hAnsi="Times New Roman" w:eastAsia="黑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p>
    <w:p w14:paraId="53F21E1C">
      <w:pPr>
        <w:widowControl/>
        <w:spacing w:after="156" w:afterLines="50"/>
        <w:jc w:val="center"/>
        <w:textAlignment w:val="center"/>
        <w:rPr>
          <w:rFonts w:ascii="Times New Roman" w:hAnsi="Times New Roman" w:eastAsia="仿宋_GB2312" w:cs="Times New Roman"/>
          <w:color w:val="000000"/>
          <w:kern w:val="0"/>
          <w:sz w:val="20"/>
          <w:szCs w:val="20"/>
        </w:rPr>
      </w:pPr>
      <w:r>
        <w:rPr>
          <w:rFonts w:ascii="Times New Roman" w:hAnsi="Times New Roman" w:eastAsia="黑体" w:cs="Times New Roman"/>
          <w:color w:val="000000"/>
          <w:kern w:val="0"/>
          <w:sz w:val="36"/>
          <w:szCs w:val="36"/>
          <w:lang w:bidi="ar"/>
        </w:rPr>
        <w:t>财政拨款收入支出决算总表</w:t>
      </w:r>
      <w:r>
        <w:rPr>
          <w:rFonts w:ascii="Times New Roman" w:hAnsi="Times New Roman" w:eastAsia="仿宋_GB2312" w:cs="Times New Roman"/>
          <w:color w:val="000000"/>
          <w:kern w:val="0"/>
          <w:sz w:val="20"/>
          <w:szCs w:val="20"/>
        </w:rPr>
        <w:t xml:space="preserve">                                                                                                                  </w:t>
      </w:r>
    </w:p>
    <w:p w14:paraId="23D9C7A4">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sz w:val="20"/>
          <w:szCs w:val="20"/>
        </w:rPr>
        <w:t>部门：</w:t>
      </w:r>
      <w:r>
        <w:rPr>
          <w:rFonts w:hint="eastAsia" w:ascii="Times New Roman" w:hAnsi="Times New Roman" w:eastAsia="仿宋_GB2312" w:cs="Times New Roman"/>
          <w:color w:val="000000"/>
          <w:sz w:val="20"/>
          <w:szCs w:val="20"/>
          <w:lang w:eastAsia="zh-CN"/>
        </w:rPr>
        <w:t>怀化市住房公积金管理中心</w:t>
      </w:r>
      <w:r>
        <w:rPr>
          <w:rFonts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lang w:val="en-US" w:eastAsia="zh-CN"/>
        </w:rPr>
        <w:t xml:space="preserve">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color w:val="000000"/>
          <w:kern w:val="0"/>
          <w:sz w:val="20"/>
          <w:szCs w:val="20"/>
        </w:rPr>
        <w:t>公开04表</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color w:val="000000"/>
          <w:kern w:val="0"/>
          <w:sz w:val="20"/>
          <w:szCs w:val="20"/>
        </w:rPr>
        <w:t>单位：万元</w:t>
      </w:r>
    </w:p>
    <w:tbl>
      <w:tblPr>
        <w:tblStyle w:val="10"/>
        <w:tblW w:w="0" w:type="auto"/>
        <w:jc w:val="center"/>
        <w:tblLayout w:type="fixed"/>
        <w:tblCellMar>
          <w:top w:w="0" w:type="dxa"/>
          <w:left w:w="108" w:type="dxa"/>
          <w:bottom w:w="0" w:type="dxa"/>
          <w:right w:w="108" w:type="dxa"/>
        </w:tblCellMar>
      </w:tblPr>
      <w:tblGrid>
        <w:gridCol w:w="3024"/>
        <w:gridCol w:w="747"/>
        <w:gridCol w:w="1147"/>
        <w:gridCol w:w="1880"/>
        <w:gridCol w:w="1146"/>
        <w:gridCol w:w="987"/>
        <w:gridCol w:w="1561"/>
        <w:gridCol w:w="1815"/>
        <w:gridCol w:w="1913"/>
      </w:tblGrid>
      <w:tr w14:paraId="73500E80">
        <w:tblPrEx>
          <w:tblCellMar>
            <w:top w:w="0" w:type="dxa"/>
            <w:left w:w="108" w:type="dxa"/>
            <w:bottom w:w="0" w:type="dxa"/>
            <w:right w:w="108" w:type="dxa"/>
          </w:tblCellMar>
        </w:tblPrEx>
        <w:trPr>
          <w:trHeight w:val="402" w:hRule="atLeast"/>
          <w:jc w:val="center"/>
        </w:trPr>
        <w:tc>
          <w:tcPr>
            <w:tcW w:w="4918"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15BC5305">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收入</w:t>
            </w:r>
          </w:p>
        </w:tc>
        <w:tc>
          <w:tcPr>
            <w:tcW w:w="9302" w:type="dxa"/>
            <w:gridSpan w:val="6"/>
            <w:tcBorders>
              <w:top w:val="single" w:color="auto" w:sz="4" w:space="0"/>
              <w:left w:val="nil"/>
              <w:bottom w:val="single" w:color="auto" w:sz="4" w:space="0"/>
              <w:right w:val="single" w:color="auto" w:sz="4" w:space="0"/>
            </w:tcBorders>
            <w:shd w:val="clear" w:color="000000" w:fill="FFFFFF"/>
            <w:noWrap/>
            <w:vAlign w:val="center"/>
          </w:tcPr>
          <w:p w14:paraId="79A4A9F8">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支出</w:t>
            </w:r>
          </w:p>
        </w:tc>
      </w:tr>
      <w:tr w14:paraId="3B7B8832">
        <w:tblPrEx>
          <w:tblCellMar>
            <w:top w:w="0" w:type="dxa"/>
            <w:left w:w="108" w:type="dxa"/>
            <w:bottom w:w="0" w:type="dxa"/>
            <w:right w:w="108" w:type="dxa"/>
          </w:tblCellMar>
        </w:tblPrEx>
        <w:trPr>
          <w:trHeight w:val="630" w:hRule="atLeast"/>
          <w:jc w:val="center"/>
        </w:trPr>
        <w:tc>
          <w:tcPr>
            <w:tcW w:w="3024" w:type="dxa"/>
            <w:tcBorders>
              <w:top w:val="nil"/>
              <w:left w:val="single" w:color="auto" w:sz="4" w:space="0"/>
              <w:bottom w:val="single" w:color="auto" w:sz="4" w:space="0"/>
              <w:right w:val="single" w:color="auto" w:sz="4" w:space="0"/>
            </w:tcBorders>
            <w:shd w:val="clear" w:color="auto" w:fill="auto"/>
            <w:noWrap/>
            <w:vAlign w:val="center"/>
          </w:tcPr>
          <w:p w14:paraId="305F03DA">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747" w:type="dxa"/>
            <w:tcBorders>
              <w:top w:val="nil"/>
              <w:left w:val="nil"/>
              <w:bottom w:val="single" w:color="auto" w:sz="4" w:space="0"/>
              <w:right w:val="single" w:color="auto" w:sz="4" w:space="0"/>
            </w:tcBorders>
            <w:shd w:val="clear" w:color="auto" w:fill="auto"/>
            <w:noWrap/>
            <w:vAlign w:val="center"/>
          </w:tcPr>
          <w:p w14:paraId="2724AFAC">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1147" w:type="dxa"/>
            <w:tcBorders>
              <w:top w:val="nil"/>
              <w:left w:val="nil"/>
              <w:bottom w:val="single" w:color="auto" w:sz="4" w:space="0"/>
              <w:right w:val="single" w:color="auto" w:sz="4" w:space="0"/>
            </w:tcBorders>
            <w:shd w:val="clear" w:color="auto" w:fill="auto"/>
            <w:noWrap/>
            <w:vAlign w:val="center"/>
          </w:tcPr>
          <w:p w14:paraId="4EEEDF9B">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金额</w:t>
            </w:r>
          </w:p>
        </w:tc>
        <w:tc>
          <w:tcPr>
            <w:tcW w:w="1880" w:type="dxa"/>
            <w:tcBorders>
              <w:top w:val="nil"/>
              <w:left w:val="nil"/>
              <w:bottom w:val="single" w:color="auto" w:sz="4" w:space="0"/>
              <w:right w:val="single" w:color="auto" w:sz="4" w:space="0"/>
            </w:tcBorders>
            <w:shd w:val="clear" w:color="auto" w:fill="auto"/>
            <w:noWrap/>
            <w:vAlign w:val="center"/>
          </w:tcPr>
          <w:p w14:paraId="3660F0E5">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1146" w:type="dxa"/>
            <w:tcBorders>
              <w:top w:val="nil"/>
              <w:left w:val="nil"/>
              <w:bottom w:val="single" w:color="auto" w:sz="4" w:space="0"/>
              <w:right w:val="single" w:color="auto" w:sz="4" w:space="0"/>
            </w:tcBorders>
            <w:shd w:val="clear" w:color="auto" w:fill="auto"/>
            <w:noWrap/>
            <w:vAlign w:val="center"/>
          </w:tcPr>
          <w:p w14:paraId="40AA2639">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987" w:type="dxa"/>
            <w:tcBorders>
              <w:top w:val="nil"/>
              <w:left w:val="nil"/>
              <w:bottom w:val="single" w:color="auto" w:sz="4" w:space="0"/>
              <w:right w:val="single" w:color="auto" w:sz="4" w:space="0"/>
            </w:tcBorders>
            <w:shd w:val="clear" w:color="auto" w:fill="auto"/>
            <w:noWrap/>
            <w:vAlign w:val="center"/>
          </w:tcPr>
          <w:p w14:paraId="69F78202">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1561" w:type="dxa"/>
            <w:tcBorders>
              <w:top w:val="nil"/>
              <w:left w:val="nil"/>
              <w:bottom w:val="single" w:color="auto" w:sz="4" w:space="0"/>
              <w:right w:val="single" w:color="auto" w:sz="4" w:space="0"/>
            </w:tcBorders>
            <w:shd w:val="clear" w:color="auto" w:fill="auto"/>
            <w:vAlign w:val="center"/>
          </w:tcPr>
          <w:p w14:paraId="04167621">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一般公共预算财政拨款</w:t>
            </w:r>
          </w:p>
        </w:tc>
        <w:tc>
          <w:tcPr>
            <w:tcW w:w="1815" w:type="dxa"/>
            <w:tcBorders>
              <w:top w:val="nil"/>
              <w:left w:val="nil"/>
              <w:bottom w:val="single" w:color="auto" w:sz="4" w:space="0"/>
              <w:right w:val="single" w:color="auto" w:sz="4" w:space="0"/>
            </w:tcBorders>
            <w:shd w:val="clear" w:color="auto" w:fill="auto"/>
            <w:vAlign w:val="center"/>
          </w:tcPr>
          <w:p w14:paraId="3849871F">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政府性基金预算财政拨款</w:t>
            </w:r>
          </w:p>
        </w:tc>
        <w:tc>
          <w:tcPr>
            <w:tcW w:w="1913" w:type="dxa"/>
            <w:tcBorders>
              <w:top w:val="nil"/>
              <w:left w:val="nil"/>
              <w:bottom w:val="single" w:color="auto" w:sz="4" w:space="0"/>
              <w:right w:val="single" w:color="auto" w:sz="4" w:space="0"/>
            </w:tcBorders>
            <w:shd w:val="clear" w:color="auto" w:fill="auto"/>
            <w:vAlign w:val="center"/>
          </w:tcPr>
          <w:p w14:paraId="7255050B">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国有资本经营预算财政拨款</w:t>
            </w:r>
          </w:p>
        </w:tc>
      </w:tr>
      <w:tr w14:paraId="5042E9EC">
        <w:tblPrEx>
          <w:tblCellMar>
            <w:top w:w="0" w:type="dxa"/>
            <w:left w:w="108" w:type="dxa"/>
            <w:bottom w:w="0" w:type="dxa"/>
            <w:right w:w="108" w:type="dxa"/>
          </w:tblCellMar>
        </w:tblPrEx>
        <w:trPr>
          <w:trHeight w:val="402" w:hRule="atLeast"/>
          <w:jc w:val="center"/>
        </w:trPr>
        <w:tc>
          <w:tcPr>
            <w:tcW w:w="3024" w:type="dxa"/>
            <w:tcBorders>
              <w:top w:val="nil"/>
              <w:left w:val="single" w:color="auto" w:sz="4" w:space="0"/>
              <w:bottom w:val="single" w:color="auto" w:sz="4" w:space="0"/>
              <w:right w:val="single" w:color="auto" w:sz="4" w:space="0"/>
            </w:tcBorders>
            <w:shd w:val="clear" w:color="auto" w:fill="auto"/>
            <w:noWrap/>
            <w:vAlign w:val="center"/>
          </w:tcPr>
          <w:p w14:paraId="3F893AA4">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747" w:type="dxa"/>
            <w:tcBorders>
              <w:top w:val="nil"/>
              <w:left w:val="nil"/>
              <w:bottom w:val="single" w:color="auto" w:sz="4" w:space="0"/>
              <w:right w:val="single" w:color="auto" w:sz="4" w:space="0"/>
            </w:tcBorders>
            <w:shd w:val="clear" w:color="auto" w:fill="auto"/>
            <w:noWrap/>
            <w:vAlign w:val="center"/>
          </w:tcPr>
          <w:p w14:paraId="44388F20">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1147" w:type="dxa"/>
            <w:tcBorders>
              <w:top w:val="nil"/>
              <w:left w:val="nil"/>
              <w:bottom w:val="single" w:color="auto" w:sz="4" w:space="0"/>
              <w:right w:val="single" w:color="auto" w:sz="4" w:space="0"/>
            </w:tcBorders>
            <w:shd w:val="clear" w:color="auto" w:fill="auto"/>
            <w:noWrap/>
            <w:vAlign w:val="center"/>
          </w:tcPr>
          <w:p w14:paraId="61644508">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1880" w:type="dxa"/>
            <w:tcBorders>
              <w:top w:val="nil"/>
              <w:left w:val="nil"/>
              <w:bottom w:val="single" w:color="auto" w:sz="4" w:space="0"/>
              <w:right w:val="single" w:color="auto" w:sz="4" w:space="0"/>
            </w:tcBorders>
            <w:shd w:val="clear" w:color="auto" w:fill="auto"/>
            <w:noWrap/>
            <w:vAlign w:val="center"/>
          </w:tcPr>
          <w:p w14:paraId="2B98AA1F">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1146" w:type="dxa"/>
            <w:tcBorders>
              <w:top w:val="nil"/>
              <w:left w:val="nil"/>
              <w:bottom w:val="single" w:color="auto" w:sz="4" w:space="0"/>
              <w:right w:val="single" w:color="auto" w:sz="4" w:space="0"/>
            </w:tcBorders>
            <w:shd w:val="clear" w:color="auto" w:fill="auto"/>
            <w:noWrap/>
            <w:vAlign w:val="center"/>
          </w:tcPr>
          <w:p w14:paraId="6CA0E8B3">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87" w:type="dxa"/>
            <w:tcBorders>
              <w:top w:val="nil"/>
              <w:left w:val="nil"/>
              <w:bottom w:val="single" w:color="auto" w:sz="4" w:space="0"/>
              <w:right w:val="single" w:color="auto" w:sz="4" w:space="0"/>
            </w:tcBorders>
            <w:shd w:val="clear" w:color="auto" w:fill="auto"/>
            <w:noWrap/>
            <w:vAlign w:val="center"/>
          </w:tcPr>
          <w:p w14:paraId="793A46CB">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1561" w:type="dxa"/>
            <w:tcBorders>
              <w:top w:val="nil"/>
              <w:left w:val="nil"/>
              <w:bottom w:val="single" w:color="auto" w:sz="4" w:space="0"/>
              <w:right w:val="single" w:color="auto" w:sz="4" w:space="0"/>
            </w:tcBorders>
            <w:shd w:val="clear" w:color="auto" w:fill="auto"/>
            <w:noWrap/>
            <w:vAlign w:val="center"/>
          </w:tcPr>
          <w:p w14:paraId="7AE69D10">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1815" w:type="dxa"/>
            <w:tcBorders>
              <w:top w:val="nil"/>
              <w:left w:val="nil"/>
              <w:bottom w:val="single" w:color="auto" w:sz="4" w:space="0"/>
              <w:right w:val="single" w:color="auto" w:sz="4" w:space="0"/>
            </w:tcBorders>
            <w:shd w:val="clear" w:color="auto" w:fill="auto"/>
            <w:noWrap/>
            <w:vAlign w:val="center"/>
          </w:tcPr>
          <w:p w14:paraId="4DFB145F">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1913" w:type="dxa"/>
            <w:tcBorders>
              <w:top w:val="nil"/>
              <w:left w:val="nil"/>
              <w:bottom w:val="single" w:color="auto" w:sz="4" w:space="0"/>
              <w:right w:val="single" w:color="auto" w:sz="4" w:space="0"/>
            </w:tcBorders>
            <w:shd w:val="clear" w:color="auto" w:fill="auto"/>
            <w:noWrap/>
            <w:vAlign w:val="center"/>
          </w:tcPr>
          <w:p w14:paraId="0756A9E5">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r>
      <w:tr w14:paraId="5FA601B3">
        <w:tblPrEx>
          <w:tblCellMar>
            <w:top w:w="0" w:type="dxa"/>
            <w:left w:w="108" w:type="dxa"/>
            <w:bottom w:w="0" w:type="dxa"/>
            <w:right w:w="108" w:type="dxa"/>
          </w:tblCellMar>
        </w:tblPrEx>
        <w:trPr>
          <w:trHeight w:val="402" w:hRule="atLeast"/>
          <w:jc w:val="center"/>
        </w:trPr>
        <w:tc>
          <w:tcPr>
            <w:tcW w:w="3024" w:type="dxa"/>
            <w:tcBorders>
              <w:top w:val="nil"/>
              <w:left w:val="single" w:color="auto" w:sz="4" w:space="0"/>
              <w:bottom w:val="single" w:color="auto" w:sz="4" w:space="0"/>
              <w:right w:val="single" w:color="auto" w:sz="4" w:space="0"/>
            </w:tcBorders>
            <w:shd w:val="clear" w:color="auto" w:fill="auto"/>
            <w:noWrap/>
            <w:vAlign w:val="center"/>
          </w:tcPr>
          <w:p w14:paraId="45438299">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一、一般公共预算财政拨款</w:t>
            </w:r>
          </w:p>
        </w:tc>
        <w:tc>
          <w:tcPr>
            <w:tcW w:w="747" w:type="dxa"/>
            <w:tcBorders>
              <w:top w:val="nil"/>
              <w:left w:val="nil"/>
              <w:bottom w:val="single" w:color="auto" w:sz="4" w:space="0"/>
              <w:right w:val="single" w:color="auto" w:sz="4" w:space="0"/>
            </w:tcBorders>
            <w:shd w:val="clear" w:color="auto" w:fill="auto"/>
            <w:noWrap/>
            <w:vAlign w:val="center"/>
          </w:tcPr>
          <w:p w14:paraId="70E4B17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w:t>
            </w:r>
          </w:p>
        </w:tc>
        <w:tc>
          <w:tcPr>
            <w:tcW w:w="1147" w:type="dxa"/>
            <w:tcBorders>
              <w:top w:val="nil"/>
              <w:left w:val="nil"/>
              <w:bottom w:val="single" w:color="auto" w:sz="4" w:space="0"/>
              <w:right w:val="single" w:color="auto" w:sz="4" w:space="0"/>
            </w:tcBorders>
            <w:shd w:val="clear" w:color="auto" w:fill="auto"/>
            <w:noWrap/>
            <w:vAlign w:val="center"/>
          </w:tcPr>
          <w:p w14:paraId="7FF53178">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2624.73</w:t>
            </w:r>
            <w:r>
              <w:rPr>
                <w:rFonts w:ascii="Times New Roman" w:hAnsi="Times New Roman" w:eastAsia="仿宋_GB2312" w:cs="Times New Roman"/>
                <w:kern w:val="0"/>
                <w:sz w:val="22"/>
              </w:rPr>
              <w:t>　</w:t>
            </w:r>
          </w:p>
        </w:tc>
        <w:tc>
          <w:tcPr>
            <w:tcW w:w="1880" w:type="dxa"/>
            <w:tcBorders>
              <w:top w:val="nil"/>
              <w:left w:val="nil"/>
              <w:bottom w:val="single" w:color="auto" w:sz="4" w:space="0"/>
              <w:right w:val="single" w:color="auto" w:sz="4" w:space="0"/>
            </w:tcBorders>
            <w:shd w:val="clear" w:color="auto" w:fill="auto"/>
            <w:noWrap/>
            <w:vAlign w:val="center"/>
          </w:tcPr>
          <w:p w14:paraId="1D3B0F32">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一、一般公共服务支出</w:t>
            </w:r>
          </w:p>
        </w:tc>
        <w:tc>
          <w:tcPr>
            <w:tcW w:w="1146" w:type="dxa"/>
            <w:tcBorders>
              <w:top w:val="nil"/>
              <w:left w:val="nil"/>
              <w:bottom w:val="single" w:color="auto" w:sz="4" w:space="0"/>
              <w:right w:val="single" w:color="auto" w:sz="4" w:space="0"/>
            </w:tcBorders>
            <w:shd w:val="clear" w:color="auto" w:fill="auto"/>
            <w:noWrap/>
            <w:vAlign w:val="center"/>
          </w:tcPr>
          <w:p w14:paraId="0B9100B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15</w:t>
            </w:r>
          </w:p>
        </w:tc>
        <w:tc>
          <w:tcPr>
            <w:tcW w:w="987" w:type="dxa"/>
            <w:tcBorders>
              <w:top w:val="nil"/>
              <w:left w:val="nil"/>
              <w:bottom w:val="single" w:color="auto" w:sz="4" w:space="0"/>
              <w:right w:val="single" w:color="auto" w:sz="4" w:space="0"/>
            </w:tcBorders>
            <w:shd w:val="clear" w:color="auto" w:fill="auto"/>
            <w:noWrap/>
            <w:vAlign w:val="center"/>
          </w:tcPr>
          <w:p w14:paraId="0E63959E">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76.65</w:t>
            </w:r>
            <w:r>
              <w:rPr>
                <w:rFonts w:ascii="Times New Roman" w:hAnsi="Times New Roman" w:eastAsia="仿宋_GB2312" w:cs="Times New Roman"/>
                <w:kern w:val="0"/>
                <w:sz w:val="22"/>
              </w:rPr>
              <w:t>　</w:t>
            </w:r>
          </w:p>
        </w:tc>
        <w:tc>
          <w:tcPr>
            <w:tcW w:w="1561" w:type="dxa"/>
            <w:tcBorders>
              <w:top w:val="nil"/>
              <w:left w:val="nil"/>
              <w:bottom w:val="single" w:color="auto" w:sz="4" w:space="0"/>
              <w:right w:val="single" w:color="auto" w:sz="4" w:space="0"/>
            </w:tcBorders>
            <w:shd w:val="clear" w:color="auto" w:fill="auto"/>
            <w:noWrap/>
            <w:vAlign w:val="center"/>
          </w:tcPr>
          <w:p w14:paraId="5BAE973E">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76.65</w:t>
            </w:r>
            <w:r>
              <w:rPr>
                <w:rFonts w:ascii="Times New Roman" w:hAnsi="Times New Roman" w:eastAsia="仿宋_GB2312" w:cs="Times New Roman"/>
                <w:kern w:val="0"/>
                <w:sz w:val="22"/>
              </w:rPr>
              <w:t>　</w:t>
            </w:r>
          </w:p>
        </w:tc>
        <w:tc>
          <w:tcPr>
            <w:tcW w:w="1815" w:type="dxa"/>
            <w:tcBorders>
              <w:top w:val="nil"/>
              <w:left w:val="nil"/>
              <w:bottom w:val="single" w:color="auto" w:sz="4" w:space="0"/>
              <w:right w:val="single" w:color="auto" w:sz="4" w:space="0"/>
            </w:tcBorders>
            <w:shd w:val="clear" w:color="auto" w:fill="auto"/>
            <w:noWrap/>
            <w:vAlign w:val="center"/>
          </w:tcPr>
          <w:p w14:paraId="22ED49F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913" w:type="dxa"/>
            <w:tcBorders>
              <w:top w:val="nil"/>
              <w:left w:val="nil"/>
              <w:bottom w:val="single" w:color="auto" w:sz="4" w:space="0"/>
              <w:right w:val="single" w:color="auto" w:sz="4" w:space="0"/>
            </w:tcBorders>
            <w:shd w:val="clear" w:color="auto" w:fill="auto"/>
            <w:noWrap/>
            <w:vAlign w:val="center"/>
          </w:tcPr>
          <w:p w14:paraId="25498BC9">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71B22A97">
        <w:tblPrEx>
          <w:tblCellMar>
            <w:top w:w="0" w:type="dxa"/>
            <w:left w:w="108" w:type="dxa"/>
            <w:bottom w:w="0" w:type="dxa"/>
            <w:right w:w="108" w:type="dxa"/>
          </w:tblCellMar>
        </w:tblPrEx>
        <w:trPr>
          <w:trHeight w:val="402" w:hRule="atLeast"/>
          <w:jc w:val="center"/>
        </w:trPr>
        <w:tc>
          <w:tcPr>
            <w:tcW w:w="3024" w:type="dxa"/>
            <w:tcBorders>
              <w:top w:val="nil"/>
              <w:left w:val="single" w:color="auto" w:sz="4" w:space="0"/>
              <w:bottom w:val="single" w:color="auto" w:sz="4" w:space="0"/>
              <w:right w:val="single" w:color="auto" w:sz="4" w:space="0"/>
            </w:tcBorders>
            <w:shd w:val="clear" w:color="auto" w:fill="auto"/>
            <w:noWrap/>
            <w:vAlign w:val="center"/>
          </w:tcPr>
          <w:p w14:paraId="31ACEE0C">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二、政府性基金预算财政拨款</w:t>
            </w:r>
          </w:p>
        </w:tc>
        <w:tc>
          <w:tcPr>
            <w:tcW w:w="747" w:type="dxa"/>
            <w:tcBorders>
              <w:top w:val="nil"/>
              <w:left w:val="nil"/>
              <w:bottom w:val="single" w:color="auto" w:sz="4" w:space="0"/>
              <w:right w:val="single" w:color="auto" w:sz="4" w:space="0"/>
            </w:tcBorders>
            <w:shd w:val="clear" w:color="auto" w:fill="auto"/>
            <w:noWrap/>
            <w:vAlign w:val="center"/>
          </w:tcPr>
          <w:p w14:paraId="6F39260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w:t>
            </w:r>
          </w:p>
        </w:tc>
        <w:tc>
          <w:tcPr>
            <w:tcW w:w="1147" w:type="dxa"/>
            <w:tcBorders>
              <w:top w:val="nil"/>
              <w:left w:val="nil"/>
              <w:bottom w:val="single" w:color="auto" w:sz="4" w:space="0"/>
              <w:right w:val="single" w:color="auto" w:sz="4" w:space="0"/>
            </w:tcBorders>
            <w:shd w:val="clear" w:color="auto" w:fill="auto"/>
            <w:noWrap/>
            <w:vAlign w:val="center"/>
          </w:tcPr>
          <w:p w14:paraId="6017C3C8">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880" w:type="dxa"/>
            <w:tcBorders>
              <w:top w:val="nil"/>
              <w:left w:val="nil"/>
              <w:bottom w:val="single" w:color="auto" w:sz="4" w:space="0"/>
              <w:right w:val="single" w:color="auto" w:sz="4" w:space="0"/>
            </w:tcBorders>
            <w:shd w:val="clear" w:color="auto" w:fill="auto"/>
            <w:noWrap/>
            <w:vAlign w:val="center"/>
          </w:tcPr>
          <w:p w14:paraId="28EA91AB">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二、外交支出</w:t>
            </w:r>
          </w:p>
        </w:tc>
        <w:tc>
          <w:tcPr>
            <w:tcW w:w="1146" w:type="dxa"/>
            <w:tcBorders>
              <w:top w:val="nil"/>
              <w:left w:val="nil"/>
              <w:bottom w:val="single" w:color="auto" w:sz="4" w:space="0"/>
              <w:right w:val="single" w:color="auto" w:sz="4" w:space="0"/>
            </w:tcBorders>
            <w:shd w:val="clear" w:color="auto" w:fill="auto"/>
            <w:noWrap/>
            <w:vAlign w:val="center"/>
          </w:tcPr>
          <w:p w14:paraId="27ACD8A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16</w:t>
            </w:r>
          </w:p>
        </w:tc>
        <w:tc>
          <w:tcPr>
            <w:tcW w:w="987" w:type="dxa"/>
            <w:tcBorders>
              <w:top w:val="nil"/>
              <w:left w:val="nil"/>
              <w:bottom w:val="single" w:color="auto" w:sz="4" w:space="0"/>
              <w:right w:val="single" w:color="auto" w:sz="4" w:space="0"/>
            </w:tcBorders>
            <w:shd w:val="clear" w:color="auto" w:fill="auto"/>
            <w:noWrap/>
            <w:vAlign w:val="center"/>
          </w:tcPr>
          <w:p w14:paraId="5A16ED5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561" w:type="dxa"/>
            <w:tcBorders>
              <w:top w:val="nil"/>
              <w:left w:val="nil"/>
              <w:bottom w:val="single" w:color="auto" w:sz="4" w:space="0"/>
              <w:right w:val="single" w:color="auto" w:sz="4" w:space="0"/>
            </w:tcBorders>
            <w:shd w:val="clear" w:color="auto" w:fill="auto"/>
            <w:noWrap/>
            <w:vAlign w:val="center"/>
          </w:tcPr>
          <w:p w14:paraId="42C9ACD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815" w:type="dxa"/>
            <w:tcBorders>
              <w:top w:val="nil"/>
              <w:left w:val="nil"/>
              <w:bottom w:val="single" w:color="auto" w:sz="4" w:space="0"/>
              <w:right w:val="single" w:color="auto" w:sz="4" w:space="0"/>
            </w:tcBorders>
            <w:shd w:val="clear" w:color="auto" w:fill="auto"/>
            <w:noWrap/>
            <w:vAlign w:val="center"/>
          </w:tcPr>
          <w:p w14:paraId="450918E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913" w:type="dxa"/>
            <w:tcBorders>
              <w:top w:val="nil"/>
              <w:left w:val="nil"/>
              <w:bottom w:val="single" w:color="auto" w:sz="4" w:space="0"/>
              <w:right w:val="single" w:color="auto" w:sz="4" w:space="0"/>
            </w:tcBorders>
            <w:shd w:val="clear" w:color="auto" w:fill="auto"/>
            <w:noWrap/>
            <w:vAlign w:val="center"/>
          </w:tcPr>
          <w:p w14:paraId="570BDBFE">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38E56F10">
        <w:tblPrEx>
          <w:tblCellMar>
            <w:top w:w="0" w:type="dxa"/>
            <w:left w:w="108" w:type="dxa"/>
            <w:bottom w:w="0" w:type="dxa"/>
            <w:right w:w="108" w:type="dxa"/>
          </w:tblCellMar>
        </w:tblPrEx>
        <w:trPr>
          <w:trHeight w:val="402" w:hRule="atLeast"/>
          <w:jc w:val="center"/>
        </w:trPr>
        <w:tc>
          <w:tcPr>
            <w:tcW w:w="3024" w:type="dxa"/>
            <w:tcBorders>
              <w:top w:val="nil"/>
              <w:left w:val="single" w:color="auto" w:sz="4" w:space="0"/>
              <w:bottom w:val="single" w:color="auto" w:sz="4" w:space="0"/>
              <w:right w:val="single" w:color="auto" w:sz="4" w:space="0"/>
            </w:tcBorders>
            <w:shd w:val="clear" w:color="auto" w:fill="auto"/>
            <w:noWrap/>
            <w:vAlign w:val="center"/>
          </w:tcPr>
          <w:p w14:paraId="1EC5ED72">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三、国有资本经营预算财政拨款</w:t>
            </w:r>
          </w:p>
        </w:tc>
        <w:tc>
          <w:tcPr>
            <w:tcW w:w="747" w:type="dxa"/>
            <w:tcBorders>
              <w:top w:val="nil"/>
              <w:left w:val="nil"/>
              <w:bottom w:val="single" w:color="auto" w:sz="4" w:space="0"/>
              <w:right w:val="single" w:color="auto" w:sz="4" w:space="0"/>
            </w:tcBorders>
            <w:shd w:val="clear" w:color="auto" w:fill="auto"/>
            <w:noWrap/>
            <w:vAlign w:val="center"/>
          </w:tcPr>
          <w:p w14:paraId="0D51E6D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3</w:t>
            </w:r>
          </w:p>
        </w:tc>
        <w:tc>
          <w:tcPr>
            <w:tcW w:w="1147" w:type="dxa"/>
            <w:tcBorders>
              <w:top w:val="nil"/>
              <w:left w:val="nil"/>
              <w:bottom w:val="single" w:color="auto" w:sz="4" w:space="0"/>
              <w:right w:val="single" w:color="auto" w:sz="4" w:space="0"/>
            </w:tcBorders>
            <w:shd w:val="clear" w:color="auto" w:fill="auto"/>
            <w:noWrap/>
            <w:vAlign w:val="center"/>
          </w:tcPr>
          <w:p w14:paraId="61561054">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880" w:type="dxa"/>
            <w:tcBorders>
              <w:top w:val="nil"/>
              <w:left w:val="nil"/>
              <w:bottom w:val="single" w:color="auto" w:sz="4" w:space="0"/>
              <w:right w:val="single" w:color="auto" w:sz="4" w:space="0"/>
            </w:tcBorders>
            <w:shd w:val="clear" w:color="auto" w:fill="auto"/>
            <w:noWrap/>
            <w:vAlign w:val="center"/>
          </w:tcPr>
          <w:p w14:paraId="5761B452">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三、国防支出</w:t>
            </w:r>
          </w:p>
        </w:tc>
        <w:tc>
          <w:tcPr>
            <w:tcW w:w="1146" w:type="dxa"/>
            <w:tcBorders>
              <w:top w:val="nil"/>
              <w:left w:val="nil"/>
              <w:bottom w:val="single" w:color="auto" w:sz="4" w:space="0"/>
              <w:right w:val="single" w:color="auto" w:sz="4" w:space="0"/>
            </w:tcBorders>
            <w:shd w:val="clear" w:color="auto" w:fill="auto"/>
            <w:noWrap/>
            <w:vAlign w:val="center"/>
          </w:tcPr>
          <w:p w14:paraId="3E816F6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17</w:t>
            </w:r>
          </w:p>
        </w:tc>
        <w:tc>
          <w:tcPr>
            <w:tcW w:w="987" w:type="dxa"/>
            <w:tcBorders>
              <w:top w:val="nil"/>
              <w:left w:val="nil"/>
              <w:bottom w:val="single" w:color="auto" w:sz="4" w:space="0"/>
              <w:right w:val="single" w:color="auto" w:sz="4" w:space="0"/>
            </w:tcBorders>
            <w:shd w:val="clear" w:color="auto" w:fill="auto"/>
            <w:noWrap/>
            <w:vAlign w:val="center"/>
          </w:tcPr>
          <w:p w14:paraId="42F2747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561" w:type="dxa"/>
            <w:tcBorders>
              <w:top w:val="nil"/>
              <w:left w:val="nil"/>
              <w:bottom w:val="single" w:color="auto" w:sz="4" w:space="0"/>
              <w:right w:val="single" w:color="auto" w:sz="4" w:space="0"/>
            </w:tcBorders>
            <w:shd w:val="clear" w:color="auto" w:fill="auto"/>
            <w:noWrap/>
            <w:vAlign w:val="center"/>
          </w:tcPr>
          <w:p w14:paraId="2FDEE8D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815" w:type="dxa"/>
            <w:tcBorders>
              <w:top w:val="nil"/>
              <w:left w:val="nil"/>
              <w:bottom w:val="single" w:color="auto" w:sz="4" w:space="0"/>
              <w:right w:val="single" w:color="auto" w:sz="4" w:space="0"/>
            </w:tcBorders>
            <w:shd w:val="clear" w:color="auto" w:fill="auto"/>
            <w:noWrap/>
            <w:vAlign w:val="center"/>
          </w:tcPr>
          <w:p w14:paraId="47AFD5E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913" w:type="dxa"/>
            <w:tcBorders>
              <w:top w:val="nil"/>
              <w:left w:val="nil"/>
              <w:bottom w:val="single" w:color="auto" w:sz="4" w:space="0"/>
              <w:right w:val="single" w:color="auto" w:sz="4" w:space="0"/>
            </w:tcBorders>
            <w:shd w:val="clear" w:color="auto" w:fill="auto"/>
            <w:noWrap/>
            <w:vAlign w:val="center"/>
          </w:tcPr>
          <w:p w14:paraId="2DCEA052">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6C15B63D">
        <w:tblPrEx>
          <w:tblCellMar>
            <w:top w:w="0" w:type="dxa"/>
            <w:left w:w="108" w:type="dxa"/>
            <w:bottom w:w="0" w:type="dxa"/>
            <w:right w:w="108" w:type="dxa"/>
          </w:tblCellMar>
        </w:tblPrEx>
        <w:trPr>
          <w:trHeight w:val="411" w:hRule="atLeast"/>
          <w:jc w:val="center"/>
        </w:trPr>
        <w:tc>
          <w:tcPr>
            <w:tcW w:w="3024" w:type="dxa"/>
            <w:tcBorders>
              <w:top w:val="nil"/>
              <w:left w:val="single" w:color="auto" w:sz="4" w:space="0"/>
              <w:bottom w:val="single" w:color="auto" w:sz="4" w:space="0"/>
              <w:right w:val="single" w:color="auto" w:sz="4" w:space="0"/>
            </w:tcBorders>
            <w:shd w:val="clear" w:color="auto" w:fill="auto"/>
            <w:noWrap/>
            <w:vAlign w:val="center"/>
          </w:tcPr>
          <w:p w14:paraId="17842F19">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747" w:type="dxa"/>
            <w:tcBorders>
              <w:top w:val="nil"/>
              <w:left w:val="nil"/>
              <w:bottom w:val="single" w:color="auto" w:sz="4" w:space="0"/>
              <w:right w:val="single" w:color="auto" w:sz="4" w:space="0"/>
            </w:tcBorders>
            <w:shd w:val="clear" w:color="auto" w:fill="auto"/>
            <w:noWrap/>
            <w:vAlign w:val="center"/>
          </w:tcPr>
          <w:p w14:paraId="27C2CC5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6</w:t>
            </w:r>
          </w:p>
        </w:tc>
        <w:tc>
          <w:tcPr>
            <w:tcW w:w="1147" w:type="dxa"/>
            <w:tcBorders>
              <w:top w:val="nil"/>
              <w:left w:val="nil"/>
              <w:bottom w:val="single" w:color="auto" w:sz="4" w:space="0"/>
              <w:right w:val="single" w:color="auto" w:sz="4" w:space="0"/>
            </w:tcBorders>
            <w:shd w:val="clear" w:color="auto" w:fill="auto"/>
            <w:noWrap/>
            <w:vAlign w:val="center"/>
          </w:tcPr>
          <w:p w14:paraId="79928CFE">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880" w:type="dxa"/>
            <w:tcBorders>
              <w:top w:val="nil"/>
              <w:left w:val="nil"/>
              <w:bottom w:val="single" w:color="auto" w:sz="4" w:space="0"/>
              <w:right w:val="single" w:color="auto" w:sz="4" w:space="0"/>
            </w:tcBorders>
            <w:shd w:val="clear" w:color="auto" w:fill="auto"/>
            <w:noWrap/>
            <w:vAlign w:val="center"/>
          </w:tcPr>
          <w:p w14:paraId="503CE690">
            <w:pPr>
              <w:widowControl/>
              <w:jc w:val="left"/>
              <w:rPr>
                <w:rFonts w:hint="eastAsia" w:ascii="Times New Roman" w:hAnsi="Times New Roman" w:eastAsia="仿宋_GB2312" w:cs="Times New Roman"/>
                <w:kern w:val="0"/>
                <w:sz w:val="22"/>
                <w:lang w:eastAsia="zh-CN"/>
              </w:rPr>
            </w:pPr>
            <w:r>
              <w:rPr>
                <w:rFonts w:hint="eastAsia" w:ascii="Times New Roman" w:hAnsi="Times New Roman" w:eastAsia="仿宋_GB2312" w:cs="Times New Roman"/>
                <w:kern w:val="0"/>
                <w:sz w:val="22"/>
                <w:lang w:eastAsia="zh-CN"/>
              </w:rPr>
              <w:t>四</w:t>
            </w:r>
            <w:r>
              <w:rPr>
                <w:rFonts w:ascii="Times New Roman" w:hAnsi="Times New Roman" w:eastAsia="仿宋_GB2312" w:cs="Times New Roman"/>
                <w:kern w:val="0"/>
                <w:sz w:val="22"/>
              </w:rPr>
              <w:t>、</w:t>
            </w:r>
            <w:r>
              <w:rPr>
                <w:rFonts w:hint="eastAsia" w:ascii="Times New Roman" w:hAnsi="Times New Roman" w:eastAsia="仿宋_GB2312" w:cs="Times New Roman"/>
                <w:kern w:val="0"/>
                <w:sz w:val="22"/>
                <w:lang w:eastAsia="zh-CN"/>
              </w:rPr>
              <w:t>资源勘探工业信息等支出</w:t>
            </w:r>
          </w:p>
        </w:tc>
        <w:tc>
          <w:tcPr>
            <w:tcW w:w="1146" w:type="dxa"/>
            <w:tcBorders>
              <w:top w:val="nil"/>
              <w:left w:val="nil"/>
              <w:bottom w:val="single" w:color="auto" w:sz="4" w:space="0"/>
              <w:right w:val="single" w:color="auto" w:sz="4" w:space="0"/>
            </w:tcBorders>
            <w:shd w:val="clear" w:color="auto" w:fill="auto"/>
            <w:noWrap/>
            <w:vAlign w:val="center"/>
          </w:tcPr>
          <w:p w14:paraId="435416E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20</w:t>
            </w:r>
          </w:p>
        </w:tc>
        <w:tc>
          <w:tcPr>
            <w:tcW w:w="987" w:type="dxa"/>
            <w:tcBorders>
              <w:top w:val="nil"/>
              <w:left w:val="nil"/>
              <w:bottom w:val="single" w:color="auto" w:sz="4" w:space="0"/>
              <w:right w:val="single" w:color="auto" w:sz="4" w:space="0"/>
            </w:tcBorders>
            <w:shd w:val="clear" w:color="auto" w:fill="auto"/>
            <w:noWrap/>
            <w:vAlign w:val="center"/>
          </w:tcPr>
          <w:p w14:paraId="61A50BB7">
            <w:pPr>
              <w:widowControl/>
              <w:jc w:val="center"/>
              <w:rPr>
                <w:rFonts w:hint="default" w:ascii="Times New Roman" w:hAnsi="Times New Roman" w:eastAsia="仿宋_GB2312" w:cs="Times New Roman"/>
                <w:kern w:val="0"/>
                <w:sz w:val="22"/>
                <w:lang w:val="en-US" w:eastAsia="zh-CN"/>
              </w:rPr>
            </w:pPr>
            <w:r>
              <w:rPr>
                <w:rFonts w:ascii="Times New Roman" w:hAnsi="Times New Roman" w:eastAsia="仿宋_GB2312" w:cs="Times New Roman"/>
                <w:kern w:val="0"/>
                <w:sz w:val="22"/>
              </w:rPr>
              <w:t>　</w:t>
            </w:r>
            <w:r>
              <w:rPr>
                <w:rFonts w:hint="eastAsia" w:ascii="Times New Roman" w:hAnsi="Times New Roman" w:eastAsia="仿宋_GB2312" w:cs="Times New Roman"/>
                <w:kern w:val="0"/>
                <w:sz w:val="22"/>
                <w:lang w:val="en-US" w:eastAsia="zh-CN"/>
              </w:rPr>
              <w:t>17.60</w:t>
            </w:r>
          </w:p>
        </w:tc>
        <w:tc>
          <w:tcPr>
            <w:tcW w:w="1561" w:type="dxa"/>
            <w:tcBorders>
              <w:top w:val="nil"/>
              <w:left w:val="nil"/>
              <w:bottom w:val="single" w:color="auto" w:sz="4" w:space="0"/>
              <w:right w:val="single" w:color="auto" w:sz="4" w:space="0"/>
            </w:tcBorders>
            <w:shd w:val="clear" w:color="auto" w:fill="auto"/>
            <w:noWrap/>
            <w:vAlign w:val="center"/>
          </w:tcPr>
          <w:p w14:paraId="0D15C2C7">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17.60</w:t>
            </w:r>
            <w:r>
              <w:rPr>
                <w:rFonts w:ascii="Times New Roman" w:hAnsi="Times New Roman" w:eastAsia="仿宋_GB2312" w:cs="Times New Roman"/>
                <w:kern w:val="0"/>
                <w:sz w:val="22"/>
              </w:rPr>
              <w:t>　</w:t>
            </w:r>
          </w:p>
        </w:tc>
        <w:tc>
          <w:tcPr>
            <w:tcW w:w="1815" w:type="dxa"/>
            <w:tcBorders>
              <w:top w:val="nil"/>
              <w:left w:val="nil"/>
              <w:bottom w:val="single" w:color="auto" w:sz="4" w:space="0"/>
              <w:right w:val="single" w:color="auto" w:sz="4" w:space="0"/>
            </w:tcBorders>
            <w:shd w:val="clear" w:color="auto" w:fill="auto"/>
            <w:noWrap/>
            <w:vAlign w:val="center"/>
          </w:tcPr>
          <w:p w14:paraId="3B6E32F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913" w:type="dxa"/>
            <w:tcBorders>
              <w:top w:val="nil"/>
              <w:left w:val="nil"/>
              <w:bottom w:val="single" w:color="auto" w:sz="4" w:space="0"/>
              <w:right w:val="single" w:color="auto" w:sz="4" w:space="0"/>
            </w:tcBorders>
            <w:shd w:val="clear" w:color="auto" w:fill="auto"/>
            <w:noWrap/>
            <w:vAlign w:val="center"/>
          </w:tcPr>
          <w:p w14:paraId="212ED205">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02C338AF">
        <w:tblPrEx>
          <w:tblCellMar>
            <w:top w:w="0" w:type="dxa"/>
            <w:left w:w="108" w:type="dxa"/>
            <w:bottom w:w="0" w:type="dxa"/>
            <w:right w:w="108" w:type="dxa"/>
          </w:tblCellMar>
        </w:tblPrEx>
        <w:trPr>
          <w:trHeight w:val="402" w:hRule="atLeast"/>
          <w:jc w:val="center"/>
        </w:trPr>
        <w:tc>
          <w:tcPr>
            <w:tcW w:w="3024" w:type="dxa"/>
            <w:tcBorders>
              <w:top w:val="nil"/>
              <w:left w:val="single" w:color="auto" w:sz="4" w:space="0"/>
              <w:bottom w:val="single" w:color="auto" w:sz="4" w:space="0"/>
              <w:right w:val="single" w:color="auto" w:sz="4" w:space="0"/>
            </w:tcBorders>
            <w:shd w:val="clear" w:color="auto" w:fill="auto"/>
            <w:noWrap/>
            <w:vAlign w:val="center"/>
          </w:tcPr>
          <w:p w14:paraId="4738B922">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747" w:type="dxa"/>
            <w:tcBorders>
              <w:top w:val="nil"/>
              <w:left w:val="nil"/>
              <w:bottom w:val="single" w:color="auto" w:sz="4" w:space="0"/>
              <w:right w:val="single" w:color="auto" w:sz="4" w:space="0"/>
            </w:tcBorders>
            <w:shd w:val="clear" w:color="auto" w:fill="auto"/>
            <w:noWrap/>
            <w:vAlign w:val="center"/>
          </w:tcPr>
          <w:p w14:paraId="31D8DF9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7</w:t>
            </w:r>
          </w:p>
        </w:tc>
        <w:tc>
          <w:tcPr>
            <w:tcW w:w="1147" w:type="dxa"/>
            <w:tcBorders>
              <w:top w:val="nil"/>
              <w:left w:val="nil"/>
              <w:bottom w:val="single" w:color="auto" w:sz="4" w:space="0"/>
              <w:right w:val="single" w:color="auto" w:sz="4" w:space="0"/>
            </w:tcBorders>
            <w:shd w:val="clear" w:color="auto" w:fill="auto"/>
            <w:noWrap/>
            <w:vAlign w:val="center"/>
          </w:tcPr>
          <w:p w14:paraId="7F8A400A">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880" w:type="dxa"/>
            <w:tcBorders>
              <w:top w:val="nil"/>
              <w:left w:val="nil"/>
              <w:bottom w:val="single" w:color="auto" w:sz="4" w:space="0"/>
              <w:right w:val="single" w:color="auto" w:sz="4" w:space="0"/>
            </w:tcBorders>
            <w:shd w:val="clear" w:color="auto" w:fill="auto"/>
            <w:noWrap/>
            <w:vAlign w:val="center"/>
          </w:tcPr>
          <w:p w14:paraId="13A2FBDE">
            <w:pPr>
              <w:widowControl/>
              <w:jc w:val="left"/>
              <w:rPr>
                <w:rFonts w:hint="eastAsia" w:ascii="Times New Roman" w:hAnsi="Times New Roman" w:eastAsia="仿宋_GB2312" w:cs="Times New Roman"/>
                <w:kern w:val="0"/>
                <w:sz w:val="24"/>
                <w:szCs w:val="24"/>
                <w:lang w:eastAsia="zh-CN"/>
              </w:rPr>
            </w:pPr>
            <w:r>
              <w:rPr>
                <w:rFonts w:hint="eastAsia" w:ascii="Times New Roman" w:hAnsi="Times New Roman" w:eastAsia="仿宋_GB2312" w:cs="Times New Roman"/>
                <w:kern w:val="0"/>
                <w:sz w:val="24"/>
                <w:szCs w:val="24"/>
                <w:lang w:eastAsia="zh-CN"/>
              </w:rPr>
              <w:t>五、住房保障支出</w:t>
            </w:r>
          </w:p>
        </w:tc>
        <w:tc>
          <w:tcPr>
            <w:tcW w:w="1146" w:type="dxa"/>
            <w:tcBorders>
              <w:top w:val="nil"/>
              <w:left w:val="nil"/>
              <w:bottom w:val="single" w:color="auto" w:sz="4" w:space="0"/>
              <w:right w:val="single" w:color="auto" w:sz="4" w:space="0"/>
            </w:tcBorders>
            <w:shd w:val="clear" w:color="auto" w:fill="auto"/>
            <w:noWrap/>
            <w:vAlign w:val="center"/>
          </w:tcPr>
          <w:p w14:paraId="3D765E9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21</w:t>
            </w:r>
          </w:p>
        </w:tc>
        <w:tc>
          <w:tcPr>
            <w:tcW w:w="987" w:type="dxa"/>
            <w:tcBorders>
              <w:top w:val="nil"/>
              <w:left w:val="nil"/>
              <w:bottom w:val="single" w:color="auto" w:sz="4" w:space="0"/>
              <w:right w:val="single" w:color="auto" w:sz="4" w:space="0"/>
            </w:tcBorders>
            <w:shd w:val="clear" w:color="auto" w:fill="auto"/>
            <w:noWrap/>
            <w:vAlign w:val="center"/>
          </w:tcPr>
          <w:p w14:paraId="29701944">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2530.47</w:t>
            </w:r>
          </w:p>
        </w:tc>
        <w:tc>
          <w:tcPr>
            <w:tcW w:w="1561" w:type="dxa"/>
            <w:tcBorders>
              <w:top w:val="nil"/>
              <w:left w:val="nil"/>
              <w:bottom w:val="single" w:color="auto" w:sz="4" w:space="0"/>
              <w:right w:val="single" w:color="auto" w:sz="4" w:space="0"/>
            </w:tcBorders>
            <w:shd w:val="clear" w:color="auto" w:fill="auto"/>
            <w:noWrap/>
            <w:vAlign w:val="center"/>
          </w:tcPr>
          <w:p w14:paraId="769EE547">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2530.47</w:t>
            </w:r>
            <w:r>
              <w:rPr>
                <w:rFonts w:ascii="Times New Roman" w:hAnsi="Times New Roman" w:eastAsia="仿宋_GB2312" w:cs="Times New Roman"/>
                <w:kern w:val="0"/>
                <w:sz w:val="22"/>
              </w:rPr>
              <w:t>　</w:t>
            </w:r>
          </w:p>
        </w:tc>
        <w:tc>
          <w:tcPr>
            <w:tcW w:w="1815" w:type="dxa"/>
            <w:tcBorders>
              <w:top w:val="nil"/>
              <w:left w:val="nil"/>
              <w:bottom w:val="single" w:color="auto" w:sz="4" w:space="0"/>
              <w:right w:val="single" w:color="auto" w:sz="4" w:space="0"/>
            </w:tcBorders>
            <w:shd w:val="clear" w:color="auto" w:fill="auto"/>
            <w:noWrap/>
            <w:vAlign w:val="center"/>
          </w:tcPr>
          <w:p w14:paraId="434DD6C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913" w:type="dxa"/>
            <w:tcBorders>
              <w:top w:val="nil"/>
              <w:left w:val="nil"/>
              <w:bottom w:val="single" w:color="auto" w:sz="4" w:space="0"/>
              <w:right w:val="single" w:color="auto" w:sz="4" w:space="0"/>
            </w:tcBorders>
            <w:shd w:val="clear" w:color="auto" w:fill="auto"/>
            <w:noWrap/>
            <w:vAlign w:val="center"/>
          </w:tcPr>
          <w:p w14:paraId="23BD7CFA">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38D3DCE6">
        <w:tblPrEx>
          <w:tblCellMar>
            <w:top w:w="0" w:type="dxa"/>
            <w:left w:w="108" w:type="dxa"/>
            <w:bottom w:w="0" w:type="dxa"/>
            <w:right w:w="108" w:type="dxa"/>
          </w:tblCellMar>
        </w:tblPrEx>
        <w:trPr>
          <w:trHeight w:val="402" w:hRule="atLeast"/>
          <w:jc w:val="center"/>
        </w:trPr>
        <w:tc>
          <w:tcPr>
            <w:tcW w:w="3024" w:type="dxa"/>
            <w:tcBorders>
              <w:top w:val="nil"/>
              <w:left w:val="single" w:color="auto" w:sz="4" w:space="0"/>
              <w:bottom w:val="single" w:color="auto" w:sz="4" w:space="0"/>
              <w:right w:val="single" w:color="auto" w:sz="4" w:space="0"/>
            </w:tcBorders>
            <w:shd w:val="clear" w:color="auto" w:fill="auto"/>
            <w:noWrap/>
            <w:vAlign w:val="center"/>
          </w:tcPr>
          <w:p w14:paraId="09037AE8">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747" w:type="dxa"/>
            <w:tcBorders>
              <w:top w:val="nil"/>
              <w:left w:val="nil"/>
              <w:bottom w:val="single" w:color="auto" w:sz="4" w:space="0"/>
              <w:right w:val="single" w:color="auto" w:sz="4" w:space="0"/>
            </w:tcBorders>
            <w:shd w:val="clear" w:color="auto" w:fill="auto"/>
            <w:noWrap/>
            <w:vAlign w:val="center"/>
          </w:tcPr>
          <w:p w14:paraId="73306A4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8</w:t>
            </w:r>
          </w:p>
        </w:tc>
        <w:tc>
          <w:tcPr>
            <w:tcW w:w="1147" w:type="dxa"/>
            <w:tcBorders>
              <w:top w:val="nil"/>
              <w:left w:val="nil"/>
              <w:bottom w:val="single" w:color="auto" w:sz="4" w:space="0"/>
              <w:right w:val="single" w:color="auto" w:sz="4" w:space="0"/>
            </w:tcBorders>
            <w:shd w:val="clear" w:color="auto" w:fill="auto"/>
            <w:noWrap/>
            <w:vAlign w:val="center"/>
          </w:tcPr>
          <w:p w14:paraId="0C43D948">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880" w:type="dxa"/>
            <w:tcBorders>
              <w:top w:val="nil"/>
              <w:left w:val="nil"/>
              <w:bottom w:val="single" w:color="auto" w:sz="4" w:space="0"/>
              <w:right w:val="single" w:color="auto" w:sz="4" w:space="0"/>
            </w:tcBorders>
            <w:shd w:val="clear" w:color="auto" w:fill="auto"/>
            <w:noWrap/>
            <w:vAlign w:val="center"/>
          </w:tcPr>
          <w:p w14:paraId="3FB66AF3">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146" w:type="dxa"/>
            <w:tcBorders>
              <w:top w:val="nil"/>
              <w:left w:val="nil"/>
              <w:bottom w:val="single" w:color="auto" w:sz="4" w:space="0"/>
              <w:right w:val="single" w:color="auto" w:sz="4" w:space="0"/>
            </w:tcBorders>
            <w:shd w:val="clear" w:color="auto" w:fill="auto"/>
            <w:noWrap/>
            <w:vAlign w:val="center"/>
          </w:tcPr>
          <w:p w14:paraId="2EF7579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22</w:t>
            </w:r>
          </w:p>
        </w:tc>
        <w:tc>
          <w:tcPr>
            <w:tcW w:w="987" w:type="dxa"/>
            <w:tcBorders>
              <w:top w:val="nil"/>
              <w:left w:val="nil"/>
              <w:bottom w:val="single" w:color="auto" w:sz="4" w:space="0"/>
              <w:right w:val="single" w:color="auto" w:sz="4" w:space="0"/>
            </w:tcBorders>
            <w:shd w:val="clear" w:color="auto" w:fill="auto"/>
            <w:noWrap/>
            <w:vAlign w:val="center"/>
          </w:tcPr>
          <w:p w14:paraId="57CC41B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561" w:type="dxa"/>
            <w:tcBorders>
              <w:top w:val="nil"/>
              <w:left w:val="nil"/>
              <w:bottom w:val="single" w:color="auto" w:sz="4" w:space="0"/>
              <w:right w:val="single" w:color="auto" w:sz="4" w:space="0"/>
            </w:tcBorders>
            <w:shd w:val="clear" w:color="auto" w:fill="auto"/>
            <w:noWrap/>
            <w:vAlign w:val="center"/>
          </w:tcPr>
          <w:p w14:paraId="1B501DE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815" w:type="dxa"/>
            <w:tcBorders>
              <w:top w:val="nil"/>
              <w:left w:val="nil"/>
              <w:bottom w:val="single" w:color="auto" w:sz="4" w:space="0"/>
              <w:right w:val="single" w:color="auto" w:sz="4" w:space="0"/>
            </w:tcBorders>
            <w:shd w:val="clear" w:color="auto" w:fill="auto"/>
            <w:noWrap/>
            <w:vAlign w:val="center"/>
          </w:tcPr>
          <w:p w14:paraId="1B18643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913" w:type="dxa"/>
            <w:tcBorders>
              <w:top w:val="nil"/>
              <w:left w:val="nil"/>
              <w:bottom w:val="single" w:color="auto" w:sz="4" w:space="0"/>
              <w:right w:val="single" w:color="auto" w:sz="4" w:space="0"/>
            </w:tcBorders>
            <w:shd w:val="clear" w:color="auto" w:fill="auto"/>
            <w:noWrap/>
            <w:vAlign w:val="center"/>
          </w:tcPr>
          <w:p w14:paraId="3AF69B2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56A4168A">
        <w:tblPrEx>
          <w:tblCellMar>
            <w:top w:w="0" w:type="dxa"/>
            <w:left w:w="108" w:type="dxa"/>
            <w:bottom w:w="0" w:type="dxa"/>
            <w:right w:w="108" w:type="dxa"/>
          </w:tblCellMar>
        </w:tblPrEx>
        <w:trPr>
          <w:trHeight w:val="402" w:hRule="atLeast"/>
          <w:jc w:val="center"/>
        </w:trPr>
        <w:tc>
          <w:tcPr>
            <w:tcW w:w="3024" w:type="dxa"/>
            <w:tcBorders>
              <w:top w:val="nil"/>
              <w:left w:val="single" w:color="auto" w:sz="4" w:space="0"/>
              <w:bottom w:val="single" w:color="auto" w:sz="4" w:space="0"/>
              <w:right w:val="single" w:color="auto" w:sz="4" w:space="0"/>
            </w:tcBorders>
            <w:shd w:val="clear" w:color="auto" w:fill="auto"/>
            <w:noWrap/>
            <w:vAlign w:val="center"/>
          </w:tcPr>
          <w:p w14:paraId="544B7B68">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本年收入合计</w:t>
            </w:r>
          </w:p>
        </w:tc>
        <w:tc>
          <w:tcPr>
            <w:tcW w:w="747" w:type="dxa"/>
            <w:tcBorders>
              <w:top w:val="nil"/>
              <w:left w:val="nil"/>
              <w:bottom w:val="single" w:color="auto" w:sz="4" w:space="0"/>
              <w:right w:val="single" w:color="auto" w:sz="4" w:space="0"/>
            </w:tcBorders>
            <w:shd w:val="clear" w:color="auto" w:fill="auto"/>
            <w:noWrap/>
            <w:vAlign w:val="center"/>
          </w:tcPr>
          <w:p w14:paraId="2A48EC0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9</w:t>
            </w:r>
          </w:p>
        </w:tc>
        <w:tc>
          <w:tcPr>
            <w:tcW w:w="1147" w:type="dxa"/>
            <w:tcBorders>
              <w:top w:val="nil"/>
              <w:left w:val="nil"/>
              <w:bottom w:val="single" w:color="auto" w:sz="4" w:space="0"/>
              <w:right w:val="single" w:color="auto" w:sz="4" w:space="0"/>
            </w:tcBorders>
            <w:shd w:val="clear" w:color="auto" w:fill="auto"/>
            <w:noWrap/>
            <w:vAlign w:val="center"/>
          </w:tcPr>
          <w:p w14:paraId="0060653C">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2624.73</w:t>
            </w:r>
            <w:r>
              <w:rPr>
                <w:rFonts w:ascii="Times New Roman" w:hAnsi="Times New Roman" w:eastAsia="仿宋_GB2312" w:cs="Times New Roman"/>
                <w:kern w:val="0"/>
                <w:sz w:val="22"/>
              </w:rPr>
              <w:t>　</w:t>
            </w:r>
          </w:p>
        </w:tc>
        <w:tc>
          <w:tcPr>
            <w:tcW w:w="1880" w:type="dxa"/>
            <w:tcBorders>
              <w:top w:val="nil"/>
              <w:left w:val="nil"/>
              <w:bottom w:val="single" w:color="auto" w:sz="4" w:space="0"/>
              <w:right w:val="single" w:color="auto" w:sz="4" w:space="0"/>
            </w:tcBorders>
            <w:shd w:val="clear" w:color="auto" w:fill="auto"/>
            <w:noWrap/>
            <w:vAlign w:val="center"/>
          </w:tcPr>
          <w:p w14:paraId="5FDABBF5">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本年支出合计</w:t>
            </w:r>
          </w:p>
        </w:tc>
        <w:tc>
          <w:tcPr>
            <w:tcW w:w="1146" w:type="dxa"/>
            <w:tcBorders>
              <w:top w:val="nil"/>
              <w:left w:val="nil"/>
              <w:bottom w:val="single" w:color="auto" w:sz="4" w:space="0"/>
              <w:right w:val="single" w:color="auto" w:sz="4" w:space="0"/>
            </w:tcBorders>
            <w:shd w:val="clear" w:color="auto" w:fill="auto"/>
            <w:noWrap/>
            <w:vAlign w:val="center"/>
          </w:tcPr>
          <w:p w14:paraId="3BC30F8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23</w:t>
            </w:r>
          </w:p>
        </w:tc>
        <w:tc>
          <w:tcPr>
            <w:tcW w:w="987" w:type="dxa"/>
            <w:tcBorders>
              <w:top w:val="nil"/>
              <w:left w:val="nil"/>
              <w:bottom w:val="single" w:color="auto" w:sz="4" w:space="0"/>
              <w:right w:val="single" w:color="auto" w:sz="4" w:space="0"/>
            </w:tcBorders>
            <w:shd w:val="clear" w:color="auto" w:fill="auto"/>
            <w:noWrap/>
            <w:vAlign w:val="center"/>
          </w:tcPr>
          <w:p w14:paraId="589B37F1">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2624.73</w:t>
            </w:r>
            <w:r>
              <w:rPr>
                <w:rFonts w:ascii="Times New Roman" w:hAnsi="Times New Roman" w:eastAsia="仿宋_GB2312" w:cs="Times New Roman"/>
                <w:kern w:val="0"/>
                <w:sz w:val="22"/>
              </w:rPr>
              <w:t>　</w:t>
            </w:r>
          </w:p>
        </w:tc>
        <w:tc>
          <w:tcPr>
            <w:tcW w:w="1561" w:type="dxa"/>
            <w:tcBorders>
              <w:top w:val="nil"/>
              <w:left w:val="nil"/>
              <w:bottom w:val="single" w:color="auto" w:sz="4" w:space="0"/>
              <w:right w:val="single" w:color="auto" w:sz="4" w:space="0"/>
            </w:tcBorders>
            <w:shd w:val="clear" w:color="auto" w:fill="auto"/>
            <w:noWrap/>
            <w:vAlign w:val="center"/>
          </w:tcPr>
          <w:p w14:paraId="42E73CAB">
            <w:pPr>
              <w:widowControl/>
              <w:jc w:val="center"/>
              <w:rPr>
                <w:rFonts w:hint="default" w:ascii="Times New Roman" w:hAnsi="Times New Roman" w:eastAsia="仿宋_GB2312" w:cs="Times New Roman"/>
                <w:kern w:val="0"/>
                <w:sz w:val="22"/>
                <w:lang w:val="en-US" w:eastAsia="zh-CN"/>
              </w:rPr>
            </w:pPr>
            <w:r>
              <w:rPr>
                <w:rFonts w:ascii="Times New Roman" w:hAnsi="Times New Roman" w:eastAsia="仿宋_GB2312" w:cs="Times New Roman"/>
                <w:kern w:val="0"/>
                <w:sz w:val="22"/>
              </w:rPr>
              <w:t>　</w:t>
            </w:r>
            <w:r>
              <w:rPr>
                <w:rFonts w:hint="eastAsia" w:ascii="Times New Roman" w:hAnsi="Times New Roman" w:eastAsia="仿宋_GB2312" w:cs="Times New Roman"/>
                <w:kern w:val="0"/>
                <w:sz w:val="22"/>
                <w:lang w:val="en-US" w:eastAsia="zh-CN"/>
              </w:rPr>
              <w:t>2624.73</w:t>
            </w:r>
          </w:p>
        </w:tc>
        <w:tc>
          <w:tcPr>
            <w:tcW w:w="1815" w:type="dxa"/>
            <w:tcBorders>
              <w:top w:val="nil"/>
              <w:left w:val="nil"/>
              <w:bottom w:val="single" w:color="auto" w:sz="4" w:space="0"/>
              <w:right w:val="single" w:color="auto" w:sz="4" w:space="0"/>
            </w:tcBorders>
            <w:shd w:val="clear" w:color="auto" w:fill="auto"/>
            <w:noWrap/>
            <w:vAlign w:val="center"/>
          </w:tcPr>
          <w:p w14:paraId="461CAC4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913" w:type="dxa"/>
            <w:tcBorders>
              <w:top w:val="nil"/>
              <w:left w:val="nil"/>
              <w:bottom w:val="single" w:color="auto" w:sz="4" w:space="0"/>
              <w:right w:val="single" w:color="auto" w:sz="4" w:space="0"/>
            </w:tcBorders>
            <w:shd w:val="clear" w:color="auto" w:fill="auto"/>
            <w:noWrap/>
            <w:vAlign w:val="center"/>
          </w:tcPr>
          <w:p w14:paraId="0F79E731">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r>
      <w:tr w14:paraId="40ADB1E3">
        <w:tblPrEx>
          <w:tblCellMar>
            <w:top w:w="0" w:type="dxa"/>
            <w:left w:w="108" w:type="dxa"/>
            <w:bottom w:w="0" w:type="dxa"/>
            <w:right w:w="108" w:type="dxa"/>
          </w:tblCellMar>
        </w:tblPrEx>
        <w:trPr>
          <w:trHeight w:val="402" w:hRule="atLeast"/>
          <w:jc w:val="center"/>
        </w:trPr>
        <w:tc>
          <w:tcPr>
            <w:tcW w:w="3024" w:type="dxa"/>
            <w:tcBorders>
              <w:top w:val="nil"/>
              <w:left w:val="single" w:color="auto" w:sz="4" w:space="0"/>
              <w:bottom w:val="single" w:color="auto" w:sz="4" w:space="0"/>
              <w:right w:val="single" w:color="auto" w:sz="4" w:space="0"/>
            </w:tcBorders>
            <w:shd w:val="clear" w:color="auto" w:fill="auto"/>
            <w:noWrap/>
            <w:vAlign w:val="center"/>
          </w:tcPr>
          <w:p w14:paraId="362829E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年初财政拨款结转和结余</w:t>
            </w:r>
          </w:p>
        </w:tc>
        <w:tc>
          <w:tcPr>
            <w:tcW w:w="747" w:type="dxa"/>
            <w:tcBorders>
              <w:top w:val="nil"/>
              <w:left w:val="nil"/>
              <w:bottom w:val="single" w:color="auto" w:sz="4" w:space="0"/>
              <w:right w:val="single" w:color="auto" w:sz="4" w:space="0"/>
            </w:tcBorders>
            <w:shd w:val="clear" w:color="auto" w:fill="auto"/>
            <w:noWrap/>
            <w:vAlign w:val="center"/>
          </w:tcPr>
          <w:p w14:paraId="5DC4351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10</w:t>
            </w:r>
          </w:p>
        </w:tc>
        <w:tc>
          <w:tcPr>
            <w:tcW w:w="1147" w:type="dxa"/>
            <w:tcBorders>
              <w:top w:val="nil"/>
              <w:left w:val="nil"/>
              <w:bottom w:val="single" w:color="auto" w:sz="4" w:space="0"/>
              <w:right w:val="single" w:color="auto" w:sz="4" w:space="0"/>
            </w:tcBorders>
            <w:shd w:val="clear" w:color="auto" w:fill="auto"/>
            <w:noWrap/>
            <w:vAlign w:val="center"/>
          </w:tcPr>
          <w:p w14:paraId="1C08CF6F">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880" w:type="dxa"/>
            <w:tcBorders>
              <w:top w:val="nil"/>
              <w:left w:val="nil"/>
              <w:bottom w:val="single" w:color="auto" w:sz="4" w:space="0"/>
              <w:right w:val="single" w:color="auto" w:sz="4" w:space="0"/>
            </w:tcBorders>
            <w:shd w:val="clear" w:color="auto" w:fill="auto"/>
            <w:noWrap/>
            <w:vAlign w:val="center"/>
          </w:tcPr>
          <w:p w14:paraId="1E662A5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年末财政拨款结转和结余</w:t>
            </w:r>
          </w:p>
        </w:tc>
        <w:tc>
          <w:tcPr>
            <w:tcW w:w="1146" w:type="dxa"/>
            <w:tcBorders>
              <w:top w:val="nil"/>
              <w:left w:val="nil"/>
              <w:bottom w:val="single" w:color="auto" w:sz="4" w:space="0"/>
              <w:right w:val="single" w:color="auto" w:sz="4" w:space="0"/>
            </w:tcBorders>
            <w:shd w:val="clear" w:color="auto" w:fill="auto"/>
            <w:noWrap/>
            <w:vAlign w:val="center"/>
          </w:tcPr>
          <w:p w14:paraId="42393E2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24</w:t>
            </w:r>
          </w:p>
        </w:tc>
        <w:tc>
          <w:tcPr>
            <w:tcW w:w="987" w:type="dxa"/>
            <w:tcBorders>
              <w:top w:val="nil"/>
              <w:left w:val="nil"/>
              <w:bottom w:val="single" w:color="auto" w:sz="4" w:space="0"/>
              <w:right w:val="single" w:color="auto" w:sz="4" w:space="0"/>
            </w:tcBorders>
            <w:shd w:val="clear" w:color="auto" w:fill="auto"/>
            <w:noWrap/>
            <w:vAlign w:val="center"/>
          </w:tcPr>
          <w:p w14:paraId="797A823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561" w:type="dxa"/>
            <w:tcBorders>
              <w:top w:val="nil"/>
              <w:left w:val="nil"/>
              <w:bottom w:val="single" w:color="auto" w:sz="4" w:space="0"/>
              <w:right w:val="single" w:color="auto" w:sz="4" w:space="0"/>
            </w:tcBorders>
            <w:shd w:val="clear" w:color="auto" w:fill="auto"/>
            <w:noWrap/>
            <w:vAlign w:val="center"/>
          </w:tcPr>
          <w:p w14:paraId="02EC063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815" w:type="dxa"/>
            <w:tcBorders>
              <w:top w:val="nil"/>
              <w:left w:val="nil"/>
              <w:bottom w:val="single" w:color="auto" w:sz="4" w:space="0"/>
              <w:right w:val="single" w:color="auto" w:sz="4" w:space="0"/>
            </w:tcBorders>
            <w:shd w:val="clear" w:color="auto" w:fill="auto"/>
            <w:noWrap/>
            <w:vAlign w:val="center"/>
          </w:tcPr>
          <w:p w14:paraId="170AB00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913" w:type="dxa"/>
            <w:tcBorders>
              <w:top w:val="nil"/>
              <w:left w:val="nil"/>
              <w:bottom w:val="single" w:color="auto" w:sz="4" w:space="0"/>
              <w:right w:val="single" w:color="auto" w:sz="4" w:space="0"/>
            </w:tcBorders>
            <w:shd w:val="clear" w:color="auto" w:fill="auto"/>
            <w:noWrap/>
            <w:vAlign w:val="center"/>
          </w:tcPr>
          <w:p w14:paraId="65807C96">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116F6154">
        <w:tblPrEx>
          <w:tblCellMar>
            <w:top w:w="0" w:type="dxa"/>
            <w:left w:w="108" w:type="dxa"/>
            <w:bottom w:w="0" w:type="dxa"/>
            <w:right w:w="108" w:type="dxa"/>
          </w:tblCellMar>
        </w:tblPrEx>
        <w:trPr>
          <w:trHeight w:val="402" w:hRule="atLeast"/>
          <w:jc w:val="center"/>
        </w:trPr>
        <w:tc>
          <w:tcPr>
            <w:tcW w:w="3024" w:type="dxa"/>
            <w:tcBorders>
              <w:top w:val="nil"/>
              <w:left w:val="single" w:color="auto" w:sz="4" w:space="0"/>
              <w:bottom w:val="single" w:color="auto" w:sz="4" w:space="0"/>
              <w:right w:val="single" w:color="auto" w:sz="4" w:space="0"/>
            </w:tcBorders>
            <w:shd w:val="clear" w:color="auto" w:fill="auto"/>
            <w:noWrap/>
            <w:vAlign w:val="center"/>
          </w:tcPr>
          <w:p w14:paraId="598F7FB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一般公共预算财政拨款</w:t>
            </w:r>
          </w:p>
        </w:tc>
        <w:tc>
          <w:tcPr>
            <w:tcW w:w="747" w:type="dxa"/>
            <w:tcBorders>
              <w:top w:val="nil"/>
              <w:left w:val="nil"/>
              <w:bottom w:val="single" w:color="auto" w:sz="4" w:space="0"/>
              <w:right w:val="single" w:color="auto" w:sz="4" w:space="0"/>
            </w:tcBorders>
            <w:shd w:val="clear" w:color="auto" w:fill="auto"/>
            <w:noWrap/>
            <w:vAlign w:val="center"/>
          </w:tcPr>
          <w:p w14:paraId="55F226D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11</w:t>
            </w:r>
          </w:p>
        </w:tc>
        <w:tc>
          <w:tcPr>
            <w:tcW w:w="1147" w:type="dxa"/>
            <w:tcBorders>
              <w:top w:val="nil"/>
              <w:left w:val="nil"/>
              <w:bottom w:val="single" w:color="auto" w:sz="4" w:space="0"/>
              <w:right w:val="single" w:color="auto" w:sz="4" w:space="0"/>
            </w:tcBorders>
            <w:shd w:val="clear" w:color="auto" w:fill="auto"/>
            <w:noWrap/>
            <w:vAlign w:val="center"/>
          </w:tcPr>
          <w:p w14:paraId="4C549FA8">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880" w:type="dxa"/>
            <w:tcBorders>
              <w:top w:val="nil"/>
              <w:left w:val="nil"/>
              <w:bottom w:val="single" w:color="auto" w:sz="4" w:space="0"/>
              <w:right w:val="single" w:color="auto" w:sz="4" w:space="0"/>
            </w:tcBorders>
            <w:shd w:val="clear" w:color="auto" w:fill="auto"/>
            <w:noWrap/>
            <w:vAlign w:val="center"/>
          </w:tcPr>
          <w:p w14:paraId="29B446BE">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146" w:type="dxa"/>
            <w:tcBorders>
              <w:top w:val="nil"/>
              <w:left w:val="nil"/>
              <w:bottom w:val="single" w:color="auto" w:sz="4" w:space="0"/>
              <w:right w:val="single" w:color="auto" w:sz="4" w:space="0"/>
            </w:tcBorders>
            <w:shd w:val="clear" w:color="auto" w:fill="auto"/>
            <w:noWrap/>
            <w:vAlign w:val="center"/>
          </w:tcPr>
          <w:p w14:paraId="65ACD98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25</w:t>
            </w:r>
          </w:p>
        </w:tc>
        <w:tc>
          <w:tcPr>
            <w:tcW w:w="987" w:type="dxa"/>
            <w:tcBorders>
              <w:top w:val="nil"/>
              <w:left w:val="nil"/>
              <w:bottom w:val="single" w:color="auto" w:sz="4" w:space="0"/>
              <w:right w:val="single" w:color="auto" w:sz="4" w:space="0"/>
            </w:tcBorders>
            <w:shd w:val="clear" w:color="auto" w:fill="auto"/>
            <w:noWrap/>
            <w:vAlign w:val="center"/>
          </w:tcPr>
          <w:p w14:paraId="3FFFCBC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561" w:type="dxa"/>
            <w:tcBorders>
              <w:top w:val="nil"/>
              <w:left w:val="nil"/>
              <w:bottom w:val="single" w:color="auto" w:sz="4" w:space="0"/>
              <w:right w:val="single" w:color="auto" w:sz="4" w:space="0"/>
            </w:tcBorders>
            <w:shd w:val="clear" w:color="auto" w:fill="auto"/>
            <w:noWrap/>
            <w:vAlign w:val="center"/>
          </w:tcPr>
          <w:p w14:paraId="19C5FD4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815" w:type="dxa"/>
            <w:tcBorders>
              <w:top w:val="nil"/>
              <w:left w:val="nil"/>
              <w:bottom w:val="single" w:color="auto" w:sz="4" w:space="0"/>
              <w:right w:val="single" w:color="auto" w:sz="4" w:space="0"/>
            </w:tcBorders>
            <w:shd w:val="clear" w:color="auto" w:fill="auto"/>
            <w:noWrap/>
            <w:vAlign w:val="center"/>
          </w:tcPr>
          <w:p w14:paraId="1A5A26A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913" w:type="dxa"/>
            <w:tcBorders>
              <w:top w:val="nil"/>
              <w:left w:val="nil"/>
              <w:bottom w:val="single" w:color="auto" w:sz="4" w:space="0"/>
              <w:right w:val="single" w:color="auto" w:sz="4" w:space="0"/>
            </w:tcBorders>
            <w:shd w:val="clear" w:color="auto" w:fill="auto"/>
            <w:noWrap/>
            <w:vAlign w:val="center"/>
          </w:tcPr>
          <w:p w14:paraId="4A1B1DD7">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69EEA35A">
        <w:tblPrEx>
          <w:tblCellMar>
            <w:top w:w="0" w:type="dxa"/>
            <w:left w:w="108" w:type="dxa"/>
            <w:bottom w:w="0" w:type="dxa"/>
            <w:right w:w="108" w:type="dxa"/>
          </w:tblCellMar>
        </w:tblPrEx>
        <w:trPr>
          <w:trHeight w:val="402" w:hRule="atLeast"/>
          <w:jc w:val="center"/>
        </w:trPr>
        <w:tc>
          <w:tcPr>
            <w:tcW w:w="3024" w:type="dxa"/>
            <w:tcBorders>
              <w:top w:val="nil"/>
              <w:left w:val="single" w:color="auto" w:sz="4" w:space="0"/>
              <w:bottom w:val="single" w:color="auto" w:sz="4" w:space="0"/>
              <w:right w:val="single" w:color="auto" w:sz="4" w:space="0"/>
            </w:tcBorders>
            <w:shd w:val="clear" w:color="auto" w:fill="auto"/>
            <w:noWrap/>
            <w:vAlign w:val="center"/>
          </w:tcPr>
          <w:p w14:paraId="02CCA1A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政府性基金预算财政拨款</w:t>
            </w:r>
          </w:p>
        </w:tc>
        <w:tc>
          <w:tcPr>
            <w:tcW w:w="747" w:type="dxa"/>
            <w:tcBorders>
              <w:top w:val="nil"/>
              <w:left w:val="nil"/>
              <w:bottom w:val="single" w:color="auto" w:sz="4" w:space="0"/>
              <w:right w:val="single" w:color="auto" w:sz="4" w:space="0"/>
            </w:tcBorders>
            <w:shd w:val="clear" w:color="auto" w:fill="auto"/>
            <w:noWrap/>
            <w:vAlign w:val="center"/>
          </w:tcPr>
          <w:p w14:paraId="02A28F3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12</w:t>
            </w:r>
          </w:p>
        </w:tc>
        <w:tc>
          <w:tcPr>
            <w:tcW w:w="1147" w:type="dxa"/>
            <w:tcBorders>
              <w:top w:val="nil"/>
              <w:left w:val="nil"/>
              <w:bottom w:val="single" w:color="auto" w:sz="4" w:space="0"/>
              <w:right w:val="single" w:color="auto" w:sz="4" w:space="0"/>
            </w:tcBorders>
            <w:shd w:val="clear" w:color="auto" w:fill="auto"/>
            <w:noWrap/>
            <w:vAlign w:val="center"/>
          </w:tcPr>
          <w:p w14:paraId="44B38FEA">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880" w:type="dxa"/>
            <w:tcBorders>
              <w:top w:val="nil"/>
              <w:left w:val="nil"/>
              <w:bottom w:val="single" w:color="auto" w:sz="4" w:space="0"/>
              <w:right w:val="single" w:color="auto" w:sz="4" w:space="0"/>
            </w:tcBorders>
            <w:shd w:val="clear" w:color="auto" w:fill="auto"/>
            <w:noWrap/>
            <w:vAlign w:val="center"/>
          </w:tcPr>
          <w:p w14:paraId="0B1DD5BA">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146" w:type="dxa"/>
            <w:tcBorders>
              <w:top w:val="nil"/>
              <w:left w:val="nil"/>
              <w:bottom w:val="single" w:color="auto" w:sz="4" w:space="0"/>
              <w:right w:val="single" w:color="auto" w:sz="4" w:space="0"/>
            </w:tcBorders>
            <w:shd w:val="clear" w:color="auto" w:fill="auto"/>
            <w:noWrap/>
            <w:vAlign w:val="center"/>
          </w:tcPr>
          <w:p w14:paraId="4118010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26</w:t>
            </w:r>
          </w:p>
        </w:tc>
        <w:tc>
          <w:tcPr>
            <w:tcW w:w="987" w:type="dxa"/>
            <w:tcBorders>
              <w:top w:val="nil"/>
              <w:left w:val="nil"/>
              <w:bottom w:val="single" w:color="auto" w:sz="4" w:space="0"/>
              <w:right w:val="single" w:color="auto" w:sz="4" w:space="0"/>
            </w:tcBorders>
            <w:shd w:val="clear" w:color="auto" w:fill="auto"/>
            <w:noWrap/>
            <w:vAlign w:val="center"/>
          </w:tcPr>
          <w:p w14:paraId="6E9FF90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561" w:type="dxa"/>
            <w:tcBorders>
              <w:top w:val="nil"/>
              <w:left w:val="nil"/>
              <w:bottom w:val="single" w:color="auto" w:sz="4" w:space="0"/>
              <w:right w:val="single" w:color="auto" w:sz="4" w:space="0"/>
            </w:tcBorders>
            <w:shd w:val="clear" w:color="auto" w:fill="auto"/>
            <w:noWrap/>
            <w:vAlign w:val="center"/>
          </w:tcPr>
          <w:p w14:paraId="6722AEB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815" w:type="dxa"/>
            <w:tcBorders>
              <w:top w:val="nil"/>
              <w:left w:val="nil"/>
              <w:bottom w:val="single" w:color="auto" w:sz="4" w:space="0"/>
              <w:right w:val="single" w:color="auto" w:sz="4" w:space="0"/>
            </w:tcBorders>
            <w:shd w:val="clear" w:color="auto" w:fill="auto"/>
            <w:noWrap/>
            <w:vAlign w:val="center"/>
          </w:tcPr>
          <w:p w14:paraId="29B4E69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913" w:type="dxa"/>
            <w:tcBorders>
              <w:top w:val="nil"/>
              <w:left w:val="nil"/>
              <w:bottom w:val="single" w:color="auto" w:sz="4" w:space="0"/>
              <w:right w:val="single" w:color="auto" w:sz="4" w:space="0"/>
            </w:tcBorders>
            <w:shd w:val="clear" w:color="auto" w:fill="auto"/>
            <w:noWrap/>
            <w:vAlign w:val="center"/>
          </w:tcPr>
          <w:p w14:paraId="48CE27E1">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178DAE42">
        <w:tblPrEx>
          <w:tblCellMar>
            <w:top w:w="0" w:type="dxa"/>
            <w:left w:w="108" w:type="dxa"/>
            <w:bottom w:w="0" w:type="dxa"/>
            <w:right w:w="108" w:type="dxa"/>
          </w:tblCellMar>
        </w:tblPrEx>
        <w:trPr>
          <w:trHeight w:val="402" w:hRule="atLeast"/>
          <w:jc w:val="center"/>
        </w:trPr>
        <w:tc>
          <w:tcPr>
            <w:tcW w:w="3024" w:type="dxa"/>
            <w:tcBorders>
              <w:top w:val="nil"/>
              <w:left w:val="single" w:color="auto" w:sz="4" w:space="0"/>
              <w:bottom w:val="single" w:color="auto" w:sz="4" w:space="0"/>
              <w:right w:val="single" w:color="auto" w:sz="4" w:space="0"/>
            </w:tcBorders>
            <w:shd w:val="clear" w:color="auto" w:fill="auto"/>
            <w:noWrap/>
            <w:vAlign w:val="center"/>
          </w:tcPr>
          <w:p w14:paraId="65226D6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国有资本经营预算财政拨款</w:t>
            </w:r>
          </w:p>
        </w:tc>
        <w:tc>
          <w:tcPr>
            <w:tcW w:w="747" w:type="dxa"/>
            <w:tcBorders>
              <w:top w:val="nil"/>
              <w:left w:val="nil"/>
              <w:bottom w:val="single" w:color="auto" w:sz="4" w:space="0"/>
              <w:right w:val="single" w:color="auto" w:sz="4" w:space="0"/>
            </w:tcBorders>
            <w:shd w:val="clear" w:color="auto" w:fill="auto"/>
            <w:noWrap/>
            <w:vAlign w:val="center"/>
          </w:tcPr>
          <w:p w14:paraId="24895D7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13</w:t>
            </w:r>
          </w:p>
        </w:tc>
        <w:tc>
          <w:tcPr>
            <w:tcW w:w="1147" w:type="dxa"/>
            <w:tcBorders>
              <w:top w:val="nil"/>
              <w:left w:val="nil"/>
              <w:bottom w:val="single" w:color="auto" w:sz="4" w:space="0"/>
              <w:right w:val="single" w:color="auto" w:sz="4" w:space="0"/>
            </w:tcBorders>
            <w:shd w:val="clear" w:color="auto" w:fill="auto"/>
            <w:noWrap/>
            <w:vAlign w:val="center"/>
          </w:tcPr>
          <w:p w14:paraId="107A7217">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880" w:type="dxa"/>
            <w:tcBorders>
              <w:top w:val="nil"/>
              <w:left w:val="nil"/>
              <w:bottom w:val="single" w:color="auto" w:sz="4" w:space="0"/>
              <w:right w:val="single" w:color="auto" w:sz="4" w:space="0"/>
            </w:tcBorders>
            <w:shd w:val="clear" w:color="auto" w:fill="auto"/>
            <w:noWrap/>
            <w:vAlign w:val="center"/>
          </w:tcPr>
          <w:p w14:paraId="6A2244C2">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146" w:type="dxa"/>
            <w:tcBorders>
              <w:top w:val="nil"/>
              <w:left w:val="nil"/>
              <w:bottom w:val="single" w:color="auto" w:sz="4" w:space="0"/>
              <w:right w:val="single" w:color="auto" w:sz="4" w:space="0"/>
            </w:tcBorders>
            <w:shd w:val="clear" w:color="auto" w:fill="auto"/>
            <w:noWrap/>
            <w:vAlign w:val="center"/>
          </w:tcPr>
          <w:p w14:paraId="4C4E1D5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27</w:t>
            </w:r>
          </w:p>
        </w:tc>
        <w:tc>
          <w:tcPr>
            <w:tcW w:w="987" w:type="dxa"/>
            <w:tcBorders>
              <w:top w:val="nil"/>
              <w:left w:val="nil"/>
              <w:bottom w:val="single" w:color="auto" w:sz="4" w:space="0"/>
              <w:right w:val="single" w:color="auto" w:sz="4" w:space="0"/>
            </w:tcBorders>
            <w:shd w:val="clear" w:color="auto" w:fill="auto"/>
            <w:noWrap/>
            <w:vAlign w:val="center"/>
          </w:tcPr>
          <w:p w14:paraId="1F8E786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561" w:type="dxa"/>
            <w:tcBorders>
              <w:top w:val="nil"/>
              <w:left w:val="nil"/>
              <w:bottom w:val="single" w:color="auto" w:sz="4" w:space="0"/>
              <w:right w:val="single" w:color="auto" w:sz="4" w:space="0"/>
            </w:tcBorders>
            <w:shd w:val="clear" w:color="auto" w:fill="auto"/>
            <w:noWrap/>
            <w:vAlign w:val="center"/>
          </w:tcPr>
          <w:p w14:paraId="02F640E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815" w:type="dxa"/>
            <w:tcBorders>
              <w:top w:val="nil"/>
              <w:left w:val="nil"/>
              <w:bottom w:val="single" w:color="auto" w:sz="4" w:space="0"/>
              <w:right w:val="single" w:color="auto" w:sz="4" w:space="0"/>
            </w:tcBorders>
            <w:shd w:val="clear" w:color="auto" w:fill="auto"/>
            <w:noWrap/>
            <w:vAlign w:val="center"/>
          </w:tcPr>
          <w:p w14:paraId="63150C6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913" w:type="dxa"/>
            <w:tcBorders>
              <w:top w:val="nil"/>
              <w:left w:val="nil"/>
              <w:bottom w:val="single" w:color="auto" w:sz="4" w:space="0"/>
              <w:right w:val="single" w:color="auto" w:sz="4" w:space="0"/>
            </w:tcBorders>
            <w:shd w:val="clear" w:color="auto" w:fill="auto"/>
            <w:noWrap/>
            <w:vAlign w:val="center"/>
          </w:tcPr>
          <w:p w14:paraId="19B8A8AA">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20E4AC6D">
        <w:tblPrEx>
          <w:tblCellMar>
            <w:top w:w="0" w:type="dxa"/>
            <w:left w:w="108" w:type="dxa"/>
            <w:bottom w:w="0" w:type="dxa"/>
            <w:right w:w="108" w:type="dxa"/>
          </w:tblCellMar>
        </w:tblPrEx>
        <w:trPr>
          <w:trHeight w:val="402" w:hRule="atLeast"/>
          <w:jc w:val="center"/>
        </w:trPr>
        <w:tc>
          <w:tcPr>
            <w:tcW w:w="3024" w:type="dxa"/>
            <w:tcBorders>
              <w:top w:val="nil"/>
              <w:left w:val="single" w:color="auto" w:sz="4" w:space="0"/>
              <w:bottom w:val="single" w:color="auto" w:sz="4" w:space="0"/>
              <w:right w:val="single" w:color="auto" w:sz="4" w:space="0"/>
            </w:tcBorders>
            <w:shd w:val="clear" w:color="000000" w:fill="FFFFFF"/>
            <w:noWrap/>
            <w:vAlign w:val="center"/>
          </w:tcPr>
          <w:p w14:paraId="1B0772DF">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747" w:type="dxa"/>
            <w:tcBorders>
              <w:top w:val="nil"/>
              <w:left w:val="nil"/>
              <w:bottom w:val="single" w:color="auto" w:sz="4" w:space="0"/>
              <w:right w:val="single" w:color="auto" w:sz="4" w:space="0"/>
            </w:tcBorders>
            <w:shd w:val="clear" w:color="000000" w:fill="FFFFFF"/>
            <w:noWrap/>
            <w:vAlign w:val="center"/>
          </w:tcPr>
          <w:p w14:paraId="7FA49A6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14</w:t>
            </w:r>
          </w:p>
        </w:tc>
        <w:tc>
          <w:tcPr>
            <w:tcW w:w="1147" w:type="dxa"/>
            <w:tcBorders>
              <w:top w:val="nil"/>
              <w:left w:val="nil"/>
              <w:bottom w:val="single" w:color="auto" w:sz="4" w:space="0"/>
              <w:right w:val="single" w:color="auto" w:sz="4" w:space="0"/>
            </w:tcBorders>
            <w:shd w:val="clear" w:color="auto" w:fill="auto"/>
            <w:noWrap/>
            <w:vAlign w:val="center"/>
          </w:tcPr>
          <w:p w14:paraId="1EA8431A">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2624.73</w:t>
            </w:r>
            <w:r>
              <w:rPr>
                <w:rFonts w:ascii="Times New Roman" w:hAnsi="Times New Roman" w:eastAsia="仿宋_GB2312" w:cs="Times New Roman"/>
                <w:kern w:val="0"/>
                <w:sz w:val="22"/>
              </w:rPr>
              <w:t>　</w:t>
            </w:r>
          </w:p>
        </w:tc>
        <w:tc>
          <w:tcPr>
            <w:tcW w:w="1880" w:type="dxa"/>
            <w:tcBorders>
              <w:top w:val="nil"/>
              <w:left w:val="nil"/>
              <w:bottom w:val="single" w:color="auto" w:sz="4" w:space="0"/>
              <w:right w:val="single" w:color="auto" w:sz="4" w:space="0"/>
            </w:tcBorders>
            <w:shd w:val="clear" w:color="000000" w:fill="FFFFFF"/>
            <w:noWrap/>
            <w:vAlign w:val="center"/>
          </w:tcPr>
          <w:p w14:paraId="0556C198">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1146" w:type="dxa"/>
            <w:tcBorders>
              <w:top w:val="nil"/>
              <w:left w:val="nil"/>
              <w:bottom w:val="single" w:color="auto" w:sz="4" w:space="0"/>
              <w:right w:val="single" w:color="auto" w:sz="4" w:space="0"/>
            </w:tcBorders>
            <w:shd w:val="clear" w:color="000000" w:fill="FFFFFF"/>
            <w:noWrap/>
            <w:vAlign w:val="center"/>
          </w:tcPr>
          <w:p w14:paraId="443FEB3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28</w:t>
            </w:r>
          </w:p>
        </w:tc>
        <w:tc>
          <w:tcPr>
            <w:tcW w:w="987" w:type="dxa"/>
            <w:tcBorders>
              <w:top w:val="nil"/>
              <w:left w:val="nil"/>
              <w:bottom w:val="single" w:color="auto" w:sz="4" w:space="0"/>
              <w:right w:val="single" w:color="auto" w:sz="4" w:space="0"/>
            </w:tcBorders>
            <w:shd w:val="clear" w:color="000000" w:fill="FFFFFF"/>
            <w:noWrap/>
            <w:vAlign w:val="center"/>
          </w:tcPr>
          <w:p w14:paraId="0C2B467A">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2624.73</w:t>
            </w:r>
            <w:r>
              <w:rPr>
                <w:rFonts w:ascii="Times New Roman" w:hAnsi="Times New Roman" w:eastAsia="仿宋_GB2312" w:cs="Times New Roman"/>
                <w:kern w:val="0"/>
                <w:sz w:val="22"/>
              </w:rPr>
              <w:t>　</w:t>
            </w:r>
          </w:p>
        </w:tc>
        <w:tc>
          <w:tcPr>
            <w:tcW w:w="1561" w:type="dxa"/>
            <w:tcBorders>
              <w:top w:val="nil"/>
              <w:left w:val="nil"/>
              <w:bottom w:val="single" w:color="auto" w:sz="4" w:space="0"/>
              <w:right w:val="single" w:color="auto" w:sz="4" w:space="0"/>
            </w:tcBorders>
            <w:shd w:val="clear" w:color="000000" w:fill="FFFFFF"/>
            <w:noWrap/>
            <w:vAlign w:val="center"/>
          </w:tcPr>
          <w:p w14:paraId="1A30B97F">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2624.73</w:t>
            </w:r>
            <w:r>
              <w:rPr>
                <w:rFonts w:ascii="Times New Roman" w:hAnsi="Times New Roman" w:eastAsia="仿宋_GB2312" w:cs="Times New Roman"/>
                <w:kern w:val="0"/>
                <w:sz w:val="22"/>
              </w:rPr>
              <w:t>　</w:t>
            </w:r>
          </w:p>
        </w:tc>
        <w:tc>
          <w:tcPr>
            <w:tcW w:w="1815" w:type="dxa"/>
            <w:tcBorders>
              <w:top w:val="nil"/>
              <w:left w:val="nil"/>
              <w:bottom w:val="single" w:color="auto" w:sz="4" w:space="0"/>
              <w:right w:val="single" w:color="auto" w:sz="4" w:space="0"/>
            </w:tcBorders>
            <w:shd w:val="clear" w:color="auto" w:fill="auto"/>
            <w:noWrap/>
            <w:vAlign w:val="center"/>
          </w:tcPr>
          <w:p w14:paraId="67CE319D">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c>
          <w:tcPr>
            <w:tcW w:w="1913" w:type="dxa"/>
            <w:tcBorders>
              <w:top w:val="nil"/>
              <w:left w:val="nil"/>
              <w:bottom w:val="single" w:color="auto" w:sz="4" w:space="0"/>
              <w:right w:val="single" w:color="auto" w:sz="4" w:space="0"/>
            </w:tcBorders>
            <w:shd w:val="clear" w:color="auto" w:fill="auto"/>
            <w:noWrap/>
            <w:vAlign w:val="center"/>
          </w:tcPr>
          <w:p w14:paraId="334B78C2">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r>
    </w:tbl>
    <w:p w14:paraId="2EC5F7DC">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注：</w:t>
      </w:r>
      <w:r>
        <w:rPr>
          <w:rFonts w:ascii="Times New Roman" w:hAnsi="Times New Roman" w:eastAsia="仿宋_GB2312" w:cs="Times New Roman"/>
          <w:spacing w:val="-6"/>
          <w:kern w:val="0"/>
          <w:sz w:val="24"/>
          <w:szCs w:val="24"/>
        </w:rPr>
        <w:t>本表反映部门本年度一般公共预算财政拨款、政府性基金预算财政拨款和国有资本经营预算财政拨款的总收支和年末结转结余情况。</w:t>
      </w:r>
    </w:p>
    <w:p w14:paraId="08B84B83">
      <w:pPr>
        <w:widowControl/>
        <w:jc w:val="center"/>
        <w:rPr>
          <w:rFonts w:ascii="Times New Roman" w:hAnsi="Times New Roman" w:eastAsia="方正小标宋_GBK" w:cs="Times New Roman"/>
          <w:kern w:val="0"/>
          <w:sz w:val="36"/>
          <w:szCs w:val="36"/>
        </w:rPr>
      </w:pPr>
    </w:p>
    <w:p w14:paraId="450D1F1F">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一般公共预算财政拨款支出决算表</w:t>
      </w:r>
      <w:bookmarkEnd w:id="1"/>
    </w:p>
    <w:p w14:paraId="078829D6">
      <w:pPr>
        <w:widowControl/>
        <w:spacing w:before="156" w:beforeLines="50"/>
        <w:jc w:val="lef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sz w:val="20"/>
          <w:szCs w:val="20"/>
        </w:rPr>
        <w:t>部门：</w:t>
      </w:r>
      <w:r>
        <w:rPr>
          <w:rFonts w:hint="eastAsia" w:ascii="Times New Roman" w:hAnsi="Times New Roman" w:eastAsia="仿宋_GB2312" w:cs="Times New Roman"/>
          <w:color w:val="000000"/>
          <w:sz w:val="20"/>
          <w:szCs w:val="20"/>
          <w:lang w:eastAsia="zh-CN"/>
        </w:rPr>
        <w:t>怀化市住房公积金管理中心</w:t>
      </w:r>
      <w:r>
        <w:rPr>
          <w:rFonts w:ascii="Times New Roman" w:hAnsi="Times New Roman" w:eastAsia="仿宋_GB2312" w:cs="Times New Roman"/>
          <w:color w:val="000000"/>
          <w:kern w:val="0"/>
          <w:szCs w:val="21"/>
        </w:rPr>
        <w:t xml:space="preserve">                                                                                   公开05表</w:t>
      </w:r>
    </w:p>
    <w:p w14:paraId="0388BBC5">
      <w:pPr>
        <w:widowControl/>
        <w:jc w:val="left"/>
        <w:rPr>
          <w:rFonts w:ascii="Times New Roman" w:hAnsi="Times New Roman" w:eastAsia="宋体" w:cs="Times New Roman"/>
          <w:color w:val="000000"/>
          <w:kern w:val="0"/>
          <w:sz w:val="20"/>
          <w:szCs w:val="20"/>
        </w:rPr>
      </w:pPr>
      <w:r>
        <w:rPr>
          <w:rFonts w:ascii="Times New Roman" w:hAnsi="Times New Roman" w:eastAsia="仿宋_GB2312" w:cs="Times New Roman"/>
          <w:color w:val="000000"/>
          <w:kern w:val="0"/>
          <w:szCs w:val="21"/>
        </w:rPr>
        <w:t xml:space="preserve">                                                                                                               单位：万元</w:t>
      </w:r>
    </w:p>
    <w:tbl>
      <w:tblPr>
        <w:tblStyle w:val="10"/>
        <w:tblW w:w="14219" w:type="dxa"/>
        <w:jc w:val="center"/>
        <w:tblLayout w:type="autofit"/>
        <w:tblCellMar>
          <w:top w:w="0" w:type="dxa"/>
          <w:left w:w="108" w:type="dxa"/>
          <w:bottom w:w="0" w:type="dxa"/>
          <w:right w:w="108" w:type="dxa"/>
        </w:tblCellMar>
      </w:tblPr>
      <w:tblGrid>
        <w:gridCol w:w="1200"/>
        <w:gridCol w:w="3527"/>
        <w:gridCol w:w="3000"/>
        <w:gridCol w:w="3492"/>
        <w:gridCol w:w="3000"/>
      </w:tblGrid>
      <w:tr w14:paraId="6DC525F6">
        <w:tblPrEx>
          <w:tblCellMar>
            <w:top w:w="0" w:type="dxa"/>
            <w:left w:w="108" w:type="dxa"/>
            <w:bottom w:w="0" w:type="dxa"/>
            <w:right w:w="108" w:type="dxa"/>
          </w:tblCellMar>
        </w:tblPrEx>
        <w:trPr>
          <w:trHeight w:val="545" w:hRule="atLeast"/>
          <w:jc w:val="center"/>
        </w:trPr>
        <w:tc>
          <w:tcPr>
            <w:tcW w:w="4727" w:type="dxa"/>
            <w:gridSpan w:val="2"/>
            <w:tcBorders>
              <w:top w:val="single" w:color="auto" w:sz="8" w:space="0"/>
              <w:left w:val="single" w:color="auto" w:sz="8" w:space="0"/>
              <w:bottom w:val="single" w:color="auto" w:sz="4" w:space="0"/>
              <w:right w:val="single" w:color="auto" w:sz="4" w:space="0"/>
            </w:tcBorders>
            <w:shd w:val="clear" w:color="auto" w:fill="auto"/>
            <w:vAlign w:val="center"/>
          </w:tcPr>
          <w:p w14:paraId="1D8FCF52">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 xml:space="preserve">项 </w:t>
            </w:r>
            <w:r>
              <w:rPr>
                <w:rFonts w:ascii="Times New Roman" w:hAnsi="Times New Roman" w:eastAsia="仿宋_GB2312" w:cs="Times New Roman"/>
                <w:b/>
                <w:color w:val="000000"/>
                <w:kern w:val="0"/>
                <w:szCs w:val="21"/>
              </w:rPr>
              <w:t xml:space="preserve">   </w:t>
            </w:r>
            <w:r>
              <w:rPr>
                <w:rFonts w:ascii="Times New Roman" w:hAnsi="Times New Roman" w:eastAsia="仿宋_GB2312" w:cs="Times New Roman"/>
                <w:b/>
                <w:kern w:val="0"/>
                <w:szCs w:val="21"/>
              </w:rPr>
              <w:t>目</w:t>
            </w:r>
          </w:p>
        </w:tc>
        <w:tc>
          <w:tcPr>
            <w:tcW w:w="9492" w:type="dxa"/>
            <w:gridSpan w:val="3"/>
            <w:tcBorders>
              <w:top w:val="single" w:color="auto" w:sz="8" w:space="0"/>
              <w:left w:val="nil"/>
              <w:bottom w:val="single" w:color="auto" w:sz="4" w:space="0"/>
              <w:right w:val="single" w:color="000000" w:sz="8" w:space="0"/>
            </w:tcBorders>
            <w:shd w:val="clear" w:color="auto" w:fill="auto"/>
            <w:vAlign w:val="center"/>
          </w:tcPr>
          <w:p w14:paraId="204AF141">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本年支出</w:t>
            </w:r>
          </w:p>
        </w:tc>
      </w:tr>
      <w:tr w14:paraId="311CEFE6">
        <w:tblPrEx>
          <w:tblCellMar>
            <w:top w:w="0" w:type="dxa"/>
            <w:left w:w="108" w:type="dxa"/>
            <w:bottom w:w="0" w:type="dxa"/>
            <w:right w:w="108" w:type="dxa"/>
          </w:tblCellMar>
        </w:tblPrEx>
        <w:trPr>
          <w:trHeight w:val="312" w:hRule="exact"/>
          <w:jc w:val="center"/>
        </w:trPr>
        <w:tc>
          <w:tcPr>
            <w:tcW w:w="1200" w:type="dxa"/>
            <w:vMerge w:val="restart"/>
            <w:tcBorders>
              <w:top w:val="single" w:color="auto" w:sz="4" w:space="0"/>
              <w:left w:val="single" w:color="auto" w:sz="8" w:space="0"/>
              <w:bottom w:val="single" w:color="auto" w:sz="4" w:space="0"/>
              <w:right w:val="single" w:color="auto" w:sz="4" w:space="0"/>
            </w:tcBorders>
            <w:shd w:val="clear" w:color="auto" w:fill="auto"/>
            <w:vAlign w:val="center"/>
          </w:tcPr>
          <w:p w14:paraId="777910D5">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功能分类科目编码</w:t>
            </w:r>
          </w:p>
        </w:tc>
        <w:tc>
          <w:tcPr>
            <w:tcW w:w="3527" w:type="dxa"/>
            <w:vMerge w:val="restart"/>
            <w:tcBorders>
              <w:top w:val="nil"/>
              <w:left w:val="single" w:color="auto" w:sz="4" w:space="0"/>
              <w:bottom w:val="single" w:color="auto" w:sz="4" w:space="0"/>
              <w:right w:val="single" w:color="auto" w:sz="4" w:space="0"/>
            </w:tcBorders>
            <w:shd w:val="clear" w:color="auto" w:fill="auto"/>
            <w:vAlign w:val="center"/>
          </w:tcPr>
          <w:p w14:paraId="43C91956">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科目名称</w:t>
            </w:r>
          </w:p>
        </w:tc>
        <w:tc>
          <w:tcPr>
            <w:tcW w:w="3000" w:type="dxa"/>
            <w:vMerge w:val="restart"/>
            <w:tcBorders>
              <w:top w:val="nil"/>
              <w:left w:val="single" w:color="auto" w:sz="4" w:space="0"/>
              <w:bottom w:val="single" w:color="000000" w:sz="4" w:space="0"/>
              <w:right w:val="single" w:color="auto" w:sz="4" w:space="0"/>
            </w:tcBorders>
            <w:shd w:val="clear" w:color="auto" w:fill="auto"/>
            <w:vAlign w:val="center"/>
          </w:tcPr>
          <w:p w14:paraId="25E704B9">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小计</w:t>
            </w:r>
          </w:p>
        </w:tc>
        <w:tc>
          <w:tcPr>
            <w:tcW w:w="3492" w:type="dxa"/>
            <w:vMerge w:val="restart"/>
            <w:tcBorders>
              <w:top w:val="nil"/>
              <w:left w:val="single" w:color="auto" w:sz="4" w:space="0"/>
              <w:bottom w:val="single" w:color="000000" w:sz="4" w:space="0"/>
              <w:right w:val="single" w:color="auto" w:sz="4" w:space="0"/>
            </w:tcBorders>
            <w:shd w:val="clear" w:color="auto" w:fill="auto"/>
            <w:vAlign w:val="center"/>
          </w:tcPr>
          <w:p w14:paraId="3525BA70">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基本支出</w:t>
            </w:r>
          </w:p>
        </w:tc>
        <w:tc>
          <w:tcPr>
            <w:tcW w:w="3000" w:type="dxa"/>
            <w:vMerge w:val="restart"/>
            <w:tcBorders>
              <w:top w:val="nil"/>
              <w:left w:val="single" w:color="auto" w:sz="4" w:space="0"/>
              <w:bottom w:val="single" w:color="000000" w:sz="4" w:space="0"/>
              <w:right w:val="single" w:color="auto" w:sz="8" w:space="0"/>
            </w:tcBorders>
            <w:shd w:val="clear" w:color="auto" w:fill="auto"/>
            <w:vAlign w:val="center"/>
          </w:tcPr>
          <w:p w14:paraId="26127A55">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项目支出</w:t>
            </w:r>
          </w:p>
        </w:tc>
      </w:tr>
      <w:tr w14:paraId="670D6D00">
        <w:tblPrEx>
          <w:tblCellMar>
            <w:top w:w="0" w:type="dxa"/>
            <w:left w:w="108" w:type="dxa"/>
            <w:bottom w:w="0" w:type="dxa"/>
            <w:right w:w="108" w:type="dxa"/>
          </w:tblCellMar>
        </w:tblPrEx>
        <w:trPr>
          <w:trHeight w:val="360"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14:paraId="56110BAB">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14:paraId="3C7414D7">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14:paraId="0D6916BC">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14:paraId="6384BEAA">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14:paraId="37159541">
            <w:pPr>
              <w:widowControl/>
              <w:jc w:val="left"/>
              <w:rPr>
                <w:rFonts w:ascii="Times New Roman" w:hAnsi="Times New Roman" w:eastAsia="仿宋_GB2312" w:cs="Times New Roman"/>
                <w:kern w:val="0"/>
                <w:szCs w:val="21"/>
              </w:rPr>
            </w:pPr>
          </w:p>
        </w:tc>
      </w:tr>
      <w:tr w14:paraId="608EB217">
        <w:tblPrEx>
          <w:tblCellMar>
            <w:top w:w="0" w:type="dxa"/>
            <w:left w:w="108" w:type="dxa"/>
            <w:bottom w:w="0" w:type="dxa"/>
            <w:right w:w="108" w:type="dxa"/>
          </w:tblCellMar>
        </w:tblPrEx>
        <w:trPr>
          <w:trHeight w:val="312"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14:paraId="61BCB8CE">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14:paraId="409F80C4">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14:paraId="37D4A0E8">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14:paraId="6CB8E313">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14:paraId="3AE6920A">
            <w:pPr>
              <w:widowControl/>
              <w:jc w:val="left"/>
              <w:rPr>
                <w:rFonts w:ascii="Times New Roman" w:hAnsi="Times New Roman" w:eastAsia="仿宋_GB2312" w:cs="Times New Roman"/>
                <w:kern w:val="0"/>
                <w:szCs w:val="21"/>
              </w:rPr>
            </w:pPr>
          </w:p>
        </w:tc>
      </w:tr>
      <w:tr w14:paraId="53E7D4D7">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588FBDB3">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栏次</w:t>
            </w:r>
          </w:p>
        </w:tc>
        <w:tc>
          <w:tcPr>
            <w:tcW w:w="3000" w:type="dxa"/>
            <w:tcBorders>
              <w:top w:val="nil"/>
              <w:left w:val="nil"/>
              <w:bottom w:val="single" w:color="auto" w:sz="4" w:space="0"/>
              <w:right w:val="single" w:color="auto" w:sz="4" w:space="0"/>
            </w:tcBorders>
            <w:shd w:val="clear" w:color="auto" w:fill="auto"/>
            <w:vAlign w:val="center"/>
          </w:tcPr>
          <w:p w14:paraId="0AB0D9B2">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3492" w:type="dxa"/>
            <w:tcBorders>
              <w:top w:val="nil"/>
              <w:left w:val="nil"/>
              <w:bottom w:val="single" w:color="auto" w:sz="4" w:space="0"/>
              <w:right w:val="single" w:color="auto" w:sz="4" w:space="0"/>
            </w:tcBorders>
            <w:shd w:val="clear" w:color="auto" w:fill="auto"/>
            <w:vAlign w:val="center"/>
          </w:tcPr>
          <w:p w14:paraId="14559EBD">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c>
          <w:tcPr>
            <w:tcW w:w="3000" w:type="dxa"/>
            <w:tcBorders>
              <w:top w:val="nil"/>
              <w:left w:val="nil"/>
              <w:bottom w:val="single" w:color="auto" w:sz="4" w:space="0"/>
              <w:right w:val="single" w:color="auto" w:sz="8" w:space="0"/>
            </w:tcBorders>
            <w:shd w:val="clear" w:color="auto" w:fill="auto"/>
            <w:vAlign w:val="center"/>
          </w:tcPr>
          <w:p w14:paraId="66A96185">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r>
      <w:tr w14:paraId="02FFAA99">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6775BDC2">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合计</w:t>
            </w:r>
          </w:p>
        </w:tc>
        <w:tc>
          <w:tcPr>
            <w:tcW w:w="3000" w:type="dxa"/>
            <w:tcBorders>
              <w:top w:val="nil"/>
              <w:left w:val="nil"/>
              <w:bottom w:val="single" w:color="auto" w:sz="4" w:space="0"/>
              <w:right w:val="single" w:color="auto" w:sz="4" w:space="0"/>
            </w:tcBorders>
            <w:shd w:val="clear" w:color="auto" w:fill="auto"/>
            <w:vAlign w:val="center"/>
          </w:tcPr>
          <w:p w14:paraId="2020E227">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b/>
                <w:bCs/>
                <w:i w:val="0"/>
                <w:iCs w:val="0"/>
                <w:color w:val="000000"/>
                <w:kern w:val="0"/>
                <w:sz w:val="22"/>
                <w:szCs w:val="22"/>
                <w:u w:val="none"/>
                <w:lang w:val="en-US" w:eastAsia="zh-CN" w:bidi="ar"/>
              </w:rPr>
              <w:t>2,624.73</w:t>
            </w:r>
          </w:p>
        </w:tc>
        <w:tc>
          <w:tcPr>
            <w:tcW w:w="3492" w:type="dxa"/>
            <w:tcBorders>
              <w:top w:val="nil"/>
              <w:left w:val="nil"/>
              <w:bottom w:val="single" w:color="auto" w:sz="4" w:space="0"/>
              <w:right w:val="single" w:color="auto" w:sz="4" w:space="0"/>
            </w:tcBorders>
            <w:shd w:val="clear" w:color="auto" w:fill="auto"/>
            <w:vAlign w:val="center"/>
          </w:tcPr>
          <w:p w14:paraId="7DE98211">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b/>
                <w:bCs/>
                <w:i w:val="0"/>
                <w:iCs w:val="0"/>
                <w:color w:val="000000"/>
                <w:kern w:val="0"/>
                <w:sz w:val="22"/>
                <w:szCs w:val="22"/>
                <w:u w:val="none"/>
                <w:lang w:val="en-US" w:eastAsia="zh-CN" w:bidi="ar"/>
              </w:rPr>
              <w:t>1,979.60</w:t>
            </w:r>
          </w:p>
        </w:tc>
        <w:tc>
          <w:tcPr>
            <w:tcW w:w="3000" w:type="dxa"/>
            <w:tcBorders>
              <w:top w:val="nil"/>
              <w:left w:val="nil"/>
              <w:bottom w:val="single" w:color="auto" w:sz="4" w:space="0"/>
              <w:right w:val="single" w:color="auto" w:sz="8" w:space="0"/>
            </w:tcBorders>
            <w:shd w:val="clear" w:color="auto" w:fill="auto"/>
            <w:vAlign w:val="center"/>
          </w:tcPr>
          <w:p w14:paraId="20295584">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b/>
                <w:bCs/>
                <w:i w:val="0"/>
                <w:iCs w:val="0"/>
                <w:color w:val="000000"/>
                <w:kern w:val="0"/>
                <w:sz w:val="22"/>
                <w:szCs w:val="22"/>
                <w:u w:val="none"/>
                <w:lang w:val="en-US" w:eastAsia="zh-CN" w:bidi="ar"/>
              </w:rPr>
              <w:t>645.13</w:t>
            </w:r>
          </w:p>
        </w:tc>
      </w:tr>
      <w:tr w14:paraId="3A2E1184">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780C48D6">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201</w:t>
            </w:r>
          </w:p>
        </w:tc>
        <w:tc>
          <w:tcPr>
            <w:tcW w:w="3527" w:type="dxa"/>
            <w:tcBorders>
              <w:top w:val="nil"/>
              <w:left w:val="nil"/>
              <w:bottom w:val="single" w:color="auto" w:sz="4" w:space="0"/>
              <w:right w:val="single" w:color="auto" w:sz="4" w:space="0"/>
            </w:tcBorders>
            <w:shd w:val="clear" w:color="auto" w:fill="auto"/>
            <w:vAlign w:val="center"/>
          </w:tcPr>
          <w:p w14:paraId="59C8E17C">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一般公共服务支出</w:t>
            </w:r>
          </w:p>
        </w:tc>
        <w:tc>
          <w:tcPr>
            <w:tcW w:w="3000" w:type="dxa"/>
            <w:tcBorders>
              <w:top w:val="nil"/>
              <w:left w:val="nil"/>
              <w:bottom w:val="single" w:color="auto" w:sz="4" w:space="0"/>
              <w:right w:val="single" w:color="auto" w:sz="4" w:space="0"/>
            </w:tcBorders>
            <w:shd w:val="clear" w:color="auto" w:fill="auto"/>
            <w:vAlign w:val="center"/>
          </w:tcPr>
          <w:p w14:paraId="4FD9A04E">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76.65</w:t>
            </w:r>
          </w:p>
        </w:tc>
        <w:tc>
          <w:tcPr>
            <w:tcW w:w="3492" w:type="dxa"/>
            <w:tcBorders>
              <w:top w:val="nil"/>
              <w:left w:val="nil"/>
              <w:bottom w:val="single" w:color="auto" w:sz="4" w:space="0"/>
              <w:right w:val="single" w:color="auto" w:sz="4" w:space="0"/>
            </w:tcBorders>
            <w:shd w:val="clear" w:color="auto" w:fill="auto"/>
            <w:vAlign w:val="center"/>
          </w:tcPr>
          <w:p w14:paraId="053F695A">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74.25</w:t>
            </w:r>
          </w:p>
        </w:tc>
        <w:tc>
          <w:tcPr>
            <w:tcW w:w="3000" w:type="dxa"/>
            <w:tcBorders>
              <w:top w:val="nil"/>
              <w:left w:val="nil"/>
              <w:bottom w:val="single" w:color="auto" w:sz="4" w:space="0"/>
              <w:right w:val="single" w:color="auto" w:sz="8" w:space="0"/>
            </w:tcBorders>
            <w:shd w:val="clear" w:color="auto" w:fill="auto"/>
            <w:vAlign w:val="center"/>
          </w:tcPr>
          <w:p w14:paraId="784FC5FB">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2.40</w:t>
            </w:r>
          </w:p>
        </w:tc>
      </w:tr>
      <w:tr w14:paraId="60DEB276">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05EB8892">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20199</w:t>
            </w:r>
          </w:p>
        </w:tc>
        <w:tc>
          <w:tcPr>
            <w:tcW w:w="3527" w:type="dxa"/>
            <w:tcBorders>
              <w:top w:val="nil"/>
              <w:left w:val="nil"/>
              <w:bottom w:val="single" w:color="auto" w:sz="4" w:space="0"/>
              <w:right w:val="single" w:color="auto" w:sz="4" w:space="0"/>
            </w:tcBorders>
            <w:shd w:val="clear" w:color="auto" w:fill="auto"/>
            <w:vAlign w:val="center"/>
          </w:tcPr>
          <w:p w14:paraId="6956066E">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其他一般公共服务支出</w:t>
            </w:r>
          </w:p>
        </w:tc>
        <w:tc>
          <w:tcPr>
            <w:tcW w:w="3000" w:type="dxa"/>
            <w:tcBorders>
              <w:top w:val="nil"/>
              <w:left w:val="nil"/>
              <w:bottom w:val="single" w:color="auto" w:sz="4" w:space="0"/>
              <w:right w:val="single" w:color="auto" w:sz="4" w:space="0"/>
            </w:tcBorders>
            <w:shd w:val="clear" w:color="auto" w:fill="auto"/>
            <w:vAlign w:val="center"/>
          </w:tcPr>
          <w:p w14:paraId="61F51C56">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76.65</w:t>
            </w:r>
          </w:p>
        </w:tc>
        <w:tc>
          <w:tcPr>
            <w:tcW w:w="3492" w:type="dxa"/>
            <w:tcBorders>
              <w:top w:val="nil"/>
              <w:left w:val="nil"/>
              <w:bottom w:val="single" w:color="auto" w:sz="4" w:space="0"/>
              <w:right w:val="single" w:color="auto" w:sz="4" w:space="0"/>
            </w:tcBorders>
            <w:shd w:val="clear" w:color="auto" w:fill="auto"/>
            <w:vAlign w:val="center"/>
          </w:tcPr>
          <w:p w14:paraId="7CDAAFCA">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74.25</w:t>
            </w:r>
          </w:p>
        </w:tc>
        <w:tc>
          <w:tcPr>
            <w:tcW w:w="3000" w:type="dxa"/>
            <w:tcBorders>
              <w:top w:val="nil"/>
              <w:left w:val="nil"/>
              <w:bottom w:val="single" w:color="auto" w:sz="4" w:space="0"/>
              <w:right w:val="single" w:color="auto" w:sz="8" w:space="0"/>
            </w:tcBorders>
            <w:shd w:val="clear" w:color="auto" w:fill="auto"/>
            <w:vAlign w:val="center"/>
          </w:tcPr>
          <w:p w14:paraId="4BE8E19D">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2.40</w:t>
            </w:r>
          </w:p>
        </w:tc>
      </w:tr>
      <w:tr w14:paraId="1016B99A">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1BF3D968">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2019999</w:t>
            </w:r>
          </w:p>
        </w:tc>
        <w:tc>
          <w:tcPr>
            <w:tcW w:w="3527" w:type="dxa"/>
            <w:tcBorders>
              <w:top w:val="nil"/>
              <w:left w:val="nil"/>
              <w:bottom w:val="single" w:color="auto" w:sz="4" w:space="0"/>
              <w:right w:val="single" w:color="auto" w:sz="4" w:space="0"/>
            </w:tcBorders>
            <w:shd w:val="clear" w:color="auto" w:fill="auto"/>
            <w:vAlign w:val="center"/>
          </w:tcPr>
          <w:p w14:paraId="621BC449">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  其他一般公共服务支出</w:t>
            </w:r>
          </w:p>
        </w:tc>
        <w:tc>
          <w:tcPr>
            <w:tcW w:w="3000" w:type="dxa"/>
            <w:tcBorders>
              <w:top w:val="nil"/>
              <w:left w:val="nil"/>
              <w:bottom w:val="single" w:color="auto" w:sz="4" w:space="0"/>
              <w:right w:val="single" w:color="auto" w:sz="4" w:space="0"/>
            </w:tcBorders>
            <w:shd w:val="clear" w:color="auto" w:fill="auto"/>
            <w:vAlign w:val="center"/>
          </w:tcPr>
          <w:p w14:paraId="7AC610DE">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76.65</w:t>
            </w:r>
          </w:p>
        </w:tc>
        <w:tc>
          <w:tcPr>
            <w:tcW w:w="3492" w:type="dxa"/>
            <w:tcBorders>
              <w:top w:val="nil"/>
              <w:left w:val="nil"/>
              <w:bottom w:val="single" w:color="auto" w:sz="4" w:space="0"/>
              <w:right w:val="single" w:color="auto" w:sz="4" w:space="0"/>
            </w:tcBorders>
            <w:shd w:val="clear" w:color="auto" w:fill="auto"/>
            <w:vAlign w:val="center"/>
          </w:tcPr>
          <w:p w14:paraId="3260E4EA">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74.25</w:t>
            </w:r>
          </w:p>
        </w:tc>
        <w:tc>
          <w:tcPr>
            <w:tcW w:w="3000" w:type="dxa"/>
            <w:tcBorders>
              <w:top w:val="nil"/>
              <w:left w:val="nil"/>
              <w:bottom w:val="single" w:color="auto" w:sz="4" w:space="0"/>
              <w:right w:val="single" w:color="auto" w:sz="8" w:space="0"/>
            </w:tcBorders>
            <w:shd w:val="clear" w:color="auto" w:fill="auto"/>
            <w:vAlign w:val="center"/>
          </w:tcPr>
          <w:p w14:paraId="18D008C1">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2.40</w:t>
            </w:r>
          </w:p>
        </w:tc>
      </w:tr>
      <w:tr w14:paraId="4154E770">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1199C6E2">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215</w:t>
            </w:r>
          </w:p>
        </w:tc>
        <w:tc>
          <w:tcPr>
            <w:tcW w:w="3527" w:type="dxa"/>
            <w:tcBorders>
              <w:top w:val="nil"/>
              <w:left w:val="nil"/>
              <w:bottom w:val="single" w:color="auto" w:sz="4" w:space="0"/>
              <w:right w:val="single" w:color="auto" w:sz="4" w:space="0"/>
            </w:tcBorders>
            <w:shd w:val="clear" w:color="auto" w:fill="auto"/>
            <w:vAlign w:val="center"/>
          </w:tcPr>
          <w:p w14:paraId="72FB460C">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资源勘探工业信息等支出</w:t>
            </w:r>
          </w:p>
        </w:tc>
        <w:tc>
          <w:tcPr>
            <w:tcW w:w="3000" w:type="dxa"/>
            <w:tcBorders>
              <w:top w:val="nil"/>
              <w:left w:val="nil"/>
              <w:bottom w:val="single" w:color="auto" w:sz="4" w:space="0"/>
              <w:right w:val="single" w:color="auto" w:sz="4" w:space="0"/>
            </w:tcBorders>
            <w:shd w:val="clear" w:color="auto" w:fill="auto"/>
            <w:vAlign w:val="center"/>
          </w:tcPr>
          <w:p w14:paraId="0C97A65D">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17.60</w:t>
            </w:r>
          </w:p>
        </w:tc>
        <w:tc>
          <w:tcPr>
            <w:tcW w:w="3492" w:type="dxa"/>
            <w:tcBorders>
              <w:top w:val="nil"/>
              <w:left w:val="nil"/>
              <w:bottom w:val="single" w:color="auto" w:sz="4" w:space="0"/>
              <w:right w:val="single" w:color="auto" w:sz="4" w:space="0"/>
            </w:tcBorders>
            <w:shd w:val="clear" w:color="auto" w:fill="auto"/>
            <w:vAlign w:val="center"/>
          </w:tcPr>
          <w:p w14:paraId="68EE7289">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0.00</w:t>
            </w:r>
          </w:p>
        </w:tc>
        <w:tc>
          <w:tcPr>
            <w:tcW w:w="3000" w:type="dxa"/>
            <w:tcBorders>
              <w:top w:val="nil"/>
              <w:left w:val="nil"/>
              <w:bottom w:val="single" w:color="auto" w:sz="4" w:space="0"/>
              <w:right w:val="single" w:color="auto" w:sz="8" w:space="0"/>
            </w:tcBorders>
            <w:shd w:val="clear" w:color="auto" w:fill="auto"/>
            <w:vAlign w:val="center"/>
          </w:tcPr>
          <w:p w14:paraId="5C5F56CB">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17.60</w:t>
            </w:r>
          </w:p>
        </w:tc>
      </w:tr>
      <w:tr w14:paraId="5D220974">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1D83345A">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21502</w:t>
            </w:r>
          </w:p>
        </w:tc>
        <w:tc>
          <w:tcPr>
            <w:tcW w:w="3527" w:type="dxa"/>
            <w:tcBorders>
              <w:top w:val="nil"/>
              <w:left w:val="nil"/>
              <w:bottom w:val="single" w:color="auto" w:sz="4" w:space="0"/>
              <w:right w:val="single" w:color="auto" w:sz="4" w:space="0"/>
            </w:tcBorders>
            <w:shd w:val="clear" w:color="auto" w:fill="auto"/>
            <w:vAlign w:val="center"/>
          </w:tcPr>
          <w:p w14:paraId="6C2A9C30">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制造业</w:t>
            </w:r>
          </w:p>
        </w:tc>
        <w:tc>
          <w:tcPr>
            <w:tcW w:w="3000" w:type="dxa"/>
            <w:tcBorders>
              <w:top w:val="nil"/>
              <w:left w:val="nil"/>
              <w:bottom w:val="single" w:color="auto" w:sz="4" w:space="0"/>
              <w:right w:val="single" w:color="auto" w:sz="4" w:space="0"/>
            </w:tcBorders>
            <w:shd w:val="clear" w:color="auto" w:fill="auto"/>
            <w:vAlign w:val="center"/>
          </w:tcPr>
          <w:p w14:paraId="43444A21">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17.60</w:t>
            </w:r>
          </w:p>
        </w:tc>
        <w:tc>
          <w:tcPr>
            <w:tcW w:w="3492" w:type="dxa"/>
            <w:tcBorders>
              <w:top w:val="nil"/>
              <w:left w:val="nil"/>
              <w:bottom w:val="single" w:color="auto" w:sz="4" w:space="0"/>
              <w:right w:val="single" w:color="auto" w:sz="4" w:space="0"/>
            </w:tcBorders>
            <w:shd w:val="clear" w:color="auto" w:fill="auto"/>
            <w:vAlign w:val="center"/>
          </w:tcPr>
          <w:p w14:paraId="51CD53FD">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0.00</w:t>
            </w:r>
          </w:p>
        </w:tc>
        <w:tc>
          <w:tcPr>
            <w:tcW w:w="3000" w:type="dxa"/>
            <w:tcBorders>
              <w:top w:val="nil"/>
              <w:left w:val="nil"/>
              <w:bottom w:val="single" w:color="auto" w:sz="4" w:space="0"/>
              <w:right w:val="single" w:color="auto" w:sz="8" w:space="0"/>
            </w:tcBorders>
            <w:shd w:val="clear" w:color="auto" w:fill="auto"/>
            <w:vAlign w:val="center"/>
          </w:tcPr>
          <w:p w14:paraId="31623DCA">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17.60</w:t>
            </w:r>
          </w:p>
        </w:tc>
      </w:tr>
      <w:tr w14:paraId="6E98A4B7">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59ABFB23">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2150207</w:t>
            </w:r>
          </w:p>
        </w:tc>
        <w:tc>
          <w:tcPr>
            <w:tcW w:w="3527" w:type="dxa"/>
            <w:tcBorders>
              <w:top w:val="nil"/>
              <w:left w:val="nil"/>
              <w:bottom w:val="nil"/>
              <w:right w:val="single" w:color="auto" w:sz="4" w:space="0"/>
            </w:tcBorders>
            <w:shd w:val="clear" w:color="auto" w:fill="auto"/>
            <w:vAlign w:val="center"/>
          </w:tcPr>
          <w:p w14:paraId="06249ADF">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  通信设备、计算机及其他电子设备制造业</w:t>
            </w:r>
          </w:p>
        </w:tc>
        <w:tc>
          <w:tcPr>
            <w:tcW w:w="3000" w:type="dxa"/>
            <w:tcBorders>
              <w:top w:val="nil"/>
              <w:left w:val="nil"/>
              <w:bottom w:val="nil"/>
              <w:right w:val="single" w:color="auto" w:sz="4" w:space="0"/>
            </w:tcBorders>
            <w:shd w:val="clear" w:color="auto" w:fill="auto"/>
            <w:vAlign w:val="center"/>
          </w:tcPr>
          <w:p w14:paraId="1E24007B">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17.60</w:t>
            </w:r>
          </w:p>
        </w:tc>
        <w:tc>
          <w:tcPr>
            <w:tcW w:w="3492" w:type="dxa"/>
            <w:tcBorders>
              <w:top w:val="nil"/>
              <w:left w:val="nil"/>
              <w:bottom w:val="nil"/>
              <w:right w:val="single" w:color="auto" w:sz="4" w:space="0"/>
            </w:tcBorders>
            <w:shd w:val="clear" w:color="auto" w:fill="auto"/>
            <w:vAlign w:val="center"/>
          </w:tcPr>
          <w:p w14:paraId="2C211C8C">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0.00</w:t>
            </w:r>
          </w:p>
        </w:tc>
        <w:tc>
          <w:tcPr>
            <w:tcW w:w="3000" w:type="dxa"/>
            <w:tcBorders>
              <w:top w:val="nil"/>
              <w:left w:val="nil"/>
              <w:bottom w:val="nil"/>
              <w:right w:val="single" w:color="auto" w:sz="8" w:space="0"/>
            </w:tcBorders>
            <w:shd w:val="clear" w:color="auto" w:fill="auto"/>
            <w:vAlign w:val="center"/>
          </w:tcPr>
          <w:p w14:paraId="123F6573">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17.60</w:t>
            </w:r>
          </w:p>
        </w:tc>
      </w:tr>
      <w:tr w14:paraId="6BC0CE4D">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2504BB64">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221</w:t>
            </w:r>
          </w:p>
        </w:tc>
        <w:tc>
          <w:tcPr>
            <w:tcW w:w="3527" w:type="dxa"/>
            <w:tcBorders>
              <w:top w:val="nil"/>
              <w:left w:val="nil"/>
              <w:bottom w:val="nil"/>
              <w:right w:val="single" w:color="auto" w:sz="4" w:space="0"/>
            </w:tcBorders>
            <w:shd w:val="clear" w:color="auto" w:fill="auto"/>
            <w:vAlign w:val="center"/>
          </w:tcPr>
          <w:p w14:paraId="634A3EB2">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住房保障支出</w:t>
            </w:r>
          </w:p>
        </w:tc>
        <w:tc>
          <w:tcPr>
            <w:tcW w:w="3000" w:type="dxa"/>
            <w:tcBorders>
              <w:top w:val="nil"/>
              <w:left w:val="nil"/>
              <w:bottom w:val="nil"/>
              <w:right w:val="single" w:color="auto" w:sz="4" w:space="0"/>
            </w:tcBorders>
            <w:shd w:val="clear" w:color="auto" w:fill="auto"/>
            <w:vAlign w:val="center"/>
          </w:tcPr>
          <w:p w14:paraId="281BB37A">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2,530.47</w:t>
            </w:r>
          </w:p>
        </w:tc>
        <w:tc>
          <w:tcPr>
            <w:tcW w:w="3492" w:type="dxa"/>
            <w:tcBorders>
              <w:top w:val="nil"/>
              <w:left w:val="nil"/>
              <w:bottom w:val="nil"/>
              <w:right w:val="single" w:color="auto" w:sz="4" w:space="0"/>
            </w:tcBorders>
            <w:shd w:val="clear" w:color="auto" w:fill="auto"/>
            <w:vAlign w:val="center"/>
          </w:tcPr>
          <w:p w14:paraId="40ADA64B">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1,905.35</w:t>
            </w:r>
          </w:p>
        </w:tc>
        <w:tc>
          <w:tcPr>
            <w:tcW w:w="3000" w:type="dxa"/>
            <w:tcBorders>
              <w:top w:val="nil"/>
              <w:left w:val="nil"/>
              <w:bottom w:val="nil"/>
              <w:right w:val="single" w:color="auto" w:sz="8" w:space="0"/>
            </w:tcBorders>
            <w:shd w:val="clear" w:color="auto" w:fill="auto"/>
            <w:vAlign w:val="center"/>
          </w:tcPr>
          <w:p w14:paraId="6B6B5173">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625.13</w:t>
            </w:r>
          </w:p>
        </w:tc>
      </w:tr>
      <w:tr w14:paraId="68DDB08D">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61EF3F08">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22103</w:t>
            </w:r>
          </w:p>
        </w:tc>
        <w:tc>
          <w:tcPr>
            <w:tcW w:w="3527" w:type="dxa"/>
            <w:tcBorders>
              <w:top w:val="nil"/>
              <w:left w:val="nil"/>
              <w:bottom w:val="nil"/>
              <w:right w:val="single" w:color="auto" w:sz="4" w:space="0"/>
            </w:tcBorders>
            <w:shd w:val="clear" w:color="auto" w:fill="auto"/>
            <w:vAlign w:val="center"/>
          </w:tcPr>
          <w:p w14:paraId="70B1B7D2">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城乡社区住宅</w:t>
            </w:r>
          </w:p>
        </w:tc>
        <w:tc>
          <w:tcPr>
            <w:tcW w:w="3000" w:type="dxa"/>
            <w:tcBorders>
              <w:top w:val="nil"/>
              <w:left w:val="nil"/>
              <w:bottom w:val="nil"/>
              <w:right w:val="single" w:color="auto" w:sz="4" w:space="0"/>
            </w:tcBorders>
            <w:shd w:val="clear" w:color="auto" w:fill="auto"/>
            <w:vAlign w:val="center"/>
          </w:tcPr>
          <w:p w14:paraId="1664FC2E">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2,530.47</w:t>
            </w:r>
          </w:p>
        </w:tc>
        <w:tc>
          <w:tcPr>
            <w:tcW w:w="3492" w:type="dxa"/>
            <w:tcBorders>
              <w:top w:val="nil"/>
              <w:left w:val="nil"/>
              <w:bottom w:val="nil"/>
              <w:right w:val="single" w:color="auto" w:sz="4" w:space="0"/>
            </w:tcBorders>
            <w:shd w:val="clear" w:color="auto" w:fill="auto"/>
            <w:vAlign w:val="center"/>
          </w:tcPr>
          <w:p w14:paraId="055DBFFE">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1,905.35</w:t>
            </w:r>
          </w:p>
        </w:tc>
        <w:tc>
          <w:tcPr>
            <w:tcW w:w="3000" w:type="dxa"/>
            <w:tcBorders>
              <w:top w:val="nil"/>
              <w:left w:val="nil"/>
              <w:bottom w:val="nil"/>
              <w:right w:val="single" w:color="auto" w:sz="8" w:space="0"/>
            </w:tcBorders>
            <w:shd w:val="clear" w:color="auto" w:fill="auto"/>
            <w:vAlign w:val="center"/>
          </w:tcPr>
          <w:p w14:paraId="30C18FD4">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625.13</w:t>
            </w:r>
          </w:p>
        </w:tc>
      </w:tr>
      <w:tr w14:paraId="6C909B98">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shd w:val="clear" w:color="auto" w:fill="auto"/>
            <w:vAlign w:val="center"/>
          </w:tcPr>
          <w:p w14:paraId="40E7E5A0">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2210302</w:t>
            </w:r>
          </w:p>
        </w:tc>
        <w:tc>
          <w:tcPr>
            <w:tcW w:w="3527" w:type="dxa"/>
            <w:tcBorders>
              <w:top w:val="nil"/>
              <w:left w:val="nil"/>
              <w:bottom w:val="single" w:color="auto" w:sz="8" w:space="0"/>
              <w:right w:val="single" w:color="auto" w:sz="4" w:space="0"/>
            </w:tcBorders>
            <w:shd w:val="clear" w:color="auto" w:fill="auto"/>
            <w:vAlign w:val="center"/>
          </w:tcPr>
          <w:p w14:paraId="0B1640CB">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  住房公积金管理</w:t>
            </w:r>
          </w:p>
        </w:tc>
        <w:tc>
          <w:tcPr>
            <w:tcW w:w="3000" w:type="dxa"/>
            <w:tcBorders>
              <w:top w:val="nil"/>
              <w:left w:val="nil"/>
              <w:bottom w:val="single" w:color="auto" w:sz="8" w:space="0"/>
              <w:right w:val="single" w:color="auto" w:sz="4" w:space="0"/>
            </w:tcBorders>
            <w:shd w:val="clear" w:color="auto" w:fill="auto"/>
            <w:vAlign w:val="center"/>
          </w:tcPr>
          <w:p w14:paraId="3D12F7B4">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2,530.47</w:t>
            </w:r>
          </w:p>
        </w:tc>
        <w:tc>
          <w:tcPr>
            <w:tcW w:w="3492" w:type="dxa"/>
            <w:tcBorders>
              <w:top w:val="nil"/>
              <w:left w:val="nil"/>
              <w:bottom w:val="single" w:color="auto" w:sz="8" w:space="0"/>
              <w:right w:val="single" w:color="auto" w:sz="4" w:space="0"/>
            </w:tcBorders>
            <w:shd w:val="clear" w:color="auto" w:fill="auto"/>
            <w:vAlign w:val="center"/>
          </w:tcPr>
          <w:p w14:paraId="0C23FBCC">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1,905.35</w:t>
            </w:r>
          </w:p>
        </w:tc>
        <w:tc>
          <w:tcPr>
            <w:tcW w:w="3000" w:type="dxa"/>
            <w:tcBorders>
              <w:top w:val="nil"/>
              <w:left w:val="nil"/>
              <w:bottom w:val="single" w:color="auto" w:sz="8" w:space="0"/>
              <w:right w:val="single" w:color="auto" w:sz="8" w:space="0"/>
            </w:tcBorders>
            <w:shd w:val="clear" w:color="auto" w:fill="auto"/>
            <w:vAlign w:val="center"/>
          </w:tcPr>
          <w:p w14:paraId="7576E5A2">
            <w:pPr>
              <w:widowControl/>
              <w:jc w:val="right"/>
              <w:rPr>
                <w:rFonts w:hint="default" w:ascii="Times New Roman" w:hAnsi="Times New Roman" w:eastAsia="仿宋_GB2312" w:cs="Times New Roman"/>
                <w:kern w:val="0"/>
                <w:szCs w:val="21"/>
                <w:lang w:val="en-US" w:eastAsia="zh-CN"/>
              </w:rPr>
            </w:pPr>
            <w:r>
              <w:rPr>
                <w:rFonts w:hint="eastAsia" w:ascii="宋体" w:hAnsi="宋体" w:eastAsia="宋体" w:cs="宋体"/>
                <w:i w:val="0"/>
                <w:iCs w:val="0"/>
                <w:color w:val="000000"/>
                <w:kern w:val="0"/>
                <w:sz w:val="22"/>
                <w:szCs w:val="22"/>
                <w:u w:val="none"/>
                <w:lang w:val="en-US" w:eastAsia="zh-CN" w:bidi="ar"/>
              </w:rPr>
              <w:t>625.13</w:t>
            </w:r>
          </w:p>
        </w:tc>
      </w:tr>
    </w:tbl>
    <w:p w14:paraId="332BC554">
      <w:pPr>
        <w:widowControl/>
        <w:spacing w:before="120"/>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注：本表反映部门本年度一般公共预算财政拨款支出情况。</w:t>
      </w:r>
    </w:p>
    <w:p w14:paraId="732CFF7F">
      <w:pPr>
        <w:widowControl/>
        <w:jc w:val="left"/>
        <w:rPr>
          <w:rFonts w:hint="eastAsia" w:ascii="Times New Roman" w:hAnsi="Times New Roman" w:eastAsia="仿宋_GB2312" w:cs="Times New Roman"/>
          <w:bCs/>
          <w:kern w:val="0"/>
          <w:szCs w:val="21"/>
          <w:lang w:eastAsia="zh-CN"/>
        </w:rPr>
      </w:pPr>
    </w:p>
    <w:p w14:paraId="0465155E">
      <w:pPr>
        <w:widowControl/>
        <w:spacing w:after="120"/>
        <w:jc w:val="center"/>
        <w:textAlignment w:val="center"/>
        <w:rPr>
          <w:rFonts w:ascii="Times New Roman" w:hAnsi="Times New Roman" w:eastAsia="黑体" w:cs="Times New Roman"/>
          <w:color w:val="000000"/>
          <w:kern w:val="0"/>
          <w:sz w:val="36"/>
          <w:szCs w:val="36"/>
          <w:lang w:bidi="ar"/>
        </w:rPr>
      </w:pPr>
      <w:bookmarkStart w:id="2" w:name="RANGE!A1:I34"/>
      <w:r>
        <w:rPr>
          <w:rFonts w:ascii="Times New Roman" w:hAnsi="Times New Roman" w:eastAsia="黑体" w:cs="Times New Roman"/>
          <w:color w:val="000000"/>
          <w:kern w:val="0"/>
          <w:sz w:val="36"/>
          <w:szCs w:val="36"/>
          <w:lang w:bidi="ar"/>
        </w:rPr>
        <w:t>一般公共预算财政拨款基本支出决算明细表</w:t>
      </w:r>
      <w:bookmarkEnd w:id="2"/>
    </w:p>
    <w:p w14:paraId="13786840">
      <w:pPr>
        <w:widowControl/>
        <w:wordWrap w:val="0"/>
        <w:spacing w:line="240" w:lineRule="exact"/>
        <w:jc w:val="righ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sz w:val="20"/>
          <w:szCs w:val="20"/>
        </w:rPr>
        <w:t>部门：</w:t>
      </w:r>
      <w:r>
        <w:rPr>
          <w:rFonts w:hint="eastAsia" w:ascii="Times New Roman" w:hAnsi="Times New Roman" w:eastAsia="仿宋_GB2312" w:cs="Times New Roman"/>
          <w:color w:val="000000"/>
          <w:sz w:val="20"/>
          <w:szCs w:val="20"/>
          <w:lang w:eastAsia="zh-CN"/>
        </w:rPr>
        <w:t>怀化市住房公积金管理中心</w:t>
      </w:r>
      <w:r>
        <w:rPr>
          <w:rFonts w:ascii="Times New Roman" w:hAnsi="Times New Roman" w:eastAsia="仿宋_GB2312" w:cs="Times New Roman"/>
          <w:color w:val="000000"/>
          <w:kern w:val="0"/>
          <w:szCs w:val="21"/>
        </w:rPr>
        <w:t xml:space="preserve">                                                                               公开06表</w:t>
      </w:r>
    </w:p>
    <w:p w14:paraId="795E55A6">
      <w:pPr>
        <w:widowControl/>
        <w:spacing w:line="240" w:lineRule="exact"/>
        <w:jc w:val="right"/>
        <w:rPr>
          <w:rFonts w:ascii="Times New Roman" w:hAnsi="Times New Roman" w:eastAsia="华文中宋" w:cs="Times New Roman"/>
          <w:color w:val="000000"/>
          <w:kern w:val="0"/>
          <w:szCs w:val="32"/>
        </w:rPr>
      </w:pPr>
      <w:r>
        <w:rPr>
          <w:rFonts w:ascii="Times New Roman" w:hAnsi="Times New Roman" w:eastAsia="仿宋_GB2312" w:cs="Times New Roman"/>
          <w:color w:val="000000"/>
          <w:kern w:val="0"/>
          <w:szCs w:val="21"/>
        </w:rPr>
        <w:t>单位：万元</w:t>
      </w:r>
    </w:p>
    <w:tbl>
      <w:tblPr>
        <w:tblStyle w:val="10"/>
        <w:tblW w:w="14627" w:type="dxa"/>
        <w:jc w:val="center"/>
        <w:tblLayout w:type="fixed"/>
        <w:tblCellMar>
          <w:top w:w="0" w:type="dxa"/>
          <w:left w:w="108" w:type="dxa"/>
          <w:bottom w:w="0" w:type="dxa"/>
          <w:right w:w="108" w:type="dxa"/>
        </w:tblCellMar>
      </w:tblPr>
      <w:tblGrid>
        <w:gridCol w:w="1081"/>
        <w:gridCol w:w="2427"/>
        <w:gridCol w:w="1200"/>
        <w:gridCol w:w="1305"/>
        <w:gridCol w:w="2018"/>
        <w:gridCol w:w="933"/>
        <w:gridCol w:w="1217"/>
        <w:gridCol w:w="3274"/>
        <w:gridCol w:w="1172"/>
      </w:tblGrid>
      <w:tr w14:paraId="37E6A7BC">
        <w:tblPrEx>
          <w:tblCellMar>
            <w:top w:w="0" w:type="dxa"/>
            <w:left w:w="108" w:type="dxa"/>
            <w:bottom w:w="0" w:type="dxa"/>
            <w:right w:w="108" w:type="dxa"/>
          </w:tblCellMar>
        </w:tblPrEx>
        <w:trPr>
          <w:trHeight w:val="530" w:hRule="atLeast"/>
          <w:jc w:val="center"/>
        </w:trPr>
        <w:tc>
          <w:tcPr>
            <w:tcW w:w="1081" w:type="dxa"/>
            <w:tcBorders>
              <w:top w:val="single" w:color="auto" w:sz="4" w:space="0"/>
              <w:left w:val="single" w:color="auto" w:sz="4" w:space="0"/>
              <w:bottom w:val="single" w:color="auto" w:sz="4" w:space="0"/>
              <w:right w:val="single" w:color="auto" w:sz="4" w:space="0"/>
            </w:tcBorders>
            <w:shd w:val="clear" w:color="auto" w:fill="auto"/>
            <w:vAlign w:val="center"/>
          </w:tcPr>
          <w:p w14:paraId="2F32CE30">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 w:val="20"/>
                <w:szCs w:val="20"/>
              </w:rPr>
              <w:t>经济分类科目编码</w:t>
            </w:r>
          </w:p>
        </w:tc>
        <w:tc>
          <w:tcPr>
            <w:tcW w:w="2427" w:type="dxa"/>
            <w:tcBorders>
              <w:top w:val="single" w:color="auto" w:sz="4" w:space="0"/>
              <w:left w:val="nil"/>
              <w:bottom w:val="single" w:color="auto" w:sz="4" w:space="0"/>
              <w:right w:val="single" w:color="auto" w:sz="4" w:space="0"/>
            </w:tcBorders>
            <w:shd w:val="clear" w:color="auto" w:fill="auto"/>
            <w:vAlign w:val="center"/>
          </w:tcPr>
          <w:p w14:paraId="08BBE12F">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1200" w:type="dxa"/>
            <w:tcBorders>
              <w:top w:val="single" w:color="auto" w:sz="4" w:space="0"/>
              <w:left w:val="nil"/>
              <w:bottom w:val="single" w:color="auto" w:sz="4" w:space="0"/>
              <w:right w:val="single" w:color="auto" w:sz="4" w:space="0"/>
            </w:tcBorders>
            <w:shd w:val="clear" w:color="auto" w:fill="auto"/>
            <w:vAlign w:val="center"/>
          </w:tcPr>
          <w:p w14:paraId="4BAA2955">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305" w:type="dxa"/>
            <w:tcBorders>
              <w:top w:val="single" w:color="auto" w:sz="4" w:space="0"/>
              <w:left w:val="nil"/>
              <w:bottom w:val="single" w:color="auto" w:sz="4" w:space="0"/>
              <w:right w:val="single" w:color="auto" w:sz="4" w:space="0"/>
            </w:tcBorders>
            <w:shd w:val="clear" w:color="auto" w:fill="auto"/>
            <w:vAlign w:val="center"/>
          </w:tcPr>
          <w:p w14:paraId="7B9AAF88">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2018" w:type="dxa"/>
            <w:tcBorders>
              <w:top w:val="single" w:color="auto" w:sz="4" w:space="0"/>
              <w:left w:val="nil"/>
              <w:bottom w:val="single" w:color="auto" w:sz="4" w:space="0"/>
              <w:right w:val="single" w:color="auto" w:sz="4" w:space="0"/>
            </w:tcBorders>
            <w:shd w:val="clear" w:color="auto" w:fill="auto"/>
            <w:vAlign w:val="center"/>
          </w:tcPr>
          <w:p w14:paraId="3174CE81">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33" w:type="dxa"/>
            <w:tcBorders>
              <w:top w:val="single" w:color="auto" w:sz="4" w:space="0"/>
              <w:left w:val="nil"/>
              <w:bottom w:val="single" w:color="auto" w:sz="4" w:space="0"/>
              <w:right w:val="single" w:color="auto" w:sz="4" w:space="0"/>
            </w:tcBorders>
            <w:shd w:val="clear" w:color="auto" w:fill="auto"/>
            <w:vAlign w:val="center"/>
          </w:tcPr>
          <w:p w14:paraId="79D01CC5">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217" w:type="dxa"/>
            <w:tcBorders>
              <w:top w:val="single" w:color="auto" w:sz="4" w:space="0"/>
              <w:left w:val="nil"/>
              <w:bottom w:val="single" w:color="auto" w:sz="4" w:space="0"/>
              <w:right w:val="single" w:color="auto" w:sz="4" w:space="0"/>
            </w:tcBorders>
            <w:shd w:val="clear" w:color="auto" w:fill="auto"/>
            <w:vAlign w:val="center"/>
          </w:tcPr>
          <w:p w14:paraId="63F8C7DE">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3274" w:type="dxa"/>
            <w:tcBorders>
              <w:top w:val="single" w:color="auto" w:sz="4" w:space="0"/>
              <w:left w:val="nil"/>
              <w:bottom w:val="single" w:color="auto" w:sz="4" w:space="0"/>
              <w:right w:val="single" w:color="auto" w:sz="4" w:space="0"/>
            </w:tcBorders>
            <w:shd w:val="clear" w:color="auto" w:fill="auto"/>
            <w:vAlign w:val="center"/>
          </w:tcPr>
          <w:p w14:paraId="4B7F5AF4">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1172" w:type="dxa"/>
            <w:tcBorders>
              <w:top w:val="single" w:color="auto" w:sz="4" w:space="0"/>
              <w:left w:val="nil"/>
              <w:bottom w:val="single" w:color="auto" w:sz="4" w:space="0"/>
              <w:right w:val="single" w:color="auto" w:sz="4" w:space="0"/>
            </w:tcBorders>
            <w:shd w:val="clear" w:color="auto" w:fill="auto"/>
            <w:vAlign w:val="center"/>
          </w:tcPr>
          <w:p w14:paraId="36C09905">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r>
      <w:tr w14:paraId="4D39FD86">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5E99BF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w:t>
            </w:r>
          </w:p>
        </w:tc>
        <w:tc>
          <w:tcPr>
            <w:tcW w:w="2427" w:type="dxa"/>
            <w:tcBorders>
              <w:top w:val="nil"/>
              <w:left w:val="nil"/>
              <w:bottom w:val="single" w:color="auto" w:sz="4" w:space="0"/>
              <w:right w:val="single" w:color="auto" w:sz="4" w:space="0"/>
            </w:tcBorders>
            <w:shd w:val="clear" w:color="auto" w:fill="auto"/>
            <w:noWrap/>
            <w:vAlign w:val="center"/>
          </w:tcPr>
          <w:p w14:paraId="2FBA62C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工资福利支出</w:t>
            </w:r>
          </w:p>
        </w:tc>
        <w:tc>
          <w:tcPr>
            <w:tcW w:w="1200" w:type="dxa"/>
            <w:tcBorders>
              <w:top w:val="nil"/>
              <w:left w:val="nil"/>
              <w:bottom w:val="single" w:color="auto" w:sz="4" w:space="0"/>
              <w:right w:val="single" w:color="auto" w:sz="4" w:space="0"/>
            </w:tcBorders>
            <w:shd w:val="clear" w:color="auto" w:fill="auto"/>
            <w:noWrap/>
            <w:vAlign w:val="center"/>
          </w:tcPr>
          <w:p w14:paraId="0513DF8F">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1,625.82</w:t>
            </w:r>
          </w:p>
        </w:tc>
        <w:tc>
          <w:tcPr>
            <w:tcW w:w="1305" w:type="dxa"/>
            <w:tcBorders>
              <w:top w:val="nil"/>
              <w:left w:val="nil"/>
              <w:bottom w:val="single" w:color="auto" w:sz="4" w:space="0"/>
              <w:right w:val="single" w:color="auto" w:sz="4" w:space="0"/>
            </w:tcBorders>
            <w:shd w:val="clear" w:color="auto" w:fill="auto"/>
            <w:noWrap/>
            <w:vAlign w:val="center"/>
          </w:tcPr>
          <w:p w14:paraId="56E1F22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w:t>
            </w:r>
          </w:p>
        </w:tc>
        <w:tc>
          <w:tcPr>
            <w:tcW w:w="2018" w:type="dxa"/>
            <w:tcBorders>
              <w:top w:val="nil"/>
              <w:left w:val="nil"/>
              <w:bottom w:val="single" w:color="auto" w:sz="4" w:space="0"/>
              <w:right w:val="single" w:color="auto" w:sz="4" w:space="0"/>
            </w:tcBorders>
            <w:shd w:val="clear" w:color="auto" w:fill="auto"/>
            <w:noWrap/>
            <w:vAlign w:val="center"/>
          </w:tcPr>
          <w:p w14:paraId="044817C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商品和服务支出</w:t>
            </w:r>
          </w:p>
        </w:tc>
        <w:tc>
          <w:tcPr>
            <w:tcW w:w="933" w:type="dxa"/>
            <w:tcBorders>
              <w:top w:val="nil"/>
              <w:left w:val="nil"/>
              <w:bottom w:val="single" w:color="auto" w:sz="4" w:space="0"/>
              <w:right w:val="single" w:color="auto" w:sz="4" w:space="0"/>
            </w:tcBorders>
            <w:shd w:val="clear" w:color="auto" w:fill="auto"/>
            <w:noWrap/>
            <w:vAlign w:val="center"/>
          </w:tcPr>
          <w:p w14:paraId="450606B4">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284.39</w:t>
            </w:r>
          </w:p>
        </w:tc>
        <w:tc>
          <w:tcPr>
            <w:tcW w:w="1217" w:type="dxa"/>
            <w:tcBorders>
              <w:top w:val="nil"/>
              <w:left w:val="nil"/>
              <w:bottom w:val="single" w:color="auto" w:sz="4" w:space="0"/>
              <w:right w:val="single" w:color="auto" w:sz="4" w:space="0"/>
            </w:tcBorders>
            <w:shd w:val="clear" w:color="auto" w:fill="auto"/>
            <w:noWrap/>
            <w:vAlign w:val="center"/>
          </w:tcPr>
          <w:p w14:paraId="62F1912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w:t>
            </w:r>
          </w:p>
        </w:tc>
        <w:tc>
          <w:tcPr>
            <w:tcW w:w="3274" w:type="dxa"/>
            <w:tcBorders>
              <w:top w:val="nil"/>
              <w:left w:val="nil"/>
              <w:bottom w:val="single" w:color="auto" w:sz="4" w:space="0"/>
              <w:right w:val="single" w:color="auto" w:sz="4" w:space="0"/>
            </w:tcBorders>
            <w:shd w:val="clear" w:color="auto" w:fill="auto"/>
            <w:noWrap/>
            <w:vAlign w:val="center"/>
          </w:tcPr>
          <w:p w14:paraId="401151A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债务利息及费用支出</w:t>
            </w:r>
          </w:p>
        </w:tc>
        <w:tc>
          <w:tcPr>
            <w:tcW w:w="1172" w:type="dxa"/>
            <w:tcBorders>
              <w:top w:val="nil"/>
              <w:left w:val="nil"/>
              <w:bottom w:val="single" w:color="auto" w:sz="4" w:space="0"/>
              <w:right w:val="single" w:color="auto" w:sz="4" w:space="0"/>
            </w:tcBorders>
            <w:shd w:val="clear" w:color="auto" w:fill="auto"/>
            <w:noWrap/>
            <w:vAlign w:val="center"/>
          </w:tcPr>
          <w:p w14:paraId="08A773D5">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2329DFC4">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CCC08A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30101</w:t>
            </w:r>
          </w:p>
        </w:tc>
        <w:tc>
          <w:tcPr>
            <w:tcW w:w="2427" w:type="dxa"/>
            <w:tcBorders>
              <w:top w:val="nil"/>
              <w:left w:val="nil"/>
              <w:bottom w:val="single" w:color="auto" w:sz="4" w:space="0"/>
              <w:right w:val="single" w:color="auto" w:sz="4" w:space="0"/>
            </w:tcBorders>
            <w:shd w:val="clear" w:color="auto" w:fill="auto"/>
            <w:noWrap/>
            <w:vAlign w:val="center"/>
          </w:tcPr>
          <w:p w14:paraId="1D6370E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基本工资</w:t>
            </w:r>
          </w:p>
        </w:tc>
        <w:tc>
          <w:tcPr>
            <w:tcW w:w="1200" w:type="dxa"/>
            <w:tcBorders>
              <w:top w:val="nil"/>
              <w:left w:val="nil"/>
              <w:bottom w:val="single" w:color="auto" w:sz="4" w:space="0"/>
              <w:right w:val="single" w:color="auto" w:sz="4" w:space="0"/>
            </w:tcBorders>
            <w:shd w:val="clear" w:color="auto" w:fill="auto"/>
            <w:noWrap/>
            <w:vAlign w:val="center"/>
          </w:tcPr>
          <w:p w14:paraId="3B8721F3">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505.63</w:t>
            </w:r>
          </w:p>
        </w:tc>
        <w:tc>
          <w:tcPr>
            <w:tcW w:w="1305" w:type="dxa"/>
            <w:tcBorders>
              <w:top w:val="nil"/>
              <w:left w:val="nil"/>
              <w:bottom w:val="single" w:color="auto" w:sz="4" w:space="0"/>
              <w:right w:val="single" w:color="auto" w:sz="4" w:space="0"/>
            </w:tcBorders>
            <w:shd w:val="clear" w:color="auto" w:fill="auto"/>
            <w:noWrap/>
            <w:vAlign w:val="center"/>
          </w:tcPr>
          <w:p w14:paraId="5C475A7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30201</w:t>
            </w:r>
          </w:p>
        </w:tc>
        <w:tc>
          <w:tcPr>
            <w:tcW w:w="2018" w:type="dxa"/>
            <w:tcBorders>
              <w:top w:val="nil"/>
              <w:left w:val="nil"/>
              <w:bottom w:val="single" w:color="auto" w:sz="4" w:space="0"/>
              <w:right w:val="single" w:color="auto" w:sz="4" w:space="0"/>
            </w:tcBorders>
            <w:shd w:val="clear" w:color="auto" w:fill="auto"/>
            <w:noWrap/>
            <w:vAlign w:val="center"/>
          </w:tcPr>
          <w:p w14:paraId="6F91599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办公费</w:t>
            </w:r>
          </w:p>
        </w:tc>
        <w:tc>
          <w:tcPr>
            <w:tcW w:w="933" w:type="dxa"/>
            <w:tcBorders>
              <w:top w:val="nil"/>
              <w:left w:val="nil"/>
              <w:bottom w:val="single" w:color="auto" w:sz="4" w:space="0"/>
              <w:right w:val="single" w:color="auto" w:sz="4" w:space="0"/>
            </w:tcBorders>
            <w:shd w:val="clear" w:color="auto" w:fill="auto"/>
            <w:noWrap/>
            <w:vAlign w:val="center"/>
          </w:tcPr>
          <w:p w14:paraId="6B5EDBD4">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35.43</w:t>
            </w:r>
          </w:p>
        </w:tc>
        <w:tc>
          <w:tcPr>
            <w:tcW w:w="1217" w:type="dxa"/>
            <w:tcBorders>
              <w:top w:val="nil"/>
              <w:left w:val="nil"/>
              <w:bottom w:val="single" w:color="auto" w:sz="4" w:space="0"/>
              <w:right w:val="single" w:color="auto" w:sz="4" w:space="0"/>
            </w:tcBorders>
            <w:shd w:val="clear" w:color="auto" w:fill="auto"/>
            <w:noWrap/>
            <w:vAlign w:val="center"/>
          </w:tcPr>
          <w:p w14:paraId="10859B0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30701</w:t>
            </w:r>
          </w:p>
        </w:tc>
        <w:tc>
          <w:tcPr>
            <w:tcW w:w="3274" w:type="dxa"/>
            <w:tcBorders>
              <w:top w:val="nil"/>
              <w:left w:val="nil"/>
              <w:bottom w:val="single" w:color="auto" w:sz="4" w:space="0"/>
              <w:right w:val="single" w:color="auto" w:sz="4" w:space="0"/>
            </w:tcBorders>
            <w:shd w:val="clear" w:color="auto" w:fill="auto"/>
            <w:noWrap/>
            <w:vAlign w:val="center"/>
          </w:tcPr>
          <w:p w14:paraId="4327A7E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国内债务付息</w:t>
            </w:r>
          </w:p>
        </w:tc>
        <w:tc>
          <w:tcPr>
            <w:tcW w:w="1172" w:type="dxa"/>
            <w:tcBorders>
              <w:top w:val="nil"/>
              <w:left w:val="nil"/>
              <w:bottom w:val="single" w:color="auto" w:sz="4" w:space="0"/>
              <w:right w:val="single" w:color="auto" w:sz="4" w:space="0"/>
            </w:tcBorders>
            <w:shd w:val="clear" w:color="auto" w:fill="auto"/>
            <w:noWrap/>
            <w:vAlign w:val="center"/>
          </w:tcPr>
          <w:p w14:paraId="333A9CC2">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6F48ECA8">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05ECF7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30102</w:t>
            </w:r>
          </w:p>
        </w:tc>
        <w:tc>
          <w:tcPr>
            <w:tcW w:w="2427" w:type="dxa"/>
            <w:tcBorders>
              <w:top w:val="nil"/>
              <w:left w:val="nil"/>
              <w:bottom w:val="single" w:color="auto" w:sz="4" w:space="0"/>
              <w:right w:val="single" w:color="auto" w:sz="4" w:space="0"/>
            </w:tcBorders>
            <w:shd w:val="clear" w:color="auto" w:fill="auto"/>
            <w:noWrap/>
            <w:vAlign w:val="center"/>
          </w:tcPr>
          <w:p w14:paraId="34A85E6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津贴补贴</w:t>
            </w:r>
          </w:p>
        </w:tc>
        <w:tc>
          <w:tcPr>
            <w:tcW w:w="1200" w:type="dxa"/>
            <w:tcBorders>
              <w:top w:val="nil"/>
              <w:left w:val="nil"/>
              <w:bottom w:val="single" w:color="auto" w:sz="4" w:space="0"/>
              <w:right w:val="single" w:color="auto" w:sz="4" w:space="0"/>
            </w:tcBorders>
            <w:shd w:val="clear" w:color="auto" w:fill="auto"/>
            <w:noWrap/>
            <w:vAlign w:val="center"/>
          </w:tcPr>
          <w:p w14:paraId="59769787">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5.08</w:t>
            </w:r>
          </w:p>
        </w:tc>
        <w:tc>
          <w:tcPr>
            <w:tcW w:w="1305" w:type="dxa"/>
            <w:tcBorders>
              <w:top w:val="nil"/>
              <w:left w:val="nil"/>
              <w:bottom w:val="single" w:color="auto" w:sz="4" w:space="0"/>
              <w:right w:val="single" w:color="auto" w:sz="4" w:space="0"/>
            </w:tcBorders>
            <w:shd w:val="clear" w:color="auto" w:fill="auto"/>
            <w:noWrap/>
            <w:vAlign w:val="center"/>
          </w:tcPr>
          <w:p w14:paraId="4BA433C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30202</w:t>
            </w:r>
          </w:p>
        </w:tc>
        <w:tc>
          <w:tcPr>
            <w:tcW w:w="2018" w:type="dxa"/>
            <w:tcBorders>
              <w:top w:val="nil"/>
              <w:left w:val="nil"/>
              <w:bottom w:val="single" w:color="auto" w:sz="4" w:space="0"/>
              <w:right w:val="single" w:color="auto" w:sz="4" w:space="0"/>
            </w:tcBorders>
            <w:shd w:val="clear" w:color="auto" w:fill="auto"/>
            <w:noWrap/>
            <w:vAlign w:val="center"/>
          </w:tcPr>
          <w:p w14:paraId="200B282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印刷费</w:t>
            </w:r>
          </w:p>
        </w:tc>
        <w:tc>
          <w:tcPr>
            <w:tcW w:w="933" w:type="dxa"/>
            <w:tcBorders>
              <w:top w:val="nil"/>
              <w:left w:val="nil"/>
              <w:bottom w:val="single" w:color="auto" w:sz="4" w:space="0"/>
              <w:right w:val="single" w:color="auto" w:sz="4" w:space="0"/>
            </w:tcBorders>
            <w:shd w:val="clear" w:color="auto" w:fill="auto"/>
            <w:noWrap/>
            <w:vAlign w:val="center"/>
          </w:tcPr>
          <w:p w14:paraId="3A78A781">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1.51</w:t>
            </w:r>
          </w:p>
        </w:tc>
        <w:tc>
          <w:tcPr>
            <w:tcW w:w="1217" w:type="dxa"/>
            <w:tcBorders>
              <w:top w:val="nil"/>
              <w:left w:val="nil"/>
              <w:bottom w:val="single" w:color="auto" w:sz="4" w:space="0"/>
              <w:right w:val="single" w:color="auto" w:sz="4" w:space="0"/>
            </w:tcBorders>
            <w:shd w:val="clear" w:color="auto" w:fill="auto"/>
            <w:noWrap/>
            <w:vAlign w:val="center"/>
          </w:tcPr>
          <w:p w14:paraId="4E12F07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30702</w:t>
            </w:r>
          </w:p>
        </w:tc>
        <w:tc>
          <w:tcPr>
            <w:tcW w:w="3274" w:type="dxa"/>
            <w:tcBorders>
              <w:top w:val="nil"/>
              <w:left w:val="nil"/>
              <w:bottom w:val="single" w:color="auto" w:sz="4" w:space="0"/>
              <w:right w:val="single" w:color="auto" w:sz="4" w:space="0"/>
            </w:tcBorders>
            <w:shd w:val="clear" w:color="auto" w:fill="auto"/>
            <w:noWrap/>
            <w:vAlign w:val="center"/>
          </w:tcPr>
          <w:p w14:paraId="0B4F9C7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国外债务付息</w:t>
            </w:r>
          </w:p>
        </w:tc>
        <w:tc>
          <w:tcPr>
            <w:tcW w:w="1172" w:type="dxa"/>
            <w:tcBorders>
              <w:top w:val="nil"/>
              <w:left w:val="nil"/>
              <w:bottom w:val="single" w:color="auto" w:sz="4" w:space="0"/>
              <w:right w:val="single" w:color="auto" w:sz="4" w:space="0"/>
            </w:tcBorders>
            <w:shd w:val="clear" w:color="auto" w:fill="auto"/>
            <w:noWrap/>
            <w:vAlign w:val="center"/>
          </w:tcPr>
          <w:p w14:paraId="12934CCD">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47B192BE">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7D2DB0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30103</w:t>
            </w:r>
          </w:p>
        </w:tc>
        <w:tc>
          <w:tcPr>
            <w:tcW w:w="2427" w:type="dxa"/>
            <w:tcBorders>
              <w:top w:val="nil"/>
              <w:left w:val="nil"/>
              <w:bottom w:val="single" w:color="auto" w:sz="4" w:space="0"/>
              <w:right w:val="single" w:color="auto" w:sz="4" w:space="0"/>
            </w:tcBorders>
            <w:shd w:val="clear" w:color="auto" w:fill="auto"/>
            <w:noWrap/>
            <w:vAlign w:val="center"/>
          </w:tcPr>
          <w:p w14:paraId="69E80CB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奖金</w:t>
            </w:r>
          </w:p>
        </w:tc>
        <w:tc>
          <w:tcPr>
            <w:tcW w:w="1200" w:type="dxa"/>
            <w:tcBorders>
              <w:top w:val="nil"/>
              <w:left w:val="nil"/>
              <w:bottom w:val="single" w:color="auto" w:sz="4" w:space="0"/>
              <w:right w:val="single" w:color="auto" w:sz="4" w:space="0"/>
            </w:tcBorders>
            <w:shd w:val="clear" w:color="auto" w:fill="auto"/>
            <w:noWrap/>
            <w:vAlign w:val="center"/>
          </w:tcPr>
          <w:p w14:paraId="4CF9FC51">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350.56</w:t>
            </w:r>
          </w:p>
        </w:tc>
        <w:tc>
          <w:tcPr>
            <w:tcW w:w="1305" w:type="dxa"/>
            <w:tcBorders>
              <w:top w:val="nil"/>
              <w:left w:val="nil"/>
              <w:bottom w:val="single" w:color="auto" w:sz="4" w:space="0"/>
              <w:right w:val="single" w:color="auto" w:sz="4" w:space="0"/>
            </w:tcBorders>
            <w:shd w:val="clear" w:color="auto" w:fill="auto"/>
            <w:noWrap/>
            <w:vAlign w:val="center"/>
          </w:tcPr>
          <w:p w14:paraId="3A0BF47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30203</w:t>
            </w:r>
          </w:p>
        </w:tc>
        <w:tc>
          <w:tcPr>
            <w:tcW w:w="2018" w:type="dxa"/>
            <w:tcBorders>
              <w:top w:val="nil"/>
              <w:left w:val="nil"/>
              <w:bottom w:val="single" w:color="auto" w:sz="4" w:space="0"/>
              <w:right w:val="single" w:color="auto" w:sz="4" w:space="0"/>
            </w:tcBorders>
            <w:shd w:val="clear" w:color="auto" w:fill="auto"/>
            <w:noWrap/>
            <w:vAlign w:val="center"/>
          </w:tcPr>
          <w:p w14:paraId="751B08E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咨询费</w:t>
            </w:r>
          </w:p>
        </w:tc>
        <w:tc>
          <w:tcPr>
            <w:tcW w:w="933" w:type="dxa"/>
            <w:tcBorders>
              <w:top w:val="nil"/>
              <w:left w:val="nil"/>
              <w:bottom w:val="single" w:color="auto" w:sz="4" w:space="0"/>
              <w:right w:val="single" w:color="auto" w:sz="4" w:space="0"/>
            </w:tcBorders>
            <w:shd w:val="clear" w:color="auto" w:fill="auto"/>
            <w:noWrap/>
            <w:vAlign w:val="center"/>
          </w:tcPr>
          <w:p w14:paraId="6B0B4F79">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217" w:type="dxa"/>
            <w:tcBorders>
              <w:top w:val="nil"/>
              <w:left w:val="nil"/>
              <w:bottom w:val="single" w:color="auto" w:sz="4" w:space="0"/>
              <w:right w:val="single" w:color="auto" w:sz="4" w:space="0"/>
            </w:tcBorders>
            <w:shd w:val="clear" w:color="auto" w:fill="auto"/>
            <w:noWrap/>
            <w:vAlign w:val="center"/>
          </w:tcPr>
          <w:p w14:paraId="366A3C9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w:t>
            </w:r>
          </w:p>
        </w:tc>
        <w:tc>
          <w:tcPr>
            <w:tcW w:w="3274" w:type="dxa"/>
            <w:tcBorders>
              <w:top w:val="nil"/>
              <w:left w:val="nil"/>
              <w:bottom w:val="single" w:color="auto" w:sz="4" w:space="0"/>
              <w:right w:val="single" w:color="auto" w:sz="4" w:space="0"/>
            </w:tcBorders>
            <w:shd w:val="clear" w:color="auto" w:fill="auto"/>
            <w:noWrap/>
            <w:vAlign w:val="center"/>
          </w:tcPr>
          <w:p w14:paraId="11401E2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资本性支出</w:t>
            </w:r>
          </w:p>
        </w:tc>
        <w:tc>
          <w:tcPr>
            <w:tcW w:w="1172" w:type="dxa"/>
            <w:tcBorders>
              <w:top w:val="nil"/>
              <w:left w:val="nil"/>
              <w:bottom w:val="single" w:color="auto" w:sz="4" w:space="0"/>
              <w:right w:val="single" w:color="auto" w:sz="4" w:space="0"/>
            </w:tcBorders>
            <w:shd w:val="clear" w:color="auto" w:fill="auto"/>
            <w:noWrap/>
            <w:vAlign w:val="center"/>
          </w:tcPr>
          <w:p w14:paraId="0E8F869E">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1.80</w:t>
            </w:r>
          </w:p>
        </w:tc>
      </w:tr>
      <w:tr w14:paraId="38D70ACE">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74A1BD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30106</w:t>
            </w:r>
          </w:p>
        </w:tc>
        <w:tc>
          <w:tcPr>
            <w:tcW w:w="2427" w:type="dxa"/>
            <w:tcBorders>
              <w:top w:val="nil"/>
              <w:left w:val="nil"/>
              <w:bottom w:val="single" w:color="auto" w:sz="4" w:space="0"/>
              <w:right w:val="single" w:color="auto" w:sz="4" w:space="0"/>
            </w:tcBorders>
            <w:shd w:val="clear" w:color="auto" w:fill="auto"/>
            <w:noWrap/>
            <w:vAlign w:val="center"/>
          </w:tcPr>
          <w:p w14:paraId="4C69FA8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伙食补助费</w:t>
            </w:r>
          </w:p>
        </w:tc>
        <w:tc>
          <w:tcPr>
            <w:tcW w:w="1200" w:type="dxa"/>
            <w:tcBorders>
              <w:top w:val="nil"/>
              <w:left w:val="nil"/>
              <w:bottom w:val="single" w:color="auto" w:sz="4" w:space="0"/>
              <w:right w:val="single" w:color="auto" w:sz="4" w:space="0"/>
            </w:tcBorders>
            <w:shd w:val="clear" w:color="auto" w:fill="auto"/>
            <w:noWrap/>
            <w:vAlign w:val="center"/>
          </w:tcPr>
          <w:p w14:paraId="6B031D33">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305" w:type="dxa"/>
            <w:tcBorders>
              <w:top w:val="nil"/>
              <w:left w:val="nil"/>
              <w:bottom w:val="single" w:color="auto" w:sz="4" w:space="0"/>
              <w:right w:val="single" w:color="auto" w:sz="4" w:space="0"/>
            </w:tcBorders>
            <w:shd w:val="clear" w:color="auto" w:fill="auto"/>
            <w:noWrap/>
            <w:vAlign w:val="center"/>
          </w:tcPr>
          <w:p w14:paraId="152E80C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30204</w:t>
            </w:r>
          </w:p>
        </w:tc>
        <w:tc>
          <w:tcPr>
            <w:tcW w:w="2018" w:type="dxa"/>
            <w:tcBorders>
              <w:top w:val="nil"/>
              <w:left w:val="nil"/>
              <w:bottom w:val="single" w:color="auto" w:sz="4" w:space="0"/>
              <w:right w:val="single" w:color="auto" w:sz="4" w:space="0"/>
            </w:tcBorders>
            <w:shd w:val="clear" w:color="auto" w:fill="auto"/>
            <w:noWrap/>
            <w:vAlign w:val="center"/>
          </w:tcPr>
          <w:p w14:paraId="7AE4CAA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手续费</w:t>
            </w:r>
          </w:p>
        </w:tc>
        <w:tc>
          <w:tcPr>
            <w:tcW w:w="933" w:type="dxa"/>
            <w:tcBorders>
              <w:top w:val="nil"/>
              <w:left w:val="nil"/>
              <w:bottom w:val="single" w:color="auto" w:sz="4" w:space="0"/>
              <w:right w:val="single" w:color="auto" w:sz="4" w:space="0"/>
            </w:tcBorders>
            <w:shd w:val="clear" w:color="auto" w:fill="auto"/>
            <w:noWrap/>
            <w:vAlign w:val="center"/>
          </w:tcPr>
          <w:p w14:paraId="1F9BA3BC">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0.01</w:t>
            </w:r>
          </w:p>
        </w:tc>
        <w:tc>
          <w:tcPr>
            <w:tcW w:w="1217" w:type="dxa"/>
            <w:tcBorders>
              <w:top w:val="nil"/>
              <w:left w:val="nil"/>
              <w:bottom w:val="single" w:color="auto" w:sz="4" w:space="0"/>
              <w:right w:val="single" w:color="auto" w:sz="4" w:space="0"/>
            </w:tcBorders>
            <w:shd w:val="clear" w:color="auto" w:fill="auto"/>
            <w:noWrap/>
            <w:vAlign w:val="center"/>
          </w:tcPr>
          <w:p w14:paraId="0B54662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31001</w:t>
            </w:r>
          </w:p>
        </w:tc>
        <w:tc>
          <w:tcPr>
            <w:tcW w:w="3274" w:type="dxa"/>
            <w:tcBorders>
              <w:top w:val="nil"/>
              <w:left w:val="nil"/>
              <w:bottom w:val="single" w:color="auto" w:sz="4" w:space="0"/>
              <w:right w:val="single" w:color="auto" w:sz="4" w:space="0"/>
            </w:tcBorders>
            <w:shd w:val="clear" w:color="auto" w:fill="auto"/>
            <w:noWrap/>
            <w:vAlign w:val="center"/>
          </w:tcPr>
          <w:p w14:paraId="4DA38FF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房屋建筑物购建</w:t>
            </w:r>
          </w:p>
        </w:tc>
        <w:tc>
          <w:tcPr>
            <w:tcW w:w="1172" w:type="dxa"/>
            <w:tcBorders>
              <w:top w:val="nil"/>
              <w:left w:val="nil"/>
              <w:bottom w:val="single" w:color="auto" w:sz="4" w:space="0"/>
              <w:right w:val="single" w:color="auto" w:sz="4" w:space="0"/>
            </w:tcBorders>
            <w:shd w:val="clear" w:color="auto" w:fill="auto"/>
            <w:noWrap/>
            <w:vAlign w:val="center"/>
          </w:tcPr>
          <w:p w14:paraId="73907189">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5B14734B">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E75F73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30107</w:t>
            </w:r>
          </w:p>
        </w:tc>
        <w:tc>
          <w:tcPr>
            <w:tcW w:w="2427" w:type="dxa"/>
            <w:tcBorders>
              <w:top w:val="nil"/>
              <w:left w:val="nil"/>
              <w:bottom w:val="single" w:color="auto" w:sz="4" w:space="0"/>
              <w:right w:val="single" w:color="auto" w:sz="4" w:space="0"/>
            </w:tcBorders>
            <w:shd w:val="clear" w:color="auto" w:fill="auto"/>
            <w:noWrap/>
            <w:vAlign w:val="center"/>
          </w:tcPr>
          <w:p w14:paraId="193D8F0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绩效工资</w:t>
            </w:r>
          </w:p>
        </w:tc>
        <w:tc>
          <w:tcPr>
            <w:tcW w:w="1200" w:type="dxa"/>
            <w:tcBorders>
              <w:top w:val="nil"/>
              <w:left w:val="nil"/>
              <w:bottom w:val="single" w:color="auto" w:sz="4" w:space="0"/>
              <w:right w:val="single" w:color="auto" w:sz="4" w:space="0"/>
            </w:tcBorders>
            <w:shd w:val="clear" w:color="auto" w:fill="auto"/>
            <w:noWrap/>
            <w:vAlign w:val="center"/>
          </w:tcPr>
          <w:p w14:paraId="3E584934">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282.33</w:t>
            </w:r>
          </w:p>
        </w:tc>
        <w:tc>
          <w:tcPr>
            <w:tcW w:w="1305" w:type="dxa"/>
            <w:tcBorders>
              <w:top w:val="nil"/>
              <w:left w:val="nil"/>
              <w:bottom w:val="single" w:color="auto" w:sz="4" w:space="0"/>
              <w:right w:val="single" w:color="auto" w:sz="4" w:space="0"/>
            </w:tcBorders>
            <w:shd w:val="clear" w:color="auto" w:fill="auto"/>
            <w:noWrap/>
            <w:vAlign w:val="center"/>
          </w:tcPr>
          <w:p w14:paraId="1CC21AC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30205</w:t>
            </w:r>
          </w:p>
        </w:tc>
        <w:tc>
          <w:tcPr>
            <w:tcW w:w="2018" w:type="dxa"/>
            <w:tcBorders>
              <w:top w:val="nil"/>
              <w:left w:val="nil"/>
              <w:bottom w:val="single" w:color="auto" w:sz="4" w:space="0"/>
              <w:right w:val="single" w:color="auto" w:sz="4" w:space="0"/>
            </w:tcBorders>
            <w:shd w:val="clear" w:color="auto" w:fill="auto"/>
            <w:noWrap/>
            <w:vAlign w:val="center"/>
          </w:tcPr>
          <w:p w14:paraId="7A115FC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水费</w:t>
            </w:r>
          </w:p>
        </w:tc>
        <w:tc>
          <w:tcPr>
            <w:tcW w:w="933" w:type="dxa"/>
            <w:tcBorders>
              <w:top w:val="nil"/>
              <w:left w:val="nil"/>
              <w:bottom w:val="single" w:color="auto" w:sz="4" w:space="0"/>
              <w:right w:val="single" w:color="auto" w:sz="4" w:space="0"/>
            </w:tcBorders>
            <w:shd w:val="clear" w:color="auto" w:fill="auto"/>
            <w:noWrap/>
            <w:vAlign w:val="center"/>
          </w:tcPr>
          <w:p w14:paraId="222C30D5">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1.83</w:t>
            </w:r>
          </w:p>
        </w:tc>
        <w:tc>
          <w:tcPr>
            <w:tcW w:w="1217" w:type="dxa"/>
            <w:tcBorders>
              <w:top w:val="nil"/>
              <w:left w:val="nil"/>
              <w:bottom w:val="single" w:color="auto" w:sz="4" w:space="0"/>
              <w:right w:val="single" w:color="auto" w:sz="4" w:space="0"/>
            </w:tcBorders>
            <w:shd w:val="clear" w:color="auto" w:fill="auto"/>
            <w:noWrap/>
            <w:vAlign w:val="center"/>
          </w:tcPr>
          <w:p w14:paraId="3E1F394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31002</w:t>
            </w:r>
          </w:p>
        </w:tc>
        <w:tc>
          <w:tcPr>
            <w:tcW w:w="3274" w:type="dxa"/>
            <w:tcBorders>
              <w:top w:val="nil"/>
              <w:left w:val="nil"/>
              <w:bottom w:val="single" w:color="auto" w:sz="4" w:space="0"/>
              <w:right w:val="single" w:color="auto" w:sz="4" w:space="0"/>
            </w:tcBorders>
            <w:shd w:val="clear" w:color="auto" w:fill="auto"/>
            <w:noWrap/>
            <w:vAlign w:val="center"/>
          </w:tcPr>
          <w:p w14:paraId="7C042E4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办公设备购置</w:t>
            </w:r>
          </w:p>
        </w:tc>
        <w:tc>
          <w:tcPr>
            <w:tcW w:w="1172" w:type="dxa"/>
            <w:tcBorders>
              <w:top w:val="nil"/>
              <w:left w:val="nil"/>
              <w:bottom w:val="single" w:color="auto" w:sz="4" w:space="0"/>
              <w:right w:val="single" w:color="auto" w:sz="4" w:space="0"/>
            </w:tcBorders>
            <w:shd w:val="clear" w:color="auto" w:fill="auto"/>
            <w:noWrap/>
            <w:vAlign w:val="center"/>
          </w:tcPr>
          <w:p w14:paraId="2152931F">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1.80</w:t>
            </w:r>
          </w:p>
        </w:tc>
      </w:tr>
      <w:tr w14:paraId="5B6806EF">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6DBC22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30108</w:t>
            </w:r>
          </w:p>
        </w:tc>
        <w:tc>
          <w:tcPr>
            <w:tcW w:w="2427" w:type="dxa"/>
            <w:tcBorders>
              <w:top w:val="nil"/>
              <w:left w:val="nil"/>
              <w:bottom w:val="single" w:color="auto" w:sz="4" w:space="0"/>
              <w:right w:val="single" w:color="auto" w:sz="4" w:space="0"/>
            </w:tcBorders>
            <w:shd w:val="clear" w:color="auto" w:fill="auto"/>
            <w:noWrap/>
            <w:vAlign w:val="center"/>
          </w:tcPr>
          <w:p w14:paraId="1DA2A11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机关事业单位基本养老保险缴费</w:t>
            </w:r>
          </w:p>
        </w:tc>
        <w:tc>
          <w:tcPr>
            <w:tcW w:w="1200" w:type="dxa"/>
            <w:tcBorders>
              <w:top w:val="nil"/>
              <w:left w:val="nil"/>
              <w:bottom w:val="single" w:color="auto" w:sz="4" w:space="0"/>
              <w:right w:val="single" w:color="auto" w:sz="4" w:space="0"/>
            </w:tcBorders>
            <w:shd w:val="clear" w:color="auto" w:fill="auto"/>
            <w:noWrap/>
            <w:vAlign w:val="center"/>
          </w:tcPr>
          <w:p w14:paraId="555CFF19">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147.78</w:t>
            </w:r>
          </w:p>
        </w:tc>
        <w:tc>
          <w:tcPr>
            <w:tcW w:w="1305" w:type="dxa"/>
            <w:tcBorders>
              <w:top w:val="nil"/>
              <w:left w:val="nil"/>
              <w:bottom w:val="single" w:color="auto" w:sz="4" w:space="0"/>
              <w:right w:val="single" w:color="auto" w:sz="4" w:space="0"/>
            </w:tcBorders>
            <w:shd w:val="clear" w:color="auto" w:fill="auto"/>
            <w:noWrap/>
            <w:vAlign w:val="center"/>
          </w:tcPr>
          <w:p w14:paraId="2405231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30206</w:t>
            </w:r>
          </w:p>
        </w:tc>
        <w:tc>
          <w:tcPr>
            <w:tcW w:w="2018" w:type="dxa"/>
            <w:tcBorders>
              <w:top w:val="nil"/>
              <w:left w:val="nil"/>
              <w:bottom w:val="single" w:color="auto" w:sz="4" w:space="0"/>
              <w:right w:val="single" w:color="auto" w:sz="4" w:space="0"/>
            </w:tcBorders>
            <w:shd w:val="clear" w:color="auto" w:fill="auto"/>
            <w:noWrap/>
            <w:vAlign w:val="center"/>
          </w:tcPr>
          <w:p w14:paraId="64AFC41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电费</w:t>
            </w:r>
          </w:p>
        </w:tc>
        <w:tc>
          <w:tcPr>
            <w:tcW w:w="933" w:type="dxa"/>
            <w:tcBorders>
              <w:top w:val="nil"/>
              <w:left w:val="nil"/>
              <w:bottom w:val="single" w:color="auto" w:sz="4" w:space="0"/>
              <w:right w:val="single" w:color="auto" w:sz="4" w:space="0"/>
            </w:tcBorders>
            <w:shd w:val="clear" w:color="auto" w:fill="auto"/>
            <w:noWrap/>
            <w:vAlign w:val="center"/>
          </w:tcPr>
          <w:p w14:paraId="15159D1E">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26.08</w:t>
            </w:r>
          </w:p>
        </w:tc>
        <w:tc>
          <w:tcPr>
            <w:tcW w:w="1217" w:type="dxa"/>
            <w:tcBorders>
              <w:top w:val="nil"/>
              <w:left w:val="nil"/>
              <w:bottom w:val="single" w:color="auto" w:sz="4" w:space="0"/>
              <w:right w:val="single" w:color="auto" w:sz="4" w:space="0"/>
            </w:tcBorders>
            <w:shd w:val="clear" w:color="auto" w:fill="auto"/>
            <w:noWrap/>
            <w:vAlign w:val="center"/>
          </w:tcPr>
          <w:p w14:paraId="4E778C1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31003</w:t>
            </w:r>
          </w:p>
        </w:tc>
        <w:tc>
          <w:tcPr>
            <w:tcW w:w="3274" w:type="dxa"/>
            <w:tcBorders>
              <w:top w:val="nil"/>
              <w:left w:val="nil"/>
              <w:bottom w:val="single" w:color="auto" w:sz="4" w:space="0"/>
              <w:right w:val="single" w:color="auto" w:sz="4" w:space="0"/>
            </w:tcBorders>
            <w:shd w:val="clear" w:color="auto" w:fill="auto"/>
            <w:noWrap/>
            <w:vAlign w:val="center"/>
          </w:tcPr>
          <w:p w14:paraId="47457C9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专用设备购置</w:t>
            </w:r>
          </w:p>
        </w:tc>
        <w:tc>
          <w:tcPr>
            <w:tcW w:w="1172" w:type="dxa"/>
            <w:tcBorders>
              <w:top w:val="nil"/>
              <w:left w:val="nil"/>
              <w:bottom w:val="single" w:color="auto" w:sz="4" w:space="0"/>
              <w:right w:val="single" w:color="auto" w:sz="4" w:space="0"/>
            </w:tcBorders>
            <w:shd w:val="clear" w:color="auto" w:fill="auto"/>
            <w:noWrap/>
            <w:vAlign w:val="center"/>
          </w:tcPr>
          <w:p w14:paraId="7C877D80">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2BF87CC7">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6F8431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30109</w:t>
            </w:r>
          </w:p>
        </w:tc>
        <w:tc>
          <w:tcPr>
            <w:tcW w:w="2427" w:type="dxa"/>
            <w:tcBorders>
              <w:top w:val="nil"/>
              <w:left w:val="nil"/>
              <w:bottom w:val="single" w:color="auto" w:sz="4" w:space="0"/>
              <w:right w:val="single" w:color="auto" w:sz="4" w:space="0"/>
            </w:tcBorders>
            <w:shd w:val="clear" w:color="auto" w:fill="auto"/>
            <w:noWrap/>
            <w:vAlign w:val="center"/>
          </w:tcPr>
          <w:p w14:paraId="5903121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职业年金缴费</w:t>
            </w:r>
          </w:p>
        </w:tc>
        <w:tc>
          <w:tcPr>
            <w:tcW w:w="1200" w:type="dxa"/>
            <w:tcBorders>
              <w:top w:val="nil"/>
              <w:left w:val="nil"/>
              <w:bottom w:val="single" w:color="auto" w:sz="4" w:space="0"/>
              <w:right w:val="single" w:color="auto" w:sz="4" w:space="0"/>
            </w:tcBorders>
            <w:shd w:val="clear" w:color="auto" w:fill="auto"/>
            <w:noWrap/>
            <w:vAlign w:val="center"/>
          </w:tcPr>
          <w:p w14:paraId="59AFC5C3">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73.93</w:t>
            </w:r>
          </w:p>
        </w:tc>
        <w:tc>
          <w:tcPr>
            <w:tcW w:w="1305" w:type="dxa"/>
            <w:tcBorders>
              <w:top w:val="nil"/>
              <w:left w:val="nil"/>
              <w:bottom w:val="single" w:color="auto" w:sz="4" w:space="0"/>
              <w:right w:val="single" w:color="auto" w:sz="4" w:space="0"/>
            </w:tcBorders>
            <w:shd w:val="clear" w:color="auto" w:fill="auto"/>
            <w:noWrap/>
            <w:vAlign w:val="center"/>
          </w:tcPr>
          <w:p w14:paraId="60A8426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30207</w:t>
            </w:r>
          </w:p>
        </w:tc>
        <w:tc>
          <w:tcPr>
            <w:tcW w:w="2018" w:type="dxa"/>
            <w:tcBorders>
              <w:top w:val="nil"/>
              <w:left w:val="nil"/>
              <w:bottom w:val="single" w:color="auto" w:sz="4" w:space="0"/>
              <w:right w:val="single" w:color="auto" w:sz="4" w:space="0"/>
            </w:tcBorders>
            <w:shd w:val="clear" w:color="auto" w:fill="auto"/>
            <w:noWrap/>
            <w:vAlign w:val="center"/>
          </w:tcPr>
          <w:p w14:paraId="7365A09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邮电费</w:t>
            </w:r>
          </w:p>
        </w:tc>
        <w:tc>
          <w:tcPr>
            <w:tcW w:w="933" w:type="dxa"/>
            <w:tcBorders>
              <w:top w:val="nil"/>
              <w:left w:val="nil"/>
              <w:bottom w:val="single" w:color="auto" w:sz="4" w:space="0"/>
              <w:right w:val="single" w:color="auto" w:sz="4" w:space="0"/>
            </w:tcBorders>
            <w:shd w:val="clear" w:color="auto" w:fill="auto"/>
            <w:noWrap/>
            <w:vAlign w:val="center"/>
          </w:tcPr>
          <w:p w14:paraId="7E1CD7DE">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4.70</w:t>
            </w:r>
          </w:p>
        </w:tc>
        <w:tc>
          <w:tcPr>
            <w:tcW w:w="1217" w:type="dxa"/>
            <w:tcBorders>
              <w:top w:val="nil"/>
              <w:left w:val="nil"/>
              <w:bottom w:val="single" w:color="auto" w:sz="4" w:space="0"/>
              <w:right w:val="single" w:color="auto" w:sz="4" w:space="0"/>
            </w:tcBorders>
            <w:shd w:val="clear" w:color="auto" w:fill="auto"/>
            <w:noWrap/>
            <w:vAlign w:val="center"/>
          </w:tcPr>
          <w:p w14:paraId="3AC32BE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31005</w:t>
            </w:r>
          </w:p>
        </w:tc>
        <w:tc>
          <w:tcPr>
            <w:tcW w:w="3274" w:type="dxa"/>
            <w:tcBorders>
              <w:top w:val="nil"/>
              <w:left w:val="nil"/>
              <w:bottom w:val="single" w:color="auto" w:sz="4" w:space="0"/>
              <w:right w:val="single" w:color="auto" w:sz="4" w:space="0"/>
            </w:tcBorders>
            <w:shd w:val="clear" w:color="auto" w:fill="auto"/>
            <w:noWrap/>
            <w:vAlign w:val="center"/>
          </w:tcPr>
          <w:p w14:paraId="3C16C78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基础设施建设</w:t>
            </w:r>
          </w:p>
        </w:tc>
        <w:tc>
          <w:tcPr>
            <w:tcW w:w="1172" w:type="dxa"/>
            <w:tcBorders>
              <w:top w:val="nil"/>
              <w:left w:val="nil"/>
              <w:bottom w:val="single" w:color="auto" w:sz="4" w:space="0"/>
              <w:right w:val="single" w:color="auto" w:sz="4" w:space="0"/>
            </w:tcBorders>
            <w:shd w:val="clear" w:color="auto" w:fill="auto"/>
            <w:noWrap/>
            <w:vAlign w:val="center"/>
          </w:tcPr>
          <w:p w14:paraId="17574B23">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625A906F">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77B0E6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30110</w:t>
            </w:r>
          </w:p>
        </w:tc>
        <w:tc>
          <w:tcPr>
            <w:tcW w:w="2427" w:type="dxa"/>
            <w:tcBorders>
              <w:top w:val="nil"/>
              <w:left w:val="nil"/>
              <w:bottom w:val="single" w:color="auto" w:sz="4" w:space="0"/>
              <w:right w:val="single" w:color="auto" w:sz="4" w:space="0"/>
            </w:tcBorders>
            <w:shd w:val="clear" w:color="auto" w:fill="auto"/>
            <w:noWrap/>
            <w:vAlign w:val="center"/>
          </w:tcPr>
          <w:p w14:paraId="1998893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职工基本医疗保险缴费</w:t>
            </w:r>
          </w:p>
        </w:tc>
        <w:tc>
          <w:tcPr>
            <w:tcW w:w="1200" w:type="dxa"/>
            <w:tcBorders>
              <w:top w:val="nil"/>
              <w:left w:val="nil"/>
              <w:bottom w:val="single" w:color="auto" w:sz="4" w:space="0"/>
              <w:right w:val="single" w:color="auto" w:sz="4" w:space="0"/>
            </w:tcBorders>
            <w:shd w:val="clear" w:color="auto" w:fill="auto"/>
            <w:noWrap/>
            <w:vAlign w:val="center"/>
          </w:tcPr>
          <w:p w14:paraId="0D4DDD14">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128.89</w:t>
            </w:r>
          </w:p>
        </w:tc>
        <w:tc>
          <w:tcPr>
            <w:tcW w:w="1305" w:type="dxa"/>
            <w:tcBorders>
              <w:top w:val="nil"/>
              <w:left w:val="nil"/>
              <w:bottom w:val="single" w:color="auto" w:sz="4" w:space="0"/>
              <w:right w:val="single" w:color="auto" w:sz="4" w:space="0"/>
            </w:tcBorders>
            <w:shd w:val="clear" w:color="auto" w:fill="auto"/>
            <w:noWrap/>
            <w:vAlign w:val="center"/>
          </w:tcPr>
          <w:p w14:paraId="757AB0F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30208</w:t>
            </w:r>
          </w:p>
        </w:tc>
        <w:tc>
          <w:tcPr>
            <w:tcW w:w="2018" w:type="dxa"/>
            <w:tcBorders>
              <w:top w:val="nil"/>
              <w:left w:val="nil"/>
              <w:bottom w:val="single" w:color="auto" w:sz="4" w:space="0"/>
              <w:right w:val="single" w:color="auto" w:sz="4" w:space="0"/>
            </w:tcBorders>
            <w:shd w:val="clear" w:color="auto" w:fill="auto"/>
            <w:noWrap/>
            <w:vAlign w:val="center"/>
          </w:tcPr>
          <w:p w14:paraId="0818CA2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取暖费</w:t>
            </w:r>
          </w:p>
        </w:tc>
        <w:tc>
          <w:tcPr>
            <w:tcW w:w="933" w:type="dxa"/>
            <w:tcBorders>
              <w:top w:val="nil"/>
              <w:left w:val="nil"/>
              <w:bottom w:val="single" w:color="auto" w:sz="4" w:space="0"/>
              <w:right w:val="single" w:color="auto" w:sz="4" w:space="0"/>
            </w:tcBorders>
            <w:shd w:val="clear" w:color="auto" w:fill="auto"/>
            <w:noWrap/>
            <w:vAlign w:val="center"/>
          </w:tcPr>
          <w:p w14:paraId="3EAA7168">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217" w:type="dxa"/>
            <w:tcBorders>
              <w:top w:val="nil"/>
              <w:left w:val="nil"/>
              <w:bottom w:val="single" w:color="auto" w:sz="4" w:space="0"/>
              <w:right w:val="single" w:color="auto" w:sz="4" w:space="0"/>
            </w:tcBorders>
            <w:shd w:val="clear" w:color="auto" w:fill="auto"/>
            <w:noWrap/>
            <w:vAlign w:val="center"/>
          </w:tcPr>
          <w:p w14:paraId="4C7A03B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31006</w:t>
            </w:r>
          </w:p>
        </w:tc>
        <w:tc>
          <w:tcPr>
            <w:tcW w:w="3274" w:type="dxa"/>
            <w:tcBorders>
              <w:top w:val="nil"/>
              <w:left w:val="nil"/>
              <w:bottom w:val="single" w:color="auto" w:sz="4" w:space="0"/>
              <w:right w:val="single" w:color="auto" w:sz="4" w:space="0"/>
            </w:tcBorders>
            <w:shd w:val="clear" w:color="auto" w:fill="auto"/>
            <w:noWrap/>
            <w:vAlign w:val="center"/>
          </w:tcPr>
          <w:p w14:paraId="53DE4EA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大型修缮</w:t>
            </w:r>
          </w:p>
        </w:tc>
        <w:tc>
          <w:tcPr>
            <w:tcW w:w="1172" w:type="dxa"/>
            <w:tcBorders>
              <w:top w:val="nil"/>
              <w:left w:val="nil"/>
              <w:bottom w:val="single" w:color="auto" w:sz="4" w:space="0"/>
              <w:right w:val="single" w:color="auto" w:sz="4" w:space="0"/>
            </w:tcBorders>
            <w:shd w:val="clear" w:color="auto" w:fill="auto"/>
            <w:noWrap/>
            <w:vAlign w:val="center"/>
          </w:tcPr>
          <w:p w14:paraId="2BB008F0">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2E222311">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FD49BB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30111</w:t>
            </w:r>
          </w:p>
        </w:tc>
        <w:tc>
          <w:tcPr>
            <w:tcW w:w="2427" w:type="dxa"/>
            <w:tcBorders>
              <w:top w:val="nil"/>
              <w:left w:val="nil"/>
              <w:bottom w:val="single" w:color="auto" w:sz="4" w:space="0"/>
              <w:right w:val="single" w:color="auto" w:sz="4" w:space="0"/>
            </w:tcBorders>
            <w:shd w:val="clear" w:color="auto" w:fill="auto"/>
            <w:noWrap/>
            <w:vAlign w:val="center"/>
          </w:tcPr>
          <w:p w14:paraId="7449EE5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公务员医疗补助缴费</w:t>
            </w:r>
          </w:p>
        </w:tc>
        <w:tc>
          <w:tcPr>
            <w:tcW w:w="1200" w:type="dxa"/>
            <w:tcBorders>
              <w:top w:val="nil"/>
              <w:left w:val="nil"/>
              <w:bottom w:val="single" w:color="auto" w:sz="4" w:space="0"/>
              <w:right w:val="single" w:color="auto" w:sz="4" w:space="0"/>
            </w:tcBorders>
            <w:shd w:val="clear" w:color="auto" w:fill="auto"/>
            <w:noWrap/>
            <w:vAlign w:val="center"/>
          </w:tcPr>
          <w:p w14:paraId="1D28D2AA">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1.74</w:t>
            </w:r>
          </w:p>
        </w:tc>
        <w:tc>
          <w:tcPr>
            <w:tcW w:w="1305" w:type="dxa"/>
            <w:tcBorders>
              <w:top w:val="nil"/>
              <w:left w:val="nil"/>
              <w:bottom w:val="single" w:color="auto" w:sz="4" w:space="0"/>
              <w:right w:val="single" w:color="auto" w:sz="4" w:space="0"/>
            </w:tcBorders>
            <w:shd w:val="clear" w:color="auto" w:fill="auto"/>
            <w:noWrap/>
            <w:vAlign w:val="center"/>
          </w:tcPr>
          <w:p w14:paraId="6B625FD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30209</w:t>
            </w:r>
          </w:p>
        </w:tc>
        <w:tc>
          <w:tcPr>
            <w:tcW w:w="2018" w:type="dxa"/>
            <w:tcBorders>
              <w:top w:val="nil"/>
              <w:left w:val="nil"/>
              <w:bottom w:val="single" w:color="auto" w:sz="4" w:space="0"/>
              <w:right w:val="single" w:color="auto" w:sz="4" w:space="0"/>
            </w:tcBorders>
            <w:shd w:val="clear" w:color="auto" w:fill="auto"/>
            <w:noWrap/>
            <w:vAlign w:val="center"/>
          </w:tcPr>
          <w:p w14:paraId="146DFA9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物业管理费</w:t>
            </w:r>
          </w:p>
        </w:tc>
        <w:tc>
          <w:tcPr>
            <w:tcW w:w="933" w:type="dxa"/>
            <w:tcBorders>
              <w:top w:val="nil"/>
              <w:left w:val="nil"/>
              <w:bottom w:val="single" w:color="auto" w:sz="4" w:space="0"/>
              <w:right w:val="single" w:color="auto" w:sz="4" w:space="0"/>
            </w:tcBorders>
            <w:shd w:val="clear" w:color="auto" w:fill="auto"/>
            <w:noWrap/>
            <w:vAlign w:val="center"/>
          </w:tcPr>
          <w:p w14:paraId="0AAC746D">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4.27</w:t>
            </w:r>
          </w:p>
        </w:tc>
        <w:tc>
          <w:tcPr>
            <w:tcW w:w="1217" w:type="dxa"/>
            <w:tcBorders>
              <w:top w:val="nil"/>
              <w:left w:val="nil"/>
              <w:bottom w:val="single" w:color="auto" w:sz="4" w:space="0"/>
              <w:right w:val="single" w:color="auto" w:sz="4" w:space="0"/>
            </w:tcBorders>
            <w:shd w:val="clear" w:color="auto" w:fill="auto"/>
            <w:noWrap/>
            <w:vAlign w:val="center"/>
          </w:tcPr>
          <w:p w14:paraId="70131ED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31007</w:t>
            </w:r>
          </w:p>
        </w:tc>
        <w:tc>
          <w:tcPr>
            <w:tcW w:w="3274" w:type="dxa"/>
            <w:tcBorders>
              <w:top w:val="nil"/>
              <w:left w:val="nil"/>
              <w:bottom w:val="single" w:color="auto" w:sz="4" w:space="0"/>
              <w:right w:val="single" w:color="auto" w:sz="4" w:space="0"/>
            </w:tcBorders>
            <w:shd w:val="clear" w:color="auto" w:fill="auto"/>
            <w:noWrap/>
            <w:vAlign w:val="center"/>
          </w:tcPr>
          <w:p w14:paraId="38D21C4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信息网络及软件购置更新</w:t>
            </w:r>
          </w:p>
        </w:tc>
        <w:tc>
          <w:tcPr>
            <w:tcW w:w="1172" w:type="dxa"/>
            <w:tcBorders>
              <w:top w:val="nil"/>
              <w:left w:val="nil"/>
              <w:bottom w:val="single" w:color="auto" w:sz="4" w:space="0"/>
              <w:right w:val="single" w:color="auto" w:sz="4" w:space="0"/>
            </w:tcBorders>
            <w:shd w:val="clear" w:color="auto" w:fill="auto"/>
            <w:noWrap/>
            <w:vAlign w:val="center"/>
          </w:tcPr>
          <w:p w14:paraId="10183A18">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61760888">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F29B92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30112</w:t>
            </w:r>
          </w:p>
        </w:tc>
        <w:tc>
          <w:tcPr>
            <w:tcW w:w="2427" w:type="dxa"/>
            <w:tcBorders>
              <w:top w:val="nil"/>
              <w:left w:val="nil"/>
              <w:bottom w:val="single" w:color="auto" w:sz="4" w:space="0"/>
              <w:right w:val="single" w:color="auto" w:sz="4" w:space="0"/>
            </w:tcBorders>
            <w:shd w:val="clear" w:color="auto" w:fill="auto"/>
            <w:noWrap/>
            <w:vAlign w:val="center"/>
          </w:tcPr>
          <w:p w14:paraId="7D0BCED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其他社会保障缴费</w:t>
            </w:r>
          </w:p>
        </w:tc>
        <w:tc>
          <w:tcPr>
            <w:tcW w:w="1200" w:type="dxa"/>
            <w:tcBorders>
              <w:top w:val="nil"/>
              <w:left w:val="nil"/>
              <w:bottom w:val="single" w:color="auto" w:sz="4" w:space="0"/>
              <w:right w:val="single" w:color="auto" w:sz="4" w:space="0"/>
            </w:tcBorders>
            <w:shd w:val="clear" w:color="auto" w:fill="auto"/>
            <w:noWrap/>
            <w:vAlign w:val="center"/>
          </w:tcPr>
          <w:p w14:paraId="33D397B5">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11.71</w:t>
            </w:r>
          </w:p>
        </w:tc>
        <w:tc>
          <w:tcPr>
            <w:tcW w:w="1305" w:type="dxa"/>
            <w:tcBorders>
              <w:top w:val="nil"/>
              <w:left w:val="nil"/>
              <w:bottom w:val="single" w:color="auto" w:sz="4" w:space="0"/>
              <w:right w:val="single" w:color="auto" w:sz="4" w:space="0"/>
            </w:tcBorders>
            <w:shd w:val="clear" w:color="auto" w:fill="auto"/>
            <w:noWrap/>
            <w:vAlign w:val="center"/>
          </w:tcPr>
          <w:p w14:paraId="580D2BA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30211</w:t>
            </w:r>
          </w:p>
        </w:tc>
        <w:tc>
          <w:tcPr>
            <w:tcW w:w="2018" w:type="dxa"/>
            <w:tcBorders>
              <w:top w:val="nil"/>
              <w:left w:val="nil"/>
              <w:bottom w:val="single" w:color="auto" w:sz="4" w:space="0"/>
              <w:right w:val="single" w:color="auto" w:sz="4" w:space="0"/>
            </w:tcBorders>
            <w:shd w:val="clear" w:color="auto" w:fill="auto"/>
            <w:noWrap/>
            <w:vAlign w:val="center"/>
          </w:tcPr>
          <w:p w14:paraId="325D261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差旅费</w:t>
            </w:r>
          </w:p>
        </w:tc>
        <w:tc>
          <w:tcPr>
            <w:tcW w:w="933" w:type="dxa"/>
            <w:tcBorders>
              <w:top w:val="nil"/>
              <w:left w:val="nil"/>
              <w:bottom w:val="single" w:color="auto" w:sz="4" w:space="0"/>
              <w:right w:val="single" w:color="auto" w:sz="4" w:space="0"/>
            </w:tcBorders>
            <w:shd w:val="clear" w:color="auto" w:fill="auto"/>
            <w:noWrap/>
            <w:vAlign w:val="center"/>
          </w:tcPr>
          <w:p w14:paraId="5BA5F6DF">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12.24</w:t>
            </w:r>
          </w:p>
        </w:tc>
        <w:tc>
          <w:tcPr>
            <w:tcW w:w="1217" w:type="dxa"/>
            <w:tcBorders>
              <w:top w:val="nil"/>
              <w:left w:val="nil"/>
              <w:bottom w:val="single" w:color="auto" w:sz="4" w:space="0"/>
              <w:right w:val="single" w:color="auto" w:sz="4" w:space="0"/>
            </w:tcBorders>
            <w:shd w:val="clear" w:color="auto" w:fill="auto"/>
            <w:noWrap/>
            <w:vAlign w:val="center"/>
          </w:tcPr>
          <w:p w14:paraId="705D124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31008</w:t>
            </w:r>
          </w:p>
        </w:tc>
        <w:tc>
          <w:tcPr>
            <w:tcW w:w="3274" w:type="dxa"/>
            <w:tcBorders>
              <w:top w:val="nil"/>
              <w:left w:val="nil"/>
              <w:bottom w:val="single" w:color="auto" w:sz="4" w:space="0"/>
              <w:right w:val="single" w:color="auto" w:sz="4" w:space="0"/>
            </w:tcBorders>
            <w:shd w:val="clear" w:color="auto" w:fill="auto"/>
            <w:noWrap/>
            <w:vAlign w:val="center"/>
          </w:tcPr>
          <w:p w14:paraId="54F3C7A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物资储备</w:t>
            </w:r>
          </w:p>
        </w:tc>
        <w:tc>
          <w:tcPr>
            <w:tcW w:w="1172" w:type="dxa"/>
            <w:tcBorders>
              <w:top w:val="nil"/>
              <w:left w:val="nil"/>
              <w:bottom w:val="single" w:color="auto" w:sz="4" w:space="0"/>
              <w:right w:val="single" w:color="auto" w:sz="4" w:space="0"/>
            </w:tcBorders>
            <w:shd w:val="clear" w:color="auto" w:fill="auto"/>
            <w:noWrap/>
            <w:vAlign w:val="center"/>
          </w:tcPr>
          <w:p w14:paraId="25215B7A">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35F779E9">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14F812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30113</w:t>
            </w:r>
          </w:p>
        </w:tc>
        <w:tc>
          <w:tcPr>
            <w:tcW w:w="2427" w:type="dxa"/>
            <w:tcBorders>
              <w:top w:val="nil"/>
              <w:left w:val="nil"/>
              <w:bottom w:val="single" w:color="auto" w:sz="4" w:space="0"/>
              <w:right w:val="single" w:color="auto" w:sz="4" w:space="0"/>
            </w:tcBorders>
            <w:shd w:val="clear" w:color="auto" w:fill="auto"/>
            <w:noWrap/>
            <w:vAlign w:val="center"/>
          </w:tcPr>
          <w:p w14:paraId="0F2BD89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住房公积金</w:t>
            </w:r>
          </w:p>
        </w:tc>
        <w:tc>
          <w:tcPr>
            <w:tcW w:w="1200" w:type="dxa"/>
            <w:tcBorders>
              <w:top w:val="nil"/>
              <w:left w:val="nil"/>
              <w:bottom w:val="single" w:color="auto" w:sz="4" w:space="0"/>
              <w:right w:val="single" w:color="auto" w:sz="4" w:space="0"/>
            </w:tcBorders>
            <w:shd w:val="clear" w:color="auto" w:fill="auto"/>
            <w:noWrap/>
            <w:vAlign w:val="center"/>
          </w:tcPr>
          <w:p w14:paraId="033F1383">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118.16</w:t>
            </w:r>
          </w:p>
        </w:tc>
        <w:tc>
          <w:tcPr>
            <w:tcW w:w="1305" w:type="dxa"/>
            <w:tcBorders>
              <w:top w:val="nil"/>
              <w:left w:val="nil"/>
              <w:bottom w:val="single" w:color="auto" w:sz="4" w:space="0"/>
              <w:right w:val="single" w:color="auto" w:sz="4" w:space="0"/>
            </w:tcBorders>
            <w:shd w:val="clear" w:color="auto" w:fill="auto"/>
            <w:noWrap/>
            <w:vAlign w:val="center"/>
          </w:tcPr>
          <w:p w14:paraId="7148137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30212</w:t>
            </w:r>
          </w:p>
        </w:tc>
        <w:tc>
          <w:tcPr>
            <w:tcW w:w="2018" w:type="dxa"/>
            <w:tcBorders>
              <w:top w:val="nil"/>
              <w:left w:val="nil"/>
              <w:bottom w:val="single" w:color="auto" w:sz="4" w:space="0"/>
              <w:right w:val="single" w:color="auto" w:sz="4" w:space="0"/>
            </w:tcBorders>
            <w:shd w:val="clear" w:color="auto" w:fill="auto"/>
            <w:noWrap/>
            <w:vAlign w:val="center"/>
          </w:tcPr>
          <w:p w14:paraId="4A2A7DB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因公出国（境）费用</w:t>
            </w:r>
          </w:p>
        </w:tc>
        <w:tc>
          <w:tcPr>
            <w:tcW w:w="933" w:type="dxa"/>
            <w:tcBorders>
              <w:top w:val="nil"/>
              <w:left w:val="nil"/>
              <w:bottom w:val="single" w:color="auto" w:sz="4" w:space="0"/>
              <w:right w:val="single" w:color="auto" w:sz="4" w:space="0"/>
            </w:tcBorders>
            <w:shd w:val="clear" w:color="auto" w:fill="auto"/>
            <w:noWrap/>
            <w:vAlign w:val="center"/>
          </w:tcPr>
          <w:p w14:paraId="713F53A4">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217" w:type="dxa"/>
            <w:tcBorders>
              <w:top w:val="nil"/>
              <w:left w:val="nil"/>
              <w:bottom w:val="single" w:color="auto" w:sz="4" w:space="0"/>
              <w:right w:val="single" w:color="auto" w:sz="4" w:space="0"/>
            </w:tcBorders>
            <w:shd w:val="clear" w:color="auto" w:fill="auto"/>
            <w:noWrap/>
            <w:vAlign w:val="center"/>
          </w:tcPr>
          <w:p w14:paraId="07285C8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31009</w:t>
            </w:r>
          </w:p>
        </w:tc>
        <w:tc>
          <w:tcPr>
            <w:tcW w:w="3274" w:type="dxa"/>
            <w:tcBorders>
              <w:top w:val="nil"/>
              <w:left w:val="nil"/>
              <w:bottom w:val="single" w:color="auto" w:sz="4" w:space="0"/>
              <w:right w:val="single" w:color="auto" w:sz="4" w:space="0"/>
            </w:tcBorders>
            <w:shd w:val="clear" w:color="auto" w:fill="auto"/>
            <w:noWrap/>
            <w:vAlign w:val="center"/>
          </w:tcPr>
          <w:p w14:paraId="511CBA0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土地补偿</w:t>
            </w:r>
          </w:p>
        </w:tc>
        <w:tc>
          <w:tcPr>
            <w:tcW w:w="1172" w:type="dxa"/>
            <w:tcBorders>
              <w:top w:val="nil"/>
              <w:left w:val="nil"/>
              <w:bottom w:val="single" w:color="auto" w:sz="4" w:space="0"/>
              <w:right w:val="single" w:color="auto" w:sz="4" w:space="0"/>
            </w:tcBorders>
            <w:shd w:val="clear" w:color="auto" w:fill="auto"/>
            <w:noWrap/>
            <w:vAlign w:val="center"/>
          </w:tcPr>
          <w:p w14:paraId="3F28AC6E">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38FEA1B2">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E8F107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30114</w:t>
            </w:r>
          </w:p>
        </w:tc>
        <w:tc>
          <w:tcPr>
            <w:tcW w:w="2427" w:type="dxa"/>
            <w:tcBorders>
              <w:top w:val="nil"/>
              <w:left w:val="nil"/>
              <w:bottom w:val="single" w:color="auto" w:sz="4" w:space="0"/>
              <w:right w:val="single" w:color="auto" w:sz="4" w:space="0"/>
            </w:tcBorders>
            <w:shd w:val="clear" w:color="auto" w:fill="auto"/>
            <w:noWrap/>
            <w:vAlign w:val="center"/>
          </w:tcPr>
          <w:p w14:paraId="6571513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w:t>
            </w:r>
          </w:p>
        </w:tc>
        <w:tc>
          <w:tcPr>
            <w:tcW w:w="1200" w:type="dxa"/>
            <w:tcBorders>
              <w:top w:val="nil"/>
              <w:left w:val="nil"/>
              <w:bottom w:val="single" w:color="auto" w:sz="4" w:space="0"/>
              <w:right w:val="single" w:color="auto" w:sz="4" w:space="0"/>
            </w:tcBorders>
            <w:shd w:val="clear" w:color="auto" w:fill="auto"/>
            <w:noWrap/>
            <w:vAlign w:val="center"/>
          </w:tcPr>
          <w:p w14:paraId="6115B4FE">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305" w:type="dxa"/>
            <w:tcBorders>
              <w:top w:val="nil"/>
              <w:left w:val="nil"/>
              <w:bottom w:val="single" w:color="auto" w:sz="4" w:space="0"/>
              <w:right w:val="single" w:color="auto" w:sz="4" w:space="0"/>
            </w:tcBorders>
            <w:shd w:val="clear" w:color="auto" w:fill="auto"/>
            <w:noWrap/>
            <w:vAlign w:val="center"/>
          </w:tcPr>
          <w:p w14:paraId="278181D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30213</w:t>
            </w:r>
          </w:p>
        </w:tc>
        <w:tc>
          <w:tcPr>
            <w:tcW w:w="2018" w:type="dxa"/>
            <w:tcBorders>
              <w:top w:val="nil"/>
              <w:left w:val="nil"/>
              <w:bottom w:val="single" w:color="auto" w:sz="4" w:space="0"/>
              <w:right w:val="single" w:color="auto" w:sz="4" w:space="0"/>
            </w:tcBorders>
            <w:shd w:val="clear" w:color="auto" w:fill="auto"/>
            <w:noWrap/>
            <w:vAlign w:val="center"/>
          </w:tcPr>
          <w:p w14:paraId="6A08BE5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维修（护）费</w:t>
            </w:r>
          </w:p>
        </w:tc>
        <w:tc>
          <w:tcPr>
            <w:tcW w:w="933" w:type="dxa"/>
            <w:tcBorders>
              <w:top w:val="nil"/>
              <w:left w:val="nil"/>
              <w:bottom w:val="single" w:color="auto" w:sz="4" w:space="0"/>
              <w:right w:val="single" w:color="auto" w:sz="4" w:space="0"/>
            </w:tcBorders>
            <w:shd w:val="clear" w:color="auto" w:fill="auto"/>
            <w:noWrap/>
            <w:vAlign w:val="center"/>
          </w:tcPr>
          <w:p w14:paraId="6FA040EE">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3.45</w:t>
            </w:r>
          </w:p>
        </w:tc>
        <w:tc>
          <w:tcPr>
            <w:tcW w:w="1217" w:type="dxa"/>
            <w:tcBorders>
              <w:top w:val="nil"/>
              <w:left w:val="nil"/>
              <w:bottom w:val="single" w:color="auto" w:sz="4" w:space="0"/>
              <w:right w:val="single" w:color="auto" w:sz="4" w:space="0"/>
            </w:tcBorders>
            <w:shd w:val="clear" w:color="auto" w:fill="auto"/>
            <w:noWrap/>
            <w:vAlign w:val="center"/>
          </w:tcPr>
          <w:p w14:paraId="169F4C5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31010</w:t>
            </w:r>
          </w:p>
        </w:tc>
        <w:tc>
          <w:tcPr>
            <w:tcW w:w="3274" w:type="dxa"/>
            <w:tcBorders>
              <w:top w:val="nil"/>
              <w:left w:val="nil"/>
              <w:bottom w:val="single" w:color="auto" w:sz="4" w:space="0"/>
              <w:right w:val="single" w:color="auto" w:sz="4" w:space="0"/>
            </w:tcBorders>
            <w:shd w:val="clear" w:color="auto" w:fill="auto"/>
            <w:noWrap/>
            <w:vAlign w:val="center"/>
          </w:tcPr>
          <w:p w14:paraId="4A4A8F7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安置补助</w:t>
            </w:r>
          </w:p>
        </w:tc>
        <w:tc>
          <w:tcPr>
            <w:tcW w:w="1172" w:type="dxa"/>
            <w:tcBorders>
              <w:top w:val="nil"/>
              <w:left w:val="nil"/>
              <w:bottom w:val="single" w:color="auto" w:sz="4" w:space="0"/>
              <w:right w:val="single" w:color="auto" w:sz="4" w:space="0"/>
            </w:tcBorders>
            <w:shd w:val="clear" w:color="auto" w:fill="auto"/>
            <w:noWrap/>
            <w:vAlign w:val="center"/>
          </w:tcPr>
          <w:p w14:paraId="567C3A62">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18533FBE">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5BFBE5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30199</w:t>
            </w:r>
          </w:p>
        </w:tc>
        <w:tc>
          <w:tcPr>
            <w:tcW w:w="2427" w:type="dxa"/>
            <w:tcBorders>
              <w:top w:val="nil"/>
              <w:left w:val="nil"/>
              <w:bottom w:val="single" w:color="auto" w:sz="4" w:space="0"/>
              <w:right w:val="single" w:color="auto" w:sz="4" w:space="0"/>
            </w:tcBorders>
            <w:shd w:val="clear" w:color="auto" w:fill="auto"/>
            <w:noWrap/>
            <w:vAlign w:val="center"/>
          </w:tcPr>
          <w:p w14:paraId="568C3C4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其他工资福利支出</w:t>
            </w:r>
          </w:p>
        </w:tc>
        <w:tc>
          <w:tcPr>
            <w:tcW w:w="1200" w:type="dxa"/>
            <w:tcBorders>
              <w:top w:val="nil"/>
              <w:left w:val="nil"/>
              <w:bottom w:val="single" w:color="auto" w:sz="4" w:space="0"/>
              <w:right w:val="single" w:color="auto" w:sz="4" w:space="0"/>
            </w:tcBorders>
            <w:shd w:val="clear" w:color="auto" w:fill="auto"/>
            <w:noWrap/>
            <w:vAlign w:val="center"/>
          </w:tcPr>
          <w:p w14:paraId="2A662B46">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305" w:type="dxa"/>
            <w:tcBorders>
              <w:top w:val="nil"/>
              <w:left w:val="nil"/>
              <w:bottom w:val="single" w:color="auto" w:sz="4" w:space="0"/>
              <w:right w:val="single" w:color="auto" w:sz="4" w:space="0"/>
            </w:tcBorders>
            <w:shd w:val="clear" w:color="auto" w:fill="auto"/>
            <w:noWrap/>
            <w:vAlign w:val="center"/>
          </w:tcPr>
          <w:p w14:paraId="4394071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30214</w:t>
            </w:r>
          </w:p>
        </w:tc>
        <w:tc>
          <w:tcPr>
            <w:tcW w:w="2018" w:type="dxa"/>
            <w:tcBorders>
              <w:top w:val="nil"/>
              <w:left w:val="nil"/>
              <w:bottom w:val="single" w:color="auto" w:sz="4" w:space="0"/>
              <w:right w:val="single" w:color="auto" w:sz="4" w:space="0"/>
            </w:tcBorders>
            <w:shd w:val="clear" w:color="auto" w:fill="auto"/>
            <w:noWrap/>
            <w:vAlign w:val="center"/>
          </w:tcPr>
          <w:p w14:paraId="3D1A80B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租赁费</w:t>
            </w:r>
          </w:p>
        </w:tc>
        <w:tc>
          <w:tcPr>
            <w:tcW w:w="933" w:type="dxa"/>
            <w:tcBorders>
              <w:top w:val="nil"/>
              <w:left w:val="nil"/>
              <w:bottom w:val="single" w:color="auto" w:sz="4" w:space="0"/>
              <w:right w:val="single" w:color="auto" w:sz="4" w:space="0"/>
            </w:tcBorders>
            <w:shd w:val="clear" w:color="auto" w:fill="auto"/>
            <w:noWrap/>
            <w:vAlign w:val="center"/>
          </w:tcPr>
          <w:p w14:paraId="22E802F6">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0.91</w:t>
            </w:r>
          </w:p>
        </w:tc>
        <w:tc>
          <w:tcPr>
            <w:tcW w:w="1217" w:type="dxa"/>
            <w:tcBorders>
              <w:top w:val="nil"/>
              <w:left w:val="nil"/>
              <w:bottom w:val="single" w:color="auto" w:sz="4" w:space="0"/>
              <w:right w:val="single" w:color="auto" w:sz="4" w:space="0"/>
            </w:tcBorders>
            <w:shd w:val="clear" w:color="auto" w:fill="auto"/>
            <w:noWrap/>
            <w:vAlign w:val="center"/>
          </w:tcPr>
          <w:p w14:paraId="08EA430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31011</w:t>
            </w:r>
          </w:p>
        </w:tc>
        <w:tc>
          <w:tcPr>
            <w:tcW w:w="3274" w:type="dxa"/>
            <w:tcBorders>
              <w:top w:val="nil"/>
              <w:left w:val="nil"/>
              <w:bottom w:val="single" w:color="auto" w:sz="4" w:space="0"/>
              <w:right w:val="single" w:color="auto" w:sz="4" w:space="0"/>
            </w:tcBorders>
            <w:shd w:val="clear" w:color="auto" w:fill="auto"/>
            <w:noWrap/>
            <w:vAlign w:val="center"/>
          </w:tcPr>
          <w:p w14:paraId="4F8BCA0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地上附着物和青苗补偿</w:t>
            </w:r>
          </w:p>
        </w:tc>
        <w:tc>
          <w:tcPr>
            <w:tcW w:w="1172" w:type="dxa"/>
            <w:tcBorders>
              <w:top w:val="nil"/>
              <w:left w:val="nil"/>
              <w:bottom w:val="single" w:color="auto" w:sz="4" w:space="0"/>
              <w:right w:val="single" w:color="auto" w:sz="4" w:space="0"/>
            </w:tcBorders>
            <w:shd w:val="clear" w:color="auto" w:fill="auto"/>
            <w:noWrap/>
            <w:vAlign w:val="center"/>
          </w:tcPr>
          <w:p w14:paraId="2BD5DD65">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2E88F41C">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B9301F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w:t>
            </w:r>
          </w:p>
        </w:tc>
        <w:tc>
          <w:tcPr>
            <w:tcW w:w="2427" w:type="dxa"/>
            <w:tcBorders>
              <w:top w:val="nil"/>
              <w:left w:val="nil"/>
              <w:bottom w:val="single" w:color="auto" w:sz="4" w:space="0"/>
              <w:right w:val="single" w:color="auto" w:sz="4" w:space="0"/>
            </w:tcBorders>
            <w:shd w:val="clear" w:color="auto" w:fill="auto"/>
            <w:noWrap/>
            <w:vAlign w:val="center"/>
          </w:tcPr>
          <w:p w14:paraId="4CEB5D3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对个人和家庭的补助</w:t>
            </w:r>
          </w:p>
        </w:tc>
        <w:tc>
          <w:tcPr>
            <w:tcW w:w="1200" w:type="dxa"/>
            <w:tcBorders>
              <w:top w:val="nil"/>
              <w:left w:val="nil"/>
              <w:bottom w:val="single" w:color="auto" w:sz="4" w:space="0"/>
              <w:right w:val="single" w:color="auto" w:sz="4" w:space="0"/>
            </w:tcBorders>
            <w:shd w:val="clear" w:color="auto" w:fill="auto"/>
            <w:noWrap/>
            <w:vAlign w:val="center"/>
          </w:tcPr>
          <w:p w14:paraId="099912C6">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67.59</w:t>
            </w:r>
          </w:p>
        </w:tc>
        <w:tc>
          <w:tcPr>
            <w:tcW w:w="1305" w:type="dxa"/>
            <w:tcBorders>
              <w:top w:val="nil"/>
              <w:left w:val="nil"/>
              <w:bottom w:val="single" w:color="auto" w:sz="4" w:space="0"/>
              <w:right w:val="single" w:color="auto" w:sz="4" w:space="0"/>
            </w:tcBorders>
            <w:shd w:val="clear" w:color="auto" w:fill="auto"/>
            <w:noWrap/>
            <w:vAlign w:val="center"/>
          </w:tcPr>
          <w:p w14:paraId="7D569E5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30215</w:t>
            </w:r>
          </w:p>
        </w:tc>
        <w:tc>
          <w:tcPr>
            <w:tcW w:w="2018" w:type="dxa"/>
            <w:tcBorders>
              <w:top w:val="nil"/>
              <w:left w:val="nil"/>
              <w:bottom w:val="single" w:color="auto" w:sz="4" w:space="0"/>
              <w:right w:val="single" w:color="auto" w:sz="4" w:space="0"/>
            </w:tcBorders>
            <w:shd w:val="clear" w:color="auto" w:fill="auto"/>
            <w:noWrap/>
            <w:vAlign w:val="center"/>
          </w:tcPr>
          <w:p w14:paraId="07A50D4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会议费</w:t>
            </w:r>
          </w:p>
        </w:tc>
        <w:tc>
          <w:tcPr>
            <w:tcW w:w="933" w:type="dxa"/>
            <w:tcBorders>
              <w:top w:val="nil"/>
              <w:left w:val="nil"/>
              <w:bottom w:val="single" w:color="auto" w:sz="4" w:space="0"/>
              <w:right w:val="single" w:color="auto" w:sz="4" w:space="0"/>
            </w:tcBorders>
            <w:shd w:val="clear" w:color="auto" w:fill="auto"/>
            <w:noWrap/>
            <w:vAlign w:val="center"/>
          </w:tcPr>
          <w:p w14:paraId="28C14B53">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0.29</w:t>
            </w:r>
          </w:p>
        </w:tc>
        <w:tc>
          <w:tcPr>
            <w:tcW w:w="1217" w:type="dxa"/>
            <w:tcBorders>
              <w:top w:val="nil"/>
              <w:left w:val="nil"/>
              <w:bottom w:val="single" w:color="auto" w:sz="4" w:space="0"/>
              <w:right w:val="single" w:color="auto" w:sz="4" w:space="0"/>
            </w:tcBorders>
            <w:shd w:val="clear" w:color="auto" w:fill="auto"/>
            <w:noWrap/>
            <w:vAlign w:val="center"/>
          </w:tcPr>
          <w:p w14:paraId="15D34DE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31012</w:t>
            </w:r>
          </w:p>
        </w:tc>
        <w:tc>
          <w:tcPr>
            <w:tcW w:w="3274" w:type="dxa"/>
            <w:tcBorders>
              <w:top w:val="nil"/>
              <w:left w:val="nil"/>
              <w:bottom w:val="single" w:color="auto" w:sz="4" w:space="0"/>
              <w:right w:val="single" w:color="auto" w:sz="4" w:space="0"/>
            </w:tcBorders>
            <w:shd w:val="clear" w:color="auto" w:fill="auto"/>
            <w:noWrap/>
            <w:vAlign w:val="center"/>
          </w:tcPr>
          <w:p w14:paraId="4C432C1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拆迁补偿</w:t>
            </w:r>
          </w:p>
        </w:tc>
        <w:tc>
          <w:tcPr>
            <w:tcW w:w="1172" w:type="dxa"/>
            <w:tcBorders>
              <w:top w:val="nil"/>
              <w:left w:val="nil"/>
              <w:bottom w:val="single" w:color="auto" w:sz="4" w:space="0"/>
              <w:right w:val="single" w:color="auto" w:sz="4" w:space="0"/>
            </w:tcBorders>
            <w:shd w:val="clear" w:color="auto" w:fill="auto"/>
            <w:noWrap/>
            <w:vAlign w:val="center"/>
          </w:tcPr>
          <w:p w14:paraId="270B5A8B">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3A8468BA">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319C6F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30301</w:t>
            </w:r>
          </w:p>
        </w:tc>
        <w:tc>
          <w:tcPr>
            <w:tcW w:w="2427" w:type="dxa"/>
            <w:tcBorders>
              <w:top w:val="nil"/>
              <w:left w:val="nil"/>
              <w:bottom w:val="single" w:color="auto" w:sz="4" w:space="0"/>
              <w:right w:val="single" w:color="auto" w:sz="4" w:space="0"/>
            </w:tcBorders>
            <w:shd w:val="clear" w:color="auto" w:fill="auto"/>
            <w:noWrap/>
            <w:vAlign w:val="center"/>
          </w:tcPr>
          <w:p w14:paraId="094921F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离休费</w:t>
            </w:r>
          </w:p>
        </w:tc>
        <w:tc>
          <w:tcPr>
            <w:tcW w:w="1200" w:type="dxa"/>
            <w:tcBorders>
              <w:top w:val="nil"/>
              <w:left w:val="nil"/>
              <w:bottom w:val="single" w:color="auto" w:sz="4" w:space="0"/>
              <w:right w:val="single" w:color="auto" w:sz="4" w:space="0"/>
            </w:tcBorders>
            <w:shd w:val="clear" w:color="auto" w:fill="auto"/>
            <w:noWrap/>
            <w:vAlign w:val="center"/>
          </w:tcPr>
          <w:p w14:paraId="77BF0240">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305" w:type="dxa"/>
            <w:tcBorders>
              <w:top w:val="nil"/>
              <w:left w:val="nil"/>
              <w:bottom w:val="single" w:color="auto" w:sz="4" w:space="0"/>
              <w:right w:val="single" w:color="auto" w:sz="4" w:space="0"/>
            </w:tcBorders>
            <w:shd w:val="clear" w:color="auto" w:fill="auto"/>
            <w:noWrap/>
            <w:vAlign w:val="center"/>
          </w:tcPr>
          <w:p w14:paraId="27F3C37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30216</w:t>
            </w:r>
          </w:p>
        </w:tc>
        <w:tc>
          <w:tcPr>
            <w:tcW w:w="2018" w:type="dxa"/>
            <w:tcBorders>
              <w:top w:val="nil"/>
              <w:left w:val="nil"/>
              <w:bottom w:val="single" w:color="auto" w:sz="4" w:space="0"/>
              <w:right w:val="single" w:color="auto" w:sz="4" w:space="0"/>
            </w:tcBorders>
            <w:shd w:val="clear" w:color="auto" w:fill="auto"/>
            <w:noWrap/>
            <w:vAlign w:val="center"/>
          </w:tcPr>
          <w:p w14:paraId="0CEC4F7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培训费</w:t>
            </w:r>
          </w:p>
        </w:tc>
        <w:tc>
          <w:tcPr>
            <w:tcW w:w="933" w:type="dxa"/>
            <w:tcBorders>
              <w:top w:val="nil"/>
              <w:left w:val="nil"/>
              <w:bottom w:val="single" w:color="auto" w:sz="4" w:space="0"/>
              <w:right w:val="single" w:color="auto" w:sz="4" w:space="0"/>
            </w:tcBorders>
            <w:shd w:val="clear" w:color="auto" w:fill="auto"/>
            <w:noWrap/>
            <w:vAlign w:val="center"/>
          </w:tcPr>
          <w:p w14:paraId="709A3719">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1.71</w:t>
            </w:r>
          </w:p>
        </w:tc>
        <w:tc>
          <w:tcPr>
            <w:tcW w:w="1217" w:type="dxa"/>
            <w:tcBorders>
              <w:top w:val="nil"/>
              <w:left w:val="nil"/>
              <w:bottom w:val="single" w:color="auto" w:sz="4" w:space="0"/>
              <w:right w:val="single" w:color="auto" w:sz="4" w:space="0"/>
            </w:tcBorders>
            <w:shd w:val="clear" w:color="auto" w:fill="auto"/>
            <w:noWrap/>
            <w:vAlign w:val="center"/>
          </w:tcPr>
          <w:p w14:paraId="300F77A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31013</w:t>
            </w:r>
          </w:p>
        </w:tc>
        <w:tc>
          <w:tcPr>
            <w:tcW w:w="3274" w:type="dxa"/>
            <w:tcBorders>
              <w:top w:val="nil"/>
              <w:left w:val="nil"/>
              <w:bottom w:val="single" w:color="auto" w:sz="4" w:space="0"/>
              <w:right w:val="single" w:color="auto" w:sz="4" w:space="0"/>
            </w:tcBorders>
            <w:shd w:val="clear" w:color="auto" w:fill="auto"/>
            <w:noWrap/>
            <w:vAlign w:val="center"/>
          </w:tcPr>
          <w:p w14:paraId="55FA5DC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公务用车购置</w:t>
            </w:r>
          </w:p>
        </w:tc>
        <w:tc>
          <w:tcPr>
            <w:tcW w:w="1172" w:type="dxa"/>
            <w:tcBorders>
              <w:top w:val="nil"/>
              <w:left w:val="nil"/>
              <w:bottom w:val="single" w:color="auto" w:sz="4" w:space="0"/>
              <w:right w:val="single" w:color="auto" w:sz="4" w:space="0"/>
            </w:tcBorders>
            <w:shd w:val="clear" w:color="auto" w:fill="auto"/>
            <w:noWrap/>
            <w:vAlign w:val="center"/>
          </w:tcPr>
          <w:p w14:paraId="33C53DBF">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51D08B64">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3CD172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30302</w:t>
            </w:r>
          </w:p>
        </w:tc>
        <w:tc>
          <w:tcPr>
            <w:tcW w:w="2427" w:type="dxa"/>
            <w:tcBorders>
              <w:top w:val="nil"/>
              <w:left w:val="nil"/>
              <w:bottom w:val="single" w:color="auto" w:sz="4" w:space="0"/>
              <w:right w:val="single" w:color="auto" w:sz="4" w:space="0"/>
            </w:tcBorders>
            <w:shd w:val="clear" w:color="auto" w:fill="auto"/>
            <w:noWrap/>
            <w:vAlign w:val="center"/>
          </w:tcPr>
          <w:p w14:paraId="41775F6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退休费</w:t>
            </w:r>
          </w:p>
        </w:tc>
        <w:tc>
          <w:tcPr>
            <w:tcW w:w="1200" w:type="dxa"/>
            <w:tcBorders>
              <w:top w:val="nil"/>
              <w:left w:val="nil"/>
              <w:bottom w:val="single" w:color="auto" w:sz="4" w:space="0"/>
              <w:right w:val="single" w:color="auto" w:sz="4" w:space="0"/>
            </w:tcBorders>
            <w:shd w:val="clear" w:color="auto" w:fill="auto"/>
            <w:noWrap/>
            <w:vAlign w:val="center"/>
          </w:tcPr>
          <w:p w14:paraId="18EE29D0">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2.87</w:t>
            </w:r>
          </w:p>
        </w:tc>
        <w:tc>
          <w:tcPr>
            <w:tcW w:w="1305" w:type="dxa"/>
            <w:tcBorders>
              <w:top w:val="nil"/>
              <w:left w:val="nil"/>
              <w:bottom w:val="single" w:color="auto" w:sz="4" w:space="0"/>
              <w:right w:val="single" w:color="auto" w:sz="4" w:space="0"/>
            </w:tcBorders>
            <w:shd w:val="clear" w:color="auto" w:fill="auto"/>
            <w:noWrap/>
            <w:vAlign w:val="center"/>
          </w:tcPr>
          <w:p w14:paraId="77C87C7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30217</w:t>
            </w:r>
          </w:p>
        </w:tc>
        <w:tc>
          <w:tcPr>
            <w:tcW w:w="2018" w:type="dxa"/>
            <w:tcBorders>
              <w:top w:val="nil"/>
              <w:left w:val="nil"/>
              <w:bottom w:val="single" w:color="auto" w:sz="4" w:space="0"/>
              <w:right w:val="single" w:color="auto" w:sz="4" w:space="0"/>
            </w:tcBorders>
            <w:shd w:val="clear" w:color="auto" w:fill="auto"/>
            <w:noWrap/>
            <w:vAlign w:val="center"/>
          </w:tcPr>
          <w:p w14:paraId="7F8176E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公务接待费</w:t>
            </w:r>
          </w:p>
        </w:tc>
        <w:tc>
          <w:tcPr>
            <w:tcW w:w="933" w:type="dxa"/>
            <w:tcBorders>
              <w:top w:val="nil"/>
              <w:left w:val="nil"/>
              <w:bottom w:val="single" w:color="auto" w:sz="4" w:space="0"/>
              <w:right w:val="single" w:color="auto" w:sz="4" w:space="0"/>
            </w:tcBorders>
            <w:shd w:val="clear" w:color="auto" w:fill="auto"/>
            <w:noWrap/>
            <w:vAlign w:val="center"/>
          </w:tcPr>
          <w:p w14:paraId="6803CAC9">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217" w:type="dxa"/>
            <w:tcBorders>
              <w:top w:val="nil"/>
              <w:left w:val="nil"/>
              <w:bottom w:val="single" w:color="auto" w:sz="4" w:space="0"/>
              <w:right w:val="single" w:color="auto" w:sz="4" w:space="0"/>
            </w:tcBorders>
            <w:shd w:val="clear" w:color="auto" w:fill="auto"/>
            <w:noWrap/>
            <w:vAlign w:val="center"/>
          </w:tcPr>
          <w:p w14:paraId="70940D5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31019</w:t>
            </w:r>
          </w:p>
        </w:tc>
        <w:tc>
          <w:tcPr>
            <w:tcW w:w="3274" w:type="dxa"/>
            <w:tcBorders>
              <w:top w:val="nil"/>
              <w:left w:val="nil"/>
              <w:bottom w:val="single" w:color="auto" w:sz="4" w:space="0"/>
              <w:right w:val="single" w:color="auto" w:sz="4" w:space="0"/>
            </w:tcBorders>
            <w:shd w:val="clear" w:color="auto" w:fill="auto"/>
            <w:noWrap/>
            <w:vAlign w:val="center"/>
          </w:tcPr>
          <w:p w14:paraId="74D46CD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其他交通工具购置</w:t>
            </w:r>
          </w:p>
        </w:tc>
        <w:tc>
          <w:tcPr>
            <w:tcW w:w="1172" w:type="dxa"/>
            <w:tcBorders>
              <w:top w:val="nil"/>
              <w:left w:val="nil"/>
              <w:bottom w:val="single" w:color="auto" w:sz="4" w:space="0"/>
              <w:right w:val="single" w:color="auto" w:sz="4" w:space="0"/>
            </w:tcBorders>
            <w:shd w:val="clear" w:color="auto" w:fill="auto"/>
            <w:noWrap/>
            <w:vAlign w:val="center"/>
          </w:tcPr>
          <w:p w14:paraId="02FD7373">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2CDE9722">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E2887E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30303</w:t>
            </w:r>
          </w:p>
        </w:tc>
        <w:tc>
          <w:tcPr>
            <w:tcW w:w="2427" w:type="dxa"/>
            <w:tcBorders>
              <w:top w:val="nil"/>
              <w:left w:val="nil"/>
              <w:bottom w:val="single" w:color="auto" w:sz="4" w:space="0"/>
              <w:right w:val="single" w:color="auto" w:sz="4" w:space="0"/>
            </w:tcBorders>
            <w:shd w:val="clear" w:color="auto" w:fill="auto"/>
            <w:noWrap/>
            <w:vAlign w:val="center"/>
          </w:tcPr>
          <w:p w14:paraId="6BAA388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退职（役）费</w:t>
            </w:r>
          </w:p>
        </w:tc>
        <w:tc>
          <w:tcPr>
            <w:tcW w:w="1200" w:type="dxa"/>
            <w:tcBorders>
              <w:top w:val="nil"/>
              <w:left w:val="nil"/>
              <w:bottom w:val="single" w:color="auto" w:sz="4" w:space="0"/>
              <w:right w:val="single" w:color="auto" w:sz="4" w:space="0"/>
            </w:tcBorders>
            <w:shd w:val="clear" w:color="auto" w:fill="auto"/>
            <w:noWrap/>
            <w:vAlign w:val="center"/>
          </w:tcPr>
          <w:p w14:paraId="796563EF">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305" w:type="dxa"/>
            <w:tcBorders>
              <w:top w:val="nil"/>
              <w:left w:val="nil"/>
              <w:bottom w:val="single" w:color="auto" w:sz="4" w:space="0"/>
              <w:right w:val="single" w:color="auto" w:sz="4" w:space="0"/>
            </w:tcBorders>
            <w:shd w:val="clear" w:color="auto" w:fill="auto"/>
            <w:noWrap/>
            <w:vAlign w:val="center"/>
          </w:tcPr>
          <w:p w14:paraId="329C290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30218</w:t>
            </w:r>
          </w:p>
        </w:tc>
        <w:tc>
          <w:tcPr>
            <w:tcW w:w="2018" w:type="dxa"/>
            <w:tcBorders>
              <w:top w:val="nil"/>
              <w:left w:val="nil"/>
              <w:bottom w:val="single" w:color="auto" w:sz="4" w:space="0"/>
              <w:right w:val="single" w:color="auto" w:sz="4" w:space="0"/>
            </w:tcBorders>
            <w:shd w:val="clear" w:color="auto" w:fill="auto"/>
            <w:noWrap/>
            <w:vAlign w:val="center"/>
          </w:tcPr>
          <w:p w14:paraId="4F362E4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专用材料费</w:t>
            </w:r>
          </w:p>
        </w:tc>
        <w:tc>
          <w:tcPr>
            <w:tcW w:w="933" w:type="dxa"/>
            <w:tcBorders>
              <w:top w:val="nil"/>
              <w:left w:val="nil"/>
              <w:bottom w:val="single" w:color="auto" w:sz="4" w:space="0"/>
              <w:right w:val="single" w:color="auto" w:sz="4" w:space="0"/>
            </w:tcBorders>
            <w:shd w:val="clear" w:color="auto" w:fill="auto"/>
            <w:noWrap/>
            <w:vAlign w:val="center"/>
          </w:tcPr>
          <w:p w14:paraId="4A1AE41E">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217" w:type="dxa"/>
            <w:tcBorders>
              <w:top w:val="nil"/>
              <w:left w:val="nil"/>
              <w:bottom w:val="single" w:color="auto" w:sz="4" w:space="0"/>
              <w:right w:val="single" w:color="auto" w:sz="4" w:space="0"/>
            </w:tcBorders>
            <w:shd w:val="clear" w:color="auto" w:fill="auto"/>
            <w:noWrap/>
            <w:vAlign w:val="center"/>
          </w:tcPr>
          <w:p w14:paraId="659CC1E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31021</w:t>
            </w:r>
          </w:p>
        </w:tc>
        <w:tc>
          <w:tcPr>
            <w:tcW w:w="3274" w:type="dxa"/>
            <w:tcBorders>
              <w:top w:val="nil"/>
              <w:left w:val="nil"/>
              <w:bottom w:val="single" w:color="auto" w:sz="4" w:space="0"/>
              <w:right w:val="single" w:color="auto" w:sz="4" w:space="0"/>
            </w:tcBorders>
            <w:shd w:val="clear" w:color="auto" w:fill="auto"/>
            <w:noWrap/>
            <w:vAlign w:val="center"/>
          </w:tcPr>
          <w:p w14:paraId="7089628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文物和陈列品购置</w:t>
            </w:r>
          </w:p>
        </w:tc>
        <w:tc>
          <w:tcPr>
            <w:tcW w:w="1172" w:type="dxa"/>
            <w:tcBorders>
              <w:top w:val="nil"/>
              <w:left w:val="nil"/>
              <w:bottom w:val="single" w:color="auto" w:sz="4" w:space="0"/>
              <w:right w:val="single" w:color="auto" w:sz="4" w:space="0"/>
            </w:tcBorders>
            <w:shd w:val="clear" w:color="auto" w:fill="auto"/>
            <w:noWrap/>
            <w:vAlign w:val="center"/>
          </w:tcPr>
          <w:p w14:paraId="58A686F8">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283F9667">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2CDB9B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30304</w:t>
            </w:r>
          </w:p>
        </w:tc>
        <w:tc>
          <w:tcPr>
            <w:tcW w:w="2427" w:type="dxa"/>
            <w:tcBorders>
              <w:top w:val="nil"/>
              <w:left w:val="nil"/>
              <w:bottom w:val="single" w:color="auto" w:sz="4" w:space="0"/>
              <w:right w:val="single" w:color="auto" w:sz="4" w:space="0"/>
            </w:tcBorders>
            <w:shd w:val="clear" w:color="auto" w:fill="auto"/>
            <w:noWrap/>
            <w:vAlign w:val="center"/>
          </w:tcPr>
          <w:p w14:paraId="75A695F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抚恤金</w:t>
            </w:r>
          </w:p>
        </w:tc>
        <w:tc>
          <w:tcPr>
            <w:tcW w:w="1200" w:type="dxa"/>
            <w:tcBorders>
              <w:top w:val="nil"/>
              <w:left w:val="nil"/>
              <w:bottom w:val="single" w:color="auto" w:sz="4" w:space="0"/>
              <w:right w:val="single" w:color="auto" w:sz="4" w:space="0"/>
            </w:tcBorders>
            <w:shd w:val="clear" w:color="auto" w:fill="auto"/>
            <w:noWrap/>
            <w:vAlign w:val="center"/>
          </w:tcPr>
          <w:p w14:paraId="5F7C4059">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305" w:type="dxa"/>
            <w:tcBorders>
              <w:top w:val="nil"/>
              <w:left w:val="nil"/>
              <w:bottom w:val="single" w:color="auto" w:sz="4" w:space="0"/>
              <w:right w:val="single" w:color="auto" w:sz="4" w:space="0"/>
            </w:tcBorders>
            <w:shd w:val="clear" w:color="auto" w:fill="auto"/>
            <w:noWrap/>
            <w:vAlign w:val="center"/>
          </w:tcPr>
          <w:p w14:paraId="6C2F583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30224</w:t>
            </w:r>
          </w:p>
        </w:tc>
        <w:tc>
          <w:tcPr>
            <w:tcW w:w="2018" w:type="dxa"/>
            <w:tcBorders>
              <w:top w:val="nil"/>
              <w:left w:val="nil"/>
              <w:bottom w:val="single" w:color="auto" w:sz="4" w:space="0"/>
              <w:right w:val="single" w:color="auto" w:sz="4" w:space="0"/>
            </w:tcBorders>
            <w:shd w:val="clear" w:color="auto" w:fill="auto"/>
            <w:noWrap/>
            <w:vAlign w:val="center"/>
          </w:tcPr>
          <w:p w14:paraId="1119F11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被装购置费</w:t>
            </w:r>
          </w:p>
        </w:tc>
        <w:tc>
          <w:tcPr>
            <w:tcW w:w="933" w:type="dxa"/>
            <w:tcBorders>
              <w:top w:val="nil"/>
              <w:left w:val="nil"/>
              <w:bottom w:val="single" w:color="auto" w:sz="4" w:space="0"/>
              <w:right w:val="single" w:color="auto" w:sz="4" w:space="0"/>
            </w:tcBorders>
            <w:shd w:val="clear" w:color="auto" w:fill="auto"/>
            <w:noWrap/>
            <w:vAlign w:val="center"/>
          </w:tcPr>
          <w:p w14:paraId="4FBF04D8">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217" w:type="dxa"/>
            <w:tcBorders>
              <w:top w:val="nil"/>
              <w:left w:val="nil"/>
              <w:bottom w:val="single" w:color="auto" w:sz="4" w:space="0"/>
              <w:right w:val="single" w:color="auto" w:sz="4" w:space="0"/>
            </w:tcBorders>
            <w:shd w:val="clear" w:color="auto" w:fill="auto"/>
            <w:noWrap/>
            <w:vAlign w:val="center"/>
          </w:tcPr>
          <w:p w14:paraId="5014AF6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31022</w:t>
            </w:r>
          </w:p>
        </w:tc>
        <w:tc>
          <w:tcPr>
            <w:tcW w:w="3274" w:type="dxa"/>
            <w:tcBorders>
              <w:top w:val="nil"/>
              <w:left w:val="nil"/>
              <w:bottom w:val="single" w:color="auto" w:sz="4" w:space="0"/>
              <w:right w:val="single" w:color="auto" w:sz="4" w:space="0"/>
            </w:tcBorders>
            <w:shd w:val="clear" w:color="auto" w:fill="auto"/>
            <w:noWrap/>
            <w:vAlign w:val="center"/>
          </w:tcPr>
          <w:p w14:paraId="55154C6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无形资产购置</w:t>
            </w:r>
          </w:p>
        </w:tc>
        <w:tc>
          <w:tcPr>
            <w:tcW w:w="1172" w:type="dxa"/>
            <w:tcBorders>
              <w:top w:val="nil"/>
              <w:left w:val="nil"/>
              <w:bottom w:val="single" w:color="auto" w:sz="4" w:space="0"/>
              <w:right w:val="single" w:color="auto" w:sz="4" w:space="0"/>
            </w:tcBorders>
            <w:shd w:val="clear" w:color="auto" w:fill="auto"/>
            <w:noWrap/>
            <w:vAlign w:val="center"/>
          </w:tcPr>
          <w:p w14:paraId="5C8466C2">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4021E66C">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F00F22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30305</w:t>
            </w:r>
          </w:p>
        </w:tc>
        <w:tc>
          <w:tcPr>
            <w:tcW w:w="2427" w:type="dxa"/>
            <w:tcBorders>
              <w:top w:val="nil"/>
              <w:left w:val="nil"/>
              <w:bottom w:val="single" w:color="auto" w:sz="4" w:space="0"/>
              <w:right w:val="single" w:color="auto" w:sz="4" w:space="0"/>
            </w:tcBorders>
            <w:shd w:val="clear" w:color="auto" w:fill="auto"/>
            <w:noWrap/>
            <w:vAlign w:val="center"/>
          </w:tcPr>
          <w:p w14:paraId="32B8606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生活补助</w:t>
            </w:r>
          </w:p>
        </w:tc>
        <w:tc>
          <w:tcPr>
            <w:tcW w:w="1200" w:type="dxa"/>
            <w:tcBorders>
              <w:top w:val="nil"/>
              <w:left w:val="nil"/>
              <w:bottom w:val="single" w:color="auto" w:sz="4" w:space="0"/>
              <w:right w:val="single" w:color="auto" w:sz="4" w:space="0"/>
            </w:tcBorders>
            <w:shd w:val="clear" w:color="auto" w:fill="auto"/>
            <w:noWrap/>
            <w:vAlign w:val="center"/>
          </w:tcPr>
          <w:p w14:paraId="2390B4C2">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61.84</w:t>
            </w:r>
          </w:p>
        </w:tc>
        <w:tc>
          <w:tcPr>
            <w:tcW w:w="1305" w:type="dxa"/>
            <w:tcBorders>
              <w:top w:val="nil"/>
              <w:left w:val="nil"/>
              <w:bottom w:val="single" w:color="auto" w:sz="4" w:space="0"/>
              <w:right w:val="single" w:color="auto" w:sz="4" w:space="0"/>
            </w:tcBorders>
            <w:shd w:val="clear" w:color="auto" w:fill="auto"/>
            <w:noWrap/>
            <w:vAlign w:val="center"/>
          </w:tcPr>
          <w:p w14:paraId="3554493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30225</w:t>
            </w:r>
          </w:p>
        </w:tc>
        <w:tc>
          <w:tcPr>
            <w:tcW w:w="2018" w:type="dxa"/>
            <w:tcBorders>
              <w:top w:val="nil"/>
              <w:left w:val="nil"/>
              <w:bottom w:val="single" w:color="auto" w:sz="4" w:space="0"/>
              <w:right w:val="single" w:color="auto" w:sz="4" w:space="0"/>
            </w:tcBorders>
            <w:shd w:val="clear" w:color="auto" w:fill="auto"/>
            <w:noWrap/>
            <w:vAlign w:val="center"/>
          </w:tcPr>
          <w:p w14:paraId="2587AA3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专用燃料费</w:t>
            </w:r>
          </w:p>
        </w:tc>
        <w:tc>
          <w:tcPr>
            <w:tcW w:w="933" w:type="dxa"/>
            <w:tcBorders>
              <w:top w:val="nil"/>
              <w:left w:val="nil"/>
              <w:bottom w:val="single" w:color="auto" w:sz="4" w:space="0"/>
              <w:right w:val="single" w:color="auto" w:sz="4" w:space="0"/>
            </w:tcBorders>
            <w:shd w:val="clear" w:color="auto" w:fill="auto"/>
            <w:noWrap/>
            <w:vAlign w:val="center"/>
          </w:tcPr>
          <w:p w14:paraId="06B22A92">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217" w:type="dxa"/>
            <w:tcBorders>
              <w:top w:val="nil"/>
              <w:left w:val="nil"/>
              <w:bottom w:val="single" w:color="auto" w:sz="4" w:space="0"/>
              <w:right w:val="single" w:color="auto" w:sz="4" w:space="0"/>
            </w:tcBorders>
            <w:shd w:val="clear" w:color="auto" w:fill="auto"/>
            <w:noWrap/>
            <w:vAlign w:val="center"/>
          </w:tcPr>
          <w:p w14:paraId="40AF5A0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31099</w:t>
            </w:r>
          </w:p>
        </w:tc>
        <w:tc>
          <w:tcPr>
            <w:tcW w:w="3274" w:type="dxa"/>
            <w:tcBorders>
              <w:top w:val="nil"/>
              <w:left w:val="nil"/>
              <w:bottom w:val="single" w:color="auto" w:sz="4" w:space="0"/>
              <w:right w:val="single" w:color="auto" w:sz="4" w:space="0"/>
            </w:tcBorders>
            <w:shd w:val="clear" w:color="auto" w:fill="auto"/>
            <w:noWrap/>
            <w:vAlign w:val="center"/>
          </w:tcPr>
          <w:p w14:paraId="0E9D796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其他资本性支出</w:t>
            </w:r>
          </w:p>
        </w:tc>
        <w:tc>
          <w:tcPr>
            <w:tcW w:w="1172" w:type="dxa"/>
            <w:tcBorders>
              <w:top w:val="nil"/>
              <w:left w:val="nil"/>
              <w:bottom w:val="single" w:color="auto" w:sz="4" w:space="0"/>
              <w:right w:val="single" w:color="auto" w:sz="4" w:space="0"/>
            </w:tcBorders>
            <w:shd w:val="clear" w:color="auto" w:fill="auto"/>
            <w:noWrap/>
            <w:vAlign w:val="center"/>
          </w:tcPr>
          <w:p w14:paraId="7357EDBF">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446B707C">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30C99D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30306</w:t>
            </w:r>
          </w:p>
        </w:tc>
        <w:tc>
          <w:tcPr>
            <w:tcW w:w="2427" w:type="dxa"/>
            <w:tcBorders>
              <w:top w:val="nil"/>
              <w:left w:val="nil"/>
              <w:bottom w:val="single" w:color="auto" w:sz="4" w:space="0"/>
              <w:right w:val="single" w:color="auto" w:sz="4" w:space="0"/>
            </w:tcBorders>
            <w:shd w:val="clear" w:color="auto" w:fill="auto"/>
            <w:noWrap/>
            <w:vAlign w:val="center"/>
          </w:tcPr>
          <w:p w14:paraId="4545B8C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救济费</w:t>
            </w:r>
          </w:p>
        </w:tc>
        <w:tc>
          <w:tcPr>
            <w:tcW w:w="1200" w:type="dxa"/>
            <w:tcBorders>
              <w:top w:val="nil"/>
              <w:left w:val="nil"/>
              <w:bottom w:val="single" w:color="auto" w:sz="4" w:space="0"/>
              <w:right w:val="single" w:color="auto" w:sz="4" w:space="0"/>
            </w:tcBorders>
            <w:shd w:val="clear" w:color="auto" w:fill="auto"/>
            <w:noWrap/>
            <w:vAlign w:val="center"/>
          </w:tcPr>
          <w:p w14:paraId="7B4236A8">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305" w:type="dxa"/>
            <w:tcBorders>
              <w:top w:val="nil"/>
              <w:left w:val="nil"/>
              <w:bottom w:val="single" w:color="auto" w:sz="4" w:space="0"/>
              <w:right w:val="single" w:color="auto" w:sz="4" w:space="0"/>
            </w:tcBorders>
            <w:shd w:val="clear" w:color="auto" w:fill="auto"/>
            <w:noWrap/>
            <w:vAlign w:val="center"/>
          </w:tcPr>
          <w:p w14:paraId="17BDA63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30226</w:t>
            </w:r>
          </w:p>
        </w:tc>
        <w:tc>
          <w:tcPr>
            <w:tcW w:w="2018" w:type="dxa"/>
            <w:tcBorders>
              <w:top w:val="nil"/>
              <w:left w:val="nil"/>
              <w:bottom w:val="single" w:color="auto" w:sz="4" w:space="0"/>
              <w:right w:val="single" w:color="auto" w:sz="4" w:space="0"/>
            </w:tcBorders>
            <w:shd w:val="clear" w:color="auto" w:fill="auto"/>
            <w:noWrap/>
            <w:vAlign w:val="center"/>
          </w:tcPr>
          <w:p w14:paraId="33CC0A1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劳务费</w:t>
            </w:r>
          </w:p>
        </w:tc>
        <w:tc>
          <w:tcPr>
            <w:tcW w:w="933" w:type="dxa"/>
            <w:tcBorders>
              <w:top w:val="nil"/>
              <w:left w:val="nil"/>
              <w:bottom w:val="single" w:color="auto" w:sz="4" w:space="0"/>
              <w:right w:val="single" w:color="auto" w:sz="4" w:space="0"/>
            </w:tcBorders>
            <w:shd w:val="clear" w:color="auto" w:fill="auto"/>
            <w:noWrap/>
            <w:vAlign w:val="center"/>
          </w:tcPr>
          <w:p w14:paraId="572C2466">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21.17</w:t>
            </w:r>
          </w:p>
        </w:tc>
        <w:tc>
          <w:tcPr>
            <w:tcW w:w="1217" w:type="dxa"/>
            <w:tcBorders>
              <w:top w:val="nil"/>
              <w:left w:val="nil"/>
              <w:bottom w:val="single" w:color="auto" w:sz="4" w:space="0"/>
              <w:right w:val="single" w:color="auto" w:sz="4" w:space="0"/>
            </w:tcBorders>
            <w:shd w:val="clear" w:color="auto" w:fill="auto"/>
            <w:noWrap/>
            <w:vAlign w:val="center"/>
          </w:tcPr>
          <w:p w14:paraId="5E94893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w:t>
            </w:r>
          </w:p>
        </w:tc>
        <w:tc>
          <w:tcPr>
            <w:tcW w:w="3274" w:type="dxa"/>
            <w:tcBorders>
              <w:top w:val="nil"/>
              <w:left w:val="nil"/>
              <w:bottom w:val="single" w:color="auto" w:sz="4" w:space="0"/>
              <w:right w:val="single" w:color="auto" w:sz="4" w:space="0"/>
            </w:tcBorders>
            <w:shd w:val="clear" w:color="auto" w:fill="auto"/>
            <w:noWrap/>
            <w:vAlign w:val="center"/>
          </w:tcPr>
          <w:p w14:paraId="23912EA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其他支出</w:t>
            </w:r>
          </w:p>
        </w:tc>
        <w:tc>
          <w:tcPr>
            <w:tcW w:w="1172" w:type="dxa"/>
            <w:tcBorders>
              <w:top w:val="nil"/>
              <w:left w:val="nil"/>
              <w:bottom w:val="single" w:color="auto" w:sz="4" w:space="0"/>
              <w:right w:val="single" w:color="auto" w:sz="4" w:space="0"/>
            </w:tcBorders>
            <w:shd w:val="clear" w:color="auto" w:fill="auto"/>
            <w:noWrap/>
            <w:vAlign w:val="center"/>
          </w:tcPr>
          <w:p w14:paraId="283723F1">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3459C607">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36C9EE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30307</w:t>
            </w:r>
          </w:p>
        </w:tc>
        <w:tc>
          <w:tcPr>
            <w:tcW w:w="2427" w:type="dxa"/>
            <w:tcBorders>
              <w:top w:val="nil"/>
              <w:left w:val="nil"/>
              <w:bottom w:val="single" w:color="auto" w:sz="4" w:space="0"/>
              <w:right w:val="single" w:color="auto" w:sz="4" w:space="0"/>
            </w:tcBorders>
            <w:shd w:val="clear" w:color="auto" w:fill="auto"/>
            <w:noWrap/>
            <w:vAlign w:val="center"/>
          </w:tcPr>
          <w:p w14:paraId="0D9CB13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医疗费补助</w:t>
            </w:r>
          </w:p>
        </w:tc>
        <w:tc>
          <w:tcPr>
            <w:tcW w:w="1200" w:type="dxa"/>
            <w:tcBorders>
              <w:top w:val="nil"/>
              <w:left w:val="nil"/>
              <w:bottom w:val="single" w:color="auto" w:sz="4" w:space="0"/>
              <w:right w:val="single" w:color="auto" w:sz="4" w:space="0"/>
            </w:tcBorders>
            <w:shd w:val="clear" w:color="auto" w:fill="auto"/>
            <w:noWrap/>
            <w:vAlign w:val="center"/>
          </w:tcPr>
          <w:p w14:paraId="3DD60394">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305" w:type="dxa"/>
            <w:tcBorders>
              <w:top w:val="nil"/>
              <w:left w:val="nil"/>
              <w:bottom w:val="single" w:color="auto" w:sz="4" w:space="0"/>
              <w:right w:val="single" w:color="auto" w:sz="4" w:space="0"/>
            </w:tcBorders>
            <w:shd w:val="clear" w:color="auto" w:fill="auto"/>
            <w:noWrap/>
            <w:vAlign w:val="center"/>
          </w:tcPr>
          <w:p w14:paraId="482379D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30227</w:t>
            </w:r>
          </w:p>
        </w:tc>
        <w:tc>
          <w:tcPr>
            <w:tcW w:w="2018" w:type="dxa"/>
            <w:tcBorders>
              <w:top w:val="nil"/>
              <w:left w:val="nil"/>
              <w:bottom w:val="single" w:color="auto" w:sz="4" w:space="0"/>
              <w:right w:val="single" w:color="auto" w:sz="4" w:space="0"/>
            </w:tcBorders>
            <w:shd w:val="clear" w:color="auto" w:fill="auto"/>
            <w:noWrap/>
            <w:vAlign w:val="center"/>
          </w:tcPr>
          <w:p w14:paraId="58674B3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委托业务费</w:t>
            </w:r>
          </w:p>
        </w:tc>
        <w:tc>
          <w:tcPr>
            <w:tcW w:w="933" w:type="dxa"/>
            <w:tcBorders>
              <w:top w:val="nil"/>
              <w:left w:val="nil"/>
              <w:bottom w:val="single" w:color="auto" w:sz="4" w:space="0"/>
              <w:right w:val="single" w:color="auto" w:sz="4" w:space="0"/>
            </w:tcBorders>
            <w:shd w:val="clear" w:color="auto" w:fill="auto"/>
            <w:noWrap/>
            <w:vAlign w:val="center"/>
          </w:tcPr>
          <w:p w14:paraId="5D226E69">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217" w:type="dxa"/>
            <w:tcBorders>
              <w:top w:val="nil"/>
              <w:left w:val="nil"/>
              <w:bottom w:val="single" w:color="auto" w:sz="4" w:space="0"/>
              <w:right w:val="single" w:color="auto" w:sz="4" w:space="0"/>
            </w:tcBorders>
            <w:shd w:val="clear" w:color="auto" w:fill="auto"/>
            <w:noWrap/>
            <w:vAlign w:val="center"/>
          </w:tcPr>
          <w:p w14:paraId="0E08201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39907</w:t>
            </w:r>
          </w:p>
        </w:tc>
        <w:tc>
          <w:tcPr>
            <w:tcW w:w="3274" w:type="dxa"/>
            <w:tcBorders>
              <w:top w:val="nil"/>
              <w:left w:val="nil"/>
              <w:bottom w:val="single" w:color="auto" w:sz="4" w:space="0"/>
              <w:right w:val="single" w:color="auto" w:sz="4" w:space="0"/>
            </w:tcBorders>
            <w:shd w:val="clear" w:color="auto" w:fill="auto"/>
            <w:noWrap/>
            <w:vAlign w:val="center"/>
          </w:tcPr>
          <w:p w14:paraId="4A1ADE8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国家赔偿费用支出</w:t>
            </w:r>
          </w:p>
        </w:tc>
        <w:tc>
          <w:tcPr>
            <w:tcW w:w="1172" w:type="dxa"/>
            <w:tcBorders>
              <w:top w:val="nil"/>
              <w:left w:val="nil"/>
              <w:bottom w:val="single" w:color="auto" w:sz="4" w:space="0"/>
              <w:right w:val="single" w:color="auto" w:sz="4" w:space="0"/>
            </w:tcBorders>
            <w:shd w:val="clear" w:color="auto" w:fill="auto"/>
            <w:noWrap/>
            <w:vAlign w:val="center"/>
          </w:tcPr>
          <w:p w14:paraId="4CB753D1">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1EC11E87">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C496D1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30308</w:t>
            </w:r>
          </w:p>
        </w:tc>
        <w:tc>
          <w:tcPr>
            <w:tcW w:w="2427" w:type="dxa"/>
            <w:tcBorders>
              <w:top w:val="nil"/>
              <w:left w:val="nil"/>
              <w:bottom w:val="single" w:color="auto" w:sz="4" w:space="0"/>
              <w:right w:val="single" w:color="auto" w:sz="4" w:space="0"/>
            </w:tcBorders>
            <w:shd w:val="clear" w:color="auto" w:fill="auto"/>
            <w:noWrap/>
            <w:vAlign w:val="center"/>
          </w:tcPr>
          <w:p w14:paraId="5FC7581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助学金</w:t>
            </w:r>
          </w:p>
        </w:tc>
        <w:tc>
          <w:tcPr>
            <w:tcW w:w="1200" w:type="dxa"/>
            <w:tcBorders>
              <w:top w:val="nil"/>
              <w:left w:val="nil"/>
              <w:bottom w:val="single" w:color="auto" w:sz="4" w:space="0"/>
              <w:right w:val="single" w:color="auto" w:sz="4" w:space="0"/>
            </w:tcBorders>
            <w:shd w:val="clear" w:color="auto" w:fill="auto"/>
            <w:noWrap/>
            <w:vAlign w:val="center"/>
          </w:tcPr>
          <w:p w14:paraId="5DE22EEC">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305" w:type="dxa"/>
            <w:tcBorders>
              <w:top w:val="nil"/>
              <w:left w:val="nil"/>
              <w:bottom w:val="single" w:color="auto" w:sz="4" w:space="0"/>
              <w:right w:val="single" w:color="auto" w:sz="4" w:space="0"/>
            </w:tcBorders>
            <w:shd w:val="clear" w:color="auto" w:fill="auto"/>
            <w:noWrap/>
            <w:vAlign w:val="center"/>
          </w:tcPr>
          <w:p w14:paraId="3FB0665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30228</w:t>
            </w:r>
          </w:p>
        </w:tc>
        <w:tc>
          <w:tcPr>
            <w:tcW w:w="2018" w:type="dxa"/>
            <w:tcBorders>
              <w:top w:val="nil"/>
              <w:left w:val="nil"/>
              <w:bottom w:val="single" w:color="auto" w:sz="4" w:space="0"/>
              <w:right w:val="single" w:color="auto" w:sz="4" w:space="0"/>
            </w:tcBorders>
            <w:shd w:val="clear" w:color="auto" w:fill="auto"/>
            <w:noWrap/>
            <w:vAlign w:val="center"/>
          </w:tcPr>
          <w:p w14:paraId="58536B5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工会经费</w:t>
            </w:r>
          </w:p>
        </w:tc>
        <w:tc>
          <w:tcPr>
            <w:tcW w:w="933" w:type="dxa"/>
            <w:tcBorders>
              <w:top w:val="nil"/>
              <w:left w:val="nil"/>
              <w:bottom w:val="single" w:color="auto" w:sz="4" w:space="0"/>
              <w:right w:val="single" w:color="auto" w:sz="4" w:space="0"/>
            </w:tcBorders>
            <w:shd w:val="clear" w:color="auto" w:fill="auto"/>
            <w:noWrap/>
            <w:vAlign w:val="center"/>
          </w:tcPr>
          <w:p w14:paraId="3F7DC02C">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46.18</w:t>
            </w:r>
          </w:p>
        </w:tc>
        <w:tc>
          <w:tcPr>
            <w:tcW w:w="1217" w:type="dxa"/>
            <w:tcBorders>
              <w:top w:val="nil"/>
              <w:left w:val="nil"/>
              <w:bottom w:val="single" w:color="auto" w:sz="4" w:space="0"/>
              <w:right w:val="single" w:color="auto" w:sz="4" w:space="0"/>
            </w:tcBorders>
            <w:shd w:val="clear" w:color="auto" w:fill="auto"/>
            <w:noWrap/>
            <w:vAlign w:val="center"/>
          </w:tcPr>
          <w:p w14:paraId="0A838ED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39908</w:t>
            </w:r>
          </w:p>
        </w:tc>
        <w:tc>
          <w:tcPr>
            <w:tcW w:w="3274" w:type="dxa"/>
            <w:tcBorders>
              <w:top w:val="nil"/>
              <w:left w:val="nil"/>
              <w:bottom w:val="single" w:color="auto" w:sz="4" w:space="0"/>
              <w:right w:val="single" w:color="auto" w:sz="4" w:space="0"/>
            </w:tcBorders>
            <w:shd w:val="clear" w:color="auto" w:fill="auto"/>
            <w:noWrap/>
            <w:vAlign w:val="center"/>
          </w:tcPr>
          <w:p w14:paraId="2CE8825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对民间非营利组织和群众性自治组织补贴</w:t>
            </w:r>
          </w:p>
        </w:tc>
        <w:tc>
          <w:tcPr>
            <w:tcW w:w="1172" w:type="dxa"/>
            <w:tcBorders>
              <w:top w:val="nil"/>
              <w:left w:val="nil"/>
              <w:bottom w:val="single" w:color="auto" w:sz="4" w:space="0"/>
              <w:right w:val="single" w:color="auto" w:sz="4" w:space="0"/>
            </w:tcBorders>
            <w:shd w:val="clear" w:color="auto" w:fill="auto"/>
            <w:noWrap/>
            <w:vAlign w:val="center"/>
          </w:tcPr>
          <w:p w14:paraId="302AB12F">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75AB869A">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94061F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30309</w:t>
            </w:r>
          </w:p>
        </w:tc>
        <w:tc>
          <w:tcPr>
            <w:tcW w:w="2427" w:type="dxa"/>
            <w:tcBorders>
              <w:top w:val="nil"/>
              <w:left w:val="nil"/>
              <w:bottom w:val="single" w:color="auto" w:sz="4" w:space="0"/>
              <w:right w:val="single" w:color="auto" w:sz="4" w:space="0"/>
            </w:tcBorders>
            <w:shd w:val="clear" w:color="auto" w:fill="auto"/>
            <w:noWrap/>
            <w:vAlign w:val="center"/>
          </w:tcPr>
          <w:p w14:paraId="3B2BBDD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奖励金</w:t>
            </w:r>
          </w:p>
        </w:tc>
        <w:tc>
          <w:tcPr>
            <w:tcW w:w="1200" w:type="dxa"/>
            <w:tcBorders>
              <w:top w:val="nil"/>
              <w:left w:val="nil"/>
              <w:bottom w:val="single" w:color="auto" w:sz="4" w:space="0"/>
              <w:right w:val="single" w:color="auto" w:sz="4" w:space="0"/>
            </w:tcBorders>
            <w:shd w:val="clear" w:color="auto" w:fill="auto"/>
            <w:noWrap/>
            <w:vAlign w:val="center"/>
          </w:tcPr>
          <w:p w14:paraId="7143A19D">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2.88</w:t>
            </w:r>
          </w:p>
        </w:tc>
        <w:tc>
          <w:tcPr>
            <w:tcW w:w="1305" w:type="dxa"/>
            <w:tcBorders>
              <w:top w:val="nil"/>
              <w:left w:val="nil"/>
              <w:bottom w:val="single" w:color="auto" w:sz="4" w:space="0"/>
              <w:right w:val="single" w:color="auto" w:sz="4" w:space="0"/>
            </w:tcBorders>
            <w:shd w:val="clear" w:color="auto" w:fill="auto"/>
            <w:noWrap/>
            <w:vAlign w:val="center"/>
          </w:tcPr>
          <w:p w14:paraId="555BBCE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30229</w:t>
            </w:r>
          </w:p>
        </w:tc>
        <w:tc>
          <w:tcPr>
            <w:tcW w:w="2018" w:type="dxa"/>
            <w:tcBorders>
              <w:top w:val="nil"/>
              <w:left w:val="nil"/>
              <w:bottom w:val="single" w:color="auto" w:sz="4" w:space="0"/>
              <w:right w:val="single" w:color="auto" w:sz="4" w:space="0"/>
            </w:tcBorders>
            <w:shd w:val="clear" w:color="auto" w:fill="auto"/>
            <w:noWrap/>
            <w:vAlign w:val="center"/>
          </w:tcPr>
          <w:p w14:paraId="0206AB6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福利费</w:t>
            </w:r>
          </w:p>
        </w:tc>
        <w:tc>
          <w:tcPr>
            <w:tcW w:w="933" w:type="dxa"/>
            <w:tcBorders>
              <w:top w:val="nil"/>
              <w:left w:val="nil"/>
              <w:bottom w:val="single" w:color="auto" w:sz="4" w:space="0"/>
              <w:right w:val="single" w:color="auto" w:sz="4" w:space="0"/>
            </w:tcBorders>
            <w:shd w:val="clear" w:color="auto" w:fill="auto"/>
            <w:noWrap/>
            <w:vAlign w:val="center"/>
          </w:tcPr>
          <w:p w14:paraId="17D00638">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52.43</w:t>
            </w:r>
          </w:p>
        </w:tc>
        <w:tc>
          <w:tcPr>
            <w:tcW w:w="1217" w:type="dxa"/>
            <w:tcBorders>
              <w:top w:val="nil"/>
              <w:left w:val="nil"/>
              <w:bottom w:val="single" w:color="auto" w:sz="4" w:space="0"/>
              <w:right w:val="single" w:color="auto" w:sz="4" w:space="0"/>
            </w:tcBorders>
            <w:shd w:val="clear" w:color="auto" w:fill="auto"/>
            <w:noWrap/>
            <w:vAlign w:val="center"/>
          </w:tcPr>
          <w:p w14:paraId="0FCB472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39909</w:t>
            </w:r>
          </w:p>
        </w:tc>
        <w:tc>
          <w:tcPr>
            <w:tcW w:w="3274" w:type="dxa"/>
            <w:tcBorders>
              <w:top w:val="nil"/>
              <w:left w:val="nil"/>
              <w:bottom w:val="single" w:color="auto" w:sz="4" w:space="0"/>
              <w:right w:val="single" w:color="auto" w:sz="4" w:space="0"/>
            </w:tcBorders>
            <w:shd w:val="clear" w:color="auto" w:fill="auto"/>
            <w:noWrap/>
            <w:vAlign w:val="center"/>
          </w:tcPr>
          <w:p w14:paraId="057C063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经常性赠与</w:t>
            </w:r>
          </w:p>
          <w:p w14:paraId="349E2B9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p w14:paraId="571D2416">
            <w:pPr>
              <w:widowControl/>
              <w:jc w:val="left"/>
              <w:rPr>
                <w:rFonts w:ascii="Times New Roman" w:hAnsi="Times New Roman" w:eastAsia="仿宋_GB2312" w:cs="Times New Roman"/>
                <w:color w:val="000000"/>
                <w:kern w:val="0"/>
                <w:szCs w:val="20"/>
              </w:rPr>
            </w:pPr>
          </w:p>
          <w:tbl>
            <w:tblPr>
              <w:tblStyle w:val="10"/>
              <w:tblW w:w="3946" w:type="dxa"/>
              <w:tblInd w:w="0" w:type="dxa"/>
              <w:tblLayout w:type="fixed"/>
              <w:tblCellMar>
                <w:top w:w="0" w:type="dxa"/>
                <w:left w:w="108" w:type="dxa"/>
                <w:bottom w:w="0" w:type="dxa"/>
                <w:right w:w="108" w:type="dxa"/>
              </w:tblCellMar>
            </w:tblPr>
            <w:tblGrid>
              <w:gridCol w:w="3946"/>
            </w:tblGrid>
            <w:tr w14:paraId="7134075B">
              <w:tblPrEx>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B68418">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经常性赠与</w:t>
                  </w:r>
                </w:p>
              </w:tc>
            </w:tr>
            <w:tr w14:paraId="7A8E3785">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D9D3D3">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资本性赠与</w:t>
                  </w:r>
                </w:p>
              </w:tc>
            </w:tr>
          </w:tbl>
          <w:p w14:paraId="050138A5">
            <w:pPr>
              <w:widowControl/>
              <w:jc w:val="left"/>
              <w:rPr>
                <w:rFonts w:ascii="Times New Roman" w:hAnsi="Times New Roman" w:eastAsia="仿宋_GB2312" w:cs="Times New Roman"/>
                <w:color w:val="000000"/>
                <w:kern w:val="0"/>
                <w:szCs w:val="20"/>
              </w:rPr>
            </w:pPr>
          </w:p>
          <w:tbl>
            <w:tblPr>
              <w:tblStyle w:val="10"/>
              <w:tblW w:w="3946" w:type="dxa"/>
              <w:tblInd w:w="0" w:type="dxa"/>
              <w:tblLayout w:type="fixed"/>
              <w:tblCellMar>
                <w:top w:w="0" w:type="dxa"/>
                <w:left w:w="108" w:type="dxa"/>
                <w:bottom w:w="0" w:type="dxa"/>
                <w:right w:w="108" w:type="dxa"/>
              </w:tblCellMar>
            </w:tblPr>
            <w:tblGrid>
              <w:gridCol w:w="3946"/>
            </w:tblGrid>
            <w:tr w14:paraId="0991C3E4">
              <w:tblPrEx>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7F0678">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经常性赠与</w:t>
                  </w:r>
                </w:p>
              </w:tc>
            </w:tr>
            <w:tr w14:paraId="04BEADD1">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D3F0DB">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资本性赠与</w:t>
                  </w:r>
                </w:p>
              </w:tc>
            </w:tr>
          </w:tbl>
          <w:p w14:paraId="1B70DB25">
            <w:pPr>
              <w:widowControl/>
              <w:jc w:val="left"/>
              <w:rPr>
                <w:rFonts w:ascii="Times New Roman" w:hAnsi="Times New Roman" w:eastAsia="仿宋_GB2312" w:cs="Times New Roman"/>
                <w:color w:val="000000"/>
                <w:kern w:val="0"/>
                <w:szCs w:val="20"/>
              </w:rPr>
            </w:pPr>
          </w:p>
        </w:tc>
        <w:tc>
          <w:tcPr>
            <w:tcW w:w="1172" w:type="dxa"/>
            <w:tcBorders>
              <w:top w:val="nil"/>
              <w:left w:val="nil"/>
              <w:bottom w:val="single" w:color="auto" w:sz="4" w:space="0"/>
              <w:right w:val="single" w:color="auto" w:sz="4" w:space="0"/>
            </w:tcBorders>
            <w:shd w:val="clear" w:color="auto" w:fill="auto"/>
            <w:noWrap/>
            <w:vAlign w:val="center"/>
          </w:tcPr>
          <w:p w14:paraId="1A1C6627">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7BBE88DE">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39B4C0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30310</w:t>
            </w:r>
          </w:p>
        </w:tc>
        <w:tc>
          <w:tcPr>
            <w:tcW w:w="2427" w:type="dxa"/>
            <w:tcBorders>
              <w:top w:val="nil"/>
              <w:left w:val="nil"/>
              <w:bottom w:val="single" w:color="auto" w:sz="4" w:space="0"/>
              <w:right w:val="single" w:color="auto" w:sz="4" w:space="0"/>
            </w:tcBorders>
            <w:shd w:val="clear" w:color="auto" w:fill="auto"/>
            <w:noWrap/>
            <w:vAlign w:val="center"/>
          </w:tcPr>
          <w:p w14:paraId="34BB783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个人农业生产补贴</w:t>
            </w:r>
          </w:p>
        </w:tc>
        <w:tc>
          <w:tcPr>
            <w:tcW w:w="1200" w:type="dxa"/>
            <w:tcBorders>
              <w:top w:val="nil"/>
              <w:left w:val="nil"/>
              <w:bottom w:val="single" w:color="auto" w:sz="4" w:space="0"/>
              <w:right w:val="single" w:color="auto" w:sz="4" w:space="0"/>
            </w:tcBorders>
            <w:shd w:val="clear" w:color="auto" w:fill="auto"/>
            <w:noWrap/>
            <w:vAlign w:val="center"/>
          </w:tcPr>
          <w:p w14:paraId="4D8BC55D">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305" w:type="dxa"/>
            <w:tcBorders>
              <w:top w:val="nil"/>
              <w:left w:val="nil"/>
              <w:bottom w:val="single" w:color="auto" w:sz="4" w:space="0"/>
              <w:right w:val="single" w:color="auto" w:sz="4" w:space="0"/>
            </w:tcBorders>
            <w:shd w:val="clear" w:color="auto" w:fill="auto"/>
            <w:noWrap/>
            <w:vAlign w:val="center"/>
          </w:tcPr>
          <w:p w14:paraId="7A90010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30231</w:t>
            </w:r>
          </w:p>
        </w:tc>
        <w:tc>
          <w:tcPr>
            <w:tcW w:w="2018" w:type="dxa"/>
            <w:tcBorders>
              <w:top w:val="nil"/>
              <w:left w:val="nil"/>
              <w:bottom w:val="single" w:color="auto" w:sz="4" w:space="0"/>
              <w:right w:val="single" w:color="auto" w:sz="4" w:space="0"/>
            </w:tcBorders>
            <w:shd w:val="clear" w:color="auto" w:fill="auto"/>
            <w:noWrap/>
            <w:vAlign w:val="center"/>
          </w:tcPr>
          <w:p w14:paraId="16FAEC9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公务用车运行维护费</w:t>
            </w:r>
          </w:p>
        </w:tc>
        <w:tc>
          <w:tcPr>
            <w:tcW w:w="933" w:type="dxa"/>
            <w:tcBorders>
              <w:top w:val="nil"/>
              <w:left w:val="nil"/>
              <w:bottom w:val="single" w:color="auto" w:sz="4" w:space="0"/>
              <w:right w:val="single" w:color="auto" w:sz="4" w:space="0"/>
            </w:tcBorders>
            <w:shd w:val="clear" w:color="auto" w:fill="auto"/>
            <w:noWrap/>
            <w:vAlign w:val="center"/>
          </w:tcPr>
          <w:p w14:paraId="5E7DF1D3">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21.00</w:t>
            </w:r>
          </w:p>
        </w:tc>
        <w:tc>
          <w:tcPr>
            <w:tcW w:w="1217" w:type="dxa"/>
            <w:tcBorders>
              <w:top w:val="nil"/>
              <w:left w:val="nil"/>
              <w:bottom w:val="single" w:color="auto" w:sz="4" w:space="0"/>
              <w:right w:val="single" w:color="auto" w:sz="4" w:space="0"/>
            </w:tcBorders>
            <w:shd w:val="clear" w:color="auto" w:fill="auto"/>
            <w:noWrap/>
            <w:vAlign w:val="center"/>
          </w:tcPr>
          <w:p w14:paraId="0B31E5B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39910</w:t>
            </w:r>
          </w:p>
        </w:tc>
        <w:tc>
          <w:tcPr>
            <w:tcW w:w="3274" w:type="dxa"/>
            <w:tcBorders>
              <w:top w:val="nil"/>
              <w:left w:val="nil"/>
              <w:bottom w:val="single" w:color="auto" w:sz="4" w:space="0"/>
              <w:right w:val="single" w:color="auto" w:sz="4" w:space="0"/>
            </w:tcBorders>
            <w:shd w:val="clear" w:color="auto" w:fill="auto"/>
            <w:noWrap/>
            <w:vAlign w:val="center"/>
          </w:tcPr>
          <w:p w14:paraId="2588BCE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tc>
        <w:tc>
          <w:tcPr>
            <w:tcW w:w="1172" w:type="dxa"/>
            <w:tcBorders>
              <w:top w:val="nil"/>
              <w:left w:val="nil"/>
              <w:bottom w:val="single" w:color="auto" w:sz="4" w:space="0"/>
              <w:right w:val="single" w:color="auto" w:sz="4" w:space="0"/>
            </w:tcBorders>
            <w:shd w:val="clear" w:color="auto" w:fill="auto"/>
            <w:noWrap/>
            <w:vAlign w:val="center"/>
          </w:tcPr>
          <w:p w14:paraId="090D9F63">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3438E31B">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560579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30311</w:t>
            </w:r>
          </w:p>
        </w:tc>
        <w:tc>
          <w:tcPr>
            <w:tcW w:w="2427" w:type="dxa"/>
            <w:tcBorders>
              <w:top w:val="nil"/>
              <w:left w:val="nil"/>
              <w:bottom w:val="single" w:color="auto" w:sz="4" w:space="0"/>
              <w:right w:val="single" w:color="auto" w:sz="4" w:space="0"/>
            </w:tcBorders>
            <w:shd w:val="clear" w:color="auto" w:fill="auto"/>
            <w:noWrap/>
            <w:vAlign w:val="center"/>
          </w:tcPr>
          <w:p w14:paraId="13E77F6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代缴社会保险费</w:t>
            </w:r>
          </w:p>
        </w:tc>
        <w:tc>
          <w:tcPr>
            <w:tcW w:w="1200" w:type="dxa"/>
            <w:tcBorders>
              <w:top w:val="nil"/>
              <w:left w:val="nil"/>
              <w:bottom w:val="single" w:color="auto" w:sz="4" w:space="0"/>
              <w:right w:val="single" w:color="auto" w:sz="4" w:space="0"/>
            </w:tcBorders>
            <w:shd w:val="clear" w:color="auto" w:fill="auto"/>
            <w:noWrap/>
            <w:vAlign w:val="center"/>
          </w:tcPr>
          <w:p w14:paraId="42E2547B">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305" w:type="dxa"/>
            <w:tcBorders>
              <w:top w:val="nil"/>
              <w:left w:val="nil"/>
              <w:bottom w:val="single" w:color="auto" w:sz="4" w:space="0"/>
              <w:right w:val="single" w:color="auto" w:sz="4" w:space="0"/>
            </w:tcBorders>
            <w:shd w:val="clear" w:color="auto" w:fill="auto"/>
            <w:noWrap/>
            <w:vAlign w:val="center"/>
          </w:tcPr>
          <w:p w14:paraId="0BE19AF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30239</w:t>
            </w:r>
          </w:p>
        </w:tc>
        <w:tc>
          <w:tcPr>
            <w:tcW w:w="2018" w:type="dxa"/>
            <w:tcBorders>
              <w:top w:val="nil"/>
              <w:left w:val="nil"/>
              <w:bottom w:val="single" w:color="auto" w:sz="4" w:space="0"/>
              <w:right w:val="single" w:color="auto" w:sz="4" w:space="0"/>
            </w:tcBorders>
            <w:shd w:val="clear" w:color="auto" w:fill="auto"/>
            <w:noWrap/>
            <w:vAlign w:val="center"/>
          </w:tcPr>
          <w:p w14:paraId="54F54E2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其他交通费用</w:t>
            </w:r>
          </w:p>
        </w:tc>
        <w:tc>
          <w:tcPr>
            <w:tcW w:w="933" w:type="dxa"/>
            <w:tcBorders>
              <w:top w:val="nil"/>
              <w:left w:val="nil"/>
              <w:bottom w:val="single" w:color="auto" w:sz="4" w:space="0"/>
              <w:right w:val="single" w:color="auto" w:sz="4" w:space="0"/>
            </w:tcBorders>
            <w:shd w:val="clear" w:color="auto" w:fill="auto"/>
            <w:noWrap/>
            <w:vAlign w:val="center"/>
          </w:tcPr>
          <w:p w14:paraId="46161526">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11.25</w:t>
            </w:r>
          </w:p>
        </w:tc>
        <w:tc>
          <w:tcPr>
            <w:tcW w:w="1217" w:type="dxa"/>
            <w:tcBorders>
              <w:top w:val="nil"/>
              <w:left w:val="nil"/>
              <w:bottom w:val="single" w:color="auto" w:sz="4" w:space="0"/>
              <w:right w:val="single" w:color="auto" w:sz="4" w:space="0"/>
            </w:tcBorders>
            <w:shd w:val="clear" w:color="auto" w:fill="auto"/>
            <w:noWrap/>
            <w:vAlign w:val="center"/>
          </w:tcPr>
          <w:p w14:paraId="4BA68DC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39999</w:t>
            </w:r>
          </w:p>
        </w:tc>
        <w:tc>
          <w:tcPr>
            <w:tcW w:w="3274" w:type="dxa"/>
            <w:tcBorders>
              <w:top w:val="nil"/>
              <w:left w:val="nil"/>
              <w:bottom w:val="single" w:color="auto" w:sz="4" w:space="0"/>
              <w:right w:val="single" w:color="auto" w:sz="4" w:space="0"/>
            </w:tcBorders>
            <w:shd w:val="clear" w:color="auto" w:fill="auto"/>
            <w:noWrap/>
            <w:vAlign w:val="center"/>
          </w:tcPr>
          <w:p w14:paraId="2F1BEC3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其他支出</w:t>
            </w:r>
          </w:p>
        </w:tc>
        <w:tc>
          <w:tcPr>
            <w:tcW w:w="1172" w:type="dxa"/>
            <w:tcBorders>
              <w:top w:val="nil"/>
              <w:left w:val="nil"/>
              <w:bottom w:val="single" w:color="auto" w:sz="4" w:space="0"/>
              <w:right w:val="single" w:color="auto" w:sz="4" w:space="0"/>
            </w:tcBorders>
            <w:shd w:val="clear" w:color="auto" w:fill="auto"/>
            <w:noWrap/>
            <w:vAlign w:val="center"/>
          </w:tcPr>
          <w:p w14:paraId="44203D19">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4F155B7C">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56358A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30399</w:t>
            </w:r>
          </w:p>
        </w:tc>
        <w:tc>
          <w:tcPr>
            <w:tcW w:w="2427" w:type="dxa"/>
            <w:tcBorders>
              <w:top w:val="nil"/>
              <w:left w:val="nil"/>
              <w:bottom w:val="single" w:color="auto" w:sz="4" w:space="0"/>
              <w:right w:val="single" w:color="auto" w:sz="4" w:space="0"/>
            </w:tcBorders>
            <w:shd w:val="clear" w:color="auto" w:fill="auto"/>
            <w:noWrap/>
            <w:vAlign w:val="center"/>
          </w:tcPr>
          <w:p w14:paraId="2016F66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其他对个人和家庭的补助</w:t>
            </w:r>
          </w:p>
        </w:tc>
        <w:tc>
          <w:tcPr>
            <w:tcW w:w="1200" w:type="dxa"/>
            <w:tcBorders>
              <w:top w:val="nil"/>
              <w:left w:val="nil"/>
              <w:bottom w:val="single" w:color="auto" w:sz="4" w:space="0"/>
              <w:right w:val="single" w:color="auto" w:sz="4" w:space="0"/>
            </w:tcBorders>
            <w:shd w:val="clear" w:color="auto" w:fill="auto"/>
            <w:noWrap/>
            <w:vAlign w:val="center"/>
          </w:tcPr>
          <w:p w14:paraId="65E01B9E">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305" w:type="dxa"/>
            <w:tcBorders>
              <w:top w:val="nil"/>
              <w:left w:val="nil"/>
              <w:bottom w:val="single" w:color="auto" w:sz="4" w:space="0"/>
              <w:right w:val="single" w:color="auto" w:sz="4" w:space="0"/>
            </w:tcBorders>
            <w:shd w:val="clear" w:color="auto" w:fill="auto"/>
            <w:noWrap/>
            <w:vAlign w:val="center"/>
          </w:tcPr>
          <w:p w14:paraId="49D47DF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30240</w:t>
            </w:r>
          </w:p>
        </w:tc>
        <w:tc>
          <w:tcPr>
            <w:tcW w:w="2018" w:type="dxa"/>
            <w:tcBorders>
              <w:top w:val="nil"/>
              <w:left w:val="nil"/>
              <w:bottom w:val="single" w:color="auto" w:sz="4" w:space="0"/>
              <w:right w:val="single" w:color="auto" w:sz="4" w:space="0"/>
            </w:tcBorders>
            <w:shd w:val="clear" w:color="auto" w:fill="auto"/>
            <w:noWrap/>
            <w:vAlign w:val="center"/>
          </w:tcPr>
          <w:p w14:paraId="52B4434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税金及附加费用</w:t>
            </w:r>
          </w:p>
        </w:tc>
        <w:tc>
          <w:tcPr>
            <w:tcW w:w="933" w:type="dxa"/>
            <w:tcBorders>
              <w:top w:val="nil"/>
              <w:left w:val="nil"/>
              <w:bottom w:val="single" w:color="auto" w:sz="4" w:space="0"/>
              <w:right w:val="single" w:color="auto" w:sz="4" w:space="0"/>
            </w:tcBorders>
            <w:shd w:val="clear" w:color="auto" w:fill="auto"/>
            <w:noWrap/>
            <w:vAlign w:val="center"/>
          </w:tcPr>
          <w:p w14:paraId="7E004C28">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217" w:type="dxa"/>
            <w:tcBorders>
              <w:top w:val="nil"/>
              <w:left w:val="nil"/>
              <w:bottom w:val="single" w:color="auto" w:sz="4" w:space="0"/>
              <w:right w:val="single" w:color="auto" w:sz="4" w:space="0"/>
            </w:tcBorders>
            <w:shd w:val="clear" w:color="auto" w:fill="auto"/>
            <w:noWrap/>
            <w:vAlign w:val="center"/>
          </w:tcPr>
          <w:p w14:paraId="7CE3584A">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274" w:type="dxa"/>
            <w:tcBorders>
              <w:top w:val="nil"/>
              <w:left w:val="nil"/>
              <w:bottom w:val="single" w:color="auto" w:sz="4" w:space="0"/>
              <w:right w:val="single" w:color="auto" w:sz="4" w:space="0"/>
            </w:tcBorders>
            <w:shd w:val="clear" w:color="auto" w:fill="auto"/>
            <w:noWrap/>
            <w:vAlign w:val="center"/>
          </w:tcPr>
          <w:p w14:paraId="469BB595">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1172" w:type="dxa"/>
            <w:tcBorders>
              <w:top w:val="nil"/>
              <w:left w:val="nil"/>
              <w:bottom w:val="single" w:color="auto" w:sz="4" w:space="0"/>
              <w:right w:val="single" w:color="auto" w:sz="4" w:space="0"/>
            </w:tcBorders>
            <w:shd w:val="clear" w:color="auto" w:fill="auto"/>
            <w:noWrap/>
            <w:vAlign w:val="center"/>
          </w:tcPr>
          <w:p w14:paraId="6046D03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0700E649">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C2473B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2427" w:type="dxa"/>
            <w:tcBorders>
              <w:top w:val="nil"/>
              <w:left w:val="nil"/>
              <w:bottom w:val="single" w:color="auto" w:sz="4" w:space="0"/>
              <w:right w:val="single" w:color="auto" w:sz="4" w:space="0"/>
            </w:tcBorders>
            <w:shd w:val="clear" w:color="auto" w:fill="auto"/>
            <w:noWrap/>
            <w:vAlign w:val="center"/>
          </w:tcPr>
          <w:p w14:paraId="04B24E3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00" w:type="dxa"/>
            <w:tcBorders>
              <w:top w:val="nil"/>
              <w:left w:val="nil"/>
              <w:bottom w:val="single" w:color="auto" w:sz="4" w:space="0"/>
              <w:right w:val="single" w:color="auto" w:sz="4" w:space="0"/>
            </w:tcBorders>
            <w:shd w:val="clear" w:color="auto" w:fill="auto"/>
            <w:noWrap/>
            <w:vAlign w:val="center"/>
          </w:tcPr>
          <w:p w14:paraId="6BA17E0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305" w:type="dxa"/>
            <w:tcBorders>
              <w:top w:val="nil"/>
              <w:left w:val="nil"/>
              <w:bottom w:val="single" w:color="auto" w:sz="4" w:space="0"/>
              <w:right w:val="single" w:color="auto" w:sz="4" w:space="0"/>
            </w:tcBorders>
            <w:shd w:val="clear" w:color="auto" w:fill="auto"/>
            <w:noWrap/>
            <w:vAlign w:val="center"/>
          </w:tcPr>
          <w:p w14:paraId="5C3ACF5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30299</w:t>
            </w:r>
          </w:p>
        </w:tc>
        <w:tc>
          <w:tcPr>
            <w:tcW w:w="2018" w:type="dxa"/>
            <w:tcBorders>
              <w:top w:val="nil"/>
              <w:left w:val="nil"/>
              <w:bottom w:val="single" w:color="auto" w:sz="4" w:space="0"/>
              <w:right w:val="single" w:color="auto" w:sz="4" w:space="0"/>
            </w:tcBorders>
            <w:shd w:val="clear" w:color="auto" w:fill="auto"/>
            <w:noWrap/>
            <w:vAlign w:val="center"/>
          </w:tcPr>
          <w:p w14:paraId="11484D3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其他商品和服务支出</w:t>
            </w:r>
          </w:p>
        </w:tc>
        <w:tc>
          <w:tcPr>
            <w:tcW w:w="933" w:type="dxa"/>
            <w:tcBorders>
              <w:top w:val="nil"/>
              <w:left w:val="nil"/>
              <w:bottom w:val="single" w:color="auto" w:sz="4" w:space="0"/>
              <w:right w:val="single" w:color="auto" w:sz="4" w:space="0"/>
            </w:tcBorders>
            <w:shd w:val="clear" w:color="auto" w:fill="auto"/>
            <w:noWrap/>
            <w:vAlign w:val="center"/>
          </w:tcPr>
          <w:p w14:paraId="5E216FA1">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39.92</w:t>
            </w:r>
          </w:p>
        </w:tc>
        <w:tc>
          <w:tcPr>
            <w:tcW w:w="1217" w:type="dxa"/>
            <w:tcBorders>
              <w:top w:val="nil"/>
              <w:left w:val="nil"/>
              <w:bottom w:val="single" w:color="auto" w:sz="4" w:space="0"/>
              <w:right w:val="single" w:color="auto" w:sz="4" w:space="0"/>
            </w:tcBorders>
            <w:shd w:val="clear" w:color="auto" w:fill="auto"/>
            <w:noWrap/>
            <w:vAlign w:val="center"/>
          </w:tcPr>
          <w:p w14:paraId="33E3D1C3">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274" w:type="dxa"/>
            <w:tcBorders>
              <w:top w:val="nil"/>
              <w:left w:val="nil"/>
              <w:bottom w:val="single" w:color="auto" w:sz="4" w:space="0"/>
              <w:right w:val="single" w:color="auto" w:sz="4" w:space="0"/>
            </w:tcBorders>
            <w:shd w:val="clear" w:color="auto" w:fill="auto"/>
            <w:noWrap/>
            <w:vAlign w:val="center"/>
          </w:tcPr>
          <w:p w14:paraId="57708DB4">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1172" w:type="dxa"/>
            <w:tcBorders>
              <w:top w:val="nil"/>
              <w:left w:val="nil"/>
              <w:bottom w:val="single" w:color="auto" w:sz="4" w:space="0"/>
              <w:right w:val="single" w:color="auto" w:sz="4" w:space="0"/>
            </w:tcBorders>
            <w:shd w:val="clear" w:color="auto" w:fill="auto"/>
            <w:noWrap/>
            <w:vAlign w:val="center"/>
          </w:tcPr>
          <w:p w14:paraId="5010FCA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7AC51F01">
        <w:tblPrEx>
          <w:tblCellMar>
            <w:top w:w="0" w:type="dxa"/>
            <w:left w:w="108" w:type="dxa"/>
            <w:bottom w:w="0" w:type="dxa"/>
            <w:right w:w="108" w:type="dxa"/>
          </w:tblCellMar>
        </w:tblPrEx>
        <w:trPr>
          <w:trHeight w:val="255" w:hRule="exact"/>
          <w:jc w:val="center"/>
        </w:trPr>
        <w:tc>
          <w:tcPr>
            <w:tcW w:w="3508"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141DFC4D">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人员经费合计</w:t>
            </w:r>
          </w:p>
        </w:tc>
        <w:tc>
          <w:tcPr>
            <w:tcW w:w="1200" w:type="dxa"/>
            <w:tcBorders>
              <w:top w:val="nil"/>
              <w:left w:val="nil"/>
              <w:bottom w:val="single" w:color="auto" w:sz="4" w:space="0"/>
              <w:right w:val="single" w:color="auto" w:sz="4" w:space="0"/>
            </w:tcBorders>
            <w:shd w:val="clear" w:color="auto" w:fill="auto"/>
            <w:noWrap/>
            <w:vAlign w:val="center"/>
          </w:tcPr>
          <w:p w14:paraId="4910B5C5">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1693.41</w:t>
            </w:r>
          </w:p>
        </w:tc>
        <w:tc>
          <w:tcPr>
            <w:tcW w:w="8747" w:type="dxa"/>
            <w:gridSpan w:val="5"/>
            <w:tcBorders>
              <w:top w:val="single" w:color="auto" w:sz="4" w:space="0"/>
              <w:left w:val="nil"/>
              <w:bottom w:val="single" w:color="auto" w:sz="4" w:space="0"/>
              <w:right w:val="single" w:color="auto" w:sz="4" w:space="0"/>
            </w:tcBorders>
            <w:shd w:val="clear" w:color="auto" w:fill="auto"/>
            <w:noWrap/>
            <w:vAlign w:val="center"/>
          </w:tcPr>
          <w:p w14:paraId="2165D4D3">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公用经费合计</w:t>
            </w:r>
          </w:p>
        </w:tc>
        <w:tc>
          <w:tcPr>
            <w:tcW w:w="1172" w:type="dxa"/>
            <w:tcBorders>
              <w:top w:val="nil"/>
              <w:left w:val="nil"/>
              <w:bottom w:val="single" w:color="auto" w:sz="4" w:space="0"/>
              <w:right w:val="single" w:color="auto" w:sz="4" w:space="0"/>
            </w:tcBorders>
            <w:shd w:val="clear" w:color="auto" w:fill="auto"/>
            <w:noWrap/>
            <w:vAlign w:val="center"/>
          </w:tcPr>
          <w:p w14:paraId="2B39FCA2">
            <w:pPr>
              <w:widowControl/>
              <w:jc w:val="left"/>
              <w:rPr>
                <w:rFonts w:hint="default" w:ascii="Times New Roman" w:hAnsi="Times New Roman" w:eastAsia="仿宋_GB2312" w:cs="Times New Roman"/>
                <w:color w:val="000000"/>
                <w:kern w:val="0"/>
                <w:szCs w:val="18"/>
                <w:lang w:val="en-US" w:eastAsia="zh-CN"/>
              </w:rPr>
            </w:pPr>
            <w:r>
              <w:rPr>
                <w:rFonts w:ascii="Times New Roman" w:hAnsi="Times New Roman" w:eastAsia="仿宋_GB2312" w:cs="Times New Roman"/>
                <w:color w:val="000000"/>
                <w:kern w:val="0"/>
                <w:szCs w:val="18"/>
              </w:rPr>
              <w:t>　</w:t>
            </w:r>
            <w:r>
              <w:rPr>
                <w:rFonts w:hint="eastAsia" w:ascii="Times New Roman" w:hAnsi="Times New Roman" w:eastAsia="仿宋_GB2312" w:cs="Times New Roman"/>
                <w:color w:val="000000"/>
                <w:kern w:val="0"/>
                <w:szCs w:val="18"/>
                <w:lang w:val="en-US" w:eastAsia="zh-CN"/>
              </w:rPr>
              <w:t>286.19</w:t>
            </w:r>
          </w:p>
        </w:tc>
      </w:tr>
    </w:tbl>
    <w:p w14:paraId="7D7D31C0">
      <w:pPr>
        <w:widowControl/>
        <w:jc w:val="left"/>
        <w:rPr>
          <w:rFonts w:ascii="Times New Roman" w:hAnsi="Times New Roman" w:eastAsia="仿宋_GB2312" w:cs="Times New Roman"/>
          <w:color w:val="000000"/>
          <w:kern w:val="0"/>
          <w:szCs w:val="24"/>
        </w:rPr>
      </w:pPr>
      <w:r>
        <w:rPr>
          <w:rFonts w:ascii="Times New Roman" w:hAnsi="Times New Roman" w:eastAsia="仿宋_GB2312" w:cs="Times New Roman"/>
          <w:color w:val="000000"/>
          <w:kern w:val="0"/>
          <w:szCs w:val="24"/>
        </w:rPr>
        <w:t>注：本表反映部门本年度一般公共预算财政拨款基本支出明细情况。</w:t>
      </w:r>
    </w:p>
    <w:p w14:paraId="62897ECE">
      <w:pPr>
        <w:widowControl/>
        <w:spacing w:line="400" w:lineRule="exact"/>
        <w:jc w:val="center"/>
        <w:textAlignment w:val="center"/>
        <w:rPr>
          <w:rFonts w:ascii="Times New Roman" w:hAnsi="Times New Roman" w:eastAsia="仿宋_GB2312" w:cs="Times New Roman"/>
          <w:color w:val="000000"/>
          <w:kern w:val="0"/>
          <w:sz w:val="32"/>
          <w:szCs w:val="32"/>
          <w:lang w:bidi="ar"/>
        </w:rPr>
      </w:pPr>
    </w:p>
    <w:p w14:paraId="49D38CBC">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政府性基金预算财政拨款收入支出决算表</w:t>
      </w:r>
    </w:p>
    <w:p w14:paraId="751791FF">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公开07表</w:t>
      </w:r>
    </w:p>
    <w:p w14:paraId="08481975">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sz w:val="20"/>
          <w:szCs w:val="20"/>
        </w:rPr>
        <w:t>部门：</w:t>
      </w:r>
      <w:r>
        <w:rPr>
          <w:rFonts w:hint="eastAsia" w:ascii="Times New Roman" w:hAnsi="Times New Roman" w:eastAsia="仿宋_GB2312" w:cs="Times New Roman"/>
          <w:color w:val="000000"/>
          <w:sz w:val="20"/>
          <w:szCs w:val="20"/>
          <w:lang w:eastAsia="zh-CN"/>
        </w:rPr>
        <w:t>怀化市住房公积金管理中心</w:t>
      </w: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lang w:val="en-US" w:eastAsia="zh-CN"/>
        </w:rPr>
        <w:t xml:space="preserve">              </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10"/>
        <w:tblW w:w="14326" w:type="dxa"/>
        <w:jc w:val="center"/>
        <w:tblLayout w:type="fixed"/>
        <w:tblCellMar>
          <w:top w:w="0" w:type="dxa"/>
          <w:left w:w="108" w:type="dxa"/>
          <w:bottom w:w="0" w:type="dxa"/>
          <w:right w:w="108" w:type="dxa"/>
        </w:tblCellMar>
      </w:tblPr>
      <w:tblGrid>
        <w:gridCol w:w="1497"/>
        <w:gridCol w:w="1277"/>
        <w:gridCol w:w="1918"/>
        <w:gridCol w:w="1943"/>
        <w:gridCol w:w="1919"/>
        <w:gridCol w:w="1935"/>
        <w:gridCol w:w="1918"/>
        <w:gridCol w:w="1919"/>
      </w:tblGrid>
      <w:tr w14:paraId="6BF5B35C">
        <w:tblPrEx>
          <w:tblCellMar>
            <w:top w:w="0" w:type="dxa"/>
            <w:left w:w="108" w:type="dxa"/>
            <w:bottom w:w="0" w:type="dxa"/>
            <w:right w:w="108" w:type="dxa"/>
          </w:tblCellMar>
        </w:tblPrEx>
        <w:trPr>
          <w:trHeight w:val="45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D507FC3">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Style w:val="17"/>
                <w:rFonts w:hint="default" w:ascii="Times New Roman" w:hAnsi="Times New Roman" w:eastAsia="仿宋_GB2312" w:cs="Times New Roman"/>
                <w:b/>
                <w:bCs/>
                <w:lang w:bidi="ar"/>
              </w:rPr>
              <w:t xml:space="preserve">   </w:t>
            </w:r>
            <w:r>
              <w:rPr>
                <w:rStyle w:val="18"/>
                <w:rFonts w:hint="default" w:ascii="Times New Roman" w:hAnsi="Times New Roman" w:eastAsia="仿宋_GB2312" w:cs="Times New Roman"/>
                <w:b/>
                <w:bCs/>
                <w:lang w:bidi="ar"/>
              </w:rPr>
              <w:t>目</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9B93882">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年初结转和结余</w:t>
            </w:r>
          </w:p>
        </w:tc>
        <w:tc>
          <w:tcPr>
            <w:tcW w:w="194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A7F60B8">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本年收入</w:t>
            </w:r>
          </w:p>
        </w:tc>
        <w:tc>
          <w:tcPr>
            <w:tcW w:w="577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C5AB5C9">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D423739">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年末结转和结余</w:t>
            </w:r>
          </w:p>
        </w:tc>
      </w:tr>
      <w:tr w14:paraId="3BDD517B">
        <w:tblPrEx>
          <w:tblCellMar>
            <w:top w:w="0" w:type="dxa"/>
            <w:left w:w="108" w:type="dxa"/>
            <w:bottom w:w="0" w:type="dxa"/>
            <w:right w:w="108" w:type="dxa"/>
          </w:tblCellMar>
        </w:tblPrEx>
        <w:trPr>
          <w:trHeight w:val="312" w:hRule="exact"/>
          <w:jc w:val="center"/>
        </w:trPr>
        <w:tc>
          <w:tcPr>
            <w:tcW w:w="14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5AA97D4">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127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9456D95">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3D1E2C">
            <w:pPr>
              <w:widowControl/>
              <w:jc w:val="center"/>
              <w:rPr>
                <w:rFonts w:ascii="Times New Roman" w:hAnsi="Times New Roman" w:eastAsia="仿宋_GB2312" w:cs="Times New Roman"/>
                <w:b/>
                <w:bCs/>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42B24E">
            <w:pPr>
              <w:widowControl/>
              <w:jc w:val="center"/>
              <w:rPr>
                <w:rFonts w:ascii="Times New Roman" w:hAnsi="Times New Roman" w:eastAsia="仿宋_GB2312" w:cs="Times New Roman"/>
                <w:b/>
                <w:bCs/>
                <w:color w:val="000000"/>
                <w:sz w:val="24"/>
                <w:szCs w:val="24"/>
              </w:rPr>
            </w:pP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19B9850">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小计</w:t>
            </w:r>
          </w:p>
        </w:tc>
        <w:tc>
          <w:tcPr>
            <w:tcW w:w="19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339D076">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8832678">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8BFA40">
            <w:pPr>
              <w:widowControl/>
              <w:jc w:val="center"/>
              <w:rPr>
                <w:rFonts w:ascii="Times New Roman" w:hAnsi="Times New Roman" w:eastAsia="仿宋_GB2312" w:cs="Times New Roman"/>
                <w:color w:val="000000"/>
                <w:sz w:val="24"/>
                <w:szCs w:val="24"/>
              </w:rPr>
            </w:pPr>
          </w:p>
        </w:tc>
      </w:tr>
      <w:tr w14:paraId="22979293">
        <w:tblPrEx>
          <w:tblCellMar>
            <w:top w:w="0" w:type="dxa"/>
            <w:left w:w="108" w:type="dxa"/>
            <w:bottom w:w="0" w:type="dxa"/>
            <w:right w:w="108" w:type="dxa"/>
          </w:tblCellMar>
        </w:tblPrEx>
        <w:trPr>
          <w:trHeight w:val="409"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4F2D8D">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522B88">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E29C6D">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F15F94">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7A104D">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9BCBF1">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47F148">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84216B">
            <w:pPr>
              <w:jc w:val="center"/>
              <w:rPr>
                <w:rFonts w:ascii="Times New Roman" w:hAnsi="Times New Roman" w:eastAsia="仿宋_GB2312" w:cs="Times New Roman"/>
                <w:color w:val="000000"/>
                <w:sz w:val="24"/>
                <w:szCs w:val="24"/>
              </w:rPr>
            </w:pPr>
          </w:p>
        </w:tc>
      </w:tr>
      <w:tr w14:paraId="395081A7">
        <w:tblPrEx>
          <w:tblCellMar>
            <w:top w:w="0" w:type="dxa"/>
            <w:left w:w="108" w:type="dxa"/>
            <w:bottom w:w="0" w:type="dxa"/>
            <w:right w:w="108" w:type="dxa"/>
          </w:tblCellMar>
        </w:tblPrEx>
        <w:trPr>
          <w:trHeight w:val="312"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B40D3D">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9E6261">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9003C7">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7BD158">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AFB4ED">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63C70A">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68FAEE">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FA7D1E">
            <w:pPr>
              <w:jc w:val="center"/>
              <w:rPr>
                <w:rFonts w:ascii="Times New Roman" w:hAnsi="Times New Roman" w:eastAsia="仿宋_GB2312" w:cs="Times New Roman"/>
                <w:color w:val="000000"/>
                <w:sz w:val="24"/>
                <w:szCs w:val="24"/>
              </w:rPr>
            </w:pPr>
          </w:p>
        </w:tc>
      </w:tr>
      <w:tr w14:paraId="61BE10F1">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58B8C23">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3E08D6">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321C5C">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04A0DB">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3B18A0">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4</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7D04C8">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5</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63ED3B">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6</w:t>
            </w:r>
          </w:p>
        </w:tc>
      </w:tr>
      <w:tr w14:paraId="0810A796">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9464FCC">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B47D56">
            <w:pPr>
              <w:jc w:val="cente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77B3C6">
            <w:pPr>
              <w:jc w:val="cente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FC7F99">
            <w:pPr>
              <w:jc w:val="cente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FA6D51">
            <w:pPr>
              <w:jc w:val="cente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4B9934">
            <w:pPr>
              <w:jc w:val="cente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0781F1">
            <w:pPr>
              <w:jc w:val="center"/>
              <w:rPr>
                <w:rFonts w:ascii="Times New Roman" w:hAnsi="Times New Roman" w:eastAsia="仿宋_GB2312" w:cs="Times New Roman"/>
                <w:color w:val="000000"/>
                <w:sz w:val="24"/>
                <w:szCs w:val="24"/>
              </w:rPr>
            </w:pPr>
          </w:p>
        </w:tc>
      </w:tr>
      <w:tr w14:paraId="27537C3E">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C0A457">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FEB7DB">
            <w:pPr>
              <w:rPr>
                <w:rFonts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939328">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7A4F7D">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BE7F1E">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480BF5">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F2FD58">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43597E">
            <w:pPr>
              <w:rPr>
                <w:rFonts w:ascii="Times New Roman" w:hAnsi="Times New Roman" w:eastAsia="仿宋_GB2312" w:cs="Times New Roman"/>
                <w:color w:val="000000"/>
                <w:sz w:val="24"/>
                <w:szCs w:val="24"/>
              </w:rPr>
            </w:pPr>
          </w:p>
        </w:tc>
      </w:tr>
      <w:tr w14:paraId="2DED7BDA">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85431F">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3C942D">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DEF4C9">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019643">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52E202">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FC985C">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F74135">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5D003E">
            <w:pPr>
              <w:rPr>
                <w:rFonts w:ascii="Times New Roman" w:hAnsi="Times New Roman" w:eastAsia="仿宋_GB2312" w:cs="Times New Roman"/>
                <w:color w:val="000000"/>
                <w:sz w:val="24"/>
                <w:szCs w:val="24"/>
              </w:rPr>
            </w:pPr>
          </w:p>
        </w:tc>
      </w:tr>
      <w:tr w14:paraId="634FF8EA">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BBCDEB">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DB0EEC">
            <w:pPr>
              <w:rPr>
                <w:rFonts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ED4253">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0CBCF2">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2DC7DB">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CE8E78">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CEFE5F">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D58F77">
            <w:pPr>
              <w:rPr>
                <w:rFonts w:ascii="Times New Roman" w:hAnsi="Times New Roman" w:eastAsia="仿宋_GB2312" w:cs="Times New Roman"/>
                <w:color w:val="000000"/>
                <w:sz w:val="24"/>
                <w:szCs w:val="24"/>
              </w:rPr>
            </w:pPr>
          </w:p>
        </w:tc>
      </w:tr>
      <w:tr w14:paraId="7054EDA3">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E87B2B">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5C9F41">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D534E2">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A977CB">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41A656">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8024AD">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437D32">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A5B8DA">
            <w:pPr>
              <w:rPr>
                <w:rFonts w:ascii="Times New Roman" w:hAnsi="Times New Roman" w:eastAsia="仿宋_GB2312" w:cs="Times New Roman"/>
                <w:color w:val="000000"/>
                <w:sz w:val="24"/>
                <w:szCs w:val="24"/>
              </w:rPr>
            </w:pPr>
          </w:p>
        </w:tc>
      </w:tr>
      <w:tr w14:paraId="690CCB5B">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259184">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3EEFB1">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EF1D30">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420CC9">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587F3E">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A20481">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829256">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C77585">
            <w:pPr>
              <w:rPr>
                <w:rFonts w:ascii="Times New Roman" w:hAnsi="Times New Roman" w:eastAsia="仿宋_GB2312" w:cs="Times New Roman"/>
                <w:color w:val="000000"/>
                <w:sz w:val="24"/>
                <w:szCs w:val="24"/>
              </w:rPr>
            </w:pPr>
          </w:p>
        </w:tc>
      </w:tr>
      <w:tr w14:paraId="0FC318DA">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15D19B">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C1DE03">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2A0EEF">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085613">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CB3056">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195678">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D772F2">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B25FD4">
            <w:pPr>
              <w:rPr>
                <w:rFonts w:ascii="Times New Roman" w:hAnsi="Times New Roman" w:eastAsia="仿宋_GB2312" w:cs="Times New Roman"/>
                <w:color w:val="000000"/>
                <w:sz w:val="24"/>
                <w:szCs w:val="24"/>
              </w:rPr>
            </w:pPr>
          </w:p>
        </w:tc>
      </w:tr>
    </w:tbl>
    <w:p w14:paraId="384D87E6">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注：本表反映部门本年度政府性基金预算财政拨款收入、支出及结转和结余情况。</w:t>
      </w:r>
    </w:p>
    <w:p w14:paraId="4158A366">
      <w:pPr>
        <w:widowControl/>
        <w:jc w:val="left"/>
        <w:textAlignment w:val="center"/>
        <w:rPr>
          <w:rFonts w:ascii="Times New Roman" w:hAnsi="Times New Roman" w:eastAsia="仿宋_GB2312" w:cs="Times New Roman"/>
          <w:color w:val="000000"/>
          <w:kern w:val="0"/>
          <w:sz w:val="24"/>
          <w:szCs w:val="24"/>
          <w:lang w:bidi="ar"/>
        </w:rPr>
      </w:pPr>
    </w:p>
    <w:p w14:paraId="1D9DA95C">
      <w:pPr>
        <w:widowControl/>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b/>
          <w:bCs/>
          <w:kern w:val="0"/>
          <w:sz w:val="24"/>
          <w:szCs w:val="24"/>
          <w:lang w:bidi="ar"/>
        </w:rPr>
        <w:t>说明：我单位没有政府性基金收入，也没有使用政府性基金安排的支出，故本表无数据。</w:t>
      </w:r>
    </w:p>
    <w:p w14:paraId="21DDE484">
      <w:pPr>
        <w:widowControl/>
        <w:jc w:val="center"/>
        <w:rPr>
          <w:rFonts w:ascii="Times New Roman" w:hAnsi="Times New Roman" w:eastAsia="方正小标宋_GBK" w:cs="Times New Roman"/>
          <w:color w:val="000000"/>
          <w:kern w:val="0"/>
          <w:sz w:val="36"/>
          <w:szCs w:val="36"/>
        </w:rPr>
      </w:pPr>
    </w:p>
    <w:p w14:paraId="71A65913">
      <w:pPr>
        <w:widowControl/>
        <w:spacing w:line="400" w:lineRule="exact"/>
        <w:textAlignment w:val="center"/>
        <w:rPr>
          <w:rFonts w:ascii="Times New Roman" w:hAnsi="Times New Roman" w:eastAsia="黑体" w:cs="Times New Roman"/>
          <w:color w:val="000000"/>
          <w:kern w:val="0"/>
          <w:sz w:val="36"/>
          <w:szCs w:val="36"/>
          <w:lang w:bidi="ar"/>
        </w:rPr>
      </w:pPr>
    </w:p>
    <w:p w14:paraId="6A835BBB">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国有资本经营预算财政拨款支出决算表</w:t>
      </w:r>
    </w:p>
    <w:p w14:paraId="6CAEEEA6">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公开08表</w:t>
      </w:r>
    </w:p>
    <w:p w14:paraId="6E11DEC2">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sz w:val="20"/>
          <w:szCs w:val="20"/>
        </w:rPr>
        <w:t>部门：</w:t>
      </w:r>
      <w:r>
        <w:rPr>
          <w:rFonts w:hint="eastAsia" w:ascii="Times New Roman" w:hAnsi="Times New Roman" w:eastAsia="仿宋_GB2312" w:cs="Times New Roman"/>
          <w:color w:val="000000"/>
          <w:sz w:val="20"/>
          <w:szCs w:val="20"/>
          <w:lang w:eastAsia="zh-CN"/>
        </w:rPr>
        <w:t>怀化市住房公积金管理中心</w:t>
      </w:r>
      <w:r>
        <w:rPr>
          <w:rFonts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10"/>
        <w:tblW w:w="4999" w:type="pct"/>
        <w:tblInd w:w="0" w:type="dxa"/>
        <w:tblLayout w:type="autofit"/>
        <w:tblCellMar>
          <w:top w:w="0" w:type="dxa"/>
          <w:left w:w="108" w:type="dxa"/>
          <w:bottom w:w="0" w:type="dxa"/>
          <w:right w:w="108" w:type="dxa"/>
        </w:tblCellMar>
      </w:tblPr>
      <w:tblGrid>
        <w:gridCol w:w="3094"/>
        <w:gridCol w:w="3097"/>
        <w:gridCol w:w="1832"/>
        <w:gridCol w:w="3097"/>
        <w:gridCol w:w="3097"/>
      </w:tblGrid>
      <w:tr w14:paraId="3F6B51FE">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3FDEBE8">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Fonts w:ascii="Times New Roman" w:hAnsi="Times New Roman" w:eastAsia="仿宋_GB2312" w:cs="Times New Roman"/>
                <w:b/>
                <w:bCs/>
                <w:color w:val="000000"/>
                <w:kern w:val="0"/>
                <w:sz w:val="22"/>
                <w:lang w:bidi="ar"/>
              </w:rPr>
              <w:t xml:space="preserve">   </w:t>
            </w:r>
            <w:r>
              <w:rPr>
                <w:rStyle w:val="19"/>
                <w:rFonts w:hint="default" w:ascii="Times New Roman" w:hAnsi="Times New Roman" w:eastAsia="仿宋_GB2312" w:cs="Times New Roman"/>
                <w:b/>
                <w:bCs/>
                <w:lang w:bidi="ar"/>
              </w:rPr>
              <w:t>目</w:t>
            </w:r>
          </w:p>
        </w:tc>
        <w:tc>
          <w:tcPr>
            <w:tcW w:w="28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97E291C">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r>
      <w:tr w14:paraId="15F26520">
        <w:tblPrEx>
          <w:tblCellMar>
            <w:top w:w="0" w:type="dxa"/>
            <w:left w:w="108" w:type="dxa"/>
            <w:bottom w:w="0" w:type="dxa"/>
            <w:right w:w="108" w:type="dxa"/>
          </w:tblCellMar>
        </w:tblPrEx>
        <w:trPr>
          <w:trHeight w:val="312" w:hRule="exact"/>
        </w:trPr>
        <w:tc>
          <w:tcPr>
            <w:tcW w:w="108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DF66052">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D0202AF">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64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F0E2F2D">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合计</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5A66F0A">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A5C27EA">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r>
      <w:tr w14:paraId="171B8231">
        <w:tblPrEx>
          <w:tblCellMar>
            <w:top w:w="0" w:type="dxa"/>
            <w:left w:w="108" w:type="dxa"/>
            <w:bottom w:w="0" w:type="dxa"/>
            <w:right w:w="108" w:type="dxa"/>
          </w:tblCellMar>
        </w:tblPrEx>
        <w:trPr>
          <w:trHeight w:val="312" w:hRule="exac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F425A8">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147004">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3E8EC1">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69DC75">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2889F7">
            <w:pPr>
              <w:jc w:val="center"/>
              <w:rPr>
                <w:rFonts w:ascii="Times New Roman" w:hAnsi="Times New Roman" w:eastAsia="仿宋_GB2312" w:cs="Times New Roman"/>
                <w:color w:val="000000"/>
                <w:sz w:val="24"/>
                <w:szCs w:val="24"/>
              </w:rPr>
            </w:pPr>
          </w:p>
        </w:tc>
      </w:tr>
      <w:tr w14:paraId="7668F20B">
        <w:tblPrEx>
          <w:tblCellMar>
            <w:top w:w="0" w:type="dxa"/>
            <w:left w:w="108" w:type="dxa"/>
            <w:bottom w:w="0" w:type="dxa"/>
            <w:right w:w="108" w:type="dxa"/>
          </w:tblCellMar>
        </w:tblPrEx>
        <w:trPr>
          <w:trHeight w:val="312" w:hRule="atLeas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E2DA3D">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7453C7">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984AC1">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2443A7">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D5CF2A">
            <w:pPr>
              <w:jc w:val="center"/>
              <w:rPr>
                <w:rFonts w:ascii="Times New Roman" w:hAnsi="Times New Roman" w:eastAsia="仿宋_GB2312" w:cs="Times New Roman"/>
                <w:color w:val="000000"/>
                <w:sz w:val="24"/>
                <w:szCs w:val="24"/>
              </w:rPr>
            </w:pPr>
          </w:p>
        </w:tc>
      </w:tr>
      <w:tr w14:paraId="0AA34B18">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82DE137">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96B066">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2BBA5B">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DE0C2D">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r>
      <w:tr w14:paraId="21F35BC0">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D552FDB">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DA3D6B">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A93741">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9FFFF2">
            <w:pPr>
              <w:jc w:val="center"/>
              <w:rPr>
                <w:rFonts w:ascii="Times New Roman" w:hAnsi="Times New Roman" w:eastAsia="仿宋_GB2312" w:cs="Times New Roman"/>
                <w:color w:val="000000"/>
                <w:sz w:val="24"/>
                <w:szCs w:val="24"/>
              </w:rPr>
            </w:pPr>
          </w:p>
        </w:tc>
      </w:tr>
      <w:tr w14:paraId="30FCC229">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20DCEB">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F1E63F">
            <w:pPr>
              <w:rPr>
                <w:rFonts w:ascii="Times New Roman" w:hAnsi="Times New Roman" w:eastAsia="仿宋_GB2312"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D3C476">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41EA58">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B2E549">
            <w:pPr>
              <w:rPr>
                <w:rFonts w:ascii="Times New Roman" w:hAnsi="Times New Roman" w:eastAsia="仿宋_GB2312" w:cs="Times New Roman"/>
                <w:color w:val="000000"/>
                <w:sz w:val="24"/>
                <w:szCs w:val="24"/>
              </w:rPr>
            </w:pPr>
          </w:p>
        </w:tc>
      </w:tr>
      <w:tr w14:paraId="072C44E6">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2266A6">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E5CB7D">
            <w:pPr>
              <w:rPr>
                <w:rFonts w:ascii="Times New Roman" w:hAnsi="Times New Roman" w:eastAsia="仿宋_GB2312"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4011F4">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C49D19">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A494B7">
            <w:pPr>
              <w:rPr>
                <w:rFonts w:ascii="Times New Roman" w:hAnsi="Times New Roman" w:eastAsia="仿宋_GB2312" w:cs="Times New Roman"/>
                <w:color w:val="000000"/>
                <w:sz w:val="24"/>
                <w:szCs w:val="24"/>
              </w:rPr>
            </w:pPr>
          </w:p>
        </w:tc>
      </w:tr>
      <w:tr w14:paraId="4E9F97CF">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13D0D1">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E792EF">
            <w:pPr>
              <w:rPr>
                <w:rFonts w:ascii="Times New Roman" w:hAnsi="Times New Roman" w:eastAsia="宋体"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5E7C23">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5F44A7">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D23C7A">
            <w:pPr>
              <w:rPr>
                <w:rFonts w:ascii="Times New Roman" w:hAnsi="Times New Roman" w:eastAsia="宋体" w:cs="Times New Roman"/>
                <w:color w:val="000000"/>
                <w:sz w:val="24"/>
                <w:szCs w:val="24"/>
              </w:rPr>
            </w:pPr>
          </w:p>
        </w:tc>
      </w:tr>
      <w:tr w14:paraId="62B4DD59">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A8C6F1">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205EDD">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FCB327">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A6E844">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64B5DC">
            <w:pPr>
              <w:rPr>
                <w:rFonts w:ascii="Times New Roman" w:hAnsi="Times New Roman" w:eastAsia="宋体" w:cs="Times New Roman"/>
                <w:color w:val="000000"/>
                <w:sz w:val="24"/>
                <w:szCs w:val="24"/>
              </w:rPr>
            </w:pPr>
          </w:p>
        </w:tc>
      </w:tr>
      <w:tr w14:paraId="7CDE6ADD">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6B15E9">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99C8B7">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930B79">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E3024E">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898A78">
            <w:pPr>
              <w:rPr>
                <w:rFonts w:ascii="Times New Roman" w:hAnsi="Times New Roman" w:eastAsia="宋体" w:cs="Times New Roman"/>
                <w:color w:val="000000"/>
                <w:sz w:val="24"/>
                <w:szCs w:val="24"/>
              </w:rPr>
            </w:pPr>
          </w:p>
        </w:tc>
      </w:tr>
      <w:tr w14:paraId="4CACEC4D">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CBD3D1">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C2802D">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DD9095">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A04DFB">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BFF882">
            <w:pPr>
              <w:rPr>
                <w:rFonts w:ascii="Times New Roman" w:hAnsi="Times New Roman" w:eastAsia="宋体" w:cs="Times New Roman"/>
                <w:color w:val="000000"/>
                <w:sz w:val="24"/>
                <w:szCs w:val="24"/>
              </w:rPr>
            </w:pPr>
          </w:p>
        </w:tc>
      </w:tr>
    </w:tbl>
    <w:p w14:paraId="5CD12126">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注：本表反映部门本年度国有资本经营预算财政拨款支出情况。</w:t>
      </w:r>
    </w:p>
    <w:p w14:paraId="78324411">
      <w:pPr>
        <w:widowControl/>
        <w:jc w:val="left"/>
        <w:textAlignment w:val="center"/>
        <w:rPr>
          <w:rFonts w:ascii="Times New Roman" w:hAnsi="Times New Roman" w:eastAsia="宋体" w:cs="Times New Roman"/>
          <w:color w:val="000000"/>
          <w:kern w:val="0"/>
          <w:sz w:val="24"/>
          <w:szCs w:val="24"/>
          <w:lang w:bidi="ar"/>
        </w:rPr>
      </w:pPr>
    </w:p>
    <w:p w14:paraId="1D1E951D">
      <w:pPr>
        <w:widowControl/>
        <w:jc w:val="left"/>
        <w:textAlignment w:val="center"/>
        <w:rPr>
          <w:rFonts w:ascii="Times New Roman" w:hAnsi="Times New Roman" w:eastAsia="楷体_GB2312" w:cs="Times New Roman"/>
          <w:color w:val="000000"/>
          <w:kern w:val="0"/>
          <w:sz w:val="24"/>
          <w:szCs w:val="24"/>
          <w:lang w:bidi="ar"/>
        </w:rPr>
      </w:pPr>
      <w:r>
        <w:rPr>
          <w:rFonts w:ascii="Times New Roman" w:hAnsi="Times New Roman" w:eastAsia="楷体_GB2312" w:cs="Times New Roman"/>
          <w:b/>
          <w:bCs/>
          <w:kern w:val="0"/>
          <w:sz w:val="24"/>
          <w:szCs w:val="24"/>
          <w:lang w:bidi="ar"/>
        </w:rPr>
        <w:t>说明：我单位没有使用国有资本经营预算安排的支出，故本表无数据。</w:t>
      </w:r>
    </w:p>
    <w:p w14:paraId="27852E32">
      <w:pPr>
        <w:widowControl/>
        <w:jc w:val="center"/>
        <w:rPr>
          <w:rFonts w:ascii="Times New Roman" w:hAnsi="Times New Roman" w:eastAsia="方正小标宋_GBK" w:cs="Times New Roman"/>
          <w:color w:val="000000"/>
          <w:kern w:val="0"/>
          <w:sz w:val="36"/>
          <w:szCs w:val="36"/>
        </w:rPr>
      </w:pPr>
    </w:p>
    <w:p w14:paraId="3E1E61DD">
      <w:pPr>
        <w:pStyle w:val="8"/>
        <w:spacing w:line="400" w:lineRule="exact"/>
        <w:rPr>
          <w:rFonts w:ascii="Times New Roman" w:hAnsi="Times New Roman" w:eastAsia="华文中宋" w:cs="Times New Roman"/>
          <w:color w:val="000000"/>
          <w:kern w:val="0"/>
          <w:sz w:val="32"/>
          <w:szCs w:val="32"/>
          <w:lang w:bidi="ar"/>
        </w:rPr>
      </w:pPr>
    </w:p>
    <w:p w14:paraId="06E6AD29">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财政拨款“三公”经费支出决算表</w:t>
      </w:r>
    </w:p>
    <w:p w14:paraId="46CF2EDD">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lang w:bidi="ar"/>
        </w:rPr>
        <w:t>公开09表</w:t>
      </w:r>
    </w:p>
    <w:p w14:paraId="32336B30">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sz w:val="20"/>
          <w:szCs w:val="20"/>
        </w:rPr>
        <w:t>部门：</w:t>
      </w:r>
      <w:r>
        <w:rPr>
          <w:rFonts w:hint="eastAsia" w:ascii="Times New Roman" w:hAnsi="Times New Roman" w:eastAsia="仿宋_GB2312" w:cs="Times New Roman"/>
          <w:color w:val="000000"/>
          <w:sz w:val="20"/>
          <w:szCs w:val="20"/>
          <w:lang w:eastAsia="zh-CN"/>
        </w:rPr>
        <w:t>怀化市住房公积金管理中心</w:t>
      </w:r>
      <w:r>
        <w:rPr>
          <w:rFonts w:ascii="Times New Roman" w:hAnsi="Times New Roman" w:eastAsia="仿宋_GB2312" w:cs="Times New Roman"/>
          <w:color w:val="000000"/>
          <w:kern w:val="0"/>
          <w:szCs w:val="21"/>
        </w:rPr>
        <w:t xml:space="preserve"> </w:t>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lang w:bidi="ar"/>
        </w:rPr>
        <w:t>单位：万元</w:t>
      </w:r>
    </w:p>
    <w:tbl>
      <w:tblPr>
        <w:tblStyle w:val="10"/>
        <w:tblW w:w="5114" w:type="pct"/>
        <w:jc w:val="center"/>
        <w:tblLayout w:type="autofit"/>
        <w:tblCellMar>
          <w:top w:w="0" w:type="dxa"/>
          <w:left w:w="108" w:type="dxa"/>
          <w:bottom w:w="0" w:type="dxa"/>
          <w:right w:w="108" w:type="dxa"/>
        </w:tblCellMar>
      </w:tblPr>
      <w:tblGrid>
        <w:gridCol w:w="934"/>
        <w:gridCol w:w="1228"/>
        <w:gridCol w:w="1085"/>
        <w:gridCol w:w="1187"/>
        <w:gridCol w:w="1425"/>
        <w:gridCol w:w="1379"/>
        <w:gridCol w:w="1050"/>
        <w:gridCol w:w="1166"/>
        <w:gridCol w:w="1166"/>
        <w:gridCol w:w="1166"/>
        <w:gridCol w:w="1358"/>
        <w:gridCol w:w="1400"/>
      </w:tblGrid>
      <w:tr w14:paraId="35E577F4">
        <w:tblPrEx>
          <w:tblCellMar>
            <w:top w:w="0" w:type="dxa"/>
            <w:left w:w="108" w:type="dxa"/>
            <w:bottom w:w="0" w:type="dxa"/>
            <w:right w:w="108" w:type="dxa"/>
          </w:tblCellMar>
        </w:tblPrEx>
        <w:trPr>
          <w:trHeight w:val="606" w:hRule="atLeast"/>
          <w:jc w:val="center"/>
        </w:trPr>
        <w:tc>
          <w:tcPr>
            <w:tcW w:w="2486"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FCE630B">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预算数</w:t>
            </w:r>
          </w:p>
        </w:tc>
        <w:tc>
          <w:tcPr>
            <w:tcW w:w="2513"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2B9938D">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决算数</w:t>
            </w:r>
          </w:p>
        </w:tc>
      </w:tr>
      <w:tr w14:paraId="69CFF4DD">
        <w:tblPrEx>
          <w:tblCellMar>
            <w:top w:w="0" w:type="dxa"/>
            <w:left w:w="108" w:type="dxa"/>
            <w:bottom w:w="0" w:type="dxa"/>
            <w:right w:w="108" w:type="dxa"/>
          </w:tblCellMar>
        </w:tblPrEx>
        <w:trPr>
          <w:trHeight w:val="495" w:hRule="atLeast"/>
          <w:jc w:val="center"/>
        </w:trPr>
        <w:tc>
          <w:tcPr>
            <w:tcW w:w="32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B64B682">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42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B5F55EE">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127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19A09AA">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47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53712EB">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c>
          <w:tcPr>
            <w:tcW w:w="36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3F50118">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40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2F8A952">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126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02DF978">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48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8F5DCAD">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r>
      <w:tr w14:paraId="1F5DD15D">
        <w:tblPrEx>
          <w:tblCellMar>
            <w:top w:w="0" w:type="dxa"/>
            <w:left w:w="108" w:type="dxa"/>
            <w:bottom w:w="0" w:type="dxa"/>
            <w:right w:w="108" w:type="dxa"/>
          </w:tblCellMar>
        </w:tblPrEx>
        <w:trPr>
          <w:trHeight w:val="864" w:hRule="atLeast"/>
          <w:jc w:val="center"/>
        </w:trPr>
        <w:tc>
          <w:tcPr>
            <w:tcW w:w="32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FAC46E">
            <w:pPr>
              <w:jc w:val="center"/>
              <w:rPr>
                <w:rFonts w:ascii="Times New Roman" w:hAnsi="Times New Roman" w:eastAsia="仿宋_GB2312" w:cs="Times New Roman"/>
                <w:color w:val="000000"/>
                <w:sz w:val="22"/>
              </w:rPr>
            </w:pPr>
          </w:p>
        </w:tc>
        <w:tc>
          <w:tcPr>
            <w:tcW w:w="42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3B2A07">
            <w:pPr>
              <w:jc w:val="center"/>
              <w:rPr>
                <w:rFonts w:ascii="Times New Roman" w:hAnsi="Times New Roman" w:eastAsia="仿宋_GB2312" w:cs="Times New Roman"/>
                <w:color w:val="000000"/>
                <w:sz w:val="22"/>
              </w:rPr>
            </w:pP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A5B271">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D4DC94">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38B971">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4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28D771">
            <w:pPr>
              <w:jc w:val="center"/>
              <w:rPr>
                <w:rFonts w:ascii="Times New Roman" w:hAnsi="Times New Roman" w:eastAsia="仿宋_GB2312" w:cs="Times New Roman"/>
                <w:color w:val="000000"/>
                <w:sz w:val="22"/>
              </w:rPr>
            </w:pPr>
          </w:p>
        </w:tc>
        <w:tc>
          <w:tcPr>
            <w:tcW w:w="36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5C9DBB">
            <w:pPr>
              <w:jc w:val="center"/>
              <w:rPr>
                <w:rFonts w:ascii="Times New Roman" w:hAnsi="Times New Roman" w:eastAsia="仿宋_GB2312" w:cs="Times New Roman"/>
                <w:color w:val="000000"/>
                <w:sz w:val="22"/>
              </w:rPr>
            </w:pPr>
          </w:p>
        </w:tc>
        <w:tc>
          <w:tcPr>
            <w:tcW w:w="4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4F5FA4">
            <w:pPr>
              <w:jc w:val="cente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7B0C5D">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411F09">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D67104">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48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FCA79E">
            <w:pPr>
              <w:jc w:val="center"/>
              <w:rPr>
                <w:rFonts w:ascii="Times New Roman" w:hAnsi="Times New Roman" w:eastAsia="仿宋_GB2312" w:cs="Times New Roman"/>
                <w:color w:val="000000"/>
                <w:sz w:val="22"/>
              </w:rPr>
            </w:pPr>
          </w:p>
        </w:tc>
      </w:tr>
      <w:tr w14:paraId="1DE036A8">
        <w:tblPrEx>
          <w:tblCellMar>
            <w:top w:w="0" w:type="dxa"/>
            <w:left w:w="108" w:type="dxa"/>
            <w:bottom w:w="0" w:type="dxa"/>
            <w:right w:w="108" w:type="dxa"/>
          </w:tblCellMar>
        </w:tblPrEx>
        <w:trPr>
          <w:trHeight w:val="614"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21283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C280E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5FACE6">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64CC3E">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C2A2BA">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3E102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C4C02A">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7</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BD974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8</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28787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9</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EC5D9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10</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7A378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11</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1A684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12</w:t>
            </w:r>
          </w:p>
        </w:tc>
      </w:tr>
      <w:tr w14:paraId="613A964F">
        <w:tblPrEx>
          <w:tblCellMar>
            <w:top w:w="0" w:type="dxa"/>
            <w:left w:w="108" w:type="dxa"/>
            <w:bottom w:w="0" w:type="dxa"/>
            <w:right w:w="108" w:type="dxa"/>
          </w:tblCellMar>
        </w:tblPrEx>
        <w:trPr>
          <w:trHeight w:val="579"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1CA52A">
            <w:pP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21.00</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57FFD1">
            <w:pPr>
              <w:rPr>
                <w:rFonts w:ascii="Times New Roman" w:hAnsi="Times New Roman" w:eastAsia="仿宋_GB2312" w:cs="Times New Roman"/>
                <w:color w:val="000000"/>
                <w:sz w:val="22"/>
              </w:rPr>
            </w:pP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DD6E22">
            <w:pP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20.00</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DC97EC">
            <w:pPr>
              <w:rPr>
                <w:rFonts w:ascii="Times New Roman" w:hAnsi="Times New Roman" w:eastAsia="仿宋_GB2312" w:cs="Times New Roman"/>
                <w:color w:val="000000"/>
                <w:sz w:val="22"/>
              </w:rPr>
            </w:pP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9976CD">
            <w:pP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20.00</w:t>
            </w: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84FADF">
            <w:pP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1.00</w:t>
            </w: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9610F9">
            <w:pP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21.00</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5DB0C8">
            <w:pP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0A2A85">
            <w:pP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21.00</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CAE558">
            <w:pPr>
              <w:rPr>
                <w:rFonts w:ascii="Times New Roman" w:hAnsi="Times New Roman" w:eastAsia="仿宋_GB2312" w:cs="Times New Roman"/>
                <w:color w:val="000000"/>
                <w:sz w:val="22"/>
              </w:rPr>
            </w:pP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D29445">
            <w:pP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21.00</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9FCF42">
            <w:pPr>
              <w:rPr>
                <w:rFonts w:hint="default"/>
                <w:lang w:val="en-US" w:eastAsia="zh-CN"/>
              </w:rPr>
            </w:pPr>
            <w:r>
              <w:rPr>
                <w:rFonts w:hint="eastAsia" w:ascii="Times New Roman" w:hAnsi="Times New Roman" w:eastAsia="仿宋_GB2312" w:cs="Times New Roman"/>
                <w:color w:val="000000"/>
                <w:sz w:val="22"/>
                <w:lang w:val="en-US" w:eastAsia="zh-CN"/>
              </w:rPr>
              <w:t>0.00</w:t>
            </w:r>
          </w:p>
        </w:tc>
      </w:tr>
    </w:tbl>
    <w:p w14:paraId="5911A4CD">
      <w:pPr>
        <w:widowControl/>
        <w:spacing w:before="120"/>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注：本表反映部门本年度财政拨款“三公”经费支出预决算情况。其中，预算数为“三公”经费全年预算数，反映按规定程序调整后的预算数；决算数是包括当年财政拨款和以前年度结转资金安排的实际支出。</w:t>
      </w:r>
    </w:p>
    <w:p w14:paraId="3BB24AFB">
      <w:pPr>
        <w:autoSpaceDE w:val="0"/>
        <w:autoSpaceDN w:val="0"/>
        <w:adjustRightInd w:val="0"/>
        <w:ind w:left="315" w:leftChars="150"/>
        <w:jc w:val="left"/>
        <w:rPr>
          <w:rFonts w:ascii="Times New Roman" w:hAnsi="Times New Roman" w:eastAsia="宋体" w:cs="Times New Roman"/>
          <w:kern w:val="0"/>
          <w:sz w:val="24"/>
          <w:szCs w:val="24"/>
        </w:rPr>
      </w:pPr>
    </w:p>
    <w:p w14:paraId="6B32E2FF">
      <w:pPr>
        <w:autoSpaceDE w:val="0"/>
        <w:autoSpaceDN w:val="0"/>
        <w:adjustRightInd w:val="0"/>
        <w:ind w:left="315" w:leftChars="150"/>
        <w:jc w:val="left"/>
        <w:rPr>
          <w:rFonts w:ascii="Times New Roman" w:hAnsi="Times New Roman" w:eastAsia="宋体" w:cs="Times New Roman"/>
          <w:kern w:val="0"/>
          <w:sz w:val="24"/>
          <w:szCs w:val="24"/>
        </w:rPr>
      </w:pPr>
    </w:p>
    <w:p w14:paraId="6A0209D5">
      <w:pPr>
        <w:autoSpaceDE w:val="0"/>
        <w:autoSpaceDN w:val="0"/>
        <w:adjustRightInd w:val="0"/>
        <w:ind w:left="315" w:leftChars="150"/>
        <w:jc w:val="left"/>
        <w:rPr>
          <w:rFonts w:ascii="Times New Roman" w:hAnsi="Times New Roman" w:eastAsia="宋体" w:cs="Times New Roman"/>
          <w:kern w:val="0"/>
          <w:sz w:val="24"/>
          <w:szCs w:val="24"/>
        </w:rPr>
      </w:pPr>
    </w:p>
    <w:p w14:paraId="4017D59B">
      <w:pPr>
        <w:autoSpaceDE w:val="0"/>
        <w:autoSpaceDN w:val="0"/>
        <w:adjustRightInd w:val="0"/>
        <w:ind w:left="315" w:leftChars="150"/>
        <w:jc w:val="left"/>
        <w:rPr>
          <w:rFonts w:ascii="Times New Roman" w:hAnsi="Times New Roman" w:eastAsia="宋体" w:cs="Times New Roman"/>
          <w:kern w:val="0"/>
          <w:sz w:val="24"/>
          <w:szCs w:val="24"/>
        </w:rPr>
      </w:pPr>
    </w:p>
    <w:p w14:paraId="318CBFE8">
      <w:pPr>
        <w:autoSpaceDE w:val="0"/>
        <w:autoSpaceDN w:val="0"/>
        <w:adjustRightInd w:val="0"/>
        <w:ind w:left="315" w:leftChars="150"/>
        <w:jc w:val="left"/>
        <w:rPr>
          <w:rFonts w:ascii="Times New Roman" w:hAnsi="Times New Roman" w:eastAsia="宋体" w:cs="Times New Roman"/>
          <w:kern w:val="0"/>
          <w:sz w:val="24"/>
          <w:szCs w:val="24"/>
        </w:rPr>
      </w:pPr>
    </w:p>
    <w:p w14:paraId="7D093CDF">
      <w:pPr>
        <w:widowControl/>
        <w:rPr>
          <w:rFonts w:ascii="Times New Roman" w:hAnsi="Times New Roman" w:cs="Times New Roman"/>
          <w:sz w:val="72"/>
          <w:szCs w:val="72"/>
        </w:rPr>
        <w:sectPr>
          <w:pgSz w:w="16838" w:h="11906" w:orient="landscape"/>
          <w:pgMar w:top="1134" w:right="1417" w:bottom="1134" w:left="1417" w:header="851" w:footer="992" w:gutter="0"/>
          <w:cols w:space="425" w:num="1"/>
          <w:docGrid w:type="lines" w:linePitch="312" w:charSpace="0"/>
        </w:sectPr>
      </w:pPr>
      <w:r>
        <w:rPr>
          <w:rFonts w:ascii="Times New Roman" w:hAnsi="Times New Roman" w:eastAsia="黑体" w:cs="Times New Roman"/>
          <w:szCs w:val="21"/>
        </w:rPr>
        <w:br w:type="page"/>
      </w:r>
    </w:p>
    <w:p w14:paraId="6A7A696D">
      <w:pPr>
        <w:pStyle w:val="14"/>
        <w:rPr>
          <w:rFonts w:ascii="Times New Roman" w:hAnsi="Times New Roman" w:cs="Times New Roman"/>
          <w:sz w:val="72"/>
          <w:szCs w:val="72"/>
        </w:rPr>
      </w:pPr>
    </w:p>
    <w:p w14:paraId="5DFB2071">
      <w:pPr>
        <w:pStyle w:val="14"/>
        <w:rPr>
          <w:rFonts w:ascii="Times New Roman" w:hAnsi="Times New Roman" w:cs="Times New Roman"/>
          <w:sz w:val="72"/>
          <w:szCs w:val="72"/>
        </w:rPr>
      </w:pPr>
    </w:p>
    <w:p w14:paraId="0307FB14">
      <w:pPr>
        <w:pStyle w:val="14"/>
        <w:rPr>
          <w:rFonts w:ascii="Times New Roman" w:hAnsi="Times New Roman" w:cs="Times New Roman"/>
          <w:sz w:val="72"/>
          <w:szCs w:val="72"/>
        </w:rPr>
      </w:pPr>
    </w:p>
    <w:p w14:paraId="4969E982">
      <w:pPr>
        <w:pStyle w:val="14"/>
        <w:jc w:val="center"/>
        <w:rPr>
          <w:rFonts w:ascii="Times New Roman" w:hAnsi="Times New Roman" w:cs="Times New Roman"/>
          <w:sz w:val="72"/>
          <w:szCs w:val="72"/>
        </w:rPr>
      </w:pPr>
    </w:p>
    <w:p w14:paraId="783DDAEA">
      <w:pPr>
        <w:pStyle w:val="14"/>
        <w:jc w:val="center"/>
        <w:rPr>
          <w:rFonts w:ascii="Times New Roman" w:hAnsi="Times New Roman" w:eastAsia="方正小标宋_GBK" w:cs="Times New Roman"/>
          <w:sz w:val="72"/>
          <w:szCs w:val="72"/>
        </w:rPr>
      </w:pPr>
    </w:p>
    <w:p w14:paraId="52E08860">
      <w:pPr>
        <w:pStyle w:val="14"/>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第三部分</w:t>
      </w:r>
    </w:p>
    <w:p w14:paraId="596FF296">
      <w:pPr>
        <w:pStyle w:val="14"/>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202</w:t>
      </w:r>
      <w:r>
        <w:rPr>
          <w:rFonts w:hint="eastAsia" w:ascii="Times New Roman" w:hAnsi="Times New Roman" w:eastAsia="方正小标宋_GBK" w:cs="Times New Roman"/>
          <w:sz w:val="52"/>
          <w:szCs w:val="52"/>
          <w:lang w:val="en-US" w:eastAsia="zh-CN"/>
        </w:rPr>
        <w:t>5</w:t>
      </w:r>
      <w:r>
        <w:rPr>
          <w:rFonts w:ascii="Times New Roman" w:hAnsi="Times New Roman" w:eastAsia="方正小标宋_GBK" w:cs="Times New Roman"/>
          <w:sz w:val="52"/>
          <w:szCs w:val="52"/>
        </w:rPr>
        <w:t>年度部门决算情况说明</w:t>
      </w:r>
    </w:p>
    <w:p w14:paraId="5031F613">
      <w:pPr>
        <w:widowControl/>
        <w:jc w:val="left"/>
        <w:rPr>
          <w:rFonts w:ascii="Times New Roman" w:hAnsi="Times New Roman" w:cs="Times New Roman"/>
          <w:sz w:val="32"/>
          <w:szCs w:val="32"/>
        </w:rPr>
      </w:pPr>
      <w:r>
        <w:rPr>
          <w:rFonts w:ascii="Times New Roman" w:hAnsi="Times New Roman" w:eastAsia="方正小标宋_GBK" w:cs="Times New Roman"/>
          <w:sz w:val="70"/>
          <w:szCs w:val="70"/>
        </w:rPr>
        <w:br w:type="page"/>
      </w:r>
    </w:p>
    <w:p w14:paraId="24A3A828">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一、收入支出决算总体情况说明</w:t>
      </w:r>
    </w:p>
    <w:p w14:paraId="7D68653F">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年度收、支总计</w:t>
      </w:r>
      <w:r>
        <w:rPr>
          <w:rFonts w:hint="eastAsia" w:ascii="Times New Roman" w:hAnsi="Times New Roman" w:eastAsia="仿宋_GB2312" w:cs="Times New Roman"/>
          <w:sz w:val="32"/>
          <w:szCs w:val="32"/>
          <w:lang w:eastAsia="zh-CN"/>
        </w:rPr>
        <w:t>均为</w:t>
      </w:r>
      <w:r>
        <w:rPr>
          <w:rFonts w:hint="eastAsia" w:ascii="Times New Roman" w:hAnsi="Times New Roman" w:eastAsia="仿宋_GB2312" w:cs="Times New Roman"/>
          <w:sz w:val="32"/>
          <w:szCs w:val="32"/>
          <w:lang w:val="en-US" w:eastAsia="zh-CN"/>
        </w:rPr>
        <w:t>2624.73</w:t>
      </w:r>
      <w:r>
        <w:rPr>
          <w:rFonts w:ascii="Times New Roman" w:hAnsi="Times New Roman" w:eastAsia="仿宋_GB2312" w:cs="Times New Roman"/>
          <w:sz w:val="32"/>
          <w:szCs w:val="32"/>
        </w:rPr>
        <w:t>万元。与上年相比，减少</w:t>
      </w:r>
      <w:r>
        <w:rPr>
          <w:rFonts w:hint="eastAsia" w:ascii="Times New Roman" w:hAnsi="Times New Roman" w:eastAsia="仿宋_GB2312" w:cs="Times New Roman"/>
          <w:sz w:val="32"/>
          <w:szCs w:val="32"/>
          <w:lang w:val="en-US" w:eastAsia="zh-CN"/>
        </w:rPr>
        <w:t>204.67</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7.23</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eastAsia="zh-CN"/>
        </w:rPr>
        <w:t>本年预算数比</w:t>
      </w:r>
      <w:r>
        <w:rPr>
          <w:rFonts w:hint="eastAsia" w:ascii="Times New Roman" w:hAnsi="Times New Roman" w:eastAsia="仿宋_GB2312" w:cs="Times New Roman"/>
          <w:sz w:val="32"/>
          <w:szCs w:val="32"/>
        </w:rPr>
        <w:t>上年减少</w:t>
      </w:r>
      <w:r>
        <w:rPr>
          <w:rFonts w:hint="eastAsia" w:ascii="Times New Roman" w:hAnsi="Times New Roman" w:eastAsia="仿宋_GB2312" w:cs="Times New Roman"/>
          <w:sz w:val="32"/>
          <w:szCs w:val="32"/>
          <w:lang w:val="en-US" w:eastAsia="zh-CN"/>
        </w:rPr>
        <w:t>204.67</w:t>
      </w:r>
      <w:r>
        <w:rPr>
          <w:rFonts w:hint="eastAsia"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w:t>
      </w:r>
    </w:p>
    <w:p w14:paraId="34FAE8C5">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贯彻落实党政机关习惯过紧日子有关要求，厉行节约办一切事，严控一般性支出，进一步优化支出结构，持续压降“三公”经费、办公经费、会议培训等行政开支。同时坚持有保有压，优化支出结构，提高资金使用效率，合理保障人员工资、公用经费、项目等重点支出。</w:t>
      </w:r>
    </w:p>
    <w:p w14:paraId="7E9AA6E3">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二、收入决算情况说明</w:t>
      </w:r>
    </w:p>
    <w:p w14:paraId="6B834A70">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年度收入合计</w:t>
      </w:r>
      <w:r>
        <w:rPr>
          <w:rFonts w:hint="eastAsia" w:ascii="Times New Roman" w:hAnsi="Times New Roman" w:eastAsia="仿宋_GB2312" w:cs="Times New Roman"/>
          <w:sz w:val="32"/>
          <w:szCs w:val="32"/>
          <w:lang w:val="en-US" w:eastAsia="zh-CN"/>
        </w:rPr>
        <w:t>2624.73</w:t>
      </w:r>
      <w:r>
        <w:rPr>
          <w:rFonts w:ascii="Times New Roman" w:hAnsi="Times New Roman" w:eastAsia="仿宋_GB2312" w:cs="Times New Roman"/>
          <w:sz w:val="32"/>
          <w:szCs w:val="32"/>
        </w:rPr>
        <w:t>万元，其中：财政拨款收入</w:t>
      </w:r>
      <w:r>
        <w:rPr>
          <w:rFonts w:hint="eastAsia" w:ascii="Times New Roman" w:hAnsi="Times New Roman" w:eastAsia="仿宋_GB2312" w:cs="Times New Roman"/>
          <w:sz w:val="32"/>
          <w:szCs w:val="32"/>
          <w:lang w:val="en-US" w:eastAsia="zh-CN"/>
        </w:rPr>
        <w:t>2624.73</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%；上级补助收入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%；事业收入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%；附属单位上缴收入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%；其他收入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14:paraId="7B1DF18A">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三、支出决算情况说明</w:t>
      </w:r>
    </w:p>
    <w:p w14:paraId="48660FD4">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年度支出合计</w:t>
      </w:r>
      <w:r>
        <w:rPr>
          <w:rFonts w:hint="eastAsia" w:ascii="Times New Roman" w:hAnsi="Times New Roman" w:eastAsia="仿宋_GB2312" w:cs="Times New Roman"/>
          <w:sz w:val="32"/>
          <w:szCs w:val="32"/>
          <w:lang w:val="en-US" w:eastAsia="zh-CN"/>
        </w:rPr>
        <w:t>2624.73</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1979.60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75.42</w:t>
      </w:r>
      <w:r>
        <w:rPr>
          <w:rFonts w:ascii="Times New Roman" w:hAnsi="Times New Roman" w:eastAsia="仿宋_GB2312" w:cs="Times New Roman"/>
          <w:sz w:val="32"/>
          <w:szCs w:val="32"/>
        </w:rPr>
        <w:t>%；项目支出</w:t>
      </w:r>
      <w:r>
        <w:rPr>
          <w:rFonts w:hint="eastAsia" w:ascii="Times New Roman" w:hAnsi="Times New Roman" w:eastAsia="仿宋_GB2312" w:cs="Times New Roman"/>
          <w:sz w:val="32"/>
          <w:szCs w:val="32"/>
          <w:lang w:val="en-US" w:eastAsia="zh-CN"/>
        </w:rPr>
        <w:t>645.13</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24.58</w:t>
      </w:r>
      <w:r>
        <w:rPr>
          <w:rFonts w:ascii="Times New Roman" w:hAnsi="Times New Roman" w:eastAsia="仿宋_GB2312" w:cs="Times New Roman"/>
          <w:sz w:val="32"/>
          <w:szCs w:val="32"/>
        </w:rPr>
        <w:t>%；上缴上级支出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%；对附属单位补助支出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14:paraId="79F2670D">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四、财政拨款收入支出决算总体情况说明</w:t>
      </w:r>
    </w:p>
    <w:p w14:paraId="4C05A714">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年度财政拨款收、支总计</w:t>
      </w:r>
      <w:r>
        <w:rPr>
          <w:rFonts w:hint="eastAsia" w:ascii="Times New Roman" w:hAnsi="Times New Roman" w:eastAsia="仿宋_GB2312" w:cs="Times New Roman"/>
          <w:sz w:val="32"/>
          <w:szCs w:val="32"/>
          <w:lang w:eastAsia="zh-CN"/>
        </w:rPr>
        <w:t>均为</w:t>
      </w:r>
      <w:r>
        <w:rPr>
          <w:rFonts w:hint="eastAsia" w:ascii="Times New Roman" w:hAnsi="Times New Roman" w:eastAsia="仿宋_GB2312" w:cs="Times New Roman"/>
          <w:sz w:val="32"/>
          <w:szCs w:val="32"/>
          <w:lang w:val="en-US" w:eastAsia="zh-CN"/>
        </w:rPr>
        <w:t>2624.73</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rPr>
        <w:t>与上年相比，减少204.67万元，降低7.23%，主要是因为</w:t>
      </w:r>
      <w:r>
        <w:rPr>
          <w:rFonts w:hint="eastAsia" w:ascii="Times New Roman" w:hAnsi="Times New Roman" w:eastAsia="仿宋_GB2312" w:cs="Times New Roman"/>
          <w:sz w:val="32"/>
          <w:szCs w:val="32"/>
          <w:lang w:eastAsia="zh-CN"/>
        </w:rPr>
        <w:t>本年预算数</w:t>
      </w:r>
      <w:r>
        <w:rPr>
          <w:rFonts w:hint="eastAsia" w:ascii="Times New Roman" w:hAnsi="Times New Roman" w:eastAsia="仿宋_GB2312" w:cs="Times New Roman"/>
          <w:sz w:val="32"/>
          <w:szCs w:val="32"/>
        </w:rPr>
        <w:t>较上年减少204.67万元。</w:t>
      </w:r>
    </w:p>
    <w:p w14:paraId="35D98681">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五、一般公共预算财政拨款支出决算情况说明</w:t>
      </w:r>
    </w:p>
    <w:p w14:paraId="72DADCA2">
      <w:pPr>
        <w:pStyle w:val="14"/>
        <w:overflowPunct w:val="0"/>
        <w:autoSpaceDE/>
        <w:autoSpaceDN/>
        <w:spacing w:line="600" w:lineRule="exact"/>
        <w:ind w:firstLine="643"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（一）一般公共预算财政拨款支出决算总体情况</w:t>
      </w:r>
    </w:p>
    <w:p w14:paraId="4792DCFE">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w:t>
      </w:r>
      <w:r>
        <w:rPr>
          <w:rFonts w:hint="eastAsia" w:ascii="Times New Roman" w:hAnsi="Times New Roman" w:eastAsia="仿宋_GB2312" w:cs="Times New Roman"/>
          <w:sz w:val="32"/>
          <w:szCs w:val="32"/>
          <w:lang w:val="en-US" w:eastAsia="zh-CN"/>
        </w:rPr>
        <w:t>2624.73</w:t>
      </w:r>
      <w:r>
        <w:rPr>
          <w:rFonts w:ascii="Times New Roman" w:hAnsi="Times New Roman" w:eastAsia="仿宋_GB2312" w:cs="Times New Roman"/>
          <w:sz w:val="32"/>
          <w:szCs w:val="32"/>
        </w:rPr>
        <w:t>万元，占本年支出合计的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%，与上年相比，财政拨款支出减少</w:t>
      </w:r>
      <w:r>
        <w:rPr>
          <w:rFonts w:hint="eastAsia" w:ascii="Times New Roman" w:hAnsi="Times New Roman" w:eastAsia="仿宋_GB2312" w:cs="Times New Roman"/>
          <w:sz w:val="32"/>
          <w:szCs w:val="32"/>
          <w:lang w:val="en-US" w:eastAsia="zh-CN"/>
        </w:rPr>
        <w:t>204.7</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rPr>
        <w:t>降低7.23%，主要是因为</w:t>
      </w:r>
      <w:r>
        <w:rPr>
          <w:rFonts w:hint="eastAsia" w:ascii="Times New Roman" w:hAnsi="Times New Roman" w:eastAsia="仿宋_GB2312" w:cs="Times New Roman"/>
          <w:sz w:val="32"/>
          <w:szCs w:val="32"/>
          <w:lang w:eastAsia="zh-CN"/>
        </w:rPr>
        <w:t>本年预算数</w:t>
      </w:r>
      <w:r>
        <w:rPr>
          <w:rFonts w:hint="eastAsia" w:ascii="Times New Roman" w:hAnsi="Times New Roman" w:eastAsia="仿宋_GB2312" w:cs="Times New Roman"/>
          <w:sz w:val="32"/>
          <w:szCs w:val="32"/>
        </w:rPr>
        <w:t>较上年减少204.67万元。</w:t>
      </w:r>
    </w:p>
    <w:p w14:paraId="3EAF2081">
      <w:pPr>
        <w:pStyle w:val="14"/>
        <w:overflowPunct w:val="0"/>
        <w:autoSpaceDE/>
        <w:autoSpaceDN/>
        <w:spacing w:line="600" w:lineRule="exact"/>
        <w:ind w:firstLine="643"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（二）一般公共预算财政拨款支出决算结构情况</w:t>
      </w:r>
    </w:p>
    <w:p w14:paraId="12BFF020">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度财政拨款支出</w:t>
      </w:r>
      <w:r>
        <w:rPr>
          <w:rFonts w:hint="eastAsia" w:ascii="Times New Roman" w:hAnsi="Times New Roman" w:eastAsia="仿宋_GB2312" w:cs="Times New Roman"/>
          <w:sz w:val="32"/>
          <w:szCs w:val="32"/>
          <w:lang w:val="en-US" w:eastAsia="zh-CN"/>
        </w:rPr>
        <w:t>2624.73</w:t>
      </w:r>
      <w:r>
        <w:rPr>
          <w:rFonts w:ascii="Times New Roman" w:hAnsi="Times New Roman" w:eastAsia="仿宋_GB2312" w:cs="Times New Roman"/>
          <w:sz w:val="32"/>
          <w:szCs w:val="32"/>
        </w:rPr>
        <w:t>万元，主要用于以下方面：一般公共服务（类）支出</w:t>
      </w:r>
      <w:r>
        <w:rPr>
          <w:rFonts w:hint="eastAsia" w:ascii="Times New Roman" w:hAnsi="Times New Roman" w:eastAsia="仿宋_GB2312" w:cs="Times New Roman"/>
          <w:sz w:val="32"/>
          <w:szCs w:val="32"/>
          <w:lang w:val="en-US" w:eastAsia="zh-CN"/>
        </w:rPr>
        <w:t>76.65</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2.92</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制造业</w:t>
      </w:r>
      <w:r>
        <w:rPr>
          <w:rFonts w:ascii="Times New Roman" w:hAnsi="Times New Roman" w:eastAsia="仿宋_GB2312" w:cs="Times New Roman"/>
          <w:sz w:val="32"/>
          <w:szCs w:val="32"/>
        </w:rPr>
        <w:t>（类）支出</w:t>
      </w:r>
      <w:r>
        <w:rPr>
          <w:rFonts w:hint="eastAsia" w:ascii="Times New Roman" w:hAnsi="Times New Roman" w:eastAsia="仿宋_GB2312" w:cs="Times New Roman"/>
          <w:sz w:val="32"/>
          <w:szCs w:val="32"/>
          <w:lang w:val="en-US" w:eastAsia="zh-CN"/>
        </w:rPr>
        <w:t>17.60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0.67</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；住房保障（类）支出</w:t>
      </w:r>
      <w:r>
        <w:rPr>
          <w:rFonts w:hint="eastAsia" w:ascii="Times New Roman" w:hAnsi="Times New Roman" w:eastAsia="仿宋_GB2312" w:cs="Times New Roman"/>
          <w:sz w:val="32"/>
          <w:szCs w:val="32"/>
          <w:lang w:val="en-US" w:eastAsia="zh-CN"/>
        </w:rPr>
        <w:t>2530.47</w:t>
      </w:r>
      <w:r>
        <w:rPr>
          <w:rFonts w:hint="eastAsia" w:ascii="Times New Roman" w:hAnsi="Times New Roman" w:eastAsia="仿宋_GB2312" w:cs="Times New Roman"/>
          <w:sz w:val="32"/>
          <w:szCs w:val="32"/>
          <w:lang w:eastAsia="zh-CN"/>
        </w:rPr>
        <w:t>万元，占</w:t>
      </w:r>
      <w:r>
        <w:rPr>
          <w:rFonts w:hint="eastAsia" w:ascii="Times New Roman" w:hAnsi="Times New Roman" w:eastAsia="仿宋_GB2312" w:cs="Times New Roman"/>
          <w:sz w:val="32"/>
          <w:szCs w:val="32"/>
          <w:lang w:val="en-US" w:eastAsia="zh-CN"/>
        </w:rPr>
        <w:t>96.41</w:t>
      </w:r>
      <w:r>
        <w:rPr>
          <w:rFonts w:hint="eastAsia" w:ascii="Times New Roman" w:hAnsi="Times New Roman" w:eastAsia="仿宋_GB2312" w:cs="Times New Roman"/>
          <w:sz w:val="32"/>
          <w:szCs w:val="32"/>
          <w:lang w:eastAsia="zh-CN"/>
        </w:rPr>
        <w:t>%。</w:t>
      </w:r>
    </w:p>
    <w:p w14:paraId="501C5FD6">
      <w:pPr>
        <w:pStyle w:val="14"/>
        <w:overflowPunct w:val="0"/>
        <w:autoSpaceDE/>
        <w:autoSpaceDN/>
        <w:spacing w:line="600" w:lineRule="exact"/>
        <w:ind w:firstLine="643"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（三）一般公共预算财政拨款支出决算具体情况</w:t>
      </w:r>
    </w:p>
    <w:p w14:paraId="19D05A0C">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年度财政拨款支出年初预算数为</w:t>
      </w:r>
      <w:r>
        <w:rPr>
          <w:rFonts w:hint="eastAsia" w:ascii="Times New Roman" w:hAnsi="Times New Roman" w:eastAsia="仿宋_GB2312" w:cs="Times New Roman"/>
          <w:sz w:val="32"/>
          <w:szCs w:val="32"/>
          <w:lang w:val="en-US" w:eastAsia="zh-CN"/>
        </w:rPr>
        <w:t>3194.18</w:t>
      </w:r>
      <w:r>
        <w:rPr>
          <w:rFonts w:ascii="Times New Roman" w:hAnsi="Times New Roman" w:eastAsia="仿宋_GB2312" w:cs="Times New Roman"/>
          <w:sz w:val="32"/>
          <w:szCs w:val="32"/>
        </w:rPr>
        <w:t>万元，支出决算数为</w:t>
      </w:r>
      <w:r>
        <w:rPr>
          <w:rFonts w:hint="eastAsia" w:ascii="Times New Roman" w:hAnsi="Times New Roman" w:eastAsia="仿宋_GB2312" w:cs="Times New Roman"/>
          <w:sz w:val="32"/>
          <w:szCs w:val="32"/>
          <w:lang w:val="en-US" w:eastAsia="zh-CN"/>
        </w:rPr>
        <w:t>2624.73</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82.17</w:t>
      </w:r>
      <w:r>
        <w:rPr>
          <w:rFonts w:ascii="Times New Roman" w:hAnsi="Times New Roman" w:eastAsia="仿宋_GB2312" w:cs="Times New Roman"/>
          <w:sz w:val="32"/>
          <w:szCs w:val="32"/>
        </w:rPr>
        <w:t>%，其中：</w:t>
      </w:r>
    </w:p>
    <w:p w14:paraId="3998E50B">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1、一般公共服务（类）</w:t>
      </w:r>
      <w:r>
        <w:rPr>
          <w:rFonts w:hint="eastAsia" w:ascii="Times New Roman" w:hAnsi="Times New Roman" w:eastAsia="仿宋_GB2312" w:cs="Times New Roman"/>
          <w:sz w:val="32"/>
          <w:szCs w:val="32"/>
          <w:lang w:eastAsia="zh-CN"/>
        </w:rPr>
        <w:t>其他一般公共服务支出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lang w:eastAsia="zh-CN"/>
        </w:rPr>
        <w:t>其他一般公共服务支出</w:t>
      </w:r>
      <w:r>
        <w:rPr>
          <w:rFonts w:ascii="Times New Roman" w:hAnsi="Times New Roman" w:eastAsia="仿宋_GB2312" w:cs="Times New Roman"/>
          <w:sz w:val="32"/>
          <w:szCs w:val="32"/>
        </w:rPr>
        <w:t>（项）。</w:t>
      </w:r>
    </w:p>
    <w:p w14:paraId="7DFFDCE1">
      <w:pPr>
        <w:pStyle w:val="14"/>
        <w:overflowPunct w:val="0"/>
        <w:autoSpaceDE/>
        <w:autoSpaceDN/>
        <w:spacing w:line="600" w:lineRule="exact"/>
        <w:ind w:firstLine="640" w:firstLineChars="200"/>
        <w:jc w:val="both"/>
        <w:rPr>
          <w:rFonts w:hint="eastAsia" w:ascii="Times New Roman" w:hAnsi="Times New Roman" w:eastAsia="仿宋_GB2312" w:cs="Times New Roman"/>
          <w:color w:val="auto"/>
          <w:sz w:val="32"/>
          <w:szCs w:val="32"/>
          <w:shd w:val="clear" w:color="auto" w:fill="auto"/>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0.00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76.65</w:t>
      </w:r>
      <w:r>
        <w:rPr>
          <w:rFonts w:ascii="Times New Roman" w:hAnsi="Times New Roman" w:eastAsia="仿宋_GB2312" w:cs="Times New Roman"/>
          <w:sz w:val="32"/>
          <w:szCs w:val="32"/>
        </w:rPr>
        <w:t>万元，</w:t>
      </w:r>
      <w:r>
        <w:rPr>
          <w:rFonts w:ascii="Times New Roman" w:hAnsi="Times New Roman" w:eastAsia="仿宋_GB2312" w:cs="Times New Roman"/>
          <w:color w:val="auto"/>
          <w:sz w:val="32"/>
          <w:szCs w:val="32"/>
          <w:shd w:val="clear" w:color="auto" w:fill="auto"/>
        </w:rPr>
        <w:t>决算数</w:t>
      </w:r>
      <w:r>
        <w:rPr>
          <w:rFonts w:hint="eastAsia" w:ascii="Times New Roman" w:hAnsi="Times New Roman" w:eastAsia="仿宋_GB2312" w:cs="Times New Roman"/>
          <w:color w:val="auto"/>
          <w:sz w:val="32"/>
          <w:szCs w:val="32"/>
          <w:shd w:val="clear" w:color="auto" w:fill="auto"/>
          <w:lang w:eastAsia="zh-CN"/>
        </w:rPr>
        <w:t>大于</w:t>
      </w:r>
      <w:r>
        <w:rPr>
          <w:rFonts w:ascii="Times New Roman" w:hAnsi="Times New Roman" w:eastAsia="仿宋_GB2312" w:cs="Times New Roman"/>
          <w:color w:val="auto"/>
          <w:sz w:val="32"/>
          <w:szCs w:val="32"/>
          <w:shd w:val="clear" w:color="auto" w:fill="auto"/>
        </w:rPr>
        <w:t>年初预算数的主要原因是：</w:t>
      </w:r>
      <w:r>
        <w:rPr>
          <w:rFonts w:hint="eastAsia" w:ascii="Times New Roman" w:hAnsi="Times New Roman" w:eastAsia="仿宋_GB2312" w:cs="Times New Roman"/>
          <w:color w:val="auto"/>
          <w:sz w:val="32"/>
          <w:szCs w:val="32"/>
          <w:shd w:val="clear" w:color="auto" w:fill="auto"/>
          <w:lang w:eastAsia="zh-CN"/>
        </w:rPr>
        <w:t>由财政统一安排资金支出的人才引进人员补助以及</w:t>
      </w:r>
      <w:r>
        <w:rPr>
          <w:rFonts w:hint="eastAsia" w:ascii="Times New Roman" w:hAnsi="Times New Roman" w:eastAsia="仿宋_GB2312" w:cs="Times New Roman"/>
          <w:color w:val="auto"/>
          <w:sz w:val="32"/>
          <w:szCs w:val="32"/>
          <w:shd w:val="clear" w:color="auto" w:fill="auto"/>
          <w:lang w:val="en-US" w:eastAsia="zh-CN"/>
        </w:rPr>
        <w:t>2025年年底绩效奖金</w:t>
      </w:r>
      <w:r>
        <w:rPr>
          <w:rFonts w:hint="eastAsia" w:ascii="Times New Roman" w:hAnsi="Times New Roman" w:eastAsia="仿宋_GB2312" w:cs="Times New Roman"/>
          <w:color w:val="auto"/>
          <w:sz w:val="32"/>
          <w:szCs w:val="32"/>
          <w:shd w:val="clear" w:color="auto" w:fill="auto"/>
          <w:lang w:eastAsia="zh-CN"/>
        </w:rPr>
        <w:t>，未列入单位年初预算。</w:t>
      </w:r>
    </w:p>
    <w:p w14:paraId="11C188EC">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w:t>
      </w:r>
      <w:r>
        <w:rPr>
          <w:rFonts w:hint="eastAsia" w:ascii="Times New Roman" w:hAnsi="Times New Roman" w:eastAsia="仿宋_GB2312" w:cs="Times New Roman"/>
          <w:sz w:val="32"/>
          <w:szCs w:val="32"/>
          <w:lang w:eastAsia="zh-CN"/>
        </w:rPr>
        <w:t>资源勘探工业信息等支出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lang w:eastAsia="zh-CN"/>
        </w:rPr>
        <w:t>制造业</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lang w:eastAsia="zh-CN"/>
        </w:rPr>
        <w:t>通信设备、计算机及其他电子设备制造业</w:t>
      </w:r>
      <w:r>
        <w:rPr>
          <w:rFonts w:ascii="Times New Roman" w:hAnsi="Times New Roman" w:eastAsia="仿宋_GB2312" w:cs="Times New Roman"/>
          <w:sz w:val="32"/>
          <w:szCs w:val="32"/>
        </w:rPr>
        <w:t>（项）。</w:t>
      </w:r>
    </w:p>
    <w:p w14:paraId="77D73A8E">
      <w:pPr>
        <w:pStyle w:val="14"/>
        <w:overflowPunct w:val="0"/>
        <w:autoSpaceDE/>
        <w:autoSpaceDN/>
        <w:spacing w:line="600" w:lineRule="exact"/>
        <w:ind w:firstLine="640" w:firstLineChars="200"/>
        <w:jc w:val="both"/>
        <w:rPr>
          <w:rFonts w:hint="eastAsia" w:ascii="Times New Roman" w:hAnsi="Times New Roman" w:eastAsia="仿宋_GB2312" w:cs="Times New Roman"/>
          <w:color w:val="auto"/>
          <w:sz w:val="32"/>
          <w:szCs w:val="32"/>
          <w:shd w:val="clear" w:color="auto" w:fill="auto"/>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0.00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17.60</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决</w:t>
      </w:r>
      <w:r>
        <w:rPr>
          <w:rFonts w:ascii="Times New Roman" w:hAnsi="Times New Roman" w:eastAsia="仿宋_GB2312" w:cs="Times New Roman"/>
          <w:color w:val="auto"/>
          <w:sz w:val="32"/>
          <w:szCs w:val="32"/>
          <w:shd w:val="clear" w:color="auto" w:fill="auto"/>
        </w:rPr>
        <w:t>算数</w:t>
      </w:r>
      <w:r>
        <w:rPr>
          <w:rFonts w:hint="eastAsia" w:ascii="Times New Roman" w:hAnsi="Times New Roman" w:eastAsia="仿宋_GB2312" w:cs="Times New Roman"/>
          <w:color w:val="auto"/>
          <w:sz w:val="32"/>
          <w:szCs w:val="32"/>
          <w:shd w:val="clear" w:color="auto" w:fill="auto"/>
          <w:lang w:eastAsia="zh-CN"/>
        </w:rPr>
        <w:t>大于</w:t>
      </w:r>
      <w:r>
        <w:rPr>
          <w:rFonts w:ascii="Times New Roman" w:hAnsi="Times New Roman" w:eastAsia="仿宋_GB2312" w:cs="Times New Roman"/>
          <w:color w:val="auto"/>
          <w:sz w:val="32"/>
          <w:szCs w:val="32"/>
          <w:shd w:val="clear" w:color="auto" w:fill="auto"/>
        </w:rPr>
        <w:t>年初预算数的主要原因是：</w:t>
      </w:r>
      <w:r>
        <w:rPr>
          <w:rFonts w:hint="eastAsia" w:ascii="Times New Roman" w:hAnsi="Times New Roman" w:eastAsia="仿宋_GB2312" w:cs="Times New Roman"/>
          <w:color w:val="auto"/>
          <w:sz w:val="32"/>
          <w:szCs w:val="32"/>
          <w:shd w:val="clear" w:color="auto" w:fill="auto"/>
          <w:lang w:eastAsia="zh-CN"/>
        </w:rPr>
        <w:t>由上级财政统一安排国补资金，未列入单位年初预算。</w:t>
      </w:r>
    </w:p>
    <w:p w14:paraId="33323F00">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3</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住房保障支出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lang w:eastAsia="zh-CN"/>
        </w:rPr>
        <w:t>城乡社区住宅</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lang w:eastAsia="zh-CN"/>
        </w:rPr>
        <w:t>住房公积金管理</w:t>
      </w:r>
      <w:r>
        <w:rPr>
          <w:rFonts w:ascii="Times New Roman" w:hAnsi="Times New Roman" w:eastAsia="仿宋_GB2312" w:cs="Times New Roman"/>
          <w:sz w:val="32"/>
          <w:szCs w:val="32"/>
        </w:rPr>
        <w:t>（项）。</w:t>
      </w:r>
    </w:p>
    <w:p w14:paraId="515EECBA">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3194.18</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2530.47</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79.22</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，决算数小于年初预算数的主要原因是：本年度部分项目按项目合同约定和项目进度需下年度支付进度款。</w:t>
      </w:r>
    </w:p>
    <w:p w14:paraId="7CB14C19">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按照支出功能分类，</w:t>
      </w:r>
      <w:r>
        <w:rPr>
          <w:rFonts w:hint="eastAsia" w:ascii="Times New Roman" w:hAnsi="Times New Roman" w:eastAsia="仿宋_GB2312" w:cs="Times New Roman"/>
          <w:sz w:val="32"/>
          <w:szCs w:val="32"/>
          <w:lang w:eastAsia="zh-CN"/>
        </w:rPr>
        <w:t>人员经费</w:t>
      </w:r>
      <w:r>
        <w:rPr>
          <w:rFonts w:hint="eastAsia" w:ascii="Times New Roman" w:hAnsi="Times New Roman" w:eastAsia="仿宋_GB2312" w:cs="Times New Roman"/>
          <w:sz w:val="32"/>
          <w:szCs w:val="32"/>
        </w:rPr>
        <w:t>方面的支出规模较大，主要是：</w:t>
      </w:r>
      <w:r>
        <w:rPr>
          <w:rFonts w:hint="eastAsia" w:ascii="Times New Roman" w:hAnsi="Times New Roman" w:eastAsia="仿宋_GB2312" w:cs="Times New Roman"/>
          <w:sz w:val="32"/>
          <w:szCs w:val="32"/>
          <w:lang w:eastAsia="zh-CN"/>
        </w:rPr>
        <w:t>工资福利支出</w:t>
      </w:r>
      <w:r>
        <w:rPr>
          <w:rFonts w:hint="eastAsia" w:ascii="Times New Roman" w:hAnsi="Times New Roman" w:eastAsia="仿宋_GB2312" w:cs="Times New Roman"/>
          <w:sz w:val="32"/>
          <w:szCs w:val="32"/>
        </w:rPr>
        <w:t>2025年度决算数为</w:t>
      </w:r>
      <w:r>
        <w:rPr>
          <w:rFonts w:hint="eastAsia" w:ascii="Times New Roman" w:hAnsi="Times New Roman" w:eastAsia="仿宋_GB2312" w:cs="Times New Roman"/>
          <w:sz w:val="32"/>
          <w:szCs w:val="32"/>
          <w:lang w:val="en-US" w:eastAsia="zh-CN"/>
        </w:rPr>
        <w:t>1693.41</w:t>
      </w:r>
      <w:r>
        <w:rPr>
          <w:rFonts w:hint="eastAsia" w:ascii="Times New Roman" w:hAnsi="Times New Roman" w:eastAsia="仿宋_GB2312" w:cs="Times New Roman"/>
          <w:sz w:val="32"/>
          <w:szCs w:val="32"/>
        </w:rPr>
        <w:t>万元，占财政拨款支出总额的</w:t>
      </w:r>
      <w:r>
        <w:rPr>
          <w:rFonts w:hint="eastAsia" w:ascii="Times New Roman" w:hAnsi="Times New Roman" w:eastAsia="仿宋_GB2312" w:cs="Times New Roman"/>
          <w:sz w:val="32"/>
          <w:szCs w:val="32"/>
          <w:lang w:val="en-US" w:eastAsia="zh-CN"/>
        </w:rPr>
        <w:t>64.52</w:t>
      </w:r>
      <w:r>
        <w:rPr>
          <w:rFonts w:hint="eastAsia" w:ascii="Times New Roman" w:hAnsi="Times New Roman" w:eastAsia="仿宋_GB2312" w:cs="Times New Roman"/>
          <w:sz w:val="32"/>
          <w:szCs w:val="32"/>
        </w:rPr>
        <w:t>%，主要用于</w:t>
      </w:r>
      <w:r>
        <w:rPr>
          <w:rFonts w:hint="eastAsia" w:ascii="Times New Roman" w:hAnsi="Times New Roman" w:eastAsia="仿宋_GB2312" w:cs="Times New Roman"/>
          <w:sz w:val="32"/>
          <w:szCs w:val="32"/>
          <w:lang w:eastAsia="zh-CN"/>
        </w:rPr>
        <w:t>发放整个单位的人员工资和五险一金。</w:t>
      </w:r>
    </w:p>
    <w:p w14:paraId="3BB9EDDA">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六、一般公共预算财政拨款基本支出决算情况说明</w:t>
      </w:r>
    </w:p>
    <w:p w14:paraId="5CBFDD49">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年度一般公共预算财政拨款基本支出</w:t>
      </w:r>
      <w:r>
        <w:rPr>
          <w:rFonts w:hint="eastAsia" w:ascii="Times New Roman" w:hAnsi="Times New Roman" w:eastAsia="仿宋_GB2312" w:cs="Times New Roman"/>
          <w:sz w:val="32"/>
          <w:szCs w:val="32"/>
          <w:lang w:val="en-US" w:eastAsia="zh-CN"/>
        </w:rPr>
        <w:t>1979.60</w:t>
      </w:r>
      <w:r>
        <w:rPr>
          <w:rFonts w:ascii="Times New Roman" w:hAnsi="Times New Roman" w:eastAsia="仿宋_GB2312" w:cs="Times New Roman"/>
          <w:sz w:val="32"/>
          <w:szCs w:val="32"/>
        </w:rPr>
        <w:t>万元，其中：</w:t>
      </w:r>
    </w:p>
    <w:p w14:paraId="7DF2967A">
      <w:pPr>
        <w:pStyle w:val="14"/>
        <w:overflowPunct w:val="0"/>
        <w:autoSpaceDE/>
        <w:autoSpaceDN/>
        <w:spacing w:line="600" w:lineRule="exact"/>
        <w:ind w:firstLine="643"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b/>
          <w:bCs/>
          <w:sz w:val="32"/>
          <w:szCs w:val="32"/>
        </w:rPr>
        <w:t>人员经费</w:t>
      </w:r>
      <w:r>
        <w:rPr>
          <w:rFonts w:hint="eastAsia" w:ascii="Times New Roman" w:hAnsi="Times New Roman" w:eastAsia="仿宋_GB2312" w:cs="Times New Roman"/>
          <w:sz w:val="32"/>
          <w:szCs w:val="32"/>
          <w:lang w:val="en-US" w:eastAsia="zh-CN"/>
        </w:rPr>
        <w:t>1693.41</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85.54</w:t>
      </w:r>
      <w:r>
        <w:rPr>
          <w:rFonts w:ascii="Times New Roman" w:hAnsi="Times New Roman" w:eastAsia="仿宋_GB2312" w:cs="Times New Roman"/>
          <w:sz w:val="32"/>
          <w:szCs w:val="32"/>
        </w:rPr>
        <w:t>%,主要包括基本工资、津贴补贴、奖金、伙食补助费</w:t>
      </w:r>
      <w:r>
        <w:rPr>
          <w:rFonts w:hint="eastAsia" w:ascii="Times New Roman" w:hAnsi="Times New Roman" w:eastAsia="仿宋_GB2312" w:cs="Times New Roman"/>
          <w:sz w:val="32"/>
          <w:szCs w:val="32"/>
          <w:lang w:eastAsia="zh-CN"/>
        </w:rPr>
        <w:t>。</w:t>
      </w:r>
    </w:p>
    <w:p w14:paraId="0F12F5AF">
      <w:pPr>
        <w:pStyle w:val="14"/>
        <w:overflowPunct w:val="0"/>
        <w:autoSpaceDE/>
        <w:autoSpaceDN/>
        <w:spacing w:line="600" w:lineRule="exact"/>
        <w:ind w:firstLine="643" w:firstLineChars="200"/>
        <w:jc w:val="both"/>
        <w:rPr>
          <w:rFonts w:hint="eastAsia" w:ascii="Times New Roman" w:hAnsi="Times New Roman" w:eastAsia="仿宋_GB2312" w:cs="Times New Roman"/>
          <w:b/>
          <w:sz w:val="32"/>
          <w:szCs w:val="32"/>
          <w:lang w:eastAsia="zh-CN"/>
        </w:rPr>
      </w:pPr>
      <w:r>
        <w:rPr>
          <w:rFonts w:ascii="Times New Roman" w:hAnsi="Times New Roman" w:eastAsia="仿宋_GB2312" w:cs="Times New Roman"/>
          <w:b/>
          <w:bCs/>
          <w:sz w:val="32"/>
          <w:szCs w:val="32"/>
        </w:rPr>
        <w:t>公用经费</w:t>
      </w:r>
      <w:r>
        <w:rPr>
          <w:rFonts w:hint="eastAsia" w:ascii="Times New Roman" w:hAnsi="Times New Roman" w:eastAsia="仿宋_GB2312" w:cs="Times New Roman"/>
          <w:sz w:val="32"/>
          <w:szCs w:val="32"/>
          <w:lang w:val="en-US" w:eastAsia="zh-CN"/>
        </w:rPr>
        <w:t>286.19</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14.46</w:t>
      </w:r>
      <w:r>
        <w:rPr>
          <w:rFonts w:ascii="Times New Roman" w:hAnsi="Times New Roman" w:eastAsia="仿宋_GB2312" w:cs="Times New Roman"/>
          <w:sz w:val="32"/>
          <w:szCs w:val="32"/>
        </w:rPr>
        <w:t>%，主要包括办公费、</w:t>
      </w:r>
      <w:r>
        <w:rPr>
          <w:rFonts w:hint="eastAsia" w:ascii="Times New Roman" w:hAnsi="Times New Roman" w:eastAsia="仿宋_GB2312" w:cs="Times New Roman"/>
          <w:sz w:val="32"/>
          <w:szCs w:val="32"/>
          <w:lang w:eastAsia="zh-CN"/>
        </w:rPr>
        <w:t>电费</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差旅费</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劳务费。</w:t>
      </w:r>
    </w:p>
    <w:p w14:paraId="4C42E61D">
      <w:pPr>
        <w:pStyle w:val="14"/>
        <w:overflowPunct w:val="0"/>
        <w:autoSpaceDE/>
        <w:autoSpaceDN/>
        <w:spacing w:line="600" w:lineRule="exact"/>
        <w:ind w:firstLine="640" w:firstLineChars="200"/>
        <w:jc w:val="both"/>
        <w:rPr>
          <w:rFonts w:ascii="Times New Roman" w:hAnsi="Times New Roman" w:eastAsia="仿宋_GB2312" w:cs="Times New Roman"/>
          <w:b/>
          <w:sz w:val="32"/>
          <w:szCs w:val="32"/>
        </w:rPr>
      </w:pPr>
      <w:r>
        <w:rPr>
          <w:rFonts w:ascii="Times New Roman" w:hAnsi="Times New Roman" w:cs="Times New Roman"/>
          <w:bCs/>
          <w:sz w:val="32"/>
          <w:szCs w:val="32"/>
        </w:rPr>
        <w:t>七、财政拨款“三公”经费支出决算情况说明</w:t>
      </w:r>
    </w:p>
    <w:p w14:paraId="3B74F9D9">
      <w:pPr>
        <w:pStyle w:val="14"/>
        <w:overflowPunct w:val="0"/>
        <w:autoSpaceDE/>
        <w:autoSpaceDN/>
        <w:spacing w:line="600" w:lineRule="exact"/>
        <w:ind w:firstLine="643"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（一）“三公”经费财政拨款支出决算总体情况说明</w:t>
      </w:r>
    </w:p>
    <w:p w14:paraId="04D95FEE">
      <w:pPr>
        <w:pStyle w:val="14"/>
        <w:overflowPunct w:val="0"/>
        <w:autoSpaceDE/>
        <w:autoSpaceDN/>
        <w:spacing w:line="600" w:lineRule="exact"/>
        <w:ind w:firstLine="640" w:firstLineChars="200"/>
        <w:jc w:val="both"/>
        <w:rPr>
          <w:rFonts w:ascii="Times New Roman" w:hAnsi="Times New Roman" w:eastAsia="仿宋_GB2312" w:cs="Times New Roman"/>
          <w:sz w:val="32"/>
          <w:szCs w:val="32"/>
          <w:highlight w:val="yellow"/>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年度“三公”经费财政拨款支出预算为</w:t>
      </w:r>
      <w:r>
        <w:rPr>
          <w:rFonts w:hint="eastAsia" w:ascii="Times New Roman" w:hAnsi="Times New Roman" w:eastAsia="仿宋_GB2312" w:cs="Times New Roman"/>
          <w:sz w:val="32"/>
          <w:szCs w:val="32"/>
          <w:lang w:val="en-US" w:eastAsia="zh-CN"/>
        </w:rPr>
        <w:t>21.00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21.00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6.62</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23.97</w:t>
      </w:r>
      <w:r>
        <w:rPr>
          <w:rFonts w:ascii="Times New Roman" w:hAnsi="Times New Roman" w:eastAsia="仿宋_GB2312" w:cs="Times New Roman"/>
          <w:sz w:val="32"/>
          <w:szCs w:val="32"/>
        </w:rPr>
        <w:t>%。决算数小于上年数的主要原因是</w:t>
      </w:r>
      <w:r>
        <w:rPr>
          <w:rFonts w:hint="eastAsia" w:ascii="Times New Roman" w:hAnsi="Times New Roman" w:eastAsia="仿宋_GB2312" w:cs="Times New Roman"/>
          <w:sz w:val="32"/>
          <w:szCs w:val="32"/>
        </w:rPr>
        <w:t>严格预算约束，落实过“紧日子”要求</w:t>
      </w:r>
      <w:r>
        <w:rPr>
          <w:rFonts w:ascii="Times New Roman" w:hAnsi="Times New Roman" w:eastAsia="仿宋_GB2312" w:cs="Times New Roman"/>
          <w:sz w:val="32"/>
          <w:szCs w:val="32"/>
        </w:rPr>
        <w:t>。</w:t>
      </w:r>
    </w:p>
    <w:p w14:paraId="280A5735">
      <w:pPr>
        <w:pStyle w:val="14"/>
        <w:overflowPunct w:val="0"/>
        <w:autoSpaceDE/>
        <w:autoSpaceDN/>
        <w:spacing w:line="600" w:lineRule="exact"/>
        <w:ind w:firstLine="643"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（二）“三公”经费财政拨款支出决算具体情况说明</w:t>
      </w:r>
    </w:p>
    <w:p w14:paraId="7A4DA129">
      <w:pPr>
        <w:pStyle w:val="14"/>
        <w:overflowPunct w:val="0"/>
        <w:autoSpaceDE/>
        <w:autoSpaceDN/>
        <w:spacing w:line="600" w:lineRule="exact"/>
        <w:ind w:firstLine="640" w:firstLineChars="200"/>
        <w:jc w:val="both"/>
        <w:rPr>
          <w:rFonts w:ascii="Times New Roman" w:hAnsi="Times New Roman" w:eastAsia="楷体" w:cs="Times New Roman"/>
          <w:b/>
          <w:bCs/>
          <w:i/>
          <w:color w:val="auto"/>
          <w:sz w:val="32"/>
          <w:szCs w:val="32"/>
        </w:rPr>
      </w:pPr>
      <w:r>
        <w:rPr>
          <w:rFonts w:ascii="Times New Roman" w:hAnsi="Times New Roman" w:eastAsia="仿宋_GB2312" w:cs="Times New Roman"/>
          <w:sz w:val="32"/>
          <w:szCs w:val="32"/>
        </w:rPr>
        <w:t>1.因公出国（境）费支出预算为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%；与上年相比增加（减少）</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万元，增长（降低）</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14:paraId="6C50C8BE">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2.公务用车购置费及运行维护费支出预算为</w:t>
      </w:r>
      <w:r>
        <w:rPr>
          <w:rFonts w:hint="eastAsia" w:ascii="Times New Roman" w:hAnsi="Times New Roman" w:eastAsia="仿宋_GB2312" w:cs="Times New Roman"/>
          <w:sz w:val="32"/>
          <w:szCs w:val="32"/>
          <w:lang w:val="en-US" w:eastAsia="zh-CN"/>
        </w:rPr>
        <w:t>20.00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21.00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105</w:t>
      </w:r>
      <w:r>
        <w:rPr>
          <w:rFonts w:ascii="Times New Roman" w:hAnsi="Times New Roman" w:eastAsia="仿宋_GB2312" w:cs="Times New Roman"/>
          <w:sz w:val="32"/>
          <w:szCs w:val="32"/>
        </w:rPr>
        <w:t>%；与上年相比</w:t>
      </w:r>
      <w:r>
        <w:rPr>
          <w:rFonts w:hint="eastAsia" w:ascii="Times New Roman" w:hAnsi="Times New Roman" w:eastAsia="仿宋_GB2312" w:cs="Times New Roman"/>
          <w:sz w:val="32"/>
          <w:szCs w:val="32"/>
          <w:lang w:eastAsia="zh-CN"/>
        </w:rPr>
        <w:t>减少</w:t>
      </w:r>
      <w:r>
        <w:rPr>
          <w:rFonts w:hint="eastAsia" w:ascii="Times New Roman" w:hAnsi="Times New Roman" w:eastAsia="仿宋_GB2312" w:cs="Times New Roman"/>
          <w:sz w:val="32"/>
          <w:szCs w:val="32"/>
          <w:lang w:val="en-US" w:eastAsia="zh-CN"/>
        </w:rPr>
        <w:t>5.82</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21.70</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eastAsia="zh-CN"/>
        </w:rPr>
        <w:t>大</w:t>
      </w:r>
      <w:r>
        <w:rPr>
          <w:rFonts w:ascii="Times New Roman" w:hAnsi="Times New Roman" w:eastAsia="仿宋_GB2312" w:cs="Times New Roman"/>
          <w:sz w:val="32"/>
          <w:szCs w:val="32"/>
        </w:rPr>
        <w:t>于预算数的主要原因是</w:t>
      </w:r>
      <w:r>
        <w:rPr>
          <w:rFonts w:hint="eastAsia" w:ascii="Times New Roman" w:hAnsi="Times New Roman" w:eastAsia="仿宋_GB2312" w:cs="Times New Roman"/>
          <w:sz w:val="32"/>
          <w:szCs w:val="32"/>
          <w:lang w:eastAsia="zh-CN"/>
        </w:rPr>
        <w:t>今公务接待费用调剂到</w:t>
      </w:r>
      <w:r>
        <w:rPr>
          <w:rFonts w:ascii="Times New Roman" w:hAnsi="Times New Roman" w:eastAsia="仿宋_GB2312" w:cs="Times New Roman"/>
          <w:sz w:val="32"/>
          <w:szCs w:val="32"/>
        </w:rPr>
        <w:t>公务用车购置费及运行维护费</w:t>
      </w:r>
      <w:r>
        <w:rPr>
          <w:rFonts w:hint="eastAsia" w:ascii="Times New Roman" w:hAnsi="Times New Roman" w:eastAsia="仿宋_GB2312" w:cs="Times New Roman"/>
          <w:sz w:val="32"/>
          <w:szCs w:val="32"/>
          <w:lang w:val="en-US" w:eastAsia="zh-CN"/>
        </w:rPr>
        <w:t>1.00万元。</w:t>
      </w:r>
      <w:r>
        <w:rPr>
          <w:rFonts w:ascii="Times New Roman" w:hAnsi="Times New Roman" w:eastAsia="仿宋_GB2312" w:cs="Times New Roman"/>
          <w:sz w:val="32"/>
          <w:szCs w:val="32"/>
        </w:rPr>
        <w:t>其中：</w:t>
      </w:r>
    </w:p>
    <w:p w14:paraId="457A518A">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公务用车购置费支出预算为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p>
    <w:p w14:paraId="2FE839A8">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公务用车运行维护费支出预算为</w:t>
      </w:r>
      <w:r>
        <w:rPr>
          <w:rFonts w:hint="eastAsia" w:ascii="Times New Roman" w:hAnsi="Times New Roman" w:eastAsia="仿宋_GB2312" w:cs="Times New Roman"/>
          <w:sz w:val="32"/>
          <w:szCs w:val="32"/>
          <w:lang w:val="en-US" w:eastAsia="zh-CN"/>
        </w:rPr>
        <w:t>20.00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21.00</w:t>
      </w:r>
      <w:r>
        <w:rPr>
          <w:rFonts w:ascii="Times New Roman" w:hAnsi="Times New Roman" w:eastAsia="仿宋_GB2312" w:cs="Times New Roman"/>
          <w:sz w:val="32"/>
          <w:szCs w:val="32"/>
        </w:rPr>
        <w:t>万元，</w:t>
      </w:r>
    </w:p>
    <w:p w14:paraId="43E4A182">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主要是</w:t>
      </w:r>
      <w:r>
        <w:rPr>
          <w:rFonts w:hint="eastAsia" w:ascii="Times New Roman" w:hAnsi="Times New Roman" w:eastAsia="仿宋_GB2312" w:cs="Times New Roman"/>
          <w:sz w:val="32"/>
          <w:szCs w:val="32"/>
        </w:rPr>
        <w:t>车辆油料费和维修费</w:t>
      </w:r>
      <w:r>
        <w:rPr>
          <w:rFonts w:ascii="Times New Roman" w:hAnsi="Times New Roman" w:eastAsia="仿宋_GB2312" w:cs="Times New Roman"/>
          <w:sz w:val="32"/>
          <w:szCs w:val="32"/>
        </w:rPr>
        <w:t>支出，完成预算的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5.82</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21.70</w:t>
      </w:r>
      <w:r>
        <w:rPr>
          <w:rFonts w:ascii="Times New Roman" w:hAnsi="Times New Roman" w:eastAsia="仿宋_GB2312" w:cs="Times New Roman"/>
          <w:sz w:val="32"/>
          <w:szCs w:val="32"/>
        </w:rPr>
        <w:t>%。决算数小于上年数的主要原因是</w:t>
      </w:r>
      <w:r>
        <w:rPr>
          <w:rFonts w:hint="eastAsia" w:ascii="Times New Roman" w:hAnsi="Times New Roman" w:eastAsia="仿宋_GB2312" w:cs="Times New Roman"/>
          <w:sz w:val="32"/>
          <w:szCs w:val="32"/>
        </w:rPr>
        <w:t>严格预算约束，落实过“紧日子”要求</w:t>
      </w:r>
      <w:r>
        <w:rPr>
          <w:rFonts w:ascii="Times New Roman" w:hAnsi="Times New Roman" w:eastAsia="仿宋_GB2312" w:cs="Times New Roman"/>
          <w:sz w:val="32"/>
          <w:szCs w:val="32"/>
        </w:rPr>
        <w:t>。截止202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年12月31日，我单位开支财政拨款的公务用车保有量为</w:t>
      </w:r>
      <w:r>
        <w:rPr>
          <w:rFonts w:hint="eastAsia" w:ascii="Times New Roman" w:hAnsi="Times New Roman" w:eastAsia="仿宋_GB2312" w:cs="Times New Roman"/>
          <w:sz w:val="32"/>
          <w:szCs w:val="32"/>
          <w:lang w:val="en-US" w:eastAsia="zh-CN"/>
        </w:rPr>
        <w:t>11</w:t>
      </w:r>
      <w:r>
        <w:rPr>
          <w:rFonts w:ascii="Times New Roman" w:hAnsi="Times New Roman" w:eastAsia="仿宋_GB2312" w:cs="Times New Roman"/>
          <w:sz w:val="32"/>
          <w:szCs w:val="32"/>
        </w:rPr>
        <w:t>辆。</w:t>
      </w:r>
    </w:p>
    <w:p w14:paraId="7B9A1176">
      <w:pPr>
        <w:pStyle w:val="14"/>
        <w:numPr>
          <w:ilvl w:val="0"/>
          <w:numId w:val="1"/>
        </w:numPr>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公务接待费支出预算为</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0.79</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%。决算数小于预算数的主要原因是</w:t>
      </w:r>
      <w:r>
        <w:rPr>
          <w:rFonts w:hint="eastAsia" w:ascii="Times New Roman" w:hAnsi="Times New Roman" w:eastAsia="仿宋_GB2312" w:cs="Times New Roman"/>
          <w:sz w:val="32"/>
          <w:szCs w:val="32"/>
          <w:lang w:eastAsia="zh-CN"/>
        </w:rPr>
        <w:t>今年没有进行公务接待活动</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度共接待来访团组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个、来宾</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人次</w:t>
      </w:r>
    </w:p>
    <w:p w14:paraId="049FCF95">
      <w:pPr>
        <w:pStyle w:val="14"/>
        <w:numPr>
          <w:ilvl w:val="0"/>
          <w:numId w:val="0"/>
        </w:numPr>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八、政府性基金预算收入支出决算情况</w:t>
      </w:r>
    </w:p>
    <w:p w14:paraId="5BDB8AE9">
      <w:pPr>
        <w:pStyle w:val="14"/>
        <w:overflowPunct w:val="0"/>
        <w:autoSpaceDE/>
        <w:autoSpaceDN/>
        <w:spacing w:line="600" w:lineRule="exact"/>
        <w:ind w:firstLine="640" w:firstLineChars="200"/>
        <w:jc w:val="both"/>
        <w:rPr>
          <w:rFonts w:hint="eastAsia" w:ascii="仿宋" w:hAnsi="仿宋" w:eastAsia="仿宋"/>
          <w:sz w:val="32"/>
          <w:szCs w:val="32"/>
        </w:rPr>
      </w:pPr>
      <w:r>
        <w:rPr>
          <w:rFonts w:hint="eastAsia" w:ascii="仿宋" w:hAnsi="仿宋" w:eastAsia="仿宋"/>
          <w:sz w:val="32"/>
          <w:szCs w:val="32"/>
        </w:rPr>
        <w:t xml:space="preserve"> </w:t>
      </w:r>
      <w:r>
        <w:rPr>
          <w:rFonts w:hint="eastAsia" w:ascii="仿宋" w:hAnsi="仿宋" w:eastAsia="仿宋"/>
          <w:sz w:val="32"/>
          <w:szCs w:val="32"/>
          <w:lang w:eastAsia="zh-CN"/>
        </w:rPr>
        <w:t>202</w:t>
      </w:r>
      <w:r>
        <w:rPr>
          <w:rFonts w:hint="eastAsia" w:ascii="仿宋" w:hAnsi="仿宋" w:eastAsia="仿宋"/>
          <w:sz w:val="32"/>
          <w:szCs w:val="32"/>
          <w:lang w:val="en-US" w:eastAsia="zh-CN"/>
        </w:rPr>
        <w:t>5</w:t>
      </w:r>
      <w:r>
        <w:rPr>
          <w:rFonts w:hint="eastAsia" w:ascii="仿宋" w:hAnsi="仿宋" w:eastAsia="仿宋"/>
          <w:sz w:val="32"/>
          <w:szCs w:val="32"/>
        </w:rPr>
        <w:t>年度</w:t>
      </w:r>
      <w:r>
        <w:rPr>
          <w:rFonts w:hint="eastAsia" w:ascii="仿宋" w:hAnsi="仿宋" w:eastAsia="仿宋"/>
          <w:sz w:val="32"/>
          <w:szCs w:val="32"/>
          <w:lang w:eastAsia="zh-CN"/>
        </w:rPr>
        <w:t>中心</w:t>
      </w:r>
      <w:r>
        <w:rPr>
          <w:rFonts w:hint="eastAsia" w:ascii="仿宋" w:hAnsi="仿宋" w:eastAsia="仿宋"/>
          <w:sz w:val="32"/>
          <w:szCs w:val="32"/>
        </w:rPr>
        <w:t>无</w:t>
      </w:r>
      <w:r>
        <w:rPr>
          <w:rFonts w:hint="eastAsia" w:ascii="仿宋" w:hAnsi="仿宋" w:eastAsia="仿宋"/>
          <w:sz w:val="32"/>
          <w:szCs w:val="32"/>
          <w:lang w:eastAsia="zh-CN"/>
        </w:rPr>
        <w:t>政府性基金预算收支</w:t>
      </w:r>
      <w:r>
        <w:rPr>
          <w:rFonts w:hint="eastAsia" w:ascii="仿宋" w:hAnsi="仿宋" w:eastAsia="仿宋"/>
          <w:sz w:val="32"/>
          <w:szCs w:val="32"/>
        </w:rPr>
        <w:t>。</w:t>
      </w:r>
    </w:p>
    <w:p w14:paraId="3567A222">
      <w:pPr>
        <w:pStyle w:val="14"/>
        <w:overflowPunct w:val="0"/>
        <w:autoSpaceDE/>
        <w:autoSpaceDN/>
        <w:spacing w:line="600" w:lineRule="exact"/>
        <w:ind w:firstLine="640" w:firstLineChars="200"/>
        <w:jc w:val="both"/>
        <w:rPr>
          <w:rFonts w:hint="eastAsia" w:ascii="Times New Roman" w:hAnsi="Times New Roman" w:cs="Times New Roman"/>
          <w:bCs/>
          <w:sz w:val="32"/>
          <w:szCs w:val="32"/>
        </w:rPr>
      </w:pPr>
      <w:r>
        <w:rPr>
          <w:rFonts w:hint="eastAsia" w:ascii="Times New Roman" w:hAnsi="Times New Roman" w:cs="Times New Roman"/>
          <w:bCs/>
          <w:sz w:val="32"/>
          <w:szCs w:val="32"/>
        </w:rPr>
        <w:t>九、国有资本经营预算收入支出决算情况说明</w:t>
      </w:r>
    </w:p>
    <w:p w14:paraId="519FB2C8">
      <w:pPr>
        <w:pStyle w:val="14"/>
        <w:spacing w:line="600" w:lineRule="exact"/>
        <w:rPr>
          <w:rFonts w:ascii="Times New Roman" w:hAnsi="Times New Roman" w:eastAsia="楷体_GB2312" w:cs="Times New Roman"/>
          <w:b/>
          <w:bCs/>
          <w:i/>
          <w:color w:val="auto"/>
          <w:sz w:val="32"/>
          <w:szCs w:val="32"/>
        </w:rPr>
      </w:pPr>
      <w:r>
        <w:rPr>
          <w:rFonts w:hint="eastAsia" w:ascii="仿宋" w:hAnsi="仿宋" w:eastAsia="仿宋"/>
          <w:sz w:val="32"/>
          <w:szCs w:val="32"/>
        </w:rPr>
        <w:t xml:space="preserve">    </w:t>
      </w:r>
      <w:r>
        <w:rPr>
          <w:rFonts w:hint="eastAsia" w:ascii="仿宋" w:hAnsi="仿宋" w:eastAsia="仿宋"/>
          <w:sz w:val="32"/>
          <w:szCs w:val="32"/>
          <w:lang w:eastAsia="zh-CN"/>
        </w:rPr>
        <w:t>202</w:t>
      </w:r>
      <w:r>
        <w:rPr>
          <w:rFonts w:hint="eastAsia" w:ascii="仿宋" w:hAnsi="仿宋" w:eastAsia="仿宋"/>
          <w:sz w:val="32"/>
          <w:szCs w:val="32"/>
          <w:lang w:val="en-US" w:eastAsia="zh-CN"/>
        </w:rPr>
        <w:t>5</w:t>
      </w:r>
      <w:r>
        <w:rPr>
          <w:rFonts w:hint="eastAsia" w:ascii="仿宋" w:hAnsi="仿宋" w:eastAsia="仿宋"/>
          <w:sz w:val="32"/>
          <w:szCs w:val="32"/>
        </w:rPr>
        <w:t>年度</w:t>
      </w:r>
      <w:r>
        <w:rPr>
          <w:rFonts w:hint="eastAsia" w:ascii="仿宋" w:hAnsi="仿宋" w:eastAsia="仿宋"/>
          <w:sz w:val="32"/>
          <w:szCs w:val="32"/>
          <w:lang w:eastAsia="zh-CN"/>
        </w:rPr>
        <w:t>中心</w:t>
      </w:r>
      <w:r>
        <w:rPr>
          <w:rFonts w:hint="eastAsia" w:ascii="仿宋" w:hAnsi="仿宋" w:eastAsia="仿宋"/>
          <w:sz w:val="32"/>
          <w:szCs w:val="32"/>
        </w:rPr>
        <w:t>无国有资本经营预算收支。</w:t>
      </w:r>
    </w:p>
    <w:p w14:paraId="357B12BF">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hint="eastAsia" w:ascii="Times New Roman" w:hAnsi="Times New Roman" w:cs="Times New Roman"/>
          <w:bCs/>
          <w:sz w:val="32"/>
          <w:szCs w:val="32"/>
          <w:lang w:eastAsia="zh-CN"/>
        </w:rPr>
        <w:t>十</w:t>
      </w:r>
      <w:r>
        <w:rPr>
          <w:rFonts w:ascii="Times New Roman" w:hAnsi="Times New Roman" w:cs="Times New Roman"/>
          <w:bCs/>
          <w:sz w:val="32"/>
          <w:szCs w:val="32"/>
        </w:rPr>
        <w:t>、关于机关运行经费支出说明</w:t>
      </w:r>
    </w:p>
    <w:p w14:paraId="7E139D97">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中心</w:t>
      </w:r>
      <w:r>
        <w:rPr>
          <w:rFonts w:hint="eastAsia" w:ascii="Times New Roman" w:hAnsi="Times New Roman" w:eastAsia="仿宋_GB2312" w:cs="Times New Roman"/>
          <w:sz w:val="32"/>
          <w:szCs w:val="32"/>
        </w:rPr>
        <w:t>为自收自支事业单位，</w:t>
      </w:r>
      <w:r>
        <w:rPr>
          <w:rFonts w:hint="eastAsia" w:ascii="Times New Roman" w:hAnsi="Times New Roman" w:eastAsia="仿宋_GB2312" w:cs="Times New Roman"/>
          <w:sz w:val="32"/>
          <w:szCs w:val="32"/>
          <w:lang w:eastAsia="zh-CN"/>
        </w:rPr>
        <w:t>无</w:t>
      </w:r>
      <w:r>
        <w:rPr>
          <w:rFonts w:hint="eastAsia" w:ascii="Times New Roman" w:hAnsi="Times New Roman" w:eastAsia="仿宋_GB2312" w:cs="Times New Roman"/>
          <w:sz w:val="32"/>
          <w:szCs w:val="32"/>
        </w:rPr>
        <w:t xml:space="preserve">机关运行经费。 </w:t>
      </w:r>
    </w:p>
    <w:p w14:paraId="2CA9DE83">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w:t>
      </w:r>
      <w:r>
        <w:rPr>
          <w:rFonts w:hint="eastAsia" w:ascii="Times New Roman" w:hAnsi="Times New Roman" w:cs="Times New Roman"/>
          <w:bCs/>
          <w:sz w:val="32"/>
          <w:szCs w:val="32"/>
          <w:lang w:eastAsia="zh-CN"/>
        </w:rPr>
        <w:t>一</w:t>
      </w:r>
      <w:r>
        <w:rPr>
          <w:rFonts w:ascii="Times New Roman" w:hAnsi="Times New Roman" w:cs="Times New Roman"/>
          <w:bCs/>
          <w:sz w:val="32"/>
          <w:szCs w:val="32"/>
        </w:rPr>
        <w:t>、一般性支出情况说明</w:t>
      </w:r>
    </w:p>
    <w:p w14:paraId="1E5DAD94">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w:t>
      </w:r>
      <w:r>
        <w:rPr>
          <w:rFonts w:hint="eastAsia" w:ascii="Times New Roman" w:hAnsi="Times New Roman" w:eastAsia="仿宋_GB2312" w:cs="Times New Roman"/>
          <w:sz w:val="32"/>
          <w:szCs w:val="32"/>
          <w:lang w:eastAsia="zh-CN"/>
        </w:rPr>
        <w:t>中心</w:t>
      </w:r>
      <w:r>
        <w:rPr>
          <w:rFonts w:ascii="Times New Roman" w:hAnsi="Times New Roman" w:eastAsia="仿宋_GB2312" w:cs="Times New Roman"/>
          <w:sz w:val="32"/>
          <w:szCs w:val="32"/>
        </w:rPr>
        <w:t>开支会议费</w:t>
      </w:r>
      <w:r>
        <w:rPr>
          <w:rFonts w:hint="eastAsia" w:ascii="Times New Roman" w:hAnsi="Times New Roman" w:eastAsia="仿宋_GB2312" w:cs="Times New Roman"/>
          <w:sz w:val="32"/>
          <w:szCs w:val="32"/>
          <w:lang w:val="en-US" w:eastAsia="zh-CN"/>
        </w:rPr>
        <w:t>0.29</w:t>
      </w:r>
      <w:r>
        <w:rPr>
          <w:rFonts w:ascii="Times New Roman" w:hAnsi="Times New Roman" w:eastAsia="仿宋_GB2312" w:cs="Times New Roman"/>
          <w:sz w:val="32"/>
          <w:szCs w:val="32"/>
        </w:rPr>
        <w:t>万元，用于召开</w:t>
      </w:r>
      <w:r>
        <w:rPr>
          <w:rFonts w:hint="eastAsia" w:ascii="Times New Roman" w:hAnsi="Times New Roman" w:eastAsia="仿宋_GB2312" w:cs="Times New Roman"/>
          <w:sz w:val="32"/>
          <w:szCs w:val="32"/>
        </w:rPr>
        <w:t>中心中层管理岗位人员试用期转正考察、中层管理人员春节前廉政谈话暨警示教育、新提任人员任前集体廉政谈话、贯彻落实市委经济工作会议暨2025年度工作务虚会</w:t>
      </w:r>
      <w:r>
        <w:rPr>
          <w:rFonts w:ascii="Times New Roman" w:hAnsi="Times New Roman" w:eastAsia="仿宋_GB2312" w:cs="Times New Roman"/>
          <w:sz w:val="32"/>
          <w:szCs w:val="32"/>
        </w:rPr>
        <w:t>会议，人数</w:t>
      </w:r>
      <w:r>
        <w:rPr>
          <w:rFonts w:hint="eastAsia" w:ascii="Times New Roman" w:hAnsi="Times New Roman" w:eastAsia="仿宋_GB2312" w:cs="Times New Roman"/>
          <w:sz w:val="32"/>
          <w:szCs w:val="32"/>
          <w:lang w:val="en-US" w:eastAsia="zh-CN"/>
        </w:rPr>
        <w:t>17</w:t>
      </w:r>
      <w:r>
        <w:rPr>
          <w:rFonts w:ascii="Times New Roman" w:hAnsi="Times New Roman" w:eastAsia="仿宋_GB2312" w:cs="Times New Roman"/>
          <w:sz w:val="32"/>
          <w:szCs w:val="32"/>
        </w:rPr>
        <w:t>人；开支培训费</w:t>
      </w:r>
      <w:r>
        <w:rPr>
          <w:rFonts w:hint="eastAsia" w:ascii="Times New Roman" w:hAnsi="Times New Roman" w:eastAsia="仿宋_GB2312" w:cs="Times New Roman"/>
          <w:sz w:val="32"/>
          <w:szCs w:val="32"/>
          <w:lang w:val="en-US" w:eastAsia="zh-CN"/>
        </w:rPr>
        <w:t>1.83</w:t>
      </w:r>
      <w:r>
        <w:rPr>
          <w:rFonts w:ascii="Times New Roman" w:hAnsi="Times New Roman" w:eastAsia="仿宋_GB2312" w:cs="Times New Roman"/>
          <w:sz w:val="32"/>
          <w:szCs w:val="32"/>
        </w:rPr>
        <w:t>万元，用于开展</w:t>
      </w:r>
      <w:r>
        <w:rPr>
          <w:rFonts w:hint="eastAsia" w:ascii="Times New Roman" w:hAnsi="Times New Roman" w:eastAsia="仿宋_GB2312" w:cs="Times New Roman"/>
          <w:sz w:val="32"/>
          <w:szCs w:val="32"/>
          <w:lang w:eastAsia="zh-CN"/>
        </w:rPr>
        <w:t>事业单位工作人员</w:t>
      </w:r>
      <w:r>
        <w:rPr>
          <w:rFonts w:ascii="Times New Roman" w:hAnsi="Times New Roman" w:eastAsia="仿宋_GB2312" w:cs="Times New Roman"/>
          <w:sz w:val="32"/>
          <w:szCs w:val="32"/>
        </w:rPr>
        <w:t>培训</w:t>
      </w:r>
      <w:r>
        <w:rPr>
          <w:rFonts w:hint="eastAsia" w:ascii="Times New Roman" w:hAnsi="Times New Roman" w:eastAsia="仿宋_GB2312" w:cs="Times New Roman"/>
          <w:sz w:val="32"/>
          <w:szCs w:val="32"/>
          <w:lang w:eastAsia="zh-CN"/>
        </w:rPr>
        <w:t>以及会计继续教育培训</w:t>
      </w:r>
      <w:r>
        <w:rPr>
          <w:rFonts w:ascii="Times New Roman" w:hAnsi="Times New Roman" w:eastAsia="仿宋_GB2312" w:cs="Times New Roman"/>
          <w:sz w:val="32"/>
          <w:szCs w:val="32"/>
        </w:rPr>
        <w:t>，人数</w:t>
      </w:r>
      <w:r>
        <w:rPr>
          <w:rFonts w:hint="eastAsia" w:ascii="Times New Roman" w:hAnsi="Times New Roman" w:eastAsia="仿宋_GB2312" w:cs="Times New Roman"/>
          <w:sz w:val="32"/>
          <w:szCs w:val="32"/>
          <w:lang w:val="en-US" w:eastAsia="zh-CN"/>
        </w:rPr>
        <w:t>98</w:t>
      </w:r>
      <w:r>
        <w:rPr>
          <w:rFonts w:ascii="Times New Roman" w:hAnsi="Times New Roman" w:eastAsia="仿宋_GB2312" w:cs="Times New Roman"/>
          <w:sz w:val="32"/>
          <w:szCs w:val="32"/>
        </w:rPr>
        <w:t>人；</w:t>
      </w:r>
      <w:r>
        <w:rPr>
          <w:rFonts w:hint="eastAsia" w:ascii="Times New Roman" w:hAnsi="Times New Roman" w:eastAsia="仿宋_GB2312" w:cs="Times New Roman"/>
          <w:sz w:val="32"/>
          <w:szCs w:val="32"/>
        </w:rPr>
        <w:t>本年没有举办节庆、晚会、论坛、赛事活动</w:t>
      </w:r>
      <w:r>
        <w:rPr>
          <w:rFonts w:ascii="Times New Roman" w:hAnsi="Times New Roman" w:eastAsia="仿宋_GB2312" w:cs="Times New Roman"/>
          <w:sz w:val="32"/>
          <w:szCs w:val="32"/>
        </w:rPr>
        <w:t>。</w:t>
      </w:r>
    </w:p>
    <w:p w14:paraId="407C1D34">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w:t>
      </w:r>
      <w:r>
        <w:rPr>
          <w:rFonts w:hint="eastAsia" w:ascii="Times New Roman" w:hAnsi="Times New Roman" w:cs="Times New Roman"/>
          <w:bCs/>
          <w:sz w:val="32"/>
          <w:szCs w:val="32"/>
          <w:lang w:eastAsia="zh-CN"/>
        </w:rPr>
        <w:t>二</w:t>
      </w:r>
      <w:r>
        <w:rPr>
          <w:rFonts w:ascii="Times New Roman" w:hAnsi="Times New Roman" w:cs="Times New Roman"/>
          <w:bCs/>
          <w:sz w:val="32"/>
          <w:szCs w:val="32"/>
        </w:rPr>
        <w:t>、关于政府采购支出说明</w:t>
      </w:r>
    </w:p>
    <w:p w14:paraId="3F1ED77E">
      <w:pPr>
        <w:pStyle w:val="14"/>
        <w:overflowPunct w:val="0"/>
        <w:autoSpaceDE/>
        <w:autoSpaceDN/>
        <w:spacing w:line="600" w:lineRule="exact"/>
        <w:ind w:firstLine="640" w:firstLineChars="200"/>
        <w:jc w:val="both"/>
        <w:rPr>
          <w:rFonts w:ascii="Times New Roman" w:hAnsi="Times New Roman" w:eastAsia="楷体" w:cs="Times New Roman"/>
          <w:b/>
          <w:bCs/>
          <w:i/>
          <w:color w:val="auto"/>
          <w:sz w:val="32"/>
          <w:szCs w:val="32"/>
        </w:rPr>
      </w:pPr>
      <w:r>
        <w:rPr>
          <w:rFonts w:hint="eastAsia" w:ascii="Times New Roman" w:hAnsi="Times New Roman" w:eastAsia="仿宋_GB2312" w:cs="Times New Roman"/>
          <w:sz w:val="32"/>
          <w:szCs w:val="32"/>
          <w:lang w:eastAsia="zh-CN"/>
        </w:rPr>
        <w:t>中心</w:t>
      </w: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年度政府采购支出总额</w:t>
      </w:r>
      <w:r>
        <w:rPr>
          <w:rFonts w:hint="eastAsia" w:ascii="Times New Roman" w:hAnsi="Times New Roman" w:eastAsia="仿宋_GB2312" w:cs="Times New Roman"/>
          <w:sz w:val="32"/>
          <w:szCs w:val="32"/>
          <w:lang w:val="en-US" w:eastAsia="zh-CN"/>
        </w:rPr>
        <w:t>510.55</w:t>
      </w:r>
      <w:r>
        <w:rPr>
          <w:rFonts w:ascii="Times New Roman" w:hAnsi="Times New Roman" w:eastAsia="仿宋_GB2312" w:cs="Times New Roman"/>
          <w:sz w:val="32"/>
          <w:szCs w:val="32"/>
        </w:rPr>
        <w:t>万元，其中：政府采购货物支出</w:t>
      </w:r>
      <w:r>
        <w:rPr>
          <w:rFonts w:hint="eastAsia" w:ascii="Times New Roman" w:hAnsi="Times New Roman" w:eastAsia="仿宋_GB2312" w:cs="Times New Roman"/>
          <w:sz w:val="32"/>
          <w:szCs w:val="32"/>
          <w:lang w:val="en-US" w:eastAsia="zh-CN"/>
        </w:rPr>
        <w:t>45.47</w:t>
      </w:r>
      <w:r>
        <w:rPr>
          <w:rFonts w:ascii="Times New Roman" w:hAnsi="Times New Roman" w:eastAsia="仿宋_GB2312" w:cs="Times New Roman"/>
          <w:sz w:val="32"/>
          <w:szCs w:val="32"/>
        </w:rPr>
        <w:t xml:space="preserve"> 万元、政府采购工程支出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万元、政府采购服务支出</w:t>
      </w:r>
      <w:r>
        <w:rPr>
          <w:rFonts w:hint="eastAsia" w:ascii="Times New Roman" w:hAnsi="Times New Roman" w:eastAsia="仿宋_GB2312" w:cs="Times New Roman"/>
          <w:sz w:val="32"/>
          <w:szCs w:val="32"/>
          <w:lang w:val="en-US" w:eastAsia="zh-CN"/>
        </w:rPr>
        <w:t>465.07</w:t>
      </w:r>
      <w:r>
        <w:rPr>
          <w:rFonts w:ascii="Times New Roman" w:hAnsi="Times New Roman" w:eastAsia="仿宋_GB2312" w:cs="Times New Roman"/>
          <w:sz w:val="32"/>
          <w:szCs w:val="32"/>
        </w:rPr>
        <w:t>万元。授予中小企业合同金额</w:t>
      </w:r>
      <w:r>
        <w:rPr>
          <w:rFonts w:hint="eastAsia" w:ascii="Times New Roman" w:hAnsi="Times New Roman" w:eastAsia="仿宋_GB2312" w:cs="Times New Roman"/>
          <w:sz w:val="32"/>
          <w:szCs w:val="32"/>
          <w:lang w:val="en-US" w:eastAsia="zh-CN"/>
        </w:rPr>
        <w:t>437.69</w:t>
      </w:r>
      <w:r>
        <w:rPr>
          <w:rFonts w:ascii="Times New Roman" w:hAnsi="Times New Roman" w:eastAsia="仿宋_GB2312" w:cs="Times New Roman"/>
          <w:sz w:val="32"/>
          <w:szCs w:val="32"/>
        </w:rPr>
        <w:t>万元，占政府采购支出总额的</w:t>
      </w:r>
      <w:r>
        <w:rPr>
          <w:rFonts w:hint="eastAsia" w:ascii="Times New Roman" w:hAnsi="Times New Roman" w:eastAsia="仿宋_GB2312" w:cs="Times New Roman"/>
          <w:sz w:val="32"/>
          <w:szCs w:val="32"/>
          <w:lang w:val="en-US" w:eastAsia="zh-CN"/>
        </w:rPr>
        <w:t>85.73</w:t>
      </w:r>
      <w:r>
        <w:rPr>
          <w:rFonts w:ascii="Times New Roman" w:hAnsi="Times New Roman" w:eastAsia="仿宋_GB2312" w:cs="Times New Roman"/>
          <w:sz w:val="32"/>
          <w:szCs w:val="32"/>
        </w:rPr>
        <w:t>%，其中：授予小微企业合同金额</w:t>
      </w:r>
      <w:r>
        <w:rPr>
          <w:rFonts w:hint="eastAsia" w:ascii="Times New Roman" w:hAnsi="Times New Roman" w:eastAsia="仿宋_GB2312" w:cs="Times New Roman"/>
          <w:sz w:val="32"/>
          <w:szCs w:val="32"/>
          <w:lang w:val="en-US" w:eastAsia="zh-CN"/>
        </w:rPr>
        <w:t>249.07</w:t>
      </w:r>
      <w:r>
        <w:rPr>
          <w:rFonts w:ascii="Times New Roman" w:hAnsi="Times New Roman" w:eastAsia="仿宋_GB2312" w:cs="Times New Roman"/>
          <w:sz w:val="32"/>
          <w:szCs w:val="32"/>
        </w:rPr>
        <w:t>万元，</w:t>
      </w:r>
      <w:r>
        <w:rPr>
          <w:rFonts w:ascii="Times New Roman" w:hAnsi="Times New Roman" w:eastAsia="仿宋_GB2312" w:cs="Times New Roman"/>
          <w:color w:val="auto"/>
          <w:sz w:val="32"/>
          <w:szCs w:val="32"/>
        </w:rPr>
        <w:t>占授予中小企业合同金额的</w:t>
      </w:r>
      <w:r>
        <w:rPr>
          <w:rFonts w:hint="eastAsia" w:ascii="Times New Roman" w:hAnsi="Times New Roman" w:eastAsia="仿宋_GB2312" w:cs="Times New Roman"/>
          <w:color w:val="auto"/>
          <w:sz w:val="32"/>
          <w:szCs w:val="32"/>
          <w:lang w:val="en-US" w:eastAsia="zh-CN"/>
        </w:rPr>
        <w:t>56.91</w:t>
      </w:r>
      <w:r>
        <w:rPr>
          <w:rFonts w:ascii="Times New Roman" w:hAnsi="Times New Roman" w:eastAsia="仿宋_GB2312" w:cs="Times New Roman"/>
          <w:color w:val="auto"/>
          <w:sz w:val="32"/>
          <w:szCs w:val="32"/>
        </w:rPr>
        <w:t>%。货物采购授予中小企业合同金额占货物支出金额的</w:t>
      </w:r>
      <w:r>
        <w:rPr>
          <w:rFonts w:hint="eastAsia" w:ascii="Times New Roman" w:hAnsi="Times New Roman" w:eastAsia="仿宋_GB2312" w:cs="Times New Roman"/>
          <w:color w:val="auto"/>
          <w:sz w:val="32"/>
          <w:szCs w:val="32"/>
          <w:lang w:val="en-US" w:eastAsia="zh-CN"/>
        </w:rPr>
        <w:t>9.09</w:t>
      </w:r>
      <w:r>
        <w:rPr>
          <w:rFonts w:ascii="Times New Roman" w:hAnsi="Times New Roman" w:eastAsia="仿宋_GB2312" w:cs="Times New Roman"/>
          <w:color w:val="auto"/>
          <w:sz w:val="32"/>
          <w:szCs w:val="32"/>
        </w:rPr>
        <w:t>%，工程采购授予中小企业合同金额占工程支出金额的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%，服务采购授予中小企业合同金额占服务支出金额的</w:t>
      </w:r>
      <w:r>
        <w:rPr>
          <w:rFonts w:hint="eastAsia" w:ascii="Times New Roman" w:hAnsi="Times New Roman" w:eastAsia="仿宋_GB2312" w:cs="Times New Roman"/>
          <w:color w:val="auto"/>
          <w:sz w:val="32"/>
          <w:szCs w:val="32"/>
          <w:lang w:val="en-US" w:eastAsia="zh-CN"/>
        </w:rPr>
        <w:t>90.91</w:t>
      </w:r>
      <w:r>
        <w:rPr>
          <w:rFonts w:ascii="Times New Roman" w:hAnsi="Times New Roman" w:eastAsia="仿宋_GB2312" w:cs="Times New Roman"/>
          <w:color w:val="auto"/>
          <w:sz w:val="32"/>
          <w:szCs w:val="32"/>
        </w:rPr>
        <w:t>%。</w:t>
      </w:r>
    </w:p>
    <w:p w14:paraId="789F6053">
      <w:pPr>
        <w:pStyle w:val="14"/>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w:t>
      </w:r>
      <w:r>
        <w:rPr>
          <w:rFonts w:hint="eastAsia" w:ascii="Times New Roman" w:hAnsi="Times New Roman" w:cs="Times New Roman"/>
          <w:bCs/>
          <w:color w:val="auto"/>
          <w:sz w:val="32"/>
          <w:szCs w:val="32"/>
          <w:lang w:eastAsia="zh-CN"/>
        </w:rPr>
        <w:t>三</w:t>
      </w:r>
      <w:r>
        <w:rPr>
          <w:rFonts w:ascii="Times New Roman" w:hAnsi="Times New Roman" w:cs="Times New Roman"/>
          <w:bCs/>
          <w:color w:val="auto"/>
          <w:sz w:val="32"/>
          <w:szCs w:val="32"/>
        </w:rPr>
        <w:t>、关于国有资产占用情况说明</w:t>
      </w:r>
    </w:p>
    <w:p w14:paraId="1EA0DC8A">
      <w:pPr>
        <w:pStyle w:val="14"/>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截至202</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年12月31日，</w:t>
      </w:r>
      <w:r>
        <w:rPr>
          <w:rFonts w:hint="eastAsia" w:ascii="Times New Roman" w:hAnsi="Times New Roman" w:eastAsia="仿宋_GB2312" w:cs="Times New Roman"/>
          <w:color w:val="auto"/>
          <w:sz w:val="32"/>
          <w:szCs w:val="32"/>
          <w:lang w:eastAsia="zh-CN"/>
        </w:rPr>
        <w:t>中心</w:t>
      </w:r>
      <w:r>
        <w:rPr>
          <w:rFonts w:ascii="Times New Roman" w:hAnsi="Times New Roman" w:eastAsia="仿宋_GB2312" w:cs="Times New Roman"/>
          <w:color w:val="auto"/>
          <w:sz w:val="32"/>
          <w:szCs w:val="32"/>
        </w:rPr>
        <w:t>共有车辆</w:t>
      </w:r>
      <w:r>
        <w:rPr>
          <w:rFonts w:hint="eastAsia" w:ascii="Times New Roman" w:hAnsi="Times New Roman" w:eastAsia="仿宋_GB2312" w:cs="Times New Roman"/>
          <w:color w:val="auto"/>
          <w:sz w:val="32"/>
          <w:szCs w:val="32"/>
          <w:lang w:val="en-US" w:eastAsia="zh-CN"/>
        </w:rPr>
        <w:t>11</w:t>
      </w:r>
      <w:r>
        <w:rPr>
          <w:rFonts w:ascii="Times New Roman" w:hAnsi="Times New Roman" w:eastAsia="仿宋_GB2312" w:cs="Times New Roman"/>
          <w:color w:val="auto"/>
          <w:sz w:val="32"/>
          <w:szCs w:val="32"/>
        </w:rPr>
        <w:t>辆，其中，副部（省）级及以上领导用车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辆、主要负责人用车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辆、机要通信用车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辆、应急保障用车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辆、执法执勤用车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辆、特种专业技术用车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辆、离退休干部服务用车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辆、其他用车</w:t>
      </w:r>
      <w:r>
        <w:rPr>
          <w:rFonts w:hint="eastAsia" w:ascii="Times New Roman" w:hAnsi="Times New Roman" w:eastAsia="仿宋_GB2312" w:cs="Times New Roman"/>
          <w:color w:val="auto"/>
          <w:sz w:val="32"/>
          <w:szCs w:val="32"/>
          <w:lang w:val="en-US" w:eastAsia="zh-CN"/>
        </w:rPr>
        <w:t>11</w:t>
      </w:r>
      <w:r>
        <w:rPr>
          <w:rFonts w:ascii="Times New Roman" w:hAnsi="Times New Roman" w:eastAsia="仿宋_GB2312" w:cs="Times New Roman"/>
          <w:color w:val="auto"/>
          <w:sz w:val="32"/>
          <w:szCs w:val="32"/>
        </w:rPr>
        <w:t>辆，其他用车主要是</w:t>
      </w:r>
      <w:r>
        <w:rPr>
          <w:rFonts w:hint="eastAsia" w:ascii="Times New Roman" w:hAnsi="Times New Roman" w:eastAsia="仿宋_GB2312" w:cs="Times New Roman"/>
          <w:color w:val="auto"/>
          <w:sz w:val="32"/>
          <w:szCs w:val="32"/>
        </w:rPr>
        <w:t>中心机关及管理部保留的11台公车，用于保障机要通信、应急和业务工作</w:t>
      </w:r>
      <w:r>
        <w:rPr>
          <w:rFonts w:ascii="Times New Roman" w:hAnsi="Times New Roman" w:eastAsia="仿宋_GB2312" w:cs="Times New Roman"/>
          <w:color w:val="auto"/>
          <w:sz w:val="32"/>
          <w:szCs w:val="32"/>
        </w:rPr>
        <w:t>；单位价值100万元以上设备（不含车辆）</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台（套）。</w:t>
      </w:r>
    </w:p>
    <w:p w14:paraId="5F377D6F">
      <w:pPr>
        <w:pStyle w:val="14"/>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w:t>
      </w:r>
      <w:r>
        <w:rPr>
          <w:rFonts w:hint="eastAsia" w:ascii="Times New Roman" w:hAnsi="Times New Roman" w:cs="Times New Roman"/>
          <w:bCs/>
          <w:color w:val="auto"/>
          <w:sz w:val="32"/>
          <w:szCs w:val="32"/>
          <w:lang w:eastAsia="zh-CN"/>
        </w:rPr>
        <w:t>四</w:t>
      </w:r>
      <w:r>
        <w:rPr>
          <w:rFonts w:ascii="Times New Roman" w:hAnsi="Times New Roman" w:cs="Times New Roman"/>
          <w:bCs/>
          <w:color w:val="auto"/>
          <w:sz w:val="32"/>
          <w:szCs w:val="32"/>
        </w:rPr>
        <w:t>、关于</w:t>
      </w: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lang w:val="en-US" w:eastAsia="zh-CN"/>
        </w:rPr>
        <w:t>5</w:t>
      </w:r>
      <w:r>
        <w:rPr>
          <w:rFonts w:ascii="Times New Roman" w:hAnsi="Times New Roman" w:cs="Times New Roman"/>
          <w:bCs/>
          <w:color w:val="auto"/>
          <w:sz w:val="32"/>
          <w:szCs w:val="32"/>
        </w:rPr>
        <w:t>年度预算绩效情况的说明</w:t>
      </w:r>
    </w:p>
    <w:p w14:paraId="2FCE59AF">
      <w:pPr>
        <w:overflowPunct w:val="0"/>
        <w:spacing w:line="600" w:lineRule="exact"/>
        <w:ind w:firstLine="643" w:firstLineChars="200"/>
        <w:rPr>
          <w:rFonts w:hint="eastAsia" w:ascii="Times New Roman" w:hAnsi="Times New Roman" w:eastAsia="仿宋_GB2312" w:cs="Times New Roman"/>
          <w:b/>
          <w:bCs/>
          <w:sz w:val="32"/>
          <w:szCs w:val="32"/>
          <w:lang w:eastAsia="zh-CN"/>
        </w:rPr>
      </w:pPr>
      <w:r>
        <w:rPr>
          <w:rFonts w:ascii="Times New Roman" w:hAnsi="Times New Roman" w:eastAsia="楷体_GB2312" w:cs="Times New Roman"/>
          <w:b/>
          <w:bCs/>
          <w:sz w:val="32"/>
          <w:szCs w:val="32"/>
        </w:rPr>
        <w:t>（一）绩效评价工作开展情况。</w:t>
      </w:r>
      <w:r>
        <w:rPr>
          <w:rFonts w:ascii="Times New Roman" w:hAnsi="Times New Roman" w:eastAsia="仿宋_GB2312" w:cs="Times New Roman"/>
          <w:b/>
          <w:bCs/>
          <w:kern w:val="0"/>
          <w:sz w:val="32"/>
          <w:szCs w:val="32"/>
        </w:rPr>
        <w:t>一是绩效自评开展情况。</w:t>
      </w:r>
      <w:r>
        <w:rPr>
          <w:rFonts w:hint="eastAsia" w:ascii="Times New Roman" w:hAnsi="Times New Roman" w:eastAsia="仿宋_GB2312" w:cs="Times New Roman"/>
          <w:b w:val="0"/>
          <w:bCs w:val="0"/>
          <w:kern w:val="0"/>
          <w:sz w:val="32"/>
          <w:szCs w:val="32"/>
          <w:lang w:eastAsia="zh-CN"/>
        </w:rPr>
        <w:t>中心按市财政要求</w:t>
      </w:r>
      <w:r>
        <w:rPr>
          <w:rFonts w:ascii="Times New Roman" w:hAnsi="Times New Roman" w:eastAsia="仿宋_GB2312" w:cs="Times New Roman"/>
          <w:kern w:val="0"/>
          <w:sz w:val="32"/>
          <w:szCs w:val="32"/>
        </w:rPr>
        <w:t>组织对202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年度整体支出开展</w:t>
      </w:r>
      <w:r>
        <w:rPr>
          <w:rFonts w:hint="eastAsia" w:ascii="Times New Roman" w:hAnsi="Times New Roman" w:eastAsia="仿宋_GB2312" w:cs="Times New Roman"/>
          <w:kern w:val="0"/>
          <w:sz w:val="32"/>
          <w:szCs w:val="32"/>
          <w:lang w:eastAsia="zh-CN"/>
        </w:rPr>
        <w:t>了</w:t>
      </w:r>
      <w:r>
        <w:rPr>
          <w:rFonts w:ascii="Times New Roman" w:hAnsi="Times New Roman" w:eastAsia="仿宋_GB2312" w:cs="Times New Roman"/>
          <w:kern w:val="0"/>
          <w:sz w:val="32"/>
          <w:szCs w:val="32"/>
        </w:rPr>
        <w:t>绩效自评，涉及项目</w:t>
      </w:r>
      <w:r>
        <w:rPr>
          <w:rFonts w:hint="eastAsia" w:ascii="Times New Roman" w:hAnsi="Times New Roman" w:eastAsia="仿宋_GB2312" w:cs="Times New Roman"/>
          <w:kern w:val="0"/>
          <w:sz w:val="32"/>
          <w:szCs w:val="32"/>
          <w:lang w:val="en-US" w:eastAsia="zh-CN"/>
        </w:rPr>
        <w:t>13</w:t>
      </w:r>
      <w:r>
        <w:rPr>
          <w:rFonts w:ascii="Times New Roman" w:hAnsi="Times New Roman" w:eastAsia="仿宋_GB2312" w:cs="Times New Roman"/>
          <w:kern w:val="0"/>
          <w:sz w:val="32"/>
          <w:szCs w:val="32"/>
        </w:rPr>
        <w:t xml:space="preserve"> 个，共涉及资金</w:t>
      </w:r>
      <w:r>
        <w:rPr>
          <w:rFonts w:hint="eastAsia" w:ascii="Times New Roman" w:hAnsi="Times New Roman" w:eastAsia="仿宋_GB2312" w:cs="Times New Roman"/>
          <w:kern w:val="0"/>
          <w:sz w:val="32"/>
          <w:szCs w:val="32"/>
          <w:lang w:val="en-US" w:eastAsia="zh-CN"/>
        </w:rPr>
        <w:t>645.13</w:t>
      </w:r>
      <w:r>
        <w:rPr>
          <w:rFonts w:ascii="Times New Roman" w:hAnsi="Times New Roman" w:eastAsia="仿宋_GB2312" w:cs="Times New Roman"/>
          <w:kern w:val="0"/>
          <w:sz w:val="32"/>
          <w:szCs w:val="32"/>
        </w:rPr>
        <w:t>万元。其中，一般公共预算项目</w:t>
      </w:r>
      <w:r>
        <w:rPr>
          <w:rFonts w:hint="eastAsia" w:ascii="Times New Roman" w:hAnsi="Times New Roman" w:eastAsia="仿宋_GB2312" w:cs="Times New Roman"/>
          <w:kern w:val="0"/>
          <w:sz w:val="32"/>
          <w:szCs w:val="32"/>
          <w:lang w:val="en-US" w:eastAsia="zh-CN"/>
        </w:rPr>
        <w:t>13</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645.13</w:t>
      </w:r>
      <w:r>
        <w:rPr>
          <w:rFonts w:ascii="Times New Roman" w:hAnsi="Times New Roman" w:eastAsia="仿宋_GB2312" w:cs="Times New Roman"/>
          <w:kern w:val="0"/>
          <w:sz w:val="32"/>
          <w:szCs w:val="32"/>
        </w:rPr>
        <w:t xml:space="preserve"> 万元，占一般公共预算支出总额的</w:t>
      </w:r>
      <w:r>
        <w:rPr>
          <w:rFonts w:hint="eastAsia" w:ascii="Times New Roman" w:hAnsi="Times New Roman" w:eastAsia="仿宋_GB2312" w:cs="Times New Roman"/>
          <w:kern w:val="0"/>
          <w:sz w:val="32"/>
          <w:szCs w:val="32"/>
          <w:lang w:val="en-US" w:eastAsia="zh-CN"/>
        </w:rPr>
        <w:t>100</w:t>
      </w:r>
      <w:r>
        <w:rPr>
          <w:rFonts w:ascii="Times New Roman" w:hAnsi="Times New Roman" w:eastAsia="仿宋_GB2312" w:cs="Times New Roman"/>
          <w:kern w:val="0"/>
          <w:sz w:val="32"/>
          <w:szCs w:val="32"/>
        </w:rPr>
        <w:t>%；政府性基金预算项目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万元，占政府性基金预算支出总额的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%；国有资本经营预算项目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万元，占国有资本经营预算支出总额的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%；社会保险基金预算项目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万元，占社会保险基金预算支出总额的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w:t>
      </w:r>
      <w:r>
        <w:rPr>
          <w:rFonts w:ascii="Times New Roman" w:hAnsi="Times New Roman" w:eastAsia="仿宋_GB2312" w:cs="Times New Roman"/>
          <w:b/>
          <w:bCs/>
          <w:kern w:val="0"/>
          <w:sz w:val="32"/>
          <w:szCs w:val="32"/>
        </w:rPr>
        <w:t>二是部门评价开展情况。</w:t>
      </w:r>
      <w:r>
        <w:rPr>
          <w:rFonts w:hint="eastAsia" w:ascii="Times New Roman" w:hAnsi="Times New Roman" w:eastAsia="仿宋_GB2312" w:cs="Times New Roman"/>
          <w:b w:val="0"/>
          <w:bCs w:val="0"/>
          <w:kern w:val="0"/>
          <w:sz w:val="32"/>
          <w:szCs w:val="32"/>
          <w:lang w:eastAsia="zh-CN"/>
        </w:rPr>
        <w:t>中心</w:t>
      </w:r>
      <w:r>
        <w:rPr>
          <w:rFonts w:ascii="Times New Roman" w:hAnsi="Times New Roman" w:eastAsia="仿宋_GB2312" w:cs="Times New Roman"/>
          <w:kern w:val="0"/>
          <w:sz w:val="32"/>
          <w:szCs w:val="32"/>
        </w:rPr>
        <w:t>组织对202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w:t>
      </w:r>
      <w:r>
        <w:rPr>
          <w:rFonts w:hint="eastAsia" w:ascii="Times New Roman" w:hAnsi="Times New Roman" w:eastAsia="仿宋_GB2312" w:cs="Times New Roman"/>
          <w:sz w:val="32"/>
          <w:szCs w:val="32"/>
        </w:rPr>
        <w:t>劳务人员工资/奖金/五险一金</w:t>
      </w:r>
      <w:r>
        <w:rPr>
          <w:rFonts w:ascii="Times New Roman" w:hAnsi="Times New Roman" w:eastAsia="仿宋_GB2312" w:cs="Times New Roman"/>
          <w:kern w:val="0"/>
          <w:sz w:val="32"/>
          <w:szCs w:val="32"/>
        </w:rPr>
        <w:t>”“</w:t>
      </w:r>
      <w:r>
        <w:rPr>
          <w:rFonts w:hint="eastAsia" w:ascii="Times New Roman" w:hAnsi="Times New Roman" w:eastAsia="仿宋_GB2312" w:cs="Times New Roman"/>
          <w:sz w:val="32"/>
          <w:szCs w:val="32"/>
        </w:rPr>
        <w:t>中心及14个管理部物业管理费</w:t>
      </w:r>
      <w:r>
        <w:rPr>
          <w:rFonts w:ascii="Times New Roman" w:hAnsi="Times New Roman" w:eastAsia="仿宋_GB2312" w:cs="Times New Roman"/>
          <w:kern w:val="0"/>
          <w:sz w:val="32"/>
          <w:szCs w:val="32"/>
        </w:rPr>
        <w:t>”等</w:t>
      </w:r>
      <w:r>
        <w:rPr>
          <w:rFonts w:hint="eastAsia" w:ascii="Times New Roman" w:hAnsi="Times New Roman" w:eastAsia="仿宋_GB2312" w:cs="Times New Roman"/>
          <w:sz w:val="32"/>
          <w:szCs w:val="32"/>
          <w:lang w:val="en-US" w:eastAsia="zh-CN"/>
        </w:rPr>
        <w:t>13</w:t>
      </w:r>
      <w:r>
        <w:rPr>
          <w:rFonts w:ascii="Times New Roman" w:hAnsi="Times New Roman" w:eastAsia="仿宋_GB2312" w:cs="Times New Roman"/>
          <w:kern w:val="0"/>
          <w:sz w:val="32"/>
          <w:szCs w:val="32"/>
        </w:rPr>
        <w:t>个项目开展了部门评价，涉及一般公共预算支出</w:t>
      </w:r>
      <w:r>
        <w:rPr>
          <w:rFonts w:hint="eastAsia" w:ascii="Times New Roman" w:hAnsi="Times New Roman" w:eastAsia="仿宋_GB2312" w:cs="Times New Roman"/>
          <w:sz w:val="32"/>
          <w:szCs w:val="32"/>
          <w:lang w:val="en-US" w:eastAsia="zh-CN"/>
        </w:rPr>
        <w:t>645.13</w:t>
      </w:r>
      <w:r>
        <w:rPr>
          <w:rFonts w:ascii="Times New Roman" w:hAnsi="Times New Roman" w:eastAsia="仿宋_GB2312" w:cs="Times New Roman"/>
          <w:kern w:val="0"/>
          <w:sz w:val="32"/>
          <w:szCs w:val="32"/>
        </w:rPr>
        <w:t>万元，政府性基金预算支出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万元，国有资本经营预算支出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万元，社会保险基金预算支出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万元。</w:t>
      </w:r>
      <w:r>
        <w:rPr>
          <w:rFonts w:ascii="Times New Roman" w:hAnsi="Times New Roman" w:eastAsia="仿宋_GB2312" w:cs="Times New Roman"/>
          <w:b/>
          <w:bCs/>
          <w:kern w:val="0"/>
          <w:sz w:val="32"/>
          <w:szCs w:val="32"/>
        </w:rPr>
        <w:t>三是事前绩效评估开展情况。</w:t>
      </w:r>
      <w:r>
        <w:rPr>
          <w:rFonts w:hint="eastAsia" w:ascii="Times New Roman" w:hAnsi="Times New Roman" w:eastAsia="仿宋_GB2312" w:cs="Times New Roman"/>
          <w:kern w:val="0"/>
          <w:sz w:val="32"/>
          <w:szCs w:val="32"/>
          <w:lang w:eastAsia="zh-CN"/>
        </w:rPr>
        <w:t>中心无</w:t>
      </w:r>
      <w:r>
        <w:rPr>
          <w:rFonts w:ascii="Times New Roman" w:hAnsi="Times New Roman" w:eastAsia="仿宋_GB2312" w:cs="Times New Roman"/>
          <w:kern w:val="0"/>
          <w:sz w:val="32"/>
          <w:szCs w:val="32"/>
        </w:rPr>
        <w:t>新增重大政策</w:t>
      </w:r>
      <w:r>
        <w:rPr>
          <w:rFonts w:hint="eastAsia" w:ascii="Times New Roman" w:hAnsi="Times New Roman" w:eastAsia="仿宋_GB2312" w:cs="Times New Roman"/>
          <w:kern w:val="0"/>
          <w:sz w:val="32"/>
          <w:szCs w:val="32"/>
          <w:lang w:eastAsia="zh-CN"/>
        </w:rPr>
        <w:t>和重大项目，因此无</w:t>
      </w:r>
      <w:r>
        <w:rPr>
          <w:rFonts w:ascii="Times New Roman" w:hAnsi="Times New Roman" w:eastAsia="仿宋_GB2312" w:cs="Times New Roman"/>
          <w:kern w:val="0"/>
          <w:sz w:val="32"/>
          <w:szCs w:val="32"/>
        </w:rPr>
        <w:t>事前绩效评估</w:t>
      </w:r>
      <w:r>
        <w:rPr>
          <w:rFonts w:hint="eastAsia" w:ascii="Times New Roman" w:hAnsi="Times New Roman" w:eastAsia="仿宋_GB2312" w:cs="Times New Roman"/>
          <w:kern w:val="0"/>
          <w:sz w:val="32"/>
          <w:szCs w:val="32"/>
          <w:lang w:eastAsia="zh-CN"/>
        </w:rPr>
        <w:t>。</w:t>
      </w:r>
    </w:p>
    <w:p w14:paraId="1E8F692F">
      <w:pPr>
        <w:pStyle w:val="20"/>
        <w:topLinePunct/>
        <w:autoSpaceDE w:val="0"/>
        <w:spacing w:line="580" w:lineRule="exact"/>
        <w:ind w:firstLine="643" w:firstLineChars="200"/>
        <w:rPr>
          <w:rFonts w:ascii="Times New Roman" w:hAnsi="Times New Roman" w:eastAsia="仿宋_GB2312" w:cs="Times New Roman"/>
          <w:sz w:val="32"/>
          <w:szCs w:val="32"/>
        </w:rPr>
      </w:pPr>
      <w:r>
        <w:rPr>
          <w:rFonts w:ascii="Times New Roman" w:hAnsi="Times New Roman" w:eastAsia="楷体_GB2312" w:cs="Times New Roman"/>
          <w:b/>
          <w:bCs/>
          <w:sz w:val="32"/>
          <w:szCs w:val="32"/>
        </w:rPr>
        <w:t>（二）绩效评价结果。</w:t>
      </w:r>
      <w:r>
        <w:rPr>
          <w:rFonts w:ascii="Times New Roman" w:hAnsi="Times New Roman" w:eastAsia="仿宋_GB2312" w:cs="Times New Roman"/>
          <w:b/>
          <w:bCs/>
          <w:kern w:val="0"/>
          <w:sz w:val="32"/>
          <w:szCs w:val="32"/>
        </w:rPr>
        <w:t>一是绩效自评结果。</w:t>
      </w:r>
      <w:r>
        <w:rPr>
          <w:rFonts w:ascii="Times New Roman" w:hAnsi="Times New Roman" w:eastAsia="仿宋_GB2312" w:cs="Times New Roman"/>
          <w:kern w:val="0"/>
          <w:sz w:val="32"/>
          <w:szCs w:val="32"/>
        </w:rPr>
        <w:t>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年度本部门（单位）整体支出</w:t>
      </w:r>
      <w:r>
        <w:rPr>
          <w:rFonts w:ascii="Times New Roman" w:hAnsi="Times New Roman" w:eastAsia="仿宋_GB2312" w:cs="Times New Roman"/>
          <w:sz w:val="32"/>
          <w:szCs w:val="32"/>
        </w:rPr>
        <w:t>全年预算数</w:t>
      </w:r>
      <w:r>
        <w:rPr>
          <w:rFonts w:hint="eastAsia" w:ascii="Times New Roman" w:hAnsi="Times New Roman" w:eastAsia="仿宋_GB2312" w:cs="Times New Roman"/>
          <w:sz w:val="32"/>
          <w:szCs w:val="32"/>
          <w:lang w:val="en-US" w:eastAsia="zh-CN"/>
        </w:rPr>
        <w:t>2994.01</w:t>
      </w:r>
      <w:r>
        <w:rPr>
          <w:rFonts w:ascii="Times New Roman" w:hAnsi="Times New Roman" w:eastAsia="仿宋_GB2312" w:cs="Times New Roman"/>
          <w:sz w:val="32"/>
          <w:szCs w:val="32"/>
        </w:rPr>
        <w:t>万元，执行数</w:t>
      </w:r>
      <w:r>
        <w:rPr>
          <w:rFonts w:hint="eastAsia" w:ascii="Times New Roman" w:hAnsi="Times New Roman" w:eastAsia="仿宋_GB2312" w:cs="Times New Roman"/>
          <w:sz w:val="32"/>
          <w:szCs w:val="32"/>
          <w:lang w:val="en-US" w:eastAsia="zh-CN"/>
        </w:rPr>
        <w:t>2624.73</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87.67</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，绩效自评得分</w:t>
      </w:r>
      <w:r>
        <w:rPr>
          <w:rFonts w:hint="eastAsia" w:ascii="Times New Roman" w:hAnsi="Times New Roman" w:eastAsia="仿宋_GB2312" w:cs="Times New Roman"/>
          <w:kern w:val="0"/>
          <w:sz w:val="32"/>
          <w:szCs w:val="32"/>
          <w:lang w:val="en-US" w:eastAsia="zh-CN"/>
        </w:rPr>
        <w:t>9</w:t>
      </w:r>
      <w:r>
        <w:rPr>
          <w:rFonts w:hint="eastAsia" w:ascii="Times New Roman" w:hAnsi="Times New Roman" w:eastAsia="仿宋_GB2312" w:cs="Times New Roman"/>
          <w:sz w:val="32"/>
          <w:szCs w:val="32"/>
          <w:lang w:val="en-US" w:eastAsia="zh-CN"/>
        </w:rPr>
        <w:t>8.77</w:t>
      </w:r>
      <w:r>
        <w:rPr>
          <w:rFonts w:ascii="Times New Roman" w:hAnsi="Times New Roman" w:eastAsia="仿宋_GB2312" w:cs="Times New Roman"/>
          <w:sz w:val="32"/>
          <w:szCs w:val="32"/>
        </w:rPr>
        <w:t>分</w:t>
      </w:r>
      <w:r>
        <w:rPr>
          <w:rFonts w:ascii="Times New Roman" w:hAnsi="Times New Roman" w:eastAsia="仿宋_GB2312" w:cs="Times New Roman"/>
          <w:kern w:val="0"/>
          <w:sz w:val="32"/>
          <w:szCs w:val="32"/>
        </w:rPr>
        <w:t>，评价等级为</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优</w:t>
      </w:r>
      <w:r>
        <w:rPr>
          <w:rFonts w:ascii="Times New Roman" w:hAnsi="Times New Roman" w:eastAsia="仿宋_GB2312" w:cs="Times New Roman"/>
          <w:sz w:val="32"/>
          <w:szCs w:val="32"/>
        </w:rPr>
        <w:t>”。绩效目标完成情况：一是</w:t>
      </w:r>
      <w:r>
        <w:rPr>
          <w:rFonts w:hint="eastAsia" w:ascii="Times New Roman" w:hAnsi="Times New Roman" w:eastAsia="仿宋_GB2312" w:cs="Times New Roman"/>
          <w:sz w:val="32"/>
          <w:szCs w:val="32"/>
        </w:rPr>
        <w:t>住房公积金归集44.88亿元，同比增长3.29%，累计缴存总额439.39亿元，缴存余额178.64亿元</w:t>
      </w:r>
      <w:r>
        <w:rPr>
          <w:rFonts w:ascii="Times New Roman" w:hAnsi="Times New Roman" w:eastAsia="仿宋_GB2312" w:cs="Times New Roman"/>
          <w:sz w:val="32"/>
          <w:szCs w:val="32"/>
        </w:rPr>
        <w:t>；二是</w:t>
      </w:r>
      <w:r>
        <w:rPr>
          <w:rFonts w:hint="eastAsia" w:ascii="Times New Roman" w:hAnsi="Times New Roman" w:eastAsia="仿宋_GB2312" w:cs="Times New Roman"/>
          <w:sz w:val="32"/>
          <w:szCs w:val="32"/>
        </w:rPr>
        <w:t>发放个人住房贷款2137笔共7.56亿元，超额完成年初计划0.66亿元，同比下降23.79%，累计发放个人住房贷款250.84亿元，个人贷款余额为111.61亿元，个贷率为62.48%</w:t>
      </w:r>
      <w:r>
        <w:rPr>
          <w:rFonts w:hint="eastAsia" w:ascii="Times New Roman" w:hAnsi="Times New Roman" w:eastAsia="仿宋_GB2312" w:cs="Times New Roman"/>
          <w:sz w:val="32"/>
          <w:szCs w:val="32"/>
          <w:lang w:eastAsia="zh-CN"/>
        </w:rPr>
        <w:t>；三是完成增值收益2.</w:t>
      </w:r>
      <w:r>
        <w:rPr>
          <w:rFonts w:hint="eastAsia" w:ascii="Times New Roman" w:hAnsi="Times New Roman" w:eastAsia="仿宋_GB2312" w:cs="Times New Roman"/>
          <w:sz w:val="32"/>
          <w:szCs w:val="32"/>
          <w:lang w:val="en-US" w:eastAsia="zh-CN"/>
        </w:rPr>
        <w:t>12</w:t>
      </w:r>
      <w:r>
        <w:rPr>
          <w:rFonts w:hint="eastAsia" w:ascii="Times New Roman" w:hAnsi="Times New Roman" w:eastAsia="仿宋_GB2312" w:cs="Times New Roman"/>
          <w:sz w:val="32"/>
          <w:szCs w:val="32"/>
          <w:lang w:eastAsia="zh-CN"/>
        </w:rPr>
        <w:t>亿元，同比下降</w:t>
      </w:r>
      <w:r>
        <w:rPr>
          <w:rFonts w:hint="eastAsia" w:ascii="Times New Roman" w:hAnsi="Times New Roman" w:eastAsia="仿宋_GB2312" w:cs="Times New Roman"/>
          <w:sz w:val="32"/>
          <w:szCs w:val="32"/>
          <w:lang w:val="en-US" w:eastAsia="zh-CN"/>
        </w:rPr>
        <w:t>19.14</w:t>
      </w:r>
      <w:r>
        <w:rPr>
          <w:rFonts w:hint="eastAsia" w:ascii="Times New Roman" w:hAnsi="Times New Roman" w:eastAsia="仿宋_GB2312" w:cs="Times New Roman"/>
          <w:sz w:val="32"/>
          <w:szCs w:val="32"/>
          <w:lang w:eastAsia="zh-CN"/>
        </w:rPr>
        <w:t>%；四是全市住房公积金个贷逾期总额为316.5万元，同比下降10.93%，个贷逾期率为0.0284%，持续稳定在省控标准0.03%以内，个贷风险准备金累计余额达1.12亿元，个人住房贷款逾期额与个人贷款风险准备金余额的比率为2.84%，资金运行安全稳健。发现的主要问题及原因：一是受宏观经济下行压力影响，非公单位公积金缴存增长动力不足；二是房地产市场整体偏弱，商品房市场交易量同比回落，直接导致住房公积金个人贷款发放规模有所收缩。下一步改进措施：一是持续拓宽制度覆盖范围，着力推进灵活就业人员参加住房公积金制度，夯实缴存基础；二是整合新媒体平台、官方网站、线下服务窗口等宣传阵地，用通俗易懂的形式，加大公积金贷款政策优势、申办条件及办理流程的宣传普及力度。</w:t>
      </w:r>
      <w:r>
        <w:rPr>
          <w:rFonts w:ascii="Times New Roman" w:hAnsi="Times New Roman" w:eastAsia="仿宋_GB2312" w:cs="Times New Roman"/>
          <w:b/>
          <w:bCs/>
          <w:kern w:val="0"/>
          <w:sz w:val="32"/>
          <w:szCs w:val="32"/>
        </w:rPr>
        <w:t>二是部门评价结果。</w:t>
      </w:r>
      <w:r>
        <w:rPr>
          <w:rFonts w:hint="eastAsia" w:ascii="Times New Roman" w:hAnsi="Times New Roman" w:eastAsia="仿宋_GB2312" w:cs="Times New Roman"/>
          <w:sz w:val="32"/>
          <w:szCs w:val="32"/>
          <w:lang w:val="en-US" w:eastAsia="zh-CN"/>
        </w:rPr>
        <w:t>21个</w:t>
      </w:r>
      <w:r>
        <w:rPr>
          <w:rFonts w:ascii="Times New Roman" w:hAnsi="Times New Roman" w:eastAsia="仿宋_GB2312" w:cs="Times New Roman"/>
          <w:sz w:val="32"/>
          <w:szCs w:val="32"/>
        </w:rPr>
        <w:t>项目全年预算数</w:t>
      </w:r>
      <w:r>
        <w:rPr>
          <w:rFonts w:hint="eastAsia" w:ascii="Times New Roman" w:hAnsi="Times New Roman" w:eastAsia="仿宋_GB2312" w:cs="Times New Roman"/>
          <w:sz w:val="32"/>
          <w:szCs w:val="32"/>
          <w:lang w:val="en-US" w:eastAsia="zh-CN"/>
        </w:rPr>
        <w:t>1088.57</w:t>
      </w:r>
      <w:r>
        <w:rPr>
          <w:rFonts w:ascii="Times New Roman" w:hAnsi="Times New Roman" w:eastAsia="仿宋_GB2312" w:cs="Times New Roman"/>
          <w:sz w:val="32"/>
          <w:szCs w:val="32"/>
        </w:rPr>
        <w:t>万元，执行数</w:t>
      </w:r>
      <w:r>
        <w:rPr>
          <w:rFonts w:hint="eastAsia" w:ascii="Times New Roman" w:hAnsi="Times New Roman" w:eastAsia="仿宋_GB2312" w:cs="Times New Roman"/>
          <w:sz w:val="32"/>
          <w:szCs w:val="32"/>
          <w:lang w:val="en-US" w:eastAsia="zh-CN"/>
        </w:rPr>
        <w:t>645.13</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59.26</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w:t>
      </w:r>
      <w:r>
        <w:rPr>
          <w:rFonts w:ascii="Times New Roman" w:hAnsi="Times New Roman" w:eastAsia="仿宋_GB2312" w:cs="Times New Roman"/>
          <w:sz w:val="32"/>
          <w:szCs w:val="32"/>
        </w:rPr>
        <w:t>部门评价得分</w:t>
      </w:r>
      <w:r>
        <w:rPr>
          <w:rFonts w:hint="eastAsia" w:ascii="Times New Roman" w:hAnsi="Times New Roman" w:eastAsia="仿宋_GB2312" w:cs="Times New Roman"/>
          <w:sz w:val="32"/>
          <w:szCs w:val="32"/>
          <w:lang w:val="en-US" w:eastAsia="zh-CN"/>
        </w:rPr>
        <w:t>96.77</w:t>
      </w:r>
      <w:r>
        <w:rPr>
          <w:rFonts w:ascii="Times New Roman" w:hAnsi="Times New Roman" w:eastAsia="仿宋_GB2312" w:cs="Times New Roman"/>
          <w:sz w:val="32"/>
          <w:szCs w:val="32"/>
        </w:rPr>
        <w:t>分，评价等级为“</w:t>
      </w:r>
      <w:r>
        <w:rPr>
          <w:rFonts w:hint="eastAsia" w:ascii="Times New Roman" w:hAnsi="Times New Roman" w:eastAsia="仿宋_GB2312" w:cs="Times New Roman"/>
          <w:sz w:val="32"/>
          <w:szCs w:val="32"/>
          <w:lang w:eastAsia="zh-CN"/>
        </w:rPr>
        <w:t>优</w:t>
      </w:r>
      <w:r>
        <w:rPr>
          <w:rFonts w:ascii="Times New Roman" w:hAnsi="Times New Roman" w:eastAsia="仿宋_GB2312" w:cs="Times New Roman"/>
          <w:sz w:val="32"/>
          <w:szCs w:val="32"/>
        </w:rPr>
        <w:t>”。</w:t>
      </w:r>
    </w:p>
    <w:p w14:paraId="74D0536D">
      <w:pPr>
        <w:pStyle w:val="20"/>
        <w:topLinePunct/>
        <w:autoSpaceDE w:val="0"/>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（1）“短信费用”项目。年初预算安排</w:t>
      </w:r>
      <w:r>
        <w:rPr>
          <w:rFonts w:hint="eastAsia" w:ascii="Times New Roman" w:hAnsi="Times New Roman" w:eastAsia="仿宋_GB2312"/>
          <w:sz w:val="32"/>
          <w:szCs w:val="32"/>
          <w:lang w:val="en-US" w:eastAsia="zh-CN"/>
        </w:rPr>
        <w:t>20</w:t>
      </w:r>
      <w:r>
        <w:rPr>
          <w:rFonts w:ascii="Times New Roman" w:hAnsi="Times New Roman" w:eastAsia="仿宋_GB2312"/>
          <w:sz w:val="32"/>
          <w:szCs w:val="32"/>
        </w:rPr>
        <w:t>万元，调整后预算</w:t>
      </w:r>
      <w:r>
        <w:rPr>
          <w:rFonts w:hint="eastAsia" w:ascii="Times New Roman" w:hAnsi="Times New Roman" w:eastAsia="仿宋_GB2312"/>
          <w:sz w:val="32"/>
          <w:szCs w:val="32"/>
          <w:lang w:val="en-US" w:eastAsia="zh-CN"/>
        </w:rPr>
        <w:t>17.56</w:t>
      </w:r>
      <w:r>
        <w:rPr>
          <w:rFonts w:hint="eastAsia" w:ascii="Times New Roman" w:hAnsi="Times New Roman" w:eastAsia="仿宋_GB2312"/>
          <w:sz w:val="32"/>
          <w:szCs w:val="32"/>
        </w:rPr>
        <w:t>万元</w:t>
      </w:r>
      <w:r>
        <w:rPr>
          <w:rFonts w:ascii="Times New Roman" w:hAnsi="Times New Roman" w:eastAsia="仿宋_GB2312"/>
          <w:sz w:val="32"/>
          <w:szCs w:val="32"/>
        </w:rPr>
        <w:t>，本年支出</w:t>
      </w:r>
      <w:r>
        <w:rPr>
          <w:rFonts w:hint="eastAsia" w:ascii="Times New Roman" w:hAnsi="Times New Roman" w:eastAsia="仿宋_GB2312"/>
          <w:sz w:val="32"/>
          <w:szCs w:val="32"/>
          <w:lang w:val="en-US" w:eastAsia="zh-CN"/>
        </w:rPr>
        <w:t>8.14</w:t>
      </w:r>
      <w:r>
        <w:rPr>
          <w:rFonts w:ascii="Times New Roman" w:hAnsi="Times New Roman" w:eastAsia="仿宋_GB2312"/>
          <w:sz w:val="32"/>
          <w:szCs w:val="32"/>
        </w:rPr>
        <w:t>万元，执行率</w:t>
      </w:r>
      <w:r>
        <w:rPr>
          <w:rFonts w:hint="eastAsia" w:ascii="Times New Roman" w:hAnsi="Times New Roman" w:eastAsia="仿宋_GB2312"/>
          <w:sz w:val="32"/>
          <w:szCs w:val="32"/>
          <w:lang w:val="en-US" w:eastAsia="zh-CN"/>
        </w:rPr>
        <w:t>46.36</w:t>
      </w:r>
      <w:r>
        <w:rPr>
          <w:rFonts w:ascii="Times New Roman" w:hAnsi="Times New Roman" w:eastAsia="仿宋_GB2312"/>
          <w:sz w:val="32"/>
          <w:szCs w:val="32"/>
        </w:rPr>
        <w:t>%。</w:t>
      </w:r>
    </w:p>
    <w:p w14:paraId="091E7D6E">
      <w:pPr>
        <w:pStyle w:val="20"/>
        <w:topLinePunct/>
        <w:autoSpaceDE w:val="0"/>
        <w:spacing w:line="580" w:lineRule="exact"/>
        <w:ind w:firstLine="640" w:firstLineChars="200"/>
        <w:rPr>
          <w:rFonts w:hint="eastAsia" w:ascii="Times New Roman" w:hAnsi="Times New Roman" w:eastAsia="仿宋_GB2312"/>
          <w:sz w:val="32"/>
          <w:szCs w:val="32"/>
          <w:lang w:val="en-US" w:eastAsia="zh-CN"/>
        </w:rPr>
      </w:pPr>
      <w:r>
        <w:rPr>
          <w:rFonts w:ascii="Times New Roman" w:hAnsi="Times New Roman" w:eastAsia="仿宋_GB2312"/>
          <w:sz w:val="32"/>
          <w:szCs w:val="32"/>
        </w:rPr>
        <w:t>（</w:t>
      </w:r>
      <w:r>
        <w:rPr>
          <w:rFonts w:hint="eastAsia" w:ascii="Times New Roman" w:hAnsi="Times New Roman" w:eastAsia="仿宋_GB2312"/>
          <w:sz w:val="32"/>
          <w:szCs w:val="32"/>
          <w:lang w:val="en-US" w:eastAsia="zh-CN"/>
        </w:rPr>
        <w:t>2</w:t>
      </w:r>
      <w:r>
        <w:rPr>
          <w:rFonts w:ascii="Times New Roman" w:hAnsi="Times New Roman" w:eastAsia="仿宋_GB2312"/>
          <w:sz w:val="32"/>
          <w:szCs w:val="32"/>
        </w:rPr>
        <w:t>）“业务线路费”项目。年初预算安排</w:t>
      </w:r>
      <w:r>
        <w:rPr>
          <w:rFonts w:hint="eastAsia" w:ascii="Times New Roman" w:hAnsi="Times New Roman" w:eastAsia="仿宋_GB2312"/>
          <w:sz w:val="32"/>
          <w:szCs w:val="32"/>
          <w:lang w:val="en-US" w:eastAsia="zh-CN"/>
        </w:rPr>
        <w:t>39</w:t>
      </w:r>
      <w:r>
        <w:rPr>
          <w:rFonts w:ascii="Times New Roman" w:hAnsi="Times New Roman" w:eastAsia="仿宋_GB2312"/>
          <w:sz w:val="32"/>
          <w:szCs w:val="32"/>
        </w:rPr>
        <w:t>万元，调整后安排</w:t>
      </w:r>
      <w:r>
        <w:rPr>
          <w:rFonts w:hint="eastAsia" w:ascii="Times New Roman" w:hAnsi="Times New Roman" w:eastAsia="仿宋_GB2312"/>
          <w:sz w:val="32"/>
          <w:szCs w:val="32"/>
          <w:lang w:val="en-US" w:eastAsia="zh-CN"/>
        </w:rPr>
        <w:t>34.63</w:t>
      </w:r>
      <w:r>
        <w:rPr>
          <w:rFonts w:ascii="Times New Roman" w:hAnsi="Times New Roman" w:eastAsia="仿宋_GB2312"/>
          <w:sz w:val="32"/>
          <w:szCs w:val="32"/>
        </w:rPr>
        <w:t>万元，本年支出</w:t>
      </w:r>
      <w:r>
        <w:rPr>
          <w:rFonts w:hint="eastAsia" w:ascii="Times New Roman" w:hAnsi="Times New Roman" w:eastAsia="仿宋_GB2312"/>
          <w:sz w:val="32"/>
          <w:szCs w:val="32"/>
          <w:lang w:val="en-US" w:eastAsia="zh-CN"/>
        </w:rPr>
        <w:t>3.77</w:t>
      </w:r>
      <w:r>
        <w:rPr>
          <w:rFonts w:ascii="Times New Roman" w:hAnsi="Times New Roman" w:eastAsia="仿宋_GB2312"/>
          <w:sz w:val="32"/>
          <w:szCs w:val="32"/>
        </w:rPr>
        <w:t>万元，执行率</w:t>
      </w:r>
      <w:r>
        <w:rPr>
          <w:rFonts w:hint="eastAsia" w:ascii="Times New Roman" w:hAnsi="Times New Roman" w:eastAsia="仿宋_GB2312"/>
          <w:sz w:val="32"/>
          <w:szCs w:val="32"/>
          <w:lang w:val="en-US" w:eastAsia="zh-CN"/>
        </w:rPr>
        <w:t>10.89</w:t>
      </w:r>
      <w:r>
        <w:rPr>
          <w:rFonts w:ascii="Times New Roman" w:hAnsi="Times New Roman" w:eastAsia="仿宋_GB2312"/>
          <w:sz w:val="32"/>
          <w:szCs w:val="32"/>
        </w:rPr>
        <w:t>%。</w:t>
      </w:r>
    </w:p>
    <w:p w14:paraId="50517E7F">
      <w:pPr>
        <w:pStyle w:val="20"/>
        <w:topLinePunct/>
        <w:autoSpaceDE w:val="0"/>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w:t>
      </w:r>
      <w:r>
        <w:rPr>
          <w:rFonts w:hint="eastAsia" w:ascii="Times New Roman" w:hAnsi="Times New Roman" w:eastAsia="仿宋_GB2312"/>
          <w:sz w:val="32"/>
          <w:szCs w:val="32"/>
          <w:lang w:val="en-US" w:eastAsia="zh-CN"/>
        </w:rPr>
        <w:t>3</w:t>
      </w:r>
      <w:r>
        <w:rPr>
          <w:rFonts w:ascii="Times New Roman" w:hAnsi="Times New Roman" w:eastAsia="仿宋_GB2312"/>
          <w:sz w:val="32"/>
          <w:szCs w:val="32"/>
        </w:rPr>
        <w:t>）“劳务人员工资/奖金/五险一金”项目。年初预算安排</w:t>
      </w:r>
      <w:r>
        <w:rPr>
          <w:rFonts w:hint="eastAsia" w:ascii="Times New Roman" w:hAnsi="Times New Roman" w:eastAsia="仿宋_GB2312"/>
          <w:sz w:val="32"/>
          <w:szCs w:val="32"/>
          <w:lang w:val="en-US" w:eastAsia="zh-CN"/>
        </w:rPr>
        <w:t>310.67</w:t>
      </w:r>
      <w:r>
        <w:rPr>
          <w:rFonts w:ascii="Times New Roman" w:hAnsi="Times New Roman" w:eastAsia="仿宋_GB2312"/>
          <w:sz w:val="32"/>
          <w:szCs w:val="32"/>
        </w:rPr>
        <w:t>万元，本年支出</w:t>
      </w:r>
      <w:r>
        <w:rPr>
          <w:rFonts w:hint="eastAsia" w:ascii="Times New Roman" w:hAnsi="Times New Roman" w:eastAsia="仿宋_GB2312"/>
          <w:sz w:val="32"/>
          <w:szCs w:val="32"/>
          <w:lang w:val="en-US" w:eastAsia="zh-CN"/>
        </w:rPr>
        <w:t>310.67</w:t>
      </w:r>
      <w:r>
        <w:rPr>
          <w:rFonts w:ascii="Times New Roman" w:hAnsi="Times New Roman" w:eastAsia="仿宋_GB2312"/>
          <w:sz w:val="32"/>
          <w:szCs w:val="32"/>
        </w:rPr>
        <w:t>万元，执行率</w:t>
      </w:r>
      <w:r>
        <w:rPr>
          <w:rFonts w:hint="eastAsia" w:ascii="Times New Roman" w:hAnsi="Times New Roman" w:eastAsia="仿宋_GB2312"/>
          <w:sz w:val="32"/>
          <w:szCs w:val="32"/>
          <w:lang w:val="en-US" w:eastAsia="zh-CN"/>
        </w:rPr>
        <w:t>100</w:t>
      </w:r>
      <w:r>
        <w:rPr>
          <w:rFonts w:ascii="Times New Roman" w:hAnsi="Times New Roman" w:eastAsia="仿宋_GB2312"/>
          <w:sz w:val="32"/>
          <w:szCs w:val="32"/>
        </w:rPr>
        <w:t>%。</w:t>
      </w:r>
    </w:p>
    <w:p w14:paraId="3B1D54F1">
      <w:pPr>
        <w:pStyle w:val="20"/>
        <w:topLinePunct/>
        <w:autoSpaceDE w:val="0"/>
        <w:spacing w:line="580" w:lineRule="exact"/>
        <w:ind w:firstLine="640" w:firstLineChars="200"/>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lang w:eastAsia="zh-CN"/>
        </w:rPr>
        <w:t>（</w:t>
      </w:r>
      <w:r>
        <w:rPr>
          <w:rFonts w:hint="eastAsia" w:ascii="Times New Roman" w:hAnsi="Times New Roman" w:eastAsia="仿宋_GB2312"/>
          <w:sz w:val="32"/>
          <w:szCs w:val="32"/>
          <w:lang w:val="en-US" w:eastAsia="zh-CN"/>
        </w:rPr>
        <w:t>4）“数据治理”项目。年初预算196.1万元，调整后安排180.4万元，本年支出28.53万元，执行率15.81%。</w:t>
      </w:r>
    </w:p>
    <w:p w14:paraId="1234E52A">
      <w:pPr>
        <w:pStyle w:val="20"/>
        <w:topLinePunct/>
        <w:autoSpaceDE w:val="0"/>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w:t>
      </w:r>
      <w:r>
        <w:rPr>
          <w:rFonts w:hint="eastAsia" w:ascii="Times New Roman" w:hAnsi="Times New Roman" w:eastAsia="仿宋_GB2312"/>
          <w:sz w:val="32"/>
          <w:szCs w:val="32"/>
          <w:lang w:val="en-US" w:eastAsia="zh-CN"/>
        </w:rPr>
        <w:t>5</w:t>
      </w:r>
      <w:r>
        <w:rPr>
          <w:rFonts w:ascii="Times New Roman" w:hAnsi="Times New Roman" w:eastAsia="仿宋_GB2312"/>
          <w:sz w:val="32"/>
          <w:szCs w:val="32"/>
        </w:rPr>
        <w:t>）“人才引进补贴”项目。年初预算安排0万元，调整后安排2.4万元，本年支出2.4万元，执行率100%。</w:t>
      </w:r>
    </w:p>
    <w:p w14:paraId="5FFDF6CC">
      <w:pPr>
        <w:pStyle w:val="20"/>
        <w:topLinePunct/>
        <w:autoSpaceDE w:val="0"/>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w:t>
      </w:r>
      <w:r>
        <w:rPr>
          <w:rFonts w:hint="eastAsia" w:ascii="Times New Roman" w:hAnsi="Times New Roman" w:eastAsia="仿宋_GB2312"/>
          <w:sz w:val="32"/>
          <w:szCs w:val="32"/>
          <w:lang w:val="en-US" w:eastAsia="zh-CN"/>
        </w:rPr>
        <w:t>6</w:t>
      </w:r>
      <w:r>
        <w:rPr>
          <w:rFonts w:ascii="Times New Roman" w:hAnsi="Times New Roman" w:eastAsia="仿宋_GB2312"/>
          <w:sz w:val="32"/>
          <w:szCs w:val="32"/>
        </w:rPr>
        <w:t>）“中心及14个管理部物业管理费”项目。年初预算安排</w:t>
      </w:r>
      <w:r>
        <w:rPr>
          <w:rFonts w:hint="eastAsia" w:ascii="Times New Roman" w:hAnsi="Times New Roman" w:eastAsia="仿宋_GB2312"/>
          <w:sz w:val="32"/>
          <w:szCs w:val="32"/>
          <w:lang w:val="en-US" w:eastAsia="zh-CN"/>
        </w:rPr>
        <w:t>134.69</w:t>
      </w:r>
      <w:r>
        <w:rPr>
          <w:rFonts w:ascii="Times New Roman" w:hAnsi="Times New Roman" w:eastAsia="仿宋_GB2312"/>
          <w:sz w:val="32"/>
          <w:szCs w:val="32"/>
        </w:rPr>
        <w:t>万元，本年支出</w:t>
      </w:r>
      <w:r>
        <w:rPr>
          <w:rFonts w:hint="eastAsia" w:ascii="Times New Roman" w:hAnsi="Times New Roman" w:eastAsia="仿宋_GB2312"/>
          <w:sz w:val="32"/>
          <w:szCs w:val="32"/>
          <w:lang w:val="en-US" w:eastAsia="zh-CN"/>
        </w:rPr>
        <w:t>112.12</w:t>
      </w:r>
      <w:r>
        <w:rPr>
          <w:rFonts w:ascii="Times New Roman" w:hAnsi="Times New Roman" w:eastAsia="仿宋_GB2312"/>
          <w:sz w:val="32"/>
          <w:szCs w:val="32"/>
        </w:rPr>
        <w:t>万元，执行率</w:t>
      </w:r>
      <w:r>
        <w:rPr>
          <w:rFonts w:hint="eastAsia" w:ascii="Times New Roman" w:hAnsi="Times New Roman" w:eastAsia="仿宋_GB2312"/>
          <w:sz w:val="32"/>
          <w:szCs w:val="32"/>
          <w:lang w:val="en-US" w:eastAsia="zh-CN"/>
        </w:rPr>
        <w:t>83.24</w:t>
      </w:r>
      <w:r>
        <w:rPr>
          <w:rFonts w:ascii="Times New Roman" w:hAnsi="Times New Roman" w:eastAsia="仿宋_GB2312"/>
          <w:sz w:val="32"/>
          <w:szCs w:val="32"/>
        </w:rPr>
        <w:t>%。</w:t>
      </w:r>
    </w:p>
    <w:p w14:paraId="7E7FC937">
      <w:pPr>
        <w:pStyle w:val="20"/>
        <w:topLinePunct/>
        <w:autoSpaceDE w:val="0"/>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w:t>
      </w:r>
      <w:r>
        <w:rPr>
          <w:rFonts w:hint="eastAsia" w:ascii="Times New Roman" w:hAnsi="Times New Roman" w:eastAsia="仿宋_GB2312"/>
          <w:sz w:val="32"/>
          <w:szCs w:val="32"/>
          <w:lang w:val="en-US" w:eastAsia="zh-CN"/>
        </w:rPr>
        <w:t>7</w:t>
      </w:r>
      <w:r>
        <w:rPr>
          <w:rFonts w:ascii="Times New Roman" w:hAnsi="Times New Roman" w:eastAsia="仿宋_GB2312"/>
          <w:sz w:val="32"/>
          <w:szCs w:val="32"/>
        </w:rPr>
        <w:t>）“乡村振兴工作经费”项目。年初预算安排30万元，本年支出</w:t>
      </w:r>
      <w:r>
        <w:rPr>
          <w:rFonts w:hint="eastAsia" w:ascii="Times New Roman" w:hAnsi="Times New Roman" w:eastAsia="仿宋_GB2312"/>
          <w:sz w:val="32"/>
          <w:szCs w:val="32"/>
          <w:lang w:val="en-US" w:eastAsia="zh-CN"/>
        </w:rPr>
        <w:t>29.96</w:t>
      </w:r>
      <w:r>
        <w:rPr>
          <w:rFonts w:ascii="Times New Roman" w:hAnsi="Times New Roman" w:eastAsia="仿宋_GB2312"/>
          <w:sz w:val="32"/>
          <w:szCs w:val="32"/>
        </w:rPr>
        <w:t>万元，执行率</w:t>
      </w:r>
      <w:r>
        <w:rPr>
          <w:rFonts w:hint="eastAsia" w:ascii="Times New Roman" w:hAnsi="Times New Roman" w:eastAsia="仿宋_GB2312"/>
          <w:sz w:val="32"/>
          <w:szCs w:val="32"/>
          <w:lang w:val="en-US" w:eastAsia="zh-CN"/>
        </w:rPr>
        <w:t>99.87</w:t>
      </w:r>
      <w:r>
        <w:rPr>
          <w:rFonts w:ascii="Times New Roman" w:hAnsi="Times New Roman" w:eastAsia="仿宋_GB2312"/>
          <w:sz w:val="32"/>
          <w:szCs w:val="32"/>
        </w:rPr>
        <w:t>%。</w:t>
      </w:r>
    </w:p>
    <w:p w14:paraId="4AC88E25">
      <w:pPr>
        <w:pStyle w:val="20"/>
        <w:topLinePunct/>
        <w:autoSpaceDE w:val="0"/>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w:t>
      </w:r>
      <w:r>
        <w:rPr>
          <w:rFonts w:hint="eastAsia" w:ascii="Times New Roman" w:hAnsi="Times New Roman" w:eastAsia="仿宋_GB2312"/>
          <w:sz w:val="32"/>
          <w:szCs w:val="32"/>
          <w:lang w:val="en-US" w:eastAsia="zh-CN"/>
        </w:rPr>
        <w:t>8</w:t>
      </w:r>
      <w:r>
        <w:rPr>
          <w:rFonts w:ascii="Times New Roman" w:hAnsi="Times New Roman" w:eastAsia="仿宋_GB2312"/>
          <w:sz w:val="32"/>
          <w:szCs w:val="32"/>
        </w:rPr>
        <w:t>）“电子化办公服务设备和办公家具购置及维修”项目。年初安排20万元，本年支出</w:t>
      </w:r>
      <w:r>
        <w:rPr>
          <w:rFonts w:hint="eastAsia" w:ascii="Times New Roman" w:hAnsi="Times New Roman" w:eastAsia="仿宋_GB2312"/>
          <w:sz w:val="32"/>
          <w:szCs w:val="32"/>
          <w:lang w:val="en-US" w:eastAsia="zh-CN"/>
        </w:rPr>
        <w:t>19.46</w:t>
      </w:r>
      <w:r>
        <w:rPr>
          <w:rFonts w:ascii="Times New Roman" w:hAnsi="Times New Roman" w:eastAsia="仿宋_GB2312"/>
          <w:sz w:val="32"/>
          <w:szCs w:val="32"/>
        </w:rPr>
        <w:t>万元，执行率</w:t>
      </w:r>
      <w:r>
        <w:rPr>
          <w:rFonts w:hint="eastAsia" w:ascii="Times New Roman" w:hAnsi="Times New Roman" w:eastAsia="仿宋_GB2312"/>
          <w:sz w:val="32"/>
          <w:szCs w:val="32"/>
          <w:lang w:val="en-US" w:eastAsia="zh-CN"/>
        </w:rPr>
        <w:t>97.3</w:t>
      </w:r>
      <w:r>
        <w:rPr>
          <w:rFonts w:ascii="Times New Roman" w:hAnsi="Times New Roman" w:eastAsia="仿宋_GB2312"/>
          <w:sz w:val="32"/>
          <w:szCs w:val="32"/>
        </w:rPr>
        <w:t>%。</w:t>
      </w:r>
    </w:p>
    <w:p w14:paraId="00866A4C">
      <w:pPr>
        <w:pStyle w:val="20"/>
        <w:topLinePunct/>
        <w:autoSpaceDE w:val="0"/>
        <w:spacing w:line="580" w:lineRule="exact"/>
        <w:ind w:firstLine="640" w:firstLineChars="200"/>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lang w:eastAsia="zh-CN"/>
        </w:rPr>
        <w:t>（</w:t>
      </w:r>
      <w:r>
        <w:rPr>
          <w:rFonts w:hint="eastAsia" w:ascii="Times New Roman" w:hAnsi="Times New Roman" w:eastAsia="仿宋_GB2312"/>
          <w:sz w:val="32"/>
          <w:szCs w:val="32"/>
          <w:lang w:val="en-US" w:eastAsia="zh-CN"/>
        </w:rPr>
        <w:t>9）“业务直接成本”项目。年初预算安排25万元，本年支出25万元，执行率100%。</w:t>
      </w:r>
    </w:p>
    <w:p w14:paraId="1AAEB9B1">
      <w:pPr>
        <w:pStyle w:val="20"/>
        <w:topLinePunct/>
        <w:autoSpaceDE w:val="0"/>
        <w:spacing w:line="580" w:lineRule="exact"/>
        <w:ind w:firstLine="640" w:firstLineChars="200"/>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（10）“住房公积金管理中心应急专项”项目。年初预算安排192.5万元，调整后安排86.8万元，本年支出83.52万元，执行率96.22%</w:t>
      </w:r>
    </w:p>
    <w:p w14:paraId="7EFF92B3">
      <w:pPr>
        <w:pStyle w:val="20"/>
        <w:topLinePunct/>
        <w:autoSpaceDE w:val="0"/>
        <w:spacing w:line="580" w:lineRule="exact"/>
        <w:ind w:firstLine="640" w:firstLineChars="200"/>
        <w:rPr>
          <w:rFonts w:hint="default"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（11）“中方办公服务大厅遗留尾款”项目。年初预算安排0万元，调整后安排6.14万元，本年支出2.46万元，执行率40.07%。</w:t>
      </w:r>
    </w:p>
    <w:p w14:paraId="0D84AFA4">
      <w:pPr>
        <w:pStyle w:val="20"/>
        <w:topLinePunct/>
        <w:autoSpaceDE w:val="0"/>
        <w:spacing w:line="580" w:lineRule="exact"/>
        <w:ind w:firstLine="640" w:firstLineChars="200"/>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lang w:eastAsia="zh-CN"/>
        </w:rPr>
        <w:t>（</w:t>
      </w:r>
      <w:r>
        <w:rPr>
          <w:rFonts w:hint="eastAsia" w:ascii="Times New Roman" w:hAnsi="Times New Roman" w:eastAsia="仿宋_GB2312"/>
          <w:sz w:val="32"/>
          <w:szCs w:val="32"/>
          <w:lang w:val="en-US" w:eastAsia="zh-CN"/>
        </w:rPr>
        <w:t>12）“AK替代专项”项目。年初预算安排0万元，调整后安排17.6万元，本年支出17.6万元，执行率100%。</w:t>
      </w:r>
    </w:p>
    <w:p w14:paraId="69F7B907">
      <w:pPr>
        <w:pStyle w:val="20"/>
        <w:topLinePunct/>
        <w:autoSpaceDE w:val="0"/>
        <w:spacing w:line="580" w:lineRule="exact"/>
        <w:ind w:firstLine="640" w:firstLineChars="200"/>
        <w:rPr>
          <w:rFonts w:hint="default"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（13）“工作服制作”项目。年初预算安排7.5万元，调整后安排9万元，本年支出1.5万元，执行率16.67%。</w:t>
      </w:r>
    </w:p>
    <w:p w14:paraId="0CD98935">
      <w:pPr>
        <w:overflowPunct w:val="0"/>
        <w:spacing w:line="600" w:lineRule="exact"/>
        <w:ind w:firstLine="643" w:firstLineChars="200"/>
        <w:rPr>
          <w:rFonts w:ascii="Times New Roman" w:hAnsi="Times New Roman" w:eastAsia="仿宋_GB2312" w:cs="Times New Roman"/>
          <w:bCs/>
          <w:sz w:val="32"/>
          <w:szCs w:val="32"/>
        </w:rPr>
      </w:pPr>
      <w:r>
        <w:rPr>
          <w:rFonts w:ascii="Times New Roman" w:hAnsi="Times New Roman" w:eastAsia="仿宋_GB2312" w:cs="Times New Roman"/>
          <w:b/>
          <w:bCs/>
          <w:kern w:val="0"/>
          <w:sz w:val="32"/>
          <w:szCs w:val="32"/>
        </w:rPr>
        <w:t>三是事前绩效评估结果。</w:t>
      </w:r>
      <w:r>
        <w:rPr>
          <w:rFonts w:ascii="Times New Roman" w:hAnsi="Times New Roman" w:eastAsia="仿宋_GB2312" w:cs="Times New Roman"/>
          <w:kern w:val="0"/>
          <w:sz w:val="32"/>
          <w:szCs w:val="32"/>
        </w:rPr>
        <w:t>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w:t>
      </w:r>
      <w:r>
        <w:rPr>
          <w:rFonts w:hint="eastAsia" w:ascii="Times New Roman" w:hAnsi="Times New Roman" w:eastAsia="仿宋_GB2312" w:cs="Times New Roman"/>
          <w:sz w:val="32"/>
          <w:szCs w:val="32"/>
          <w:lang w:val="en-US" w:eastAsia="zh-CN"/>
        </w:rPr>
        <w:t>中心无事前绩效评估工作。</w:t>
      </w:r>
    </w:p>
    <w:p w14:paraId="2A08188E">
      <w:pPr>
        <w:topLinePunct/>
        <w:autoSpaceDE w:val="0"/>
        <w:spacing w:line="580" w:lineRule="exact"/>
        <w:ind w:firstLine="643" w:firstLineChars="200"/>
        <w:rPr>
          <w:rFonts w:eastAsia="仿宋_GB2312"/>
          <w:sz w:val="32"/>
          <w:szCs w:val="32"/>
        </w:rPr>
      </w:pPr>
      <w:r>
        <w:rPr>
          <w:rFonts w:ascii="Times New Roman" w:hAnsi="Times New Roman" w:eastAsia="楷体_GB2312" w:cs="Times New Roman"/>
          <w:b/>
          <w:bCs/>
          <w:color w:val="auto"/>
          <w:kern w:val="2"/>
          <w:sz w:val="32"/>
          <w:szCs w:val="32"/>
        </w:rPr>
        <w:t>（三）评价结果应用情况。</w:t>
      </w:r>
      <w:r>
        <w:rPr>
          <w:rFonts w:hint="eastAsia" w:eastAsia="仿宋_GB2312"/>
          <w:sz w:val="32"/>
          <w:szCs w:val="32"/>
          <w:lang w:eastAsia="zh-CN"/>
        </w:rPr>
        <w:t>中心</w:t>
      </w:r>
      <w:r>
        <w:rPr>
          <w:rFonts w:eastAsia="仿宋_GB2312"/>
          <w:sz w:val="32"/>
          <w:szCs w:val="32"/>
        </w:rPr>
        <w:t>制订了《怀化市住房公积金管理中心专项资金管理暂行办法》《怀化市住房公积金管理中心预决算管理办法》等相关文件，</w:t>
      </w:r>
      <w:r>
        <w:rPr>
          <w:rFonts w:hint="eastAsia" w:eastAsia="仿宋_GB2312"/>
          <w:sz w:val="32"/>
          <w:szCs w:val="32"/>
          <w:lang w:eastAsia="zh-CN"/>
        </w:rPr>
        <w:t>中心</w:t>
      </w:r>
      <w:r>
        <w:rPr>
          <w:rFonts w:eastAsia="仿宋_GB2312"/>
          <w:sz w:val="32"/>
          <w:szCs w:val="32"/>
        </w:rPr>
        <w:t>的项目资金管理均按照上述办法严格执行，项目资金使用实行先收后支、专款专用的原则。在项目实施过程中，严格执行各项资金管理制度，确保资金使用合法、合规、合理。具体包括：严格按照预算安排使用资金，不得擅自调整项目资金用途和支出范围，确需调整的，按照规定程序报批；加强项目资金的财务核算，规范会计科目设置和账务处理，确保资金收支清晰、准确；定期对项目资金的使用情况进行监督检查，及时发现和纠正资金使用过程中存在的问题，严肃查处违规违纪行为。目前未发现挪用、挤占、虚列支出等违规问题。资金拨付审批流程规范，凭证、票据完整，符合财务管理制度要求。</w:t>
      </w:r>
    </w:p>
    <w:p w14:paraId="40A14B62">
      <w:pPr>
        <w:pStyle w:val="14"/>
        <w:overflowPunct w:val="0"/>
        <w:autoSpaceDE/>
        <w:autoSpaceDN/>
        <w:spacing w:line="600" w:lineRule="exact"/>
        <w:ind w:firstLine="1440" w:firstLineChars="200"/>
        <w:jc w:val="both"/>
        <w:rPr>
          <w:rFonts w:ascii="Times New Roman" w:hAnsi="Times New Roman" w:eastAsia="仿宋_GB2312" w:cs="Times New Roman"/>
          <w:color w:val="auto"/>
          <w:sz w:val="72"/>
          <w:szCs w:val="72"/>
        </w:rPr>
      </w:pPr>
    </w:p>
    <w:p w14:paraId="5D222EEF">
      <w:pPr>
        <w:pStyle w:val="14"/>
        <w:jc w:val="both"/>
        <w:rPr>
          <w:rFonts w:ascii="Times New Roman" w:hAnsi="Times New Roman" w:cs="Times New Roman"/>
          <w:sz w:val="72"/>
          <w:szCs w:val="72"/>
        </w:rPr>
      </w:pPr>
    </w:p>
    <w:p w14:paraId="3A764031">
      <w:pPr>
        <w:pStyle w:val="14"/>
        <w:jc w:val="both"/>
        <w:rPr>
          <w:rFonts w:ascii="Times New Roman" w:hAnsi="Times New Roman" w:cs="Times New Roman"/>
          <w:sz w:val="72"/>
          <w:szCs w:val="72"/>
        </w:rPr>
      </w:pPr>
    </w:p>
    <w:p w14:paraId="4B3770D9">
      <w:pPr>
        <w:pStyle w:val="14"/>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第四部分    名词解释</w:t>
      </w:r>
    </w:p>
    <w:p w14:paraId="02168719">
      <w:pPr>
        <w:widowControl/>
        <w:jc w:val="left"/>
        <w:rPr>
          <w:rFonts w:ascii="Times New Roman" w:hAnsi="Times New Roman" w:cs="Times New Roman"/>
          <w:color w:val="000000"/>
          <w:kern w:val="0"/>
          <w:sz w:val="32"/>
          <w:szCs w:val="32"/>
        </w:rPr>
      </w:pPr>
    </w:p>
    <w:p w14:paraId="1E03BC51">
      <w:pPr>
        <w:pStyle w:val="14"/>
        <w:spacing w:line="600" w:lineRule="exact"/>
        <w:ind w:firstLine="640" w:firstLineChars="200"/>
        <w:rPr>
          <w:rFonts w:hint="eastAsia"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rPr>
        <w:t>一、机关运行经费：为保障行政单位（包括参照公务员法管理的事业单位）运行，用一般公共预算拨款安排用于购买货物和服务的各项资金，包括办公及印刷费、邮电费、差旅费、会议费、福利费、日常维修费、办公用房水电费、办公用房取暖费、办公用房物业管理费、公务用车运行维护费以及其他费用。</w:t>
      </w:r>
    </w:p>
    <w:p w14:paraId="33B991E0">
      <w:pPr>
        <w:pStyle w:val="14"/>
        <w:spacing w:line="600" w:lineRule="exact"/>
        <w:ind w:firstLine="640" w:firstLineChars="200"/>
        <w:rPr>
          <w:rFonts w:ascii="Times New Roman" w:hAnsi="Times New Roman" w:eastAsia="楷体_GB2312" w:cs="Times New Roman"/>
          <w:b/>
          <w:bCs/>
          <w:i/>
          <w:color w:val="auto"/>
          <w:sz w:val="32"/>
          <w:szCs w:val="32"/>
        </w:rPr>
      </w:pPr>
      <w:r>
        <w:rPr>
          <w:rFonts w:hint="eastAsia" w:ascii="Times New Roman" w:hAnsi="Times New Roman" w:eastAsia="仿宋_GB2312" w:cs="Times New Roman"/>
          <w:color w:val="000000"/>
          <w:kern w:val="0"/>
          <w:sz w:val="32"/>
          <w:szCs w:val="32"/>
        </w:rPr>
        <w:t>二、“三公”经费：纳入财政预算管理的“三公“经费，是指用一般公共预算拨款安排的公务接待费、公务用车购置及运行维护费和因公出国（境）费。其中，公务接待费反映单位按规定开支的各类公务接待支出；公务用车购置及运行费反映单位公务用车车辆购置支出（含车辆购置税），以及燃料费、维修费、保险费等支出；因公出国（境）费反映单位公务出国（境）的国际旅费、国外城市间交通费、食宿费等支出。</w:t>
      </w:r>
    </w:p>
    <w:p w14:paraId="7E960B74">
      <w:pPr>
        <w:pStyle w:val="14"/>
        <w:jc w:val="both"/>
        <w:rPr>
          <w:rFonts w:ascii="Times New Roman" w:hAnsi="Times New Roman" w:cs="Times New Roman"/>
          <w:sz w:val="72"/>
          <w:szCs w:val="72"/>
        </w:rPr>
      </w:pPr>
    </w:p>
    <w:p w14:paraId="1EEE797B">
      <w:pPr>
        <w:pStyle w:val="14"/>
        <w:jc w:val="both"/>
        <w:rPr>
          <w:rFonts w:ascii="Times New Roman" w:hAnsi="Times New Roman" w:cs="Times New Roman"/>
          <w:sz w:val="72"/>
          <w:szCs w:val="72"/>
        </w:rPr>
      </w:pPr>
    </w:p>
    <w:p w14:paraId="4A414763">
      <w:pPr>
        <w:pStyle w:val="14"/>
        <w:jc w:val="both"/>
        <w:rPr>
          <w:rFonts w:ascii="Times New Roman" w:hAnsi="Times New Roman" w:cs="Times New Roman"/>
          <w:sz w:val="72"/>
          <w:szCs w:val="72"/>
        </w:rPr>
      </w:pPr>
    </w:p>
    <w:p w14:paraId="2FDFFBE8">
      <w:pPr>
        <w:pStyle w:val="14"/>
        <w:jc w:val="both"/>
        <w:rPr>
          <w:rFonts w:ascii="Times New Roman" w:hAnsi="Times New Roman" w:cs="Times New Roman"/>
          <w:sz w:val="72"/>
          <w:szCs w:val="72"/>
        </w:rPr>
      </w:pPr>
    </w:p>
    <w:p w14:paraId="2DE97B88">
      <w:pPr>
        <w:pStyle w:val="14"/>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第五部分   附 件</w:t>
      </w:r>
    </w:p>
    <w:p w14:paraId="7774707A">
      <w:pPr>
        <w:rPr>
          <w:rFonts w:ascii="Times New Roman" w:hAnsi="Times New Roman" w:cs="Times New Roman"/>
          <w:sz w:val="72"/>
          <w:szCs w:val="72"/>
        </w:rPr>
      </w:pPr>
    </w:p>
    <w:p w14:paraId="0BDB7291">
      <w:pPr>
        <w:keepNext w:val="0"/>
        <w:keepLines w:val="0"/>
        <w:pageBreakBefore w:val="0"/>
        <w:widowControl/>
        <w:shd w:val="clear" w:color="auto" w:fill="FFFFFF"/>
        <w:kinsoku/>
        <w:wordWrap/>
        <w:overflowPunct/>
        <w:topLinePunct w:val="0"/>
        <w:autoSpaceDE/>
        <w:autoSpaceDN/>
        <w:bidi w:val="0"/>
        <w:adjustRightInd/>
        <w:snapToGrid/>
        <w:spacing w:line="640" w:lineRule="exact"/>
        <w:jc w:val="center"/>
        <w:textAlignment w:val="auto"/>
        <w:rPr>
          <w:rFonts w:hint="eastAsia" w:ascii="方正小标宋简体" w:hAnsi="方正小标宋简体" w:eastAsia="方正小标宋简体" w:cs="方正小标宋简体"/>
          <w:b w:val="0"/>
          <w:bCs/>
          <w:spacing w:val="-2"/>
          <w:sz w:val="44"/>
          <w:szCs w:val="44"/>
        </w:rPr>
      </w:pPr>
      <w:r>
        <w:rPr>
          <w:rFonts w:hint="eastAsia" w:ascii="方正小标宋简体" w:hAnsi="方正小标宋简体" w:eastAsia="方正小标宋简体" w:cs="方正小标宋简体"/>
          <w:b w:val="0"/>
          <w:bCs/>
          <w:spacing w:val="-2"/>
          <w:sz w:val="44"/>
          <w:szCs w:val="44"/>
        </w:rPr>
        <w:t>怀化市住房公积金管理中心</w:t>
      </w:r>
    </w:p>
    <w:p w14:paraId="126CE533">
      <w:pPr>
        <w:keepNext w:val="0"/>
        <w:keepLines w:val="0"/>
        <w:pageBreakBefore w:val="0"/>
        <w:widowControl/>
        <w:shd w:val="clear" w:color="auto" w:fill="FFFFFF"/>
        <w:kinsoku/>
        <w:wordWrap/>
        <w:overflowPunct/>
        <w:topLinePunct w:val="0"/>
        <w:autoSpaceDE/>
        <w:autoSpaceDN/>
        <w:bidi w:val="0"/>
        <w:adjustRightInd/>
        <w:snapToGrid/>
        <w:spacing w:line="640" w:lineRule="exact"/>
        <w:jc w:val="center"/>
        <w:textAlignment w:val="auto"/>
        <w:rPr>
          <w:rFonts w:hint="eastAsia" w:ascii="方正小标宋简体" w:hAnsi="方正小标宋简体" w:eastAsia="方正小标宋简体" w:cs="方正小标宋简体"/>
          <w:b w:val="0"/>
          <w:bCs/>
          <w:spacing w:val="-2"/>
          <w:sz w:val="44"/>
          <w:szCs w:val="44"/>
        </w:rPr>
      </w:pPr>
      <w:r>
        <w:rPr>
          <w:rFonts w:hint="eastAsia" w:ascii="方正小标宋简体" w:hAnsi="方正小标宋简体" w:eastAsia="方正小标宋简体" w:cs="方正小标宋简体"/>
          <w:b w:val="0"/>
          <w:bCs/>
          <w:spacing w:val="-2"/>
          <w:sz w:val="44"/>
          <w:szCs w:val="44"/>
        </w:rPr>
        <w:t>202</w:t>
      </w:r>
      <w:r>
        <w:rPr>
          <w:rFonts w:hint="eastAsia" w:ascii="方正小标宋简体" w:hAnsi="方正小标宋简体" w:eastAsia="方正小标宋简体" w:cs="方正小标宋简体"/>
          <w:b w:val="0"/>
          <w:bCs/>
          <w:spacing w:val="-2"/>
          <w:sz w:val="44"/>
          <w:szCs w:val="44"/>
          <w:lang w:val="en-US" w:eastAsia="zh-CN"/>
        </w:rPr>
        <w:t>5</w:t>
      </w:r>
      <w:r>
        <w:rPr>
          <w:rFonts w:hint="eastAsia" w:ascii="方正小标宋简体" w:hAnsi="方正小标宋简体" w:eastAsia="方正小标宋简体" w:cs="方正小标宋简体"/>
          <w:b w:val="0"/>
          <w:bCs/>
          <w:spacing w:val="-2"/>
          <w:sz w:val="44"/>
          <w:szCs w:val="44"/>
        </w:rPr>
        <w:t>年度部门整体支出绩效</w:t>
      </w:r>
      <w:r>
        <w:rPr>
          <w:rFonts w:hint="eastAsia" w:ascii="方正小标宋简体" w:hAnsi="方正小标宋简体" w:eastAsia="方正小标宋简体" w:cs="方正小标宋简体"/>
          <w:b w:val="0"/>
          <w:bCs/>
          <w:spacing w:val="-2"/>
          <w:sz w:val="44"/>
          <w:szCs w:val="44"/>
          <w:lang w:val="en-US" w:eastAsia="zh-CN"/>
        </w:rPr>
        <w:t>自评</w:t>
      </w:r>
      <w:r>
        <w:rPr>
          <w:rFonts w:hint="eastAsia" w:ascii="方正小标宋简体" w:hAnsi="方正小标宋简体" w:eastAsia="方正小标宋简体" w:cs="方正小标宋简体"/>
          <w:b w:val="0"/>
          <w:bCs/>
          <w:spacing w:val="-2"/>
          <w:sz w:val="44"/>
          <w:szCs w:val="44"/>
        </w:rPr>
        <w:t>报告</w:t>
      </w:r>
    </w:p>
    <w:p w14:paraId="4E21EB8A">
      <w:pPr>
        <w:widowControl/>
        <w:shd w:val="clear" w:color="auto" w:fill="FFFFFF"/>
        <w:spacing w:line="360" w:lineRule="auto"/>
        <w:rPr>
          <w:rFonts w:eastAsia="仿宋_GB2312"/>
          <w:b/>
          <w:spacing w:val="-2"/>
          <w:sz w:val="32"/>
          <w:szCs w:val="44"/>
        </w:rPr>
      </w:pPr>
    </w:p>
    <w:p w14:paraId="4A7EA689">
      <w:pPr>
        <w:keepNext w:val="0"/>
        <w:keepLines w:val="0"/>
        <w:pageBreakBefore w:val="0"/>
        <w:widowControl w:val="0"/>
        <w:shd w:val="clear" w:color="auto" w:fill="FFFFFF"/>
        <w:kinsoku/>
        <w:wordWrap/>
        <w:overflowPunct/>
        <w:topLinePunct/>
        <w:autoSpaceDE w:val="0"/>
        <w:autoSpaceDN/>
        <w:bidi w:val="0"/>
        <w:adjustRightInd/>
        <w:spacing w:line="600" w:lineRule="exact"/>
        <w:ind w:left="0" w:firstLine="632" w:firstLineChars="200"/>
        <w:jc w:val="both"/>
        <w:textAlignment w:val="auto"/>
        <w:rPr>
          <w:rFonts w:hint="default" w:ascii="Times New Roman" w:hAnsi="Times New Roman" w:eastAsia="仿宋_GB2312" w:cs="Times New Roman"/>
          <w:spacing w:val="-2"/>
          <w:sz w:val="32"/>
          <w:szCs w:val="32"/>
        </w:rPr>
      </w:pPr>
      <w:r>
        <w:rPr>
          <w:rFonts w:hint="default" w:ascii="Times New Roman" w:hAnsi="Times New Roman" w:eastAsia="仿宋_GB2312" w:cs="Times New Roman"/>
          <w:spacing w:val="-2"/>
          <w:sz w:val="32"/>
          <w:szCs w:val="32"/>
        </w:rPr>
        <w:t>为进一步规范财政资金管理，强化绩效和责任意识，提高财政资金使用效益，根据《怀化市财政局关于开展202</w:t>
      </w:r>
      <w:r>
        <w:rPr>
          <w:rFonts w:hint="eastAsia" w:eastAsia="仿宋_GB2312" w:cs="Times New Roman"/>
          <w:spacing w:val="-2"/>
          <w:sz w:val="32"/>
          <w:szCs w:val="32"/>
          <w:lang w:val="en-US" w:eastAsia="zh-CN"/>
        </w:rPr>
        <w:t>5</w:t>
      </w:r>
      <w:r>
        <w:rPr>
          <w:rFonts w:hint="default" w:ascii="Times New Roman" w:hAnsi="Times New Roman" w:eastAsia="仿宋_GB2312" w:cs="Times New Roman"/>
          <w:spacing w:val="-2"/>
          <w:sz w:val="32"/>
          <w:szCs w:val="32"/>
        </w:rPr>
        <w:t>年度市级预算部门绩效自评和部门评价的通知》（怀财绩</w:t>
      </w:r>
      <w:r>
        <w:rPr>
          <w:rFonts w:hint="eastAsia" w:eastAsia="仿宋_GB2312" w:cs="Times New Roman"/>
          <w:spacing w:val="-2"/>
          <w:sz w:val="32"/>
          <w:szCs w:val="32"/>
          <w:lang w:eastAsia="zh-CN"/>
        </w:rPr>
        <w:t>〔202</w:t>
      </w:r>
      <w:r>
        <w:rPr>
          <w:rFonts w:hint="eastAsia" w:eastAsia="仿宋_GB2312" w:cs="Times New Roman"/>
          <w:spacing w:val="-2"/>
          <w:sz w:val="32"/>
          <w:szCs w:val="32"/>
          <w:lang w:val="en-US" w:eastAsia="zh-CN"/>
        </w:rPr>
        <w:t>6</w:t>
      </w:r>
      <w:r>
        <w:rPr>
          <w:rFonts w:hint="eastAsia" w:eastAsia="仿宋_GB2312" w:cs="Times New Roman"/>
          <w:spacing w:val="-2"/>
          <w:sz w:val="32"/>
          <w:szCs w:val="32"/>
          <w:lang w:eastAsia="zh-CN"/>
        </w:rPr>
        <w:t>〕3</w:t>
      </w:r>
      <w:r>
        <w:rPr>
          <w:rFonts w:hint="eastAsia" w:eastAsia="仿宋_GB2312" w:cs="Times New Roman"/>
          <w:spacing w:val="-2"/>
          <w:sz w:val="32"/>
          <w:szCs w:val="32"/>
          <w:lang w:val="en-US" w:eastAsia="zh-CN"/>
        </w:rPr>
        <w:t>6</w:t>
      </w:r>
      <w:r>
        <w:rPr>
          <w:rFonts w:hint="eastAsia" w:eastAsia="仿宋_GB2312" w:cs="Times New Roman"/>
          <w:spacing w:val="-2"/>
          <w:sz w:val="32"/>
          <w:szCs w:val="32"/>
          <w:lang w:eastAsia="zh-CN"/>
        </w:rPr>
        <w:t>号</w:t>
      </w:r>
      <w:r>
        <w:rPr>
          <w:rFonts w:hint="default" w:ascii="Times New Roman" w:hAnsi="Times New Roman" w:eastAsia="仿宋_GB2312" w:cs="Times New Roman"/>
          <w:spacing w:val="-2"/>
          <w:sz w:val="32"/>
          <w:szCs w:val="32"/>
        </w:rPr>
        <w:t>）要求，</w:t>
      </w:r>
      <w:r>
        <w:rPr>
          <w:rFonts w:hint="default" w:ascii="Times New Roman" w:hAnsi="Times New Roman" w:eastAsia="仿宋_GB2312" w:cs="Times New Roman"/>
          <w:sz w:val="32"/>
          <w:szCs w:val="32"/>
        </w:rPr>
        <w:t>怀化市住房公积金管理中心</w:t>
      </w:r>
      <w:r>
        <w:rPr>
          <w:rFonts w:hint="eastAsia" w:eastAsia="仿宋_GB2312" w:cs="Times New Roman"/>
          <w:sz w:val="32"/>
          <w:szCs w:val="32"/>
          <w:lang w:eastAsia="zh-CN"/>
        </w:rPr>
        <w:t>（以下简称“中心”）</w:t>
      </w:r>
      <w:r>
        <w:rPr>
          <w:rFonts w:hint="eastAsia" w:eastAsia="仿宋_GB2312" w:cs="Times New Roman"/>
          <w:spacing w:val="-2"/>
          <w:sz w:val="32"/>
          <w:szCs w:val="32"/>
          <w:lang w:eastAsia="zh-CN"/>
        </w:rPr>
        <w:t>认真</w:t>
      </w:r>
      <w:r>
        <w:rPr>
          <w:rFonts w:hint="default" w:ascii="Times New Roman" w:hAnsi="Times New Roman" w:eastAsia="仿宋_GB2312" w:cs="Times New Roman"/>
          <w:spacing w:val="-2"/>
          <w:sz w:val="32"/>
          <w:szCs w:val="32"/>
        </w:rPr>
        <w:t>开展</w:t>
      </w:r>
      <w:r>
        <w:rPr>
          <w:rFonts w:hint="eastAsia" w:eastAsia="仿宋_GB2312" w:cs="Times New Roman"/>
          <w:spacing w:val="-2"/>
          <w:sz w:val="32"/>
          <w:szCs w:val="32"/>
          <w:lang w:eastAsia="zh-CN"/>
        </w:rPr>
        <w:t>了</w:t>
      </w:r>
      <w:r>
        <w:rPr>
          <w:rFonts w:hint="default" w:ascii="Times New Roman" w:hAnsi="Times New Roman" w:eastAsia="仿宋_GB2312" w:cs="Times New Roman"/>
          <w:spacing w:val="-2"/>
          <w:sz w:val="32"/>
          <w:szCs w:val="32"/>
        </w:rPr>
        <w:t>202</w:t>
      </w:r>
      <w:r>
        <w:rPr>
          <w:rFonts w:hint="eastAsia" w:eastAsia="仿宋_GB2312" w:cs="Times New Roman"/>
          <w:spacing w:val="-2"/>
          <w:sz w:val="32"/>
          <w:szCs w:val="32"/>
          <w:lang w:val="en-US" w:eastAsia="zh-CN"/>
        </w:rPr>
        <w:t>5</w:t>
      </w:r>
      <w:r>
        <w:rPr>
          <w:rFonts w:hint="default" w:ascii="Times New Roman" w:hAnsi="Times New Roman" w:eastAsia="仿宋_GB2312" w:cs="Times New Roman"/>
          <w:spacing w:val="-2"/>
          <w:sz w:val="32"/>
          <w:szCs w:val="32"/>
        </w:rPr>
        <w:t>年度整体支出绩效自评工作，现将自评情况报告如下：</w:t>
      </w:r>
    </w:p>
    <w:p w14:paraId="1CC91068">
      <w:pPr>
        <w:keepNext w:val="0"/>
        <w:keepLines w:val="0"/>
        <w:pageBreakBefore w:val="0"/>
        <w:widowControl w:val="0"/>
        <w:shd w:val="clear" w:color="auto" w:fill="FFFFFF"/>
        <w:kinsoku/>
        <w:wordWrap/>
        <w:overflowPunct/>
        <w:topLinePunct/>
        <w:autoSpaceDE w:val="0"/>
        <w:autoSpaceDN/>
        <w:bidi w:val="0"/>
        <w:adjustRightInd/>
        <w:spacing w:line="600" w:lineRule="exact"/>
        <w:ind w:left="0" w:firstLine="632" w:firstLineChars="200"/>
        <w:jc w:val="both"/>
        <w:textAlignment w:val="auto"/>
        <w:rPr>
          <w:rFonts w:hint="default" w:ascii="Times New Roman" w:hAnsi="Times New Roman" w:eastAsia="黑体" w:cs="Times New Roman"/>
          <w:b w:val="0"/>
          <w:bCs/>
          <w:spacing w:val="-2"/>
          <w:sz w:val="32"/>
          <w:szCs w:val="32"/>
        </w:rPr>
      </w:pPr>
      <w:r>
        <w:rPr>
          <w:rFonts w:hint="default" w:ascii="Times New Roman" w:hAnsi="Times New Roman" w:eastAsia="黑体" w:cs="Times New Roman"/>
          <w:b w:val="0"/>
          <w:bCs/>
          <w:spacing w:val="-2"/>
          <w:sz w:val="32"/>
          <w:szCs w:val="32"/>
        </w:rPr>
        <w:t>一、部门概况</w:t>
      </w:r>
    </w:p>
    <w:p w14:paraId="62121F60">
      <w:pPr>
        <w:keepNext w:val="0"/>
        <w:keepLines w:val="0"/>
        <w:pageBreakBefore w:val="0"/>
        <w:widowControl w:val="0"/>
        <w:shd w:val="clear" w:color="auto" w:fill="FFFFFF"/>
        <w:kinsoku/>
        <w:wordWrap/>
        <w:overflowPunct/>
        <w:topLinePunct/>
        <w:autoSpaceDE w:val="0"/>
        <w:autoSpaceDN/>
        <w:bidi w:val="0"/>
        <w:adjustRightInd/>
        <w:spacing w:line="600" w:lineRule="exact"/>
        <w:ind w:left="0" w:firstLine="632" w:firstLineChars="200"/>
        <w:jc w:val="both"/>
        <w:textAlignment w:val="auto"/>
        <w:rPr>
          <w:rFonts w:hint="default" w:ascii="Times New Roman" w:hAnsi="Times New Roman" w:eastAsia="楷体_GB2312" w:cs="Times New Roman"/>
          <w:b w:val="0"/>
          <w:bCs/>
          <w:color w:val="000000"/>
          <w:sz w:val="32"/>
          <w:szCs w:val="32"/>
        </w:rPr>
      </w:pPr>
      <w:r>
        <w:rPr>
          <w:rFonts w:hint="default" w:ascii="Times New Roman" w:hAnsi="Times New Roman" w:eastAsia="楷体_GB2312" w:cs="Times New Roman"/>
          <w:b w:val="0"/>
          <w:bCs/>
          <w:spacing w:val="-2"/>
          <w:sz w:val="32"/>
          <w:szCs w:val="32"/>
        </w:rPr>
        <w:t>（一）</w:t>
      </w:r>
      <w:r>
        <w:rPr>
          <w:rFonts w:hint="eastAsia" w:ascii="Times New Roman" w:hAnsi="Times New Roman" w:eastAsia="楷体_GB2312" w:cs="Times New Roman"/>
          <w:b w:val="0"/>
          <w:bCs/>
          <w:spacing w:val="-2"/>
          <w:sz w:val="32"/>
          <w:szCs w:val="32"/>
          <w:lang w:eastAsia="zh-CN"/>
        </w:rPr>
        <w:t>中心</w:t>
      </w:r>
      <w:r>
        <w:rPr>
          <w:rFonts w:hint="default" w:ascii="Times New Roman" w:hAnsi="Times New Roman" w:eastAsia="楷体_GB2312" w:cs="Times New Roman"/>
          <w:b w:val="0"/>
          <w:bCs/>
          <w:spacing w:val="-2"/>
          <w:sz w:val="32"/>
          <w:szCs w:val="32"/>
        </w:rPr>
        <w:t>基本情况</w:t>
      </w:r>
    </w:p>
    <w:p w14:paraId="29C0E8EC">
      <w:pPr>
        <w:pStyle w:val="9"/>
        <w:keepNext w:val="0"/>
        <w:keepLines w:val="0"/>
        <w:pageBreakBefore w:val="0"/>
        <w:widowControl w:val="0"/>
        <w:shd w:val="clear" w:color="auto" w:fill="FFFFFF"/>
        <w:kinsoku/>
        <w:wordWrap/>
        <w:overflowPunct/>
        <w:topLinePunct/>
        <w:autoSpaceDE w:val="0"/>
        <w:autoSpaceDN/>
        <w:bidi w:val="0"/>
        <w:adjustRightInd/>
        <w:snapToGrid w:val="0"/>
        <w:spacing w:before="0" w:beforeAutospacing="0" w:after="0" w:afterAutospacing="0" w:line="600" w:lineRule="exact"/>
        <w:ind w:left="0" w:firstLine="643" w:firstLineChars="200"/>
        <w:jc w:val="both"/>
        <w:textAlignment w:val="auto"/>
        <w:rPr>
          <w:rFonts w:hint="default" w:ascii="Times New Roman" w:hAnsi="Times New Roman" w:eastAsia="仿宋_GB2312" w:cs="Times New Roman"/>
          <w:b/>
          <w:color w:val="000000"/>
          <w:sz w:val="32"/>
          <w:szCs w:val="32"/>
          <w:shd w:val="clear" w:color="auto" w:fill="FFFFFF"/>
        </w:rPr>
      </w:pPr>
      <w:r>
        <w:rPr>
          <w:rFonts w:hint="default" w:ascii="Times New Roman" w:hAnsi="Times New Roman" w:eastAsia="仿宋_GB2312" w:cs="Times New Roman"/>
          <w:b/>
          <w:color w:val="000000"/>
          <w:sz w:val="32"/>
          <w:szCs w:val="32"/>
          <w:shd w:val="clear" w:color="auto" w:fill="FFFFFF"/>
          <w:lang w:val="en-US" w:eastAsia="zh-CN"/>
        </w:rPr>
        <w:t>1.</w:t>
      </w:r>
      <w:r>
        <w:rPr>
          <w:rFonts w:hint="default" w:ascii="Times New Roman" w:hAnsi="Times New Roman" w:eastAsia="仿宋_GB2312" w:cs="Times New Roman"/>
          <w:b/>
          <w:color w:val="000000"/>
          <w:sz w:val="32"/>
          <w:szCs w:val="32"/>
          <w:shd w:val="clear" w:color="auto" w:fill="FFFFFF"/>
        </w:rPr>
        <w:t>机构设置情况</w:t>
      </w:r>
    </w:p>
    <w:p w14:paraId="5428FC3A">
      <w:pPr>
        <w:keepNext w:val="0"/>
        <w:keepLines w:val="0"/>
        <w:pageBreakBefore w:val="0"/>
        <w:widowControl w:val="0"/>
        <w:kinsoku/>
        <w:wordWrap/>
        <w:overflowPunct/>
        <w:topLinePunct/>
        <w:autoSpaceDE w:val="0"/>
        <w:autoSpaceDN/>
        <w:bidi w:val="0"/>
        <w:adjustRightInd/>
        <w:spacing w:line="600" w:lineRule="exact"/>
        <w:ind w:left="0"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中心作为一级部门预算</w:t>
      </w:r>
      <w:bookmarkStart w:id="3" w:name="_GoBack"/>
      <w:bookmarkEnd w:id="3"/>
      <w:r>
        <w:rPr>
          <w:rFonts w:hint="default" w:ascii="Times New Roman" w:hAnsi="Times New Roman" w:eastAsia="仿宋_GB2312" w:cs="Times New Roman"/>
          <w:sz w:val="32"/>
          <w:szCs w:val="32"/>
        </w:rPr>
        <w:t>单位，内设科室8个：综合部、人事部、财务部、稽核部、资金核算部、科技信息部、政策法规部、网办政务服务部；下设不具备独立法人资格的正科级分支机构15个：市直管理一部、市直管理二部、沅陵县管理部、辰溪县管理部、溆浦县管理部、麻阳苗族自治县管理部、新晃侗族自治县管理部、芷江侗族自治县管理部、鹤城区管理部、中方县管理部、洪江市管理部、洪江区管理部、会同县管理部、靖州苗族侗族自治县管理部、通道侗族自治县管理部。</w:t>
      </w:r>
    </w:p>
    <w:p w14:paraId="0C54FC04">
      <w:pPr>
        <w:pStyle w:val="9"/>
        <w:keepNext w:val="0"/>
        <w:keepLines w:val="0"/>
        <w:pageBreakBefore w:val="0"/>
        <w:widowControl w:val="0"/>
        <w:shd w:val="clear" w:color="auto" w:fill="FFFFFF"/>
        <w:kinsoku/>
        <w:wordWrap/>
        <w:overflowPunct/>
        <w:topLinePunct/>
        <w:autoSpaceDE w:val="0"/>
        <w:autoSpaceDN/>
        <w:bidi w:val="0"/>
        <w:adjustRightInd/>
        <w:snapToGrid w:val="0"/>
        <w:spacing w:before="0" w:beforeAutospacing="0" w:after="0" w:afterAutospacing="0" w:line="600" w:lineRule="exact"/>
        <w:ind w:left="0" w:firstLine="643" w:firstLineChars="200"/>
        <w:jc w:val="both"/>
        <w:textAlignment w:val="auto"/>
        <w:rPr>
          <w:rFonts w:hint="default" w:ascii="Times New Roman" w:hAnsi="Times New Roman" w:eastAsia="仿宋_GB2312" w:cs="Times New Roman"/>
          <w:b/>
          <w:color w:val="000000"/>
          <w:sz w:val="32"/>
          <w:szCs w:val="32"/>
          <w:shd w:val="clear" w:color="auto" w:fill="FFFFFF"/>
        </w:rPr>
      </w:pPr>
      <w:r>
        <w:rPr>
          <w:rFonts w:hint="default" w:ascii="Times New Roman" w:hAnsi="Times New Roman" w:eastAsia="仿宋_GB2312" w:cs="Times New Roman"/>
          <w:b/>
          <w:color w:val="000000"/>
          <w:sz w:val="32"/>
          <w:szCs w:val="32"/>
          <w:shd w:val="clear" w:color="auto" w:fill="FFFFFF"/>
          <w:lang w:val="en-US" w:eastAsia="zh-CN"/>
        </w:rPr>
        <w:t>2.</w:t>
      </w:r>
      <w:r>
        <w:rPr>
          <w:rFonts w:hint="default" w:ascii="Times New Roman" w:hAnsi="Times New Roman" w:eastAsia="仿宋_GB2312" w:cs="Times New Roman"/>
          <w:b/>
          <w:color w:val="000000"/>
          <w:sz w:val="32"/>
          <w:szCs w:val="32"/>
          <w:shd w:val="clear" w:color="auto" w:fill="FFFFFF"/>
        </w:rPr>
        <w:t>主要职能职责</w:t>
      </w:r>
    </w:p>
    <w:p w14:paraId="4C006A8F">
      <w:pPr>
        <w:keepNext w:val="0"/>
        <w:keepLines w:val="0"/>
        <w:pageBreakBefore w:val="0"/>
        <w:widowControl w:val="0"/>
        <w:kinsoku/>
        <w:wordWrap/>
        <w:overflowPunct/>
        <w:topLinePunct/>
        <w:autoSpaceDE w:val="0"/>
        <w:autoSpaceDN/>
        <w:bidi w:val="0"/>
        <w:adjustRightInd/>
        <w:spacing w:line="600" w:lineRule="exact"/>
        <w:ind w:left="0" w:firstLine="640" w:firstLineChars="200"/>
        <w:jc w:val="both"/>
        <w:textAlignment w:val="auto"/>
        <w:rPr>
          <w:rFonts w:hint="default" w:ascii="Times New Roman" w:hAnsi="Times New Roman" w:eastAsia="仿宋_GB2312" w:cs="Times New Roman"/>
          <w:b/>
          <w:bCs/>
          <w:sz w:val="32"/>
          <w:szCs w:val="32"/>
        </w:rPr>
      </w:pPr>
      <w:r>
        <w:rPr>
          <w:rFonts w:hint="eastAsia" w:eastAsia="仿宋_GB2312" w:cs="Times New Roman"/>
          <w:bCs/>
          <w:sz w:val="32"/>
          <w:szCs w:val="32"/>
          <w:lang w:eastAsia="zh-CN"/>
        </w:rPr>
        <w:t>中心</w:t>
      </w:r>
      <w:r>
        <w:rPr>
          <w:rFonts w:hint="default" w:ascii="Times New Roman" w:hAnsi="Times New Roman" w:eastAsia="仿宋_GB2312" w:cs="Times New Roman"/>
          <w:bCs/>
          <w:sz w:val="32"/>
          <w:szCs w:val="32"/>
        </w:rPr>
        <w:t>为市人民政府直属公益一类事业单位，机构规格相当于正处级。</w:t>
      </w:r>
      <w:r>
        <w:rPr>
          <w:rFonts w:hint="eastAsia" w:eastAsia="仿宋_GB2312" w:cs="Times New Roman"/>
          <w:bCs/>
          <w:sz w:val="32"/>
          <w:szCs w:val="32"/>
          <w:lang w:eastAsia="zh-CN"/>
        </w:rPr>
        <w:t>中心</w:t>
      </w:r>
      <w:r>
        <w:rPr>
          <w:rFonts w:hint="default" w:ascii="Times New Roman" w:hAnsi="Times New Roman" w:eastAsia="仿宋_GB2312" w:cs="Times New Roman"/>
          <w:bCs/>
          <w:sz w:val="32"/>
          <w:szCs w:val="32"/>
        </w:rPr>
        <w:t>贯彻落实党中央和省委关于住房公积金管理工作的方针政策和决策部署，全面落实市委市政府关于住房公积金管理工作的部署要求，在履行职责过程中坚</w:t>
      </w:r>
      <w:r>
        <w:rPr>
          <w:rFonts w:hint="default" w:ascii="Times New Roman" w:hAnsi="Times New Roman" w:eastAsia="仿宋_GB2312" w:cs="Times New Roman"/>
          <w:bCs/>
          <w:spacing w:val="-6"/>
          <w:sz w:val="32"/>
          <w:szCs w:val="32"/>
        </w:rPr>
        <w:t>持和加强党对住房公积金管理工作的集中统一领导。主要职责是：</w:t>
      </w:r>
    </w:p>
    <w:p w14:paraId="13871B46">
      <w:pPr>
        <w:keepNext w:val="0"/>
        <w:keepLines w:val="0"/>
        <w:pageBreakBefore w:val="0"/>
        <w:widowControl w:val="0"/>
        <w:kinsoku/>
        <w:wordWrap/>
        <w:overflowPunct/>
        <w:topLinePunct/>
        <w:autoSpaceDE w:val="0"/>
        <w:autoSpaceDN/>
        <w:bidi w:val="0"/>
        <w:adjustRightInd/>
        <w:spacing w:line="600" w:lineRule="exact"/>
        <w:ind w:left="0" w:firstLine="640" w:firstLineChars="200"/>
        <w:jc w:val="both"/>
        <w:textAlignment w:val="auto"/>
        <w:rPr>
          <w:rFonts w:hint="default" w:ascii="Times New Roman" w:hAnsi="Times New Roman" w:eastAsia="仿宋_GB2312" w:cs="Times New Roman"/>
          <w:bCs/>
          <w:sz w:val="32"/>
          <w:szCs w:val="32"/>
        </w:rPr>
      </w:pP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1</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bCs/>
          <w:sz w:val="32"/>
          <w:szCs w:val="32"/>
        </w:rPr>
        <w:t>贯彻执行国家、省、市关于住房公积金管理的法律法规、政策规定；拟订全市住房公积金事业发展规划；负责住房公积金制度的宣传、建立和推广；负责全市住房公积金的管理运作。</w:t>
      </w:r>
    </w:p>
    <w:p w14:paraId="49FC4CDA">
      <w:pPr>
        <w:keepNext w:val="0"/>
        <w:keepLines w:val="0"/>
        <w:pageBreakBefore w:val="0"/>
        <w:widowControl w:val="0"/>
        <w:kinsoku/>
        <w:wordWrap/>
        <w:overflowPunct/>
        <w:topLinePunct/>
        <w:autoSpaceDE w:val="0"/>
        <w:autoSpaceDN/>
        <w:bidi w:val="0"/>
        <w:adjustRightInd/>
        <w:spacing w:line="600" w:lineRule="exact"/>
        <w:ind w:left="0" w:firstLine="640" w:firstLineChars="200"/>
        <w:jc w:val="both"/>
        <w:textAlignment w:val="auto"/>
        <w:rPr>
          <w:rFonts w:hint="default" w:ascii="Times New Roman" w:hAnsi="Times New Roman" w:eastAsia="仿宋_GB2312" w:cs="Times New Roman"/>
          <w:bCs/>
          <w:sz w:val="32"/>
          <w:szCs w:val="32"/>
        </w:rPr>
      </w:pPr>
      <w:r>
        <w:rPr>
          <w:rFonts w:hint="default" w:ascii="Times New Roman" w:hAnsi="Times New Roman" w:eastAsia="仿宋_GB2312" w:cs="Times New Roman"/>
          <w:bCs/>
          <w:sz w:val="32"/>
          <w:szCs w:val="32"/>
          <w:lang w:eastAsia="zh-CN"/>
        </w:rPr>
        <w:t>（</w:t>
      </w:r>
      <w:r>
        <w:rPr>
          <w:rFonts w:hint="default" w:ascii="Times New Roman" w:hAnsi="Times New Roman" w:eastAsia="仿宋_GB2312" w:cs="Times New Roman"/>
          <w:bCs/>
          <w:sz w:val="32"/>
          <w:szCs w:val="32"/>
          <w:lang w:val="en-US" w:eastAsia="zh-CN"/>
        </w:rPr>
        <w:t>2</w:t>
      </w:r>
      <w:r>
        <w:rPr>
          <w:rFonts w:hint="default" w:ascii="Times New Roman" w:hAnsi="Times New Roman" w:eastAsia="仿宋_GB2312" w:cs="Times New Roman"/>
          <w:bCs/>
          <w:sz w:val="32"/>
          <w:szCs w:val="32"/>
          <w:lang w:eastAsia="zh-CN"/>
        </w:rPr>
        <w:t>）</w:t>
      </w:r>
      <w:r>
        <w:rPr>
          <w:rFonts w:hint="default" w:ascii="Times New Roman" w:hAnsi="Times New Roman" w:eastAsia="仿宋_GB2312" w:cs="Times New Roman"/>
          <w:bCs/>
          <w:sz w:val="32"/>
          <w:szCs w:val="32"/>
        </w:rPr>
        <w:t>拟订全市住房公积金业务操作规程、实施细则并组织实施；对住房公积金管理的法规政策、规章制度执行情况进行监督，对违规行为进行处理。</w:t>
      </w:r>
    </w:p>
    <w:p w14:paraId="0086AFE2">
      <w:pPr>
        <w:keepNext w:val="0"/>
        <w:keepLines w:val="0"/>
        <w:pageBreakBefore w:val="0"/>
        <w:widowControl w:val="0"/>
        <w:kinsoku/>
        <w:wordWrap/>
        <w:overflowPunct/>
        <w:topLinePunct/>
        <w:autoSpaceDE w:val="0"/>
        <w:autoSpaceDN/>
        <w:bidi w:val="0"/>
        <w:adjustRightInd/>
        <w:spacing w:line="600" w:lineRule="exact"/>
        <w:ind w:left="0" w:firstLine="640" w:firstLineChars="200"/>
        <w:jc w:val="both"/>
        <w:textAlignment w:val="auto"/>
        <w:rPr>
          <w:rFonts w:hint="default" w:ascii="Times New Roman" w:hAnsi="Times New Roman" w:eastAsia="仿宋_GB2312" w:cs="Times New Roman"/>
          <w:bCs/>
          <w:sz w:val="32"/>
          <w:szCs w:val="32"/>
        </w:rPr>
      </w:pP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3</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bCs/>
          <w:sz w:val="32"/>
          <w:szCs w:val="32"/>
        </w:rPr>
        <w:t xml:space="preserve">编制、执行全市住房公积金年度归集、使用计划；编制全市住房公积金年度归集、使用计划执行情况报告和增值收益分配方案，经市财政部门审核，报管委会审议后执行。  </w:t>
      </w:r>
    </w:p>
    <w:p w14:paraId="51D38ED8">
      <w:pPr>
        <w:keepNext w:val="0"/>
        <w:keepLines w:val="0"/>
        <w:pageBreakBefore w:val="0"/>
        <w:widowControl w:val="0"/>
        <w:kinsoku/>
        <w:wordWrap/>
        <w:overflowPunct/>
        <w:topLinePunct/>
        <w:autoSpaceDE w:val="0"/>
        <w:autoSpaceDN/>
        <w:bidi w:val="0"/>
        <w:adjustRightInd/>
        <w:spacing w:line="600" w:lineRule="exact"/>
        <w:ind w:left="0" w:firstLine="640" w:firstLineChars="200"/>
        <w:jc w:val="both"/>
        <w:textAlignment w:val="auto"/>
        <w:rPr>
          <w:rFonts w:hint="default" w:ascii="Times New Roman" w:hAnsi="Times New Roman" w:eastAsia="仿宋_GB2312" w:cs="Times New Roman"/>
          <w:bCs/>
          <w:sz w:val="32"/>
          <w:szCs w:val="32"/>
        </w:rPr>
      </w:pPr>
      <w:r>
        <w:rPr>
          <w:rFonts w:hint="default" w:ascii="Times New Roman" w:hAnsi="Times New Roman" w:eastAsia="仿宋_GB2312" w:cs="Times New Roman"/>
          <w:bCs/>
          <w:sz w:val="32"/>
          <w:szCs w:val="32"/>
          <w:lang w:eastAsia="zh-CN"/>
        </w:rPr>
        <w:t>（</w:t>
      </w:r>
      <w:r>
        <w:rPr>
          <w:rFonts w:hint="default" w:ascii="Times New Roman" w:hAnsi="Times New Roman" w:eastAsia="仿宋_GB2312" w:cs="Times New Roman"/>
          <w:bCs/>
          <w:sz w:val="32"/>
          <w:szCs w:val="32"/>
          <w:lang w:val="en-US" w:eastAsia="zh-CN"/>
        </w:rPr>
        <w:t>4</w:t>
      </w:r>
      <w:r>
        <w:rPr>
          <w:rFonts w:hint="default" w:ascii="Times New Roman" w:hAnsi="Times New Roman" w:eastAsia="仿宋_GB2312" w:cs="Times New Roman"/>
          <w:bCs/>
          <w:sz w:val="32"/>
          <w:szCs w:val="32"/>
          <w:lang w:eastAsia="zh-CN"/>
        </w:rPr>
        <w:t>）</w:t>
      </w:r>
      <w:r>
        <w:rPr>
          <w:rFonts w:hint="default" w:ascii="Times New Roman" w:hAnsi="Times New Roman" w:eastAsia="仿宋_GB2312" w:cs="Times New Roman"/>
          <w:bCs/>
          <w:sz w:val="32"/>
          <w:szCs w:val="32"/>
        </w:rPr>
        <w:t>编制全市住房公积金年度预决算，经市财政部门审核，报管委会审议后执行。</w:t>
      </w:r>
    </w:p>
    <w:p w14:paraId="45F58E58">
      <w:pPr>
        <w:keepNext w:val="0"/>
        <w:keepLines w:val="0"/>
        <w:pageBreakBefore w:val="0"/>
        <w:widowControl w:val="0"/>
        <w:kinsoku/>
        <w:wordWrap/>
        <w:overflowPunct/>
        <w:topLinePunct/>
        <w:autoSpaceDE w:val="0"/>
        <w:autoSpaceDN/>
        <w:bidi w:val="0"/>
        <w:adjustRightInd/>
        <w:spacing w:line="600" w:lineRule="exact"/>
        <w:ind w:left="0" w:firstLine="640" w:firstLineChars="200"/>
        <w:jc w:val="both"/>
        <w:textAlignment w:val="auto"/>
        <w:rPr>
          <w:rFonts w:hint="default" w:ascii="Times New Roman" w:hAnsi="Times New Roman" w:eastAsia="仿宋_GB2312" w:cs="Times New Roman"/>
          <w:bCs/>
          <w:sz w:val="32"/>
          <w:szCs w:val="32"/>
        </w:rPr>
      </w:pPr>
      <w:r>
        <w:rPr>
          <w:rFonts w:hint="default" w:ascii="Times New Roman" w:hAnsi="Times New Roman" w:eastAsia="仿宋_GB2312" w:cs="Times New Roman"/>
          <w:bCs/>
          <w:sz w:val="32"/>
          <w:szCs w:val="32"/>
          <w:lang w:eastAsia="zh-CN"/>
        </w:rPr>
        <w:t>（</w:t>
      </w:r>
      <w:r>
        <w:rPr>
          <w:rFonts w:hint="default" w:ascii="Times New Roman" w:hAnsi="Times New Roman" w:eastAsia="仿宋_GB2312" w:cs="Times New Roman"/>
          <w:bCs/>
          <w:sz w:val="32"/>
          <w:szCs w:val="32"/>
          <w:lang w:val="en-US" w:eastAsia="zh-CN"/>
        </w:rPr>
        <w:t>5</w:t>
      </w:r>
      <w:r>
        <w:rPr>
          <w:rFonts w:hint="default" w:ascii="Times New Roman" w:hAnsi="Times New Roman" w:eastAsia="仿宋_GB2312" w:cs="Times New Roman"/>
          <w:bCs/>
          <w:sz w:val="32"/>
          <w:szCs w:val="32"/>
          <w:lang w:eastAsia="zh-CN"/>
        </w:rPr>
        <w:t>）</w:t>
      </w:r>
      <w:r>
        <w:rPr>
          <w:rFonts w:hint="default" w:ascii="Times New Roman" w:hAnsi="Times New Roman" w:eastAsia="仿宋_GB2312" w:cs="Times New Roman"/>
          <w:bCs/>
          <w:sz w:val="32"/>
          <w:szCs w:val="32"/>
        </w:rPr>
        <w:t>编制住房公积金年度报告，经管委会审议后定期向社会公布。</w:t>
      </w:r>
    </w:p>
    <w:p w14:paraId="24A6F397">
      <w:pPr>
        <w:keepNext w:val="0"/>
        <w:keepLines w:val="0"/>
        <w:pageBreakBefore w:val="0"/>
        <w:widowControl w:val="0"/>
        <w:kinsoku/>
        <w:wordWrap/>
        <w:overflowPunct/>
        <w:topLinePunct/>
        <w:autoSpaceDE w:val="0"/>
        <w:autoSpaceDN/>
        <w:bidi w:val="0"/>
        <w:adjustRightInd/>
        <w:spacing w:line="600" w:lineRule="exact"/>
        <w:ind w:left="0" w:firstLine="640" w:firstLineChars="200"/>
        <w:jc w:val="both"/>
        <w:textAlignment w:val="auto"/>
        <w:rPr>
          <w:rFonts w:hint="default" w:ascii="Times New Roman" w:hAnsi="Times New Roman" w:eastAsia="仿宋_GB2312" w:cs="Times New Roman"/>
          <w:bCs/>
          <w:sz w:val="32"/>
          <w:szCs w:val="32"/>
        </w:rPr>
      </w:pPr>
      <w:r>
        <w:rPr>
          <w:rFonts w:hint="default" w:ascii="Times New Roman" w:hAnsi="Times New Roman" w:eastAsia="仿宋_GB2312" w:cs="Times New Roman"/>
          <w:bCs/>
          <w:sz w:val="32"/>
          <w:szCs w:val="32"/>
          <w:lang w:eastAsia="zh-CN"/>
        </w:rPr>
        <w:t>（</w:t>
      </w:r>
      <w:r>
        <w:rPr>
          <w:rFonts w:hint="default" w:ascii="Times New Roman" w:hAnsi="Times New Roman" w:eastAsia="仿宋_GB2312" w:cs="Times New Roman"/>
          <w:bCs/>
          <w:sz w:val="32"/>
          <w:szCs w:val="32"/>
          <w:lang w:val="en-US" w:eastAsia="zh-CN"/>
        </w:rPr>
        <w:t>6</w:t>
      </w:r>
      <w:r>
        <w:rPr>
          <w:rFonts w:hint="default" w:ascii="Times New Roman" w:hAnsi="Times New Roman" w:eastAsia="仿宋_GB2312" w:cs="Times New Roman"/>
          <w:bCs/>
          <w:sz w:val="32"/>
          <w:szCs w:val="32"/>
          <w:lang w:eastAsia="zh-CN"/>
        </w:rPr>
        <w:t>）</w:t>
      </w:r>
      <w:r>
        <w:rPr>
          <w:rFonts w:hint="default" w:ascii="Times New Roman" w:hAnsi="Times New Roman" w:eastAsia="仿宋_GB2312" w:cs="Times New Roman"/>
          <w:bCs/>
          <w:sz w:val="32"/>
          <w:szCs w:val="32"/>
        </w:rPr>
        <w:t>定期核定、调整全市住房公积金的缴存基数、缴存比例，督促缴存单位和个人按时足额缴纳住房公积金；负责记载职工个人住房公积金的缴存、使用、转移、封存、冻结、账户注销等情况以及与缴存单位、个人定期对账。</w:t>
      </w:r>
    </w:p>
    <w:p w14:paraId="46053D17">
      <w:pPr>
        <w:keepNext w:val="0"/>
        <w:keepLines w:val="0"/>
        <w:pageBreakBefore w:val="0"/>
        <w:widowControl w:val="0"/>
        <w:kinsoku/>
        <w:wordWrap/>
        <w:overflowPunct/>
        <w:topLinePunct/>
        <w:autoSpaceDE w:val="0"/>
        <w:autoSpaceDN/>
        <w:bidi w:val="0"/>
        <w:adjustRightInd/>
        <w:spacing w:line="600" w:lineRule="exact"/>
        <w:ind w:left="0" w:firstLine="640" w:firstLineChars="200"/>
        <w:jc w:val="both"/>
        <w:textAlignment w:val="auto"/>
        <w:rPr>
          <w:rFonts w:hint="default" w:ascii="Times New Roman" w:hAnsi="Times New Roman" w:eastAsia="仿宋_GB2312" w:cs="Times New Roman"/>
          <w:bCs/>
          <w:sz w:val="32"/>
          <w:szCs w:val="32"/>
        </w:rPr>
      </w:pPr>
      <w:r>
        <w:rPr>
          <w:rFonts w:hint="default" w:ascii="Times New Roman" w:hAnsi="Times New Roman" w:eastAsia="仿宋_GB2312" w:cs="Times New Roman"/>
          <w:bCs/>
          <w:sz w:val="32"/>
          <w:szCs w:val="32"/>
          <w:lang w:eastAsia="zh-CN"/>
        </w:rPr>
        <w:t>（</w:t>
      </w:r>
      <w:r>
        <w:rPr>
          <w:rFonts w:hint="default" w:ascii="Times New Roman" w:hAnsi="Times New Roman" w:eastAsia="仿宋_GB2312" w:cs="Times New Roman"/>
          <w:bCs/>
          <w:sz w:val="32"/>
          <w:szCs w:val="32"/>
          <w:lang w:val="en-US" w:eastAsia="zh-CN"/>
        </w:rPr>
        <w:t>7</w:t>
      </w:r>
      <w:r>
        <w:rPr>
          <w:rFonts w:hint="default" w:ascii="Times New Roman" w:hAnsi="Times New Roman" w:eastAsia="仿宋_GB2312" w:cs="Times New Roman"/>
          <w:bCs/>
          <w:sz w:val="32"/>
          <w:szCs w:val="32"/>
          <w:lang w:eastAsia="zh-CN"/>
        </w:rPr>
        <w:t>）</w:t>
      </w:r>
      <w:r>
        <w:rPr>
          <w:rFonts w:hint="default" w:ascii="Times New Roman" w:hAnsi="Times New Roman" w:eastAsia="仿宋_GB2312" w:cs="Times New Roman"/>
          <w:bCs/>
          <w:sz w:val="32"/>
          <w:szCs w:val="32"/>
        </w:rPr>
        <w:t>审核单位降低住房公积金缴存比例或者缓缴的申请，报管委会批准后执行。</w:t>
      </w:r>
    </w:p>
    <w:p w14:paraId="0C3B48DB">
      <w:pPr>
        <w:keepNext w:val="0"/>
        <w:keepLines w:val="0"/>
        <w:pageBreakBefore w:val="0"/>
        <w:widowControl w:val="0"/>
        <w:kinsoku/>
        <w:wordWrap/>
        <w:overflowPunct/>
        <w:topLinePunct/>
        <w:autoSpaceDE w:val="0"/>
        <w:autoSpaceDN/>
        <w:bidi w:val="0"/>
        <w:adjustRightInd/>
        <w:spacing w:line="600" w:lineRule="exact"/>
        <w:ind w:left="0" w:firstLine="640" w:firstLineChars="200"/>
        <w:jc w:val="both"/>
        <w:textAlignment w:val="auto"/>
        <w:rPr>
          <w:rFonts w:hint="default" w:ascii="Times New Roman" w:hAnsi="Times New Roman" w:eastAsia="仿宋_GB2312" w:cs="Times New Roman"/>
          <w:bCs/>
          <w:sz w:val="32"/>
          <w:szCs w:val="32"/>
        </w:rPr>
      </w:pPr>
      <w:r>
        <w:rPr>
          <w:rFonts w:hint="default" w:ascii="Times New Roman" w:hAnsi="Times New Roman" w:eastAsia="仿宋_GB2312" w:cs="Times New Roman"/>
          <w:bCs/>
          <w:sz w:val="32"/>
          <w:szCs w:val="32"/>
          <w:lang w:eastAsia="zh-CN"/>
        </w:rPr>
        <w:t>（</w:t>
      </w:r>
      <w:r>
        <w:rPr>
          <w:rFonts w:hint="default" w:ascii="Times New Roman" w:hAnsi="Times New Roman" w:eastAsia="仿宋_GB2312" w:cs="Times New Roman"/>
          <w:bCs/>
          <w:sz w:val="32"/>
          <w:szCs w:val="32"/>
          <w:lang w:val="en-US" w:eastAsia="zh-CN"/>
        </w:rPr>
        <w:t>8</w:t>
      </w:r>
      <w:r>
        <w:rPr>
          <w:rFonts w:hint="default" w:ascii="Times New Roman" w:hAnsi="Times New Roman" w:eastAsia="仿宋_GB2312" w:cs="Times New Roman"/>
          <w:bCs/>
          <w:sz w:val="32"/>
          <w:szCs w:val="32"/>
          <w:lang w:eastAsia="zh-CN"/>
        </w:rPr>
        <w:t>）</w:t>
      </w:r>
      <w:r>
        <w:rPr>
          <w:rFonts w:hint="default" w:ascii="Times New Roman" w:hAnsi="Times New Roman" w:eastAsia="仿宋_GB2312" w:cs="Times New Roman"/>
          <w:bCs/>
          <w:sz w:val="32"/>
          <w:szCs w:val="32"/>
        </w:rPr>
        <w:t>审批个人住房公积金的提取、贷款。</w:t>
      </w:r>
    </w:p>
    <w:p w14:paraId="457D8587">
      <w:pPr>
        <w:keepNext w:val="0"/>
        <w:keepLines w:val="0"/>
        <w:pageBreakBefore w:val="0"/>
        <w:widowControl w:val="0"/>
        <w:kinsoku/>
        <w:wordWrap/>
        <w:overflowPunct/>
        <w:topLinePunct/>
        <w:autoSpaceDE w:val="0"/>
        <w:autoSpaceDN/>
        <w:bidi w:val="0"/>
        <w:adjustRightInd/>
        <w:spacing w:line="600" w:lineRule="exact"/>
        <w:ind w:left="0" w:firstLine="640" w:firstLineChars="200"/>
        <w:jc w:val="both"/>
        <w:textAlignment w:val="auto"/>
        <w:rPr>
          <w:rFonts w:hint="default" w:ascii="Times New Roman" w:hAnsi="Times New Roman" w:eastAsia="仿宋_GB2312" w:cs="Times New Roman"/>
          <w:bCs/>
          <w:sz w:val="32"/>
          <w:szCs w:val="32"/>
        </w:rPr>
      </w:pPr>
      <w:r>
        <w:rPr>
          <w:rFonts w:hint="default" w:ascii="Times New Roman" w:hAnsi="Times New Roman" w:eastAsia="仿宋_GB2312" w:cs="Times New Roman"/>
          <w:bCs/>
          <w:sz w:val="32"/>
          <w:szCs w:val="32"/>
          <w:lang w:eastAsia="zh-CN"/>
        </w:rPr>
        <w:t>（</w:t>
      </w:r>
      <w:r>
        <w:rPr>
          <w:rFonts w:hint="default" w:ascii="Times New Roman" w:hAnsi="Times New Roman" w:eastAsia="仿宋_GB2312" w:cs="Times New Roman"/>
          <w:bCs/>
          <w:sz w:val="32"/>
          <w:szCs w:val="32"/>
          <w:lang w:val="en-US" w:eastAsia="zh-CN"/>
        </w:rPr>
        <w:t>9</w:t>
      </w:r>
      <w:r>
        <w:rPr>
          <w:rFonts w:hint="default" w:ascii="Times New Roman" w:hAnsi="Times New Roman" w:eastAsia="仿宋_GB2312" w:cs="Times New Roman"/>
          <w:bCs/>
          <w:sz w:val="32"/>
          <w:szCs w:val="32"/>
          <w:lang w:eastAsia="zh-CN"/>
        </w:rPr>
        <w:t>）</w:t>
      </w:r>
      <w:r>
        <w:rPr>
          <w:rFonts w:hint="default" w:ascii="Times New Roman" w:hAnsi="Times New Roman" w:eastAsia="仿宋_GB2312" w:cs="Times New Roman"/>
          <w:bCs/>
          <w:sz w:val="32"/>
          <w:szCs w:val="32"/>
        </w:rPr>
        <w:t>负责住房公积金的保值增值和归还。</w:t>
      </w:r>
    </w:p>
    <w:p w14:paraId="394F17B8">
      <w:pPr>
        <w:keepNext w:val="0"/>
        <w:keepLines w:val="0"/>
        <w:pageBreakBefore w:val="0"/>
        <w:widowControl w:val="0"/>
        <w:kinsoku/>
        <w:wordWrap/>
        <w:overflowPunct/>
        <w:topLinePunct/>
        <w:autoSpaceDE w:val="0"/>
        <w:autoSpaceDN/>
        <w:bidi w:val="0"/>
        <w:adjustRightInd/>
        <w:spacing w:line="600" w:lineRule="exact"/>
        <w:ind w:left="0" w:firstLine="640" w:firstLineChars="200"/>
        <w:jc w:val="both"/>
        <w:textAlignment w:val="auto"/>
        <w:rPr>
          <w:rFonts w:hint="default" w:ascii="Times New Roman" w:hAnsi="Times New Roman" w:eastAsia="仿宋_GB2312" w:cs="Times New Roman"/>
          <w:bCs/>
          <w:sz w:val="32"/>
          <w:szCs w:val="32"/>
        </w:rPr>
      </w:pPr>
      <w:r>
        <w:rPr>
          <w:rFonts w:hint="default" w:ascii="Times New Roman" w:hAnsi="Times New Roman" w:eastAsia="仿宋_GB2312" w:cs="Times New Roman"/>
          <w:bCs/>
          <w:sz w:val="32"/>
          <w:szCs w:val="32"/>
          <w:lang w:eastAsia="zh-CN"/>
        </w:rPr>
        <w:t>（</w:t>
      </w:r>
      <w:r>
        <w:rPr>
          <w:rFonts w:hint="default" w:ascii="Times New Roman" w:hAnsi="Times New Roman" w:eastAsia="仿宋_GB2312" w:cs="Times New Roman"/>
          <w:bCs/>
          <w:sz w:val="32"/>
          <w:szCs w:val="32"/>
          <w:lang w:val="en-US" w:eastAsia="zh-CN"/>
        </w:rPr>
        <w:t>10</w:t>
      </w:r>
      <w:r>
        <w:rPr>
          <w:rFonts w:hint="default" w:ascii="Times New Roman" w:hAnsi="Times New Roman" w:eastAsia="仿宋_GB2312" w:cs="Times New Roman"/>
          <w:bCs/>
          <w:sz w:val="32"/>
          <w:szCs w:val="32"/>
          <w:lang w:eastAsia="zh-CN"/>
        </w:rPr>
        <w:t>）</w:t>
      </w:r>
      <w:r>
        <w:rPr>
          <w:rFonts w:hint="default" w:ascii="Times New Roman" w:hAnsi="Times New Roman" w:eastAsia="仿宋_GB2312" w:cs="Times New Roman"/>
          <w:bCs/>
          <w:sz w:val="32"/>
          <w:szCs w:val="32"/>
        </w:rPr>
        <w:t>依规办理全市住房公积金呆账核销工作。</w:t>
      </w:r>
    </w:p>
    <w:p w14:paraId="7D5129D0">
      <w:pPr>
        <w:keepNext w:val="0"/>
        <w:keepLines w:val="0"/>
        <w:pageBreakBefore w:val="0"/>
        <w:widowControl w:val="0"/>
        <w:kinsoku/>
        <w:wordWrap/>
        <w:overflowPunct/>
        <w:topLinePunct/>
        <w:autoSpaceDE w:val="0"/>
        <w:autoSpaceDN/>
        <w:bidi w:val="0"/>
        <w:adjustRightInd/>
        <w:spacing w:line="600" w:lineRule="exact"/>
        <w:ind w:left="0" w:firstLine="640" w:firstLineChars="200"/>
        <w:jc w:val="both"/>
        <w:textAlignment w:val="auto"/>
        <w:rPr>
          <w:rFonts w:hint="default" w:ascii="Times New Roman" w:hAnsi="Times New Roman" w:eastAsia="仿宋_GB2312" w:cs="Times New Roman"/>
          <w:bCs/>
          <w:sz w:val="32"/>
          <w:szCs w:val="32"/>
        </w:rPr>
      </w:pPr>
      <w:r>
        <w:rPr>
          <w:rFonts w:hint="default" w:ascii="Times New Roman" w:hAnsi="Times New Roman" w:eastAsia="仿宋_GB2312" w:cs="Times New Roman"/>
          <w:bCs/>
          <w:sz w:val="32"/>
          <w:szCs w:val="32"/>
          <w:lang w:eastAsia="zh-CN"/>
        </w:rPr>
        <w:t>（</w:t>
      </w:r>
      <w:r>
        <w:rPr>
          <w:rFonts w:hint="default" w:ascii="Times New Roman" w:hAnsi="Times New Roman" w:eastAsia="仿宋_GB2312" w:cs="Times New Roman"/>
          <w:bCs/>
          <w:sz w:val="32"/>
          <w:szCs w:val="32"/>
          <w:lang w:val="en-US" w:eastAsia="zh-CN"/>
        </w:rPr>
        <w:t>11</w:t>
      </w:r>
      <w:r>
        <w:rPr>
          <w:rFonts w:hint="default" w:ascii="Times New Roman" w:hAnsi="Times New Roman" w:eastAsia="仿宋_GB2312" w:cs="Times New Roman"/>
          <w:bCs/>
          <w:sz w:val="32"/>
          <w:szCs w:val="32"/>
          <w:lang w:eastAsia="zh-CN"/>
        </w:rPr>
        <w:t>）</w:t>
      </w:r>
      <w:r>
        <w:rPr>
          <w:rFonts w:hint="default" w:ascii="Times New Roman" w:hAnsi="Times New Roman" w:eastAsia="仿宋_GB2312" w:cs="Times New Roman"/>
          <w:bCs/>
          <w:spacing w:val="-11"/>
          <w:sz w:val="32"/>
          <w:szCs w:val="32"/>
        </w:rPr>
        <w:t>负责市本级原房改房住房基金及维修基金的管理工作。</w:t>
      </w:r>
    </w:p>
    <w:p w14:paraId="5E0F5237">
      <w:pPr>
        <w:keepNext w:val="0"/>
        <w:keepLines w:val="0"/>
        <w:pageBreakBefore w:val="0"/>
        <w:widowControl w:val="0"/>
        <w:kinsoku/>
        <w:wordWrap/>
        <w:overflowPunct/>
        <w:topLinePunct/>
        <w:autoSpaceDE w:val="0"/>
        <w:autoSpaceDN/>
        <w:bidi w:val="0"/>
        <w:adjustRightInd/>
        <w:spacing w:line="600" w:lineRule="exact"/>
        <w:ind w:left="0" w:firstLine="640" w:firstLineChars="200"/>
        <w:jc w:val="both"/>
        <w:textAlignment w:val="auto"/>
        <w:rPr>
          <w:rFonts w:hint="default" w:ascii="Times New Roman" w:hAnsi="Times New Roman" w:eastAsia="仿宋_GB2312" w:cs="Times New Roman"/>
          <w:bCs/>
          <w:sz w:val="32"/>
          <w:szCs w:val="32"/>
        </w:rPr>
      </w:pPr>
      <w:r>
        <w:rPr>
          <w:rFonts w:hint="default" w:ascii="Times New Roman" w:hAnsi="Times New Roman" w:eastAsia="仿宋_GB2312" w:cs="Times New Roman"/>
          <w:bCs/>
          <w:sz w:val="32"/>
          <w:szCs w:val="32"/>
          <w:lang w:eastAsia="zh-CN"/>
        </w:rPr>
        <w:t>（</w:t>
      </w:r>
      <w:r>
        <w:rPr>
          <w:rFonts w:hint="default" w:ascii="Times New Roman" w:hAnsi="Times New Roman" w:eastAsia="仿宋_GB2312" w:cs="Times New Roman"/>
          <w:bCs/>
          <w:sz w:val="32"/>
          <w:szCs w:val="32"/>
          <w:lang w:val="en-US" w:eastAsia="zh-CN"/>
        </w:rPr>
        <w:t>12</w:t>
      </w:r>
      <w:r>
        <w:rPr>
          <w:rFonts w:hint="default" w:ascii="Times New Roman" w:hAnsi="Times New Roman" w:eastAsia="仿宋_GB2312" w:cs="Times New Roman"/>
          <w:bCs/>
          <w:sz w:val="32"/>
          <w:szCs w:val="32"/>
          <w:lang w:eastAsia="zh-CN"/>
        </w:rPr>
        <w:t>）</w:t>
      </w:r>
      <w:r>
        <w:rPr>
          <w:rFonts w:hint="default" w:ascii="Times New Roman" w:hAnsi="Times New Roman" w:eastAsia="仿宋_GB2312" w:cs="Times New Roman"/>
          <w:bCs/>
          <w:sz w:val="32"/>
          <w:szCs w:val="32"/>
        </w:rPr>
        <w:t>负责建设、维护、管理全市住房公积金业务管理信息系统，建立健全住房公积金业务信息系统互联互通和信息资源共享机制。</w:t>
      </w:r>
    </w:p>
    <w:p w14:paraId="4024F287">
      <w:pPr>
        <w:keepNext w:val="0"/>
        <w:keepLines w:val="0"/>
        <w:pageBreakBefore w:val="0"/>
        <w:widowControl w:val="0"/>
        <w:kinsoku/>
        <w:wordWrap/>
        <w:overflowPunct/>
        <w:topLinePunct/>
        <w:autoSpaceDE w:val="0"/>
        <w:autoSpaceDN/>
        <w:bidi w:val="0"/>
        <w:adjustRightInd/>
        <w:spacing w:line="600" w:lineRule="exact"/>
        <w:ind w:left="0" w:firstLine="640" w:firstLineChars="200"/>
        <w:jc w:val="both"/>
        <w:textAlignment w:val="auto"/>
        <w:rPr>
          <w:rFonts w:hint="default" w:ascii="Times New Roman" w:hAnsi="Times New Roman" w:eastAsia="仿宋_GB2312" w:cs="Times New Roman"/>
          <w:bCs/>
          <w:sz w:val="32"/>
          <w:szCs w:val="32"/>
        </w:rPr>
      </w:pPr>
      <w:r>
        <w:rPr>
          <w:rFonts w:hint="default" w:ascii="Times New Roman" w:hAnsi="Times New Roman" w:eastAsia="仿宋_GB2312" w:cs="Times New Roman"/>
          <w:bCs/>
          <w:sz w:val="32"/>
          <w:szCs w:val="32"/>
          <w:lang w:eastAsia="zh-CN"/>
        </w:rPr>
        <w:t>（</w:t>
      </w:r>
      <w:r>
        <w:rPr>
          <w:rFonts w:hint="default" w:ascii="Times New Roman" w:hAnsi="Times New Roman" w:eastAsia="仿宋_GB2312" w:cs="Times New Roman"/>
          <w:bCs/>
          <w:sz w:val="32"/>
          <w:szCs w:val="32"/>
          <w:lang w:val="en-US" w:eastAsia="zh-CN"/>
        </w:rPr>
        <w:t>13</w:t>
      </w:r>
      <w:r>
        <w:rPr>
          <w:rFonts w:hint="default" w:ascii="Times New Roman" w:hAnsi="Times New Roman" w:eastAsia="仿宋_GB2312" w:cs="Times New Roman"/>
          <w:bCs/>
          <w:sz w:val="32"/>
          <w:szCs w:val="32"/>
          <w:lang w:eastAsia="zh-CN"/>
        </w:rPr>
        <w:t>）</w:t>
      </w:r>
      <w:r>
        <w:rPr>
          <w:rFonts w:hint="default" w:ascii="Times New Roman" w:hAnsi="Times New Roman" w:eastAsia="仿宋_GB2312" w:cs="Times New Roman"/>
          <w:bCs/>
          <w:sz w:val="32"/>
          <w:szCs w:val="32"/>
        </w:rPr>
        <w:t>负责全市住房公积金管理系统思想政治建设、组织文化建设和队伍建设，提高全市住房公积金管理人员的业务能力和综合素质。</w:t>
      </w:r>
    </w:p>
    <w:p w14:paraId="3DA1DC87">
      <w:pPr>
        <w:keepNext w:val="0"/>
        <w:keepLines w:val="0"/>
        <w:pageBreakBefore w:val="0"/>
        <w:widowControl w:val="0"/>
        <w:kinsoku/>
        <w:wordWrap/>
        <w:overflowPunct/>
        <w:topLinePunct/>
        <w:autoSpaceDE w:val="0"/>
        <w:autoSpaceDN/>
        <w:bidi w:val="0"/>
        <w:adjustRightInd/>
        <w:spacing w:line="600" w:lineRule="exact"/>
        <w:ind w:left="0" w:firstLine="640" w:firstLineChars="200"/>
        <w:jc w:val="both"/>
        <w:textAlignment w:val="auto"/>
        <w:rPr>
          <w:rFonts w:hint="default" w:ascii="Times New Roman" w:hAnsi="Times New Roman" w:eastAsia="仿宋_GB2312" w:cs="Times New Roman"/>
          <w:bCs/>
          <w:sz w:val="32"/>
          <w:szCs w:val="32"/>
        </w:rPr>
      </w:pPr>
      <w:r>
        <w:rPr>
          <w:rFonts w:hint="default" w:ascii="Times New Roman" w:hAnsi="Times New Roman" w:eastAsia="仿宋_GB2312" w:cs="Times New Roman"/>
          <w:bCs/>
          <w:sz w:val="32"/>
          <w:szCs w:val="32"/>
          <w:lang w:eastAsia="zh-CN"/>
        </w:rPr>
        <w:t>（</w:t>
      </w:r>
      <w:r>
        <w:rPr>
          <w:rFonts w:hint="default" w:ascii="Times New Roman" w:hAnsi="Times New Roman" w:eastAsia="仿宋_GB2312" w:cs="Times New Roman"/>
          <w:bCs/>
          <w:sz w:val="32"/>
          <w:szCs w:val="32"/>
          <w:lang w:val="en-US" w:eastAsia="zh-CN"/>
        </w:rPr>
        <w:t>14</w:t>
      </w:r>
      <w:r>
        <w:rPr>
          <w:rFonts w:hint="default" w:ascii="Times New Roman" w:hAnsi="Times New Roman" w:eastAsia="仿宋_GB2312" w:cs="Times New Roman"/>
          <w:bCs/>
          <w:sz w:val="32"/>
          <w:szCs w:val="32"/>
          <w:lang w:eastAsia="zh-CN"/>
        </w:rPr>
        <w:t>）</w:t>
      </w:r>
      <w:r>
        <w:rPr>
          <w:rFonts w:hint="default" w:ascii="Times New Roman" w:hAnsi="Times New Roman" w:eastAsia="仿宋_GB2312" w:cs="Times New Roman"/>
          <w:bCs/>
          <w:sz w:val="32"/>
          <w:szCs w:val="32"/>
        </w:rPr>
        <w:t>负责对各县市区管理部人、财、物的全面管理，直接负责全市住房公积金管理系统人员招录、中层及以下工作人员的考察任免事项。</w:t>
      </w:r>
    </w:p>
    <w:p w14:paraId="4AF0EBCD">
      <w:pPr>
        <w:keepNext w:val="0"/>
        <w:keepLines w:val="0"/>
        <w:pageBreakBefore w:val="0"/>
        <w:widowControl w:val="0"/>
        <w:kinsoku/>
        <w:wordWrap/>
        <w:overflowPunct/>
        <w:topLinePunct/>
        <w:autoSpaceDE w:val="0"/>
        <w:autoSpaceDN/>
        <w:bidi w:val="0"/>
        <w:adjustRightInd/>
        <w:snapToGrid w:val="0"/>
        <w:spacing w:line="600" w:lineRule="exact"/>
        <w:ind w:left="0"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Cs/>
          <w:sz w:val="32"/>
          <w:szCs w:val="32"/>
          <w:lang w:eastAsia="zh-CN"/>
        </w:rPr>
        <w:t>（</w:t>
      </w:r>
      <w:r>
        <w:rPr>
          <w:rFonts w:hint="default" w:ascii="Times New Roman" w:hAnsi="Times New Roman" w:eastAsia="仿宋_GB2312" w:cs="Times New Roman"/>
          <w:bCs/>
          <w:sz w:val="32"/>
          <w:szCs w:val="32"/>
          <w:lang w:val="en-US" w:eastAsia="zh-CN"/>
        </w:rPr>
        <w:t>15</w:t>
      </w:r>
      <w:r>
        <w:rPr>
          <w:rFonts w:hint="default" w:ascii="Times New Roman" w:hAnsi="Times New Roman" w:eastAsia="仿宋_GB2312" w:cs="Times New Roman"/>
          <w:bCs/>
          <w:sz w:val="32"/>
          <w:szCs w:val="32"/>
          <w:lang w:eastAsia="zh-CN"/>
        </w:rPr>
        <w:t>）</w:t>
      </w:r>
      <w:r>
        <w:rPr>
          <w:rFonts w:hint="default" w:ascii="Times New Roman" w:hAnsi="Times New Roman" w:eastAsia="仿宋_GB2312" w:cs="Times New Roman"/>
          <w:bCs/>
          <w:sz w:val="32"/>
          <w:szCs w:val="32"/>
        </w:rPr>
        <w:t>承办市委、市政府交办的其他工作。</w:t>
      </w:r>
    </w:p>
    <w:p w14:paraId="0106A023">
      <w:pPr>
        <w:keepNext w:val="0"/>
        <w:keepLines w:val="0"/>
        <w:pageBreakBefore w:val="0"/>
        <w:widowControl w:val="0"/>
        <w:shd w:val="clear" w:color="auto" w:fill="FFFFFF"/>
        <w:kinsoku/>
        <w:wordWrap/>
        <w:overflowPunct/>
        <w:topLinePunct/>
        <w:autoSpaceDE w:val="0"/>
        <w:autoSpaceDN/>
        <w:bidi w:val="0"/>
        <w:adjustRightInd/>
        <w:spacing w:line="600" w:lineRule="exact"/>
        <w:ind w:left="0" w:firstLine="632" w:firstLineChars="200"/>
        <w:jc w:val="both"/>
        <w:textAlignment w:val="auto"/>
        <w:rPr>
          <w:rFonts w:hint="default" w:ascii="Times New Roman" w:hAnsi="Times New Roman" w:eastAsia="楷体_GB2312" w:cs="Times New Roman"/>
          <w:b w:val="0"/>
          <w:bCs/>
          <w:spacing w:val="-2"/>
          <w:sz w:val="32"/>
          <w:szCs w:val="32"/>
        </w:rPr>
      </w:pPr>
      <w:r>
        <w:rPr>
          <w:rFonts w:hint="default" w:ascii="Times New Roman" w:hAnsi="Times New Roman" w:eastAsia="楷体_GB2312" w:cs="Times New Roman"/>
          <w:b w:val="0"/>
          <w:bCs/>
          <w:spacing w:val="-2"/>
          <w:sz w:val="32"/>
          <w:szCs w:val="32"/>
        </w:rPr>
        <w:t>（二）</w:t>
      </w:r>
      <w:r>
        <w:rPr>
          <w:rFonts w:hint="eastAsia" w:ascii="Times New Roman" w:hAnsi="Times New Roman" w:eastAsia="楷体_GB2312" w:cs="Times New Roman"/>
          <w:b w:val="0"/>
          <w:bCs/>
          <w:spacing w:val="-2"/>
          <w:sz w:val="32"/>
          <w:szCs w:val="32"/>
          <w:lang w:eastAsia="zh-CN"/>
        </w:rPr>
        <w:t>中心</w:t>
      </w:r>
      <w:r>
        <w:rPr>
          <w:rFonts w:hint="default" w:ascii="Times New Roman" w:hAnsi="Times New Roman" w:eastAsia="楷体_GB2312" w:cs="Times New Roman"/>
          <w:b w:val="0"/>
          <w:bCs/>
          <w:spacing w:val="-2"/>
          <w:sz w:val="32"/>
          <w:szCs w:val="32"/>
        </w:rPr>
        <w:t>整体支出规模、使用方向和主要内容、涉及范围。</w:t>
      </w:r>
    </w:p>
    <w:p w14:paraId="65E2DF42">
      <w:pPr>
        <w:keepNext w:val="0"/>
        <w:keepLines w:val="0"/>
        <w:pageBreakBefore w:val="0"/>
        <w:widowControl w:val="0"/>
        <w:shd w:val="clear" w:color="auto" w:fill="FFFFFF"/>
        <w:kinsoku/>
        <w:wordWrap/>
        <w:overflowPunct/>
        <w:topLinePunct/>
        <w:autoSpaceDE w:val="0"/>
        <w:autoSpaceDN/>
        <w:bidi w:val="0"/>
        <w:adjustRightInd/>
        <w:spacing w:line="600" w:lineRule="exact"/>
        <w:ind w:left="0"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根据《怀化市财政局关于批复下达202</w:t>
      </w:r>
      <w:r>
        <w:rPr>
          <w:rFonts w:hint="eastAsia" w:eastAsia="仿宋_GB2312" w:cs="Times New Roman"/>
          <w:sz w:val="32"/>
          <w:szCs w:val="32"/>
          <w:lang w:val="en-US" w:eastAsia="zh-CN"/>
        </w:rPr>
        <w:t>5</w:t>
      </w:r>
      <w:r>
        <w:rPr>
          <w:rFonts w:hint="default" w:ascii="Times New Roman" w:hAnsi="Times New Roman" w:eastAsia="仿宋_GB2312" w:cs="Times New Roman"/>
          <w:sz w:val="32"/>
          <w:szCs w:val="32"/>
        </w:rPr>
        <w:t>年市直部门预算的通知》，本部门年初预算总计</w:t>
      </w:r>
      <w:r>
        <w:rPr>
          <w:rFonts w:hint="eastAsia" w:eastAsia="仿宋_GB2312" w:cs="Times New Roman"/>
          <w:sz w:val="32"/>
          <w:szCs w:val="32"/>
          <w:lang w:val="en-US" w:eastAsia="zh-CN"/>
        </w:rPr>
        <w:t>3194.18</w:t>
      </w:r>
      <w:r>
        <w:rPr>
          <w:rFonts w:hint="default" w:ascii="Times New Roman" w:hAnsi="Times New Roman" w:eastAsia="仿宋_GB2312" w:cs="Times New Roman"/>
          <w:sz w:val="32"/>
          <w:szCs w:val="32"/>
        </w:rPr>
        <w:t>万元。其中：基本支出预算</w:t>
      </w:r>
      <w:r>
        <w:rPr>
          <w:rFonts w:hint="eastAsia" w:eastAsia="仿宋_GB2312" w:cs="Times New Roman"/>
          <w:sz w:val="32"/>
          <w:szCs w:val="32"/>
          <w:lang w:val="en-US" w:eastAsia="zh-CN"/>
        </w:rPr>
        <w:t>1800.44</w:t>
      </w:r>
      <w:r>
        <w:rPr>
          <w:rFonts w:hint="default" w:ascii="Times New Roman" w:hAnsi="Times New Roman" w:eastAsia="仿宋_GB2312" w:cs="Times New Roman"/>
          <w:sz w:val="32"/>
          <w:szCs w:val="32"/>
        </w:rPr>
        <w:t>万元，项目支出预算</w:t>
      </w:r>
      <w:r>
        <w:rPr>
          <w:rFonts w:hint="eastAsia" w:eastAsia="仿宋_GB2312" w:cs="Times New Roman"/>
          <w:sz w:val="32"/>
          <w:szCs w:val="32"/>
          <w:lang w:val="en-US" w:eastAsia="zh-CN"/>
        </w:rPr>
        <w:t>1393.74</w:t>
      </w:r>
      <w:r>
        <w:rPr>
          <w:rFonts w:hint="default" w:ascii="Times New Roman" w:hAnsi="Times New Roman" w:eastAsia="仿宋_GB2312" w:cs="Times New Roman"/>
          <w:sz w:val="32"/>
          <w:szCs w:val="32"/>
        </w:rPr>
        <w:t>万元。</w:t>
      </w:r>
    </w:p>
    <w:p w14:paraId="6185960E">
      <w:pPr>
        <w:keepNext w:val="0"/>
        <w:keepLines w:val="0"/>
        <w:pageBreakBefore w:val="0"/>
        <w:widowControl w:val="0"/>
        <w:shd w:val="clear" w:color="auto" w:fill="FFFFFF"/>
        <w:kinsoku/>
        <w:wordWrap/>
        <w:overflowPunct/>
        <w:topLinePunct/>
        <w:autoSpaceDE w:val="0"/>
        <w:autoSpaceDN/>
        <w:bidi w:val="0"/>
        <w:adjustRightInd/>
        <w:spacing w:line="600" w:lineRule="exact"/>
        <w:ind w:left="0"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根据202</w:t>
      </w:r>
      <w:r>
        <w:rPr>
          <w:rFonts w:hint="eastAsia" w:eastAsia="仿宋_GB2312" w:cs="Times New Roman"/>
          <w:sz w:val="32"/>
          <w:szCs w:val="32"/>
          <w:lang w:val="en-US" w:eastAsia="zh-CN"/>
        </w:rPr>
        <w:t>5</w:t>
      </w:r>
      <w:r>
        <w:rPr>
          <w:rFonts w:hint="default" w:ascii="Times New Roman" w:hAnsi="Times New Roman" w:eastAsia="仿宋_GB2312" w:cs="Times New Roman"/>
          <w:sz w:val="32"/>
          <w:szCs w:val="32"/>
        </w:rPr>
        <w:t>年管委会主任办公会议审议，在202</w:t>
      </w:r>
      <w:r>
        <w:rPr>
          <w:rFonts w:hint="eastAsia" w:eastAsia="仿宋_GB2312" w:cs="Times New Roman"/>
          <w:sz w:val="32"/>
          <w:szCs w:val="32"/>
          <w:lang w:val="en-US" w:eastAsia="zh-CN"/>
        </w:rPr>
        <w:t>5</w:t>
      </w:r>
      <w:r>
        <w:rPr>
          <w:rFonts w:hint="default" w:ascii="Times New Roman" w:hAnsi="Times New Roman" w:eastAsia="仿宋_GB2312" w:cs="Times New Roman"/>
          <w:sz w:val="32"/>
          <w:szCs w:val="32"/>
        </w:rPr>
        <w:t>年年初预算的基础上，</w:t>
      </w:r>
      <w:r>
        <w:rPr>
          <w:rFonts w:hint="eastAsia" w:eastAsia="仿宋_GB2312" w:cs="Times New Roman"/>
          <w:sz w:val="32"/>
          <w:szCs w:val="32"/>
          <w:lang w:eastAsia="zh-CN"/>
        </w:rPr>
        <w:t>调增基本支出</w:t>
      </w:r>
      <w:r>
        <w:rPr>
          <w:rFonts w:hint="eastAsia" w:eastAsia="仿宋_GB2312" w:cs="Times New Roman"/>
          <w:sz w:val="32"/>
          <w:szCs w:val="32"/>
          <w:lang w:val="en-US" w:eastAsia="zh-CN"/>
        </w:rPr>
        <w:t>105万元，调减</w:t>
      </w:r>
      <w:r>
        <w:rPr>
          <w:rFonts w:hint="default" w:ascii="Times New Roman" w:hAnsi="Times New Roman" w:eastAsia="仿宋_GB2312" w:cs="Times New Roman"/>
          <w:sz w:val="32"/>
          <w:szCs w:val="32"/>
        </w:rPr>
        <w:t>项目支出</w:t>
      </w:r>
      <w:r>
        <w:rPr>
          <w:rFonts w:hint="eastAsia" w:eastAsia="仿宋_GB2312" w:cs="Times New Roman"/>
          <w:sz w:val="32"/>
          <w:szCs w:val="32"/>
          <w:lang w:val="en-US" w:eastAsia="zh-CN"/>
        </w:rPr>
        <w:t>325.17</w:t>
      </w:r>
      <w:r>
        <w:rPr>
          <w:rFonts w:hint="default" w:ascii="Times New Roman" w:hAnsi="Times New Roman" w:eastAsia="仿宋_GB2312" w:cs="Times New Roman"/>
          <w:sz w:val="32"/>
          <w:szCs w:val="32"/>
        </w:rPr>
        <w:t>万元，调整后预算为</w:t>
      </w:r>
      <w:r>
        <w:rPr>
          <w:rFonts w:hint="eastAsia" w:eastAsia="仿宋_GB2312" w:cs="Times New Roman"/>
          <w:sz w:val="32"/>
          <w:szCs w:val="32"/>
          <w:lang w:val="en-US" w:eastAsia="zh-CN"/>
        </w:rPr>
        <w:t>2974.01</w:t>
      </w:r>
      <w:r>
        <w:rPr>
          <w:rFonts w:hint="default" w:ascii="Times New Roman" w:hAnsi="Times New Roman" w:eastAsia="仿宋_GB2312" w:cs="Times New Roman"/>
          <w:sz w:val="32"/>
          <w:szCs w:val="32"/>
        </w:rPr>
        <w:t>万元，其中：基本支出</w:t>
      </w:r>
      <w:r>
        <w:rPr>
          <w:rFonts w:hint="eastAsia" w:eastAsia="仿宋_GB2312" w:cs="Times New Roman"/>
          <w:sz w:val="32"/>
          <w:szCs w:val="32"/>
          <w:lang w:val="en-US" w:eastAsia="zh-CN"/>
        </w:rPr>
        <w:t>1905.44</w:t>
      </w:r>
      <w:r>
        <w:rPr>
          <w:rFonts w:hint="default" w:ascii="Times New Roman" w:hAnsi="Times New Roman" w:eastAsia="仿宋_GB2312" w:cs="Times New Roman"/>
          <w:sz w:val="32"/>
          <w:szCs w:val="32"/>
        </w:rPr>
        <w:t>万元，项目支出</w:t>
      </w:r>
      <w:r>
        <w:rPr>
          <w:rFonts w:hint="eastAsia" w:eastAsia="仿宋_GB2312" w:cs="Times New Roman"/>
          <w:sz w:val="32"/>
          <w:szCs w:val="32"/>
          <w:lang w:val="en-US" w:eastAsia="zh-CN"/>
        </w:rPr>
        <w:t>1068.57</w:t>
      </w:r>
      <w:r>
        <w:rPr>
          <w:rFonts w:hint="default" w:ascii="Times New Roman" w:hAnsi="Times New Roman" w:eastAsia="仿宋_GB2312" w:cs="Times New Roman"/>
          <w:sz w:val="32"/>
          <w:szCs w:val="32"/>
        </w:rPr>
        <w:t>万元，加上项目资金</w:t>
      </w:r>
      <w:r>
        <w:rPr>
          <w:rFonts w:hint="eastAsia" w:eastAsia="仿宋_GB2312" w:cs="Times New Roman"/>
          <w:sz w:val="32"/>
          <w:szCs w:val="32"/>
          <w:lang w:val="en-US" w:eastAsia="zh-CN"/>
        </w:rPr>
        <w:t>AK替代专项17.6</w:t>
      </w:r>
      <w:r>
        <w:rPr>
          <w:rFonts w:hint="default" w:ascii="Times New Roman" w:hAnsi="Times New Roman" w:eastAsia="仿宋_GB2312" w:cs="Times New Roman"/>
          <w:spacing w:val="-11"/>
          <w:sz w:val="32"/>
          <w:szCs w:val="32"/>
        </w:rPr>
        <w:t>万元和人才引进补贴2.40万元，全年调整预算数为</w:t>
      </w:r>
      <w:r>
        <w:rPr>
          <w:rFonts w:hint="eastAsia" w:eastAsia="仿宋_GB2312" w:cs="Times New Roman"/>
          <w:spacing w:val="-11"/>
          <w:sz w:val="32"/>
          <w:szCs w:val="32"/>
          <w:lang w:val="en-US" w:eastAsia="zh-CN"/>
        </w:rPr>
        <w:t>2994.01</w:t>
      </w:r>
      <w:r>
        <w:rPr>
          <w:rFonts w:hint="default" w:ascii="Times New Roman" w:hAnsi="Times New Roman" w:eastAsia="仿宋_GB2312" w:cs="Times New Roman"/>
          <w:spacing w:val="-11"/>
          <w:sz w:val="32"/>
          <w:szCs w:val="32"/>
        </w:rPr>
        <w:t>万元。</w:t>
      </w:r>
    </w:p>
    <w:p w14:paraId="306F3B52">
      <w:pPr>
        <w:keepNext w:val="0"/>
        <w:keepLines w:val="0"/>
        <w:pageBreakBefore w:val="0"/>
        <w:widowControl w:val="0"/>
        <w:shd w:val="clear" w:color="auto" w:fill="FFFFFF"/>
        <w:kinsoku/>
        <w:wordWrap/>
        <w:overflowPunct/>
        <w:topLinePunct/>
        <w:autoSpaceDE w:val="0"/>
        <w:autoSpaceDN/>
        <w:bidi w:val="0"/>
        <w:adjustRightInd/>
        <w:spacing w:line="600" w:lineRule="exact"/>
        <w:ind w:left="0" w:firstLine="632" w:firstLineChars="200"/>
        <w:jc w:val="both"/>
        <w:textAlignment w:val="auto"/>
        <w:rPr>
          <w:rFonts w:hint="default" w:ascii="Times New Roman" w:hAnsi="Times New Roman" w:eastAsia="黑体" w:cs="Times New Roman"/>
          <w:b w:val="0"/>
          <w:bCs/>
          <w:spacing w:val="-2"/>
          <w:sz w:val="32"/>
          <w:szCs w:val="32"/>
        </w:rPr>
      </w:pPr>
      <w:r>
        <w:rPr>
          <w:rFonts w:hint="default" w:ascii="Times New Roman" w:hAnsi="Times New Roman" w:eastAsia="黑体" w:cs="Times New Roman"/>
          <w:b w:val="0"/>
          <w:bCs/>
          <w:spacing w:val="-2"/>
          <w:sz w:val="32"/>
          <w:szCs w:val="32"/>
        </w:rPr>
        <w:t>二、一般公共预算支出情况</w:t>
      </w:r>
    </w:p>
    <w:p w14:paraId="03843774">
      <w:pPr>
        <w:keepNext w:val="0"/>
        <w:keepLines w:val="0"/>
        <w:pageBreakBefore w:val="0"/>
        <w:widowControl w:val="0"/>
        <w:shd w:val="clear" w:color="auto" w:fill="FFFFFF"/>
        <w:kinsoku/>
        <w:wordWrap/>
        <w:overflowPunct/>
        <w:topLinePunct/>
        <w:autoSpaceDE w:val="0"/>
        <w:autoSpaceDN/>
        <w:bidi w:val="0"/>
        <w:adjustRightInd/>
        <w:spacing w:line="600" w:lineRule="exact"/>
        <w:ind w:left="0" w:firstLine="632" w:firstLineChars="200"/>
        <w:jc w:val="both"/>
        <w:textAlignment w:val="auto"/>
        <w:rPr>
          <w:rFonts w:hint="default" w:ascii="Times New Roman" w:hAnsi="Times New Roman" w:eastAsia="楷体_GB2312" w:cs="Times New Roman"/>
          <w:b w:val="0"/>
          <w:bCs/>
          <w:spacing w:val="-2"/>
          <w:sz w:val="32"/>
          <w:szCs w:val="32"/>
        </w:rPr>
      </w:pPr>
      <w:r>
        <w:rPr>
          <w:rFonts w:hint="default" w:ascii="Times New Roman" w:hAnsi="Times New Roman" w:eastAsia="楷体_GB2312" w:cs="Times New Roman"/>
          <w:b w:val="0"/>
          <w:bCs/>
          <w:spacing w:val="-2"/>
          <w:sz w:val="32"/>
          <w:szCs w:val="32"/>
        </w:rPr>
        <w:t>（一）基本支出</w:t>
      </w:r>
    </w:p>
    <w:p w14:paraId="7F5BF2DF">
      <w:pPr>
        <w:keepNext w:val="0"/>
        <w:keepLines w:val="0"/>
        <w:pageBreakBefore w:val="0"/>
        <w:widowControl w:val="0"/>
        <w:shd w:val="clear" w:color="auto" w:fill="FFFFFF"/>
        <w:kinsoku/>
        <w:wordWrap/>
        <w:overflowPunct/>
        <w:topLinePunct/>
        <w:autoSpaceDE w:val="0"/>
        <w:autoSpaceDN/>
        <w:bidi w:val="0"/>
        <w:adjustRightInd/>
        <w:spacing w:line="600" w:lineRule="exact"/>
        <w:ind w:left="0" w:firstLine="640" w:firstLineChars="200"/>
        <w:jc w:val="both"/>
        <w:textAlignment w:val="auto"/>
        <w:rPr>
          <w:rFonts w:hint="default" w:ascii="Times New Roman" w:hAnsi="Times New Roman" w:eastAsia="仿宋_GB2312" w:cs="Times New Roman"/>
          <w:sz w:val="32"/>
          <w:szCs w:val="32"/>
        </w:rPr>
      </w:pPr>
      <w:r>
        <w:rPr>
          <w:rFonts w:hint="eastAsia" w:eastAsia="仿宋_GB2312" w:cs="Times New Roman"/>
          <w:sz w:val="32"/>
          <w:szCs w:val="32"/>
          <w:lang w:eastAsia="zh-CN"/>
        </w:rPr>
        <w:t>2025</w:t>
      </w:r>
      <w:r>
        <w:rPr>
          <w:rFonts w:hint="default" w:ascii="Times New Roman" w:hAnsi="Times New Roman" w:eastAsia="仿宋_GB2312" w:cs="Times New Roman"/>
          <w:sz w:val="32"/>
          <w:szCs w:val="32"/>
        </w:rPr>
        <w:t>年下达</w:t>
      </w:r>
      <w:r>
        <w:rPr>
          <w:rFonts w:hint="eastAsia" w:eastAsia="仿宋_GB2312" w:cs="Times New Roman"/>
          <w:sz w:val="32"/>
          <w:szCs w:val="32"/>
          <w:lang w:eastAsia="zh-CN"/>
        </w:rPr>
        <w:t>中心</w:t>
      </w:r>
      <w:r>
        <w:rPr>
          <w:rFonts w:hint="default" w:ascii="Times New Roman" w:hAnsi="Times New Roman" w:eastAsia="仿宋_GB2312" w:cs="Times New Roman"/>
          <w:sz w:val="32"/>
          <w:szCs w:val="32"/>
        </w:rPr>
        <w:t>基本支出预算收入</w:t>
      </w:r>
      <w:r>
        <w:rPr>
          <w:rFonts w:hint="eastAsia" w:eastAsia="仿宋_GB2312" w:cs="Times New Roman"/>
          <w:sz w:val="32"/>
          <w:szCs w:val="32"/>
          <w:lang w:val="en-US" w:eastAsia="zh-CN"/>
        </w:rPr>
        <w:t>1983.04</w:t>
      </w:r>
      <w:r>
        <w:rPr>
          <w:rFonts w:hint="default" w:ascii="Times New Roman" w:hAnsi="Times New Roman" w:eastAsia="仿宋_GB2312" w:cs="Times New Roman"/>
          <w:sz w:val="32"/>
          <w:szCs w:val="32"/>
        </w:rPr>
        <w:t xml:space="preserve">万元， </w:t>
      </w:r>
      <w:r>
        <w:rPr>
          <w:rFonts w:hint="eastAsia" w:eastAsia="仿宋_GB2312" w:cs="Times New Roman"/>
          <w:sz w:val="32"/>
          <w:szCs w:val="32"/>
          <w:lang w:eastAsia="zh-CN"/>
        </w:rPr>
        <w:t>2025</w:t>
      </w:r>
      <w:r>
        <w:rPr>
          <w:rFonts w:hint="default" w:ascii="Times New Roman" w:hAnsi="Times New Roman" w:eastAsia="仿宋_GB2312" w:cs="Times New Roman"/>
          <w:sz w:val="32"/>
          <w:szCs w:val="32"/>
        </w:rPr>
        <w:t>年</w:t>
      </w:r>
      <w:r>
        <w:rPr>
          <w:rFonts w:hint="eastAsia" w:ascii="Times New Roman" w:hAnsi="Times New Roman" w:eastAsia="仿宋_GB2312" w:cs="Times New Roman"/>
          <w:sz w:val="32"/>
          <w:szCs w:val="32"/>
          <w:lang w:eastAsia="zh-CN"/>
        </w:rPr>
        <w:t>中心</w:t>
      </w:r>
      <w:r>
        <w:rPr>
          <w:rFonts w:hint="default" w:ascii="Times New Roman" w:hAnsi="Times New Roman" w:eastAsia="仿宋_GB2312" w:cs="Times New Roman"/>
          <w:sz w:val="32"/>
          <w:szCs w:val="32"/>
        </w:rPr>
        <w:t>发生基本支出</w:t>
      </w:r>
      <w:r>
        <w:rPr>
          <w:rFonts w:hint="eastAsia" w:eastAsia="仿宋_GB2312" w:cs="Times New Roman"/>
          <w:sz w:val="32"/>
          <w:szCs w:val="32"/>
          <w:lang w:val="en-US" w:eastAsia="zh-CN"/>
        </w:rPr>
        <w:t>1979.60</w:t>
      </w:r>
      <w:r>
        <w:rPr>
          <w:rFonts w:hint="default" w:ascii="Times New Roman" w:hAnsi="Times New Roman" w:eastAsia="仿宋_GB2312" w:cs="Times New Roman"/>
          <w:sz w:val="32"/>
          <w:szCs w:val="32"/>
        </w:rPr>
        <w:t>万元,其中：人员经费支出</w:t>
      </w:r>
      <w:r>
        <w:rPr>
          <w:rFonts w:hint="eastAsia" w:eastAsia="仿宋_GB2312" w:cs="Times New Roman"/>
          <w:sz w:val="32"/>
          <w:szCs w:val="32"/>
          <w:lang w:val="en-US" w:eastAsia="zh-CN"/>
        </w:rPr>
        <w:t>1693.41</w:t>
      </w:r>
      <w:r>
        <w:rPr>
          <w:rFonts w:hint="default" w:ascii="Times New Roman" w:hAnsi="Times New Roman" w:eastAsia="仿宋_GB2312" w:cs="Times New Roman"/>
          <w:sz w:val="32"/>
          <w:szCs w:val="32"/>
        </w:rPr>
        <w:t>万元，用于保障</w:t>
      </w:r>
      <w:r>
        <w:rPr>
          <w:rFonts w:hint="eastAsia" w:ascii="Times New Roman" w:hAnsi="Times New Roman" w:eastAsia="仿宋_GB2312" w:cs="Times New Roman"/>
          <w:sz w:val="32"/>
          <w:szCs w:val="32"/>
          <w:lang w:eastAsia="zh-CN"/>
        </w:rPr>
        <w:t>中心</w:t>
      </w:r>
      <w:r>
        <w:rPr>
          <w:rFonts w:hint="default" w:ascii="Times New Roman" w:hAnsi="Times New Roman" w:eastAsia="仿宋_GB2312" w:cs="Times New Roman"/>
          <w:sz w:val="32"/>
          <w:szCs w:val="32"/>
        </w:rPr>
        <w:t>在职人员工资福利及退休人员生活补助等；公用经费支出</w:t>
      </w:r>
      <w:r>
        <w:rPr>
          <w:rFonts w:hint="eastAsia" w:eastAsia="仿宋_GB2312" w:cs="Times New Roman"/>
          <w:sz w:val="32"/>
          <w:szCs w:val="32"/>
          <w:lang w:val="en-US" w:eastAsia="zh-CN"/>
        </w:rPr>
        <w:t>286.19</w:t>
      </w:r>
      <w:r>
        <w:rPr>
          <w:rFonts w:hint="default" w:ascii="Times New Roman" w:hAnsi="Times New Roman" w:eastAsia="仿宋_GB2312" w:cs="Times New Roman"/>
          <w:sz w:val="32"/>
          <w:szCs w:val="32"/>
        </w:rPr>
        <w:t>万元，用于保障</w:t>
      </w:r>
      <w:r>
        <w:rPr>
          <w:rFonts w:hint="eastAsia" w:ascii="Times New Roman" w:hAnsi="Times New Roman" w:eastAsia="仿宋_GB2312" w:cs="Times New Roman"/>
          <w:sz w:val="32"/>
          <w:szCs w:val="32"/>
          <w:lang w:eastAsia="zh-CN"/>
        </w:rPr>
        <w:t>中心</w:t>
      </w:r>
      <w:r>
        <w:rPr>
          <w:rFonts w:hint="default" w:ascii="Times New Roman" w:hAnsi="Times New Roman" w:eastAsia="仿宋_GB2312" w:cs="Times New Roman"/>
          <w:sz w:val="32"/>
          <w:szCs w:val="32"/>
        </w:rPr>
        <w:t>日常运转。</w:t>
      </w:r>
    </w:p>
    <w:p w14:paraId="7CBE8E7D">
      <w:pPr>
        <w:keepNext w:val="0"/>
        <w:keepLines w:val="0"/>
        <w:pageBreakBefore w:val="0"/>
        <w:widowControl w:val="0"/>
        <w:shd w:val="clear" w:color="auto" w:fill="FFFFFF"/>
        <w:kinsoku/>
        <w:wordWrap/>
        <w:overflowPunct/>
        <w:topLinePunct/>
        <w:autoSpaceDE w:val="0"/>
        <w:autoSpaceDN/>
        <w:bidi w:val="0"/>
        <w:adjustRightInd/>
        <w:spacing w:line="600" w:lineRule="exact"/>
        <w:ind w:left="0" w:firstLine="640" w:firstLineChars="200"/>
        <w:jc w:val="both"/>
        <w:textAlignment w:val="auto"/>
        <w:rPr>
          <w:rFonts w:hint="default" w:ascii="Times New Roman" w:hAnsi="Times New Roman" w:eastAsia="仿宋_GB2312" w:cs="Times New Roman"/>
          <w:color w:val="666666"/>
          <w:sz w:val="32"/>
          <w:szCs w:val="32"/>
        </w:rPr>
      </w:pPr>
      <w:r>
        <w:rPr>
          <w:rFonts w:hint="default" w:ascii="Times New Roman" w:hAnsi="Times New Roman" w:eastAsia="仿宋_GB2312" w:cs="Times New Roman"/>
          <w:sz w:val="32"/>
          <w:szCs w:val="32"/>
        </w:rPr>
        <w:t>基本支出主要用于中心正常运转、完成工作发生的各项支出，包括基本工资、津贴补贴、绩效工资等人员经费和办公费、差旅费、印刷费、水电费、会议费、培训费、公务用车运行维护等日常公用经费以及对个人和家庭的补助支出。</w:t>
      </w:r>
    </w:p>
    <w:p w14:paraId="490A7BA9">
      <w:pPr>
        <w:pStyle w:val="9"/>
        <w:keepNext w:val="0"/>
        <w:keepLines w:val="0"/>
        <w:pageBreakBefore w:val="0"/>
        <w:widowControl w:val="0"/>
        <w:shd w:val="clear" w:color="auto" w:fill="FFFFFF"/>
        <w:kinsoku/>
        <w:wordWrap/>
        <w:overflowPunct/>
        <w:topLinePunct/>
        <w:autoSpaceDE w:val="0"/>
        <w:autoSpaceDN/>
        <w:bidi w:val="0"/>
        <w:adjustRightInd/>
        <w:snapToGrid w:val="0"/>
        <w:spacing w:before="0" w:beforeAutospacing="0" w:after="0" w:afterAutospacing="0" w:line="600" w:lineRule="exact"/>
        <w:ind w:left="0" w:firstLine="640" w:firstLineChars="200"/>
        <w:jc w:val="both"/>
        <w:textAlignment w:val="auto"/>
        <w:rPr>
          <w:rFonts w:hint="default" w:ascii="Times New Roman" w:hAnsi="Times New Roman" w:eastAsia="仿宋_GB2312" w:cs="Times New Roman"/>
          <w:b/>
          <w:color w:val="000000"/>
          <w:sz w:val="32"/>
          <w:szCs w:val="32"/>
        </w:rPr>
      </w:pPr>
      <w:r>
        <w:rPr>
          <w:rFonts w:hint="default" w:ascii="Times New Roman" w:hAnsi="Times New Roman" w:eastAsia="仿宋_GB2312" w:cs="Times New Roman"/>
          <w:sz w:val="32"/>
          <w:szCs w:val="32"/>
        </w:rPr>
        <w:t>中心机关、管理部财务支出实行“统一管理、统一制度、统一核算”的原则。中心机关、管理部的人员经费由中心统一管理。人员经费严格按照相关文件标准、范围控制，不超标准、超范围发放工资、奖金，按时、足额、准确发放每月工资。</w:t>
      </w:r>
    </w:p>
    <w:p w14:paraId="70F7989C">
      <w:pPr>
        <w:keepNext w:val="0"/>
        <w:keepLines w:val="0"/>
        <w:pageBreakBefore w:val="0"/>
        <w:widowControl w:val="0"/>
        <w:kinsoku/>
        <w:wordWrap/>
        <w:overflowPunct/>
        <w:topLinePunct/>
        <w:autoSpaceDE w:val="0"/>
        <w:autoSpaceDN/>
        <w:bidi w:val="0"/>
        <w:adjustRightInd/>
        <w:spacing w:line="600" w:lineRule="exact"/>
        <w:ind w:left="0"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公用经费管理方面，严格执行中央“八项规定”、纠“四风”要求和省委“九项规定”及市委市政府的有关规定，全面贯彻落实《党政机关厉行节约反对浪费条例》，树立过“紧日子”思想，厉行节约，严格控制各项公用经费开支。中心每年年初按财政批复的预算确定各管理部公用费用指标，管理部按照中心下达的公用经费预算执行，费用支出控制在每一项指标内，严禁先斩后奏和超预算支出。</w:t>
      </w:r>
    </w:p>
    <w:p w14:paraId="5BDFB1B5">
      <w:pPr>
        <w:pStyle w:val="9"/>
        <w:keepNext w:val="0"/>
        <w:keepLines w:val="0"/>
        <w:pageBreakBefore w:val="0"/>
        <w:widowControl w:val="0"/>
        <w:shd w:val="clear" w:color="auto" w:fill="FFFFFF"/>
        <w:kinsoku/>
        <w:wordWrap/>
        <w:overflowPunct/>
        <w:topLinePunct/>
        <w:autoSpaceDE w:val="0"/>
        <w:autoSpaceDN/>
        <w:bidi w:val="0"/>
        <w:adjustRightInd/>
        <w:snapToGrid w:val="0"/>
        <w:spacing w:before="0" w:beforeAutospacing="0" w:after="0" w:afterAutospacing="0" w:line="600" w:lineRule="exact"/>
        <w:ind w:left="0" w:firstLine="643" w:firstLineChars="200"/>
        <w:jc w:val="both"/>
        <w:textAlignment w:val="auto"/>
        <w:rPr>
          <w:rFonts w:hint="default" w:ascii="Times New Roman" w:hAnsi="Times New Roman" w:eastAsia="仿宋_GB2312" w:cs="Times New Roman"/>
          <w:b/>
          <w:color w:val="000000"/>
          <w:sz w:val="32"/>
          <w:szCs w:val="32"/>
        </w:rPr>
      </w:pPr>
      <w:r>
        <w:rPr>
          <w:rFonts w:hint="eastAsia" w:ascii="Times New Roman" w:hAnsi="Times New Roman" w:eastAsia="仿宋_GB2312" w:cs="Times New Roman"/>
          <w:b/>
          <w:color w:val="000000"/>
          <w:sz w:val="32"/>
          <w:szCs w:val="32"/>
          <w:shd w:val="clear" w:color="auto" w:fill="FFFFFF"/>
          <w:lang w:eastAsia="zh-CN"/>
        </w:rPr>
        <w:t>“</w:t>
      </w:r>
      <w:r>
        <w:rPr>
          <w:rFonts w:hint="default" w:ascii="Times New Roman" w:hAnsi="Times New Roman" w:eastAsia="仿宋_GB2312" w:cs="Times New Roman"/>
          <w:b/>
          <w:color w:val="000000"/>
          <w:sz w:val="32"/>
          <w:szCs w:val="32"/>
          <w:shd w:val="clear" w:color="auto" w:fill="FFFFFF"/>
        </w:rPr>
        <w:t>三公</w:t>
      </w:r>
      <w:r>
        <w:rPr>
          <w:rFonts w:hint="eastAsia" w:ascii="Times New Roman" w:hAnsi="Times New Roman" w:eastAsia="仿宋_GB2312" w:cs="Times New Roman"/>
          <w:b/>
          <w:color w:val="000000"/>
          <w:sz w:val="32"/>
          <w:szCs w:val="32"/>
          <w:shd w:val="clear" w:color="auto" w:fill="FFFFFF"/>
          <w:lang w:eastAsia="zh-CN"/>
        </w:rPr>
        <w:t>”</w:t>
      </w:r>
      <w:r>
        <w:rPr>
          <w:rFonts w:hint="default" w:ascii="Times New Roman" w:hAnsi="Times New Roman" w:eastAsia="仿宋_GB2312" w:cs="Times New Roman"/>
          <w:b/>
          <w:color w:val="000000"/>
          <w:sz w:val="32"/>
          <w:szCs w:val="32"/>
          <w:shd w:val="clear" w:color="auto" w:fill="FFFFFF"/>
        </w:rPr>
        <w:t>经费使用和管理情况</w:t>
      </w:r>
    </w:p>
    <w:p w14:paraId="0C22697B">
      <w:pPr>
        <w:keepNext w:val="0"/>
        <w:keepLines w:val="0"/>
        <w:pageBreakBefore w:val="0"/>
        <w:widowControl w:val="0"/>
        <w:kinsoku/>
        <w:wordWrap/>
        <w:overflowPunct/>
        <w:topLinePunct/>
        <w:autoSpaceDE w:val="0"/>
        <w:autoSpaceDN/>
        <w:bidi w:val="0"/>
        <w:adjustRightInd/>
        <w:spacing w:line="600" w:lineRule="exact"/>
        <w:ind w:left="0" w:firstLine="640" w:firstLineChars="200"/>
        <w:jc w:val="both"/>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sz w:val="32"/>
          <w:szCs w:val="32"/>
        </w:rPr>
        <w:t>推进“三公”经费管理制度化、规范化、程序化，严格落实“三公”经费管理各项要求。</w:t>
      </w:r>
      <w:r>
        <w:rPr>
          <w:rFonts w:hint="eastAsia" w:eastAsia="仿宋_GB2312" w:cs="Times New Roman"/>
          <w:sz w:val="32"/>
          <w:szCs w:val="32"/>
          <w:lang w:eastAsia="zh-CN"/>
        </w:rPr>
        <w:t>2025</w:t>
      </w:r>
      <w:r>
        <w:rPr>
          <w:rFonts w:hint="default" w:ascii="Times New Roman" w:hAnsi="Times New Roman" w:eastAsia="仿宋_GB2312" w:cs="Times New Roman"/>
          <w:sz w:val="32"/>
          <w:szCs w:val="32"/>
        </w:rPr>
        <w:t>年我</w:t>
      </w:r>
      <w:r>
        <w:rPr>
          <w:rFonts w:hint="eastAsia" w:ascii="Times New Roman" w:hAnsi="Times New Roman" w:eastAsia="仿宋_GB2312" w:cs="Times New Roman"/>
          <w:sz w:val="32"/>
          <w:szCs w:val="32"/>
          <w:lang w:eastAsia="zh-CN"/>
        </w:rPr>
        <w:t>中心</w:t>
      </w:r>
      <w:r>
        <w:rPr>
          <w:rFonts w:hint="eastAsia" w:eastAsia="仿宋_GB2312" w:cs="Times New Roman"/>
          <w:sz w:val="32"/>
          <w:szCs w:val="32"/>
          <w:lang w:eastAsia="zh-CN"/>
        </w:rPr>
        <w:t>“三公”经费</w:t>
      </w:r>
      <w:r>
        <w:rPr>
          <w:rFonts w:hint="default" w:ascii="Times New Roman" w:hAnsi="Times New Roman" w:eastAsia="仿宋_GB2312" w:cs="Times New Roman"/>
          <w:sz w:val="32"/>
          <w:szCs w:val="32"/>
        </w:rPr>
        <w:t>支出2</w:t>
      </w:r>
      <w:r>
        <w:rPr>
          <w:rFonts w:hint="eastAsia" w:eastAsia="仿宋_GB2312" w:cs="Times New Roman"/>
          <w:sz w:val="32"/>
          <w:szCs w:val="32"/>
          <w:lang w:val="en-US" w:eastAsia="zh-CN"/>
        </w:rPr>
        <w:t>1</w:t>
      </w:r>
      <w:r>
        <w:rPr>
          <w:rFonts w:hint="default" w:ascii="Times New Roman" w:hAnsi="Times New Roman" w:eastAsia="仿宋_GB2312" w:cs="Times New Roman"/>
          <w:sz w:val="32"/>
          <w:szCs w:val="32"/>
        </w:rPr>
        <w:t>万元，比上年</w:t>
      </w:r>
      <w:r>
        <w:rPr>
          <w:rFonts w:hint="eastAsia" w:eastAsia="仿宋_GB2312" w:cs="Times New Roman"/>
          <w:sz w:val="32"/>
          <w:szCs w:val="32"/>
          <w:lang w:eastAsia="zh-CN"/>
        </w:rPr>
        <w:t>减少</w:t>
      </w:r>
      <w:r>
        <w:rPr>
          <w:rFonts w:hint="eastAsia" w:eastAsia="仿宋_GB2312" w:cs="Times New Roman"/>
          <w:sz w:val="32"/>
          <w:szCs w:val="32"/>
          <w:lang w:val="en-US" w:eastAsia="zh-CN"/>
        </w:rPr>
        <w:t>6.61</w:t>
      </w:r>
      <w:r>
        <w:rPr>
          <w:rFonts w:hint="default" w:ascii="Times New Roman" w:hAnsi="Times New Roman" w:eastAsia="仿宋_GB2312" w:cs="Times New Roman"/>
          <w:sz w:val="32"/>
          <w:szCs w:val="32"/>
        </w:rPr>
        <w:t>万元，其中：因公出国（境）费0万元，与上年一致；公务用车购置及运行费</w:t>
      </w:r>
      <w:r>
        <w:rPr>
          <w:rFonts w:hint="eastAsia" w:eastAsia="仿宋_GB2312" w:cs="Times New Roman"/>
          <w:sz w:val="32"/>
          <w:szCs w:val="32"/>
          <w:lang w:val="en-US" w:eastAsia="zh-CN"/>
        </w:rPr>
        <w:t>21</w:t>
      </w:r>
      <w:r>
        <w:rPr>
          <w:rFonts w:hint="default" w:ascii="Times New Roman" w:hAnsi="Times New Roman" w:eastAsia="仿宋_GB2312" w:cs="Times New Roman"/>
          <w:sz w:val="32"/>
          <w:szCs w:val="32"/>
        </w:rPr>
        <w:t>万元，比上年</w:t>
      </w:r>
      <w:r>
        <w:rPr>
          <w:rFonts w:hint="eastAsia" w:eastAsia="仿宋_GB2312" w:cs="Times New Roman"/>
          <w:sz w:val="32"/>
          <w:szCs w:val="32"/>
          <w:lang w:eastAsia="zh-CN"/>
        </w:rPr>
        <w:t>减少</w:t>
      </w:r>
      <w:r>
        <w:rPr>
          <w:rFonts w:hint="eastAsia" w:eastAsia="仿宋_GB2312" w:cs="Times New Roman"/>
          <w:sz w:val="32"/>
          <w:szCs w:val="32"/>
          <w:lang w:val="en-US" w:eastAsia="zh-CN"/>
        </w:rPr>
        <w:t>5.82万元</w:t>
      </w:r>
      <w:r>
        <w:rPr>
          <w:rFonts w:hint="default" w:ascii="Times New Roman" w:hAnsi="Times New Roman" w:eastAsia="仿宋_GB2312" w:cs="Times New Roman"/>
          <w:color w:val="000000"/>
          <w:sz w:val="32"/>
          <w:szCs w:val="32"/>
        </w:rPr>
        <w:t>；</w:t>
      </w:r>
      <w:r>
        <w:rPr>
          <w:rFonts w:hint="default" w:ascii="Times New Roman" w:hAnsi="Times New Roman" w:eastAsia="仿宋_GB2312" w:cs="Times New Roman"/>
          <w:sz w:val="32"/>
          <w:szCs w:val="32"/>
        </w:rPr>
        <w:t>公务接待</w:t>
      </w:r>
      <w:r>
        <w:rPr>
          <w:rFonts w:hint="eastAsia" w:eastAsia="仿宋_GB2312" w:cs="Times New Roman"/>
          <w:sz w:val="32"/>
          <w:szCs w:val="32"/>
          <w:lang w:val="en-US" w:eastAsia="zh-CN"/>
        </w:rPr>
        <w:t>0</w:t>
      </w:r>
      <w:r>
        <w:rPr>
          <w:rFonts w:hint="default" w:ascii="Times New Roman" w:hAnsi="Times New Roman" w:eastAsia="仿宋_GB2312" w:cs="Times New Roman"/>
          <w:sz w:val="32"/>
          <w:szCs w:val="32"/>
        </w:rPr>
        <w:t>万元，比上年</w:t>
      </w:r>
      <w:r>
        <w:rPr>
          <w:rFonts w:hint="eastAsia" w:eastAsia="仿宋_GB2312" w:cs="Times New Roman"/>
          <w:sz w:val="32"/>
          <w:szCs w:val="32"/>
          <w:lang w:eastAsia="zh-CN"/>
        </w:rPr>
        <w:t>减少</w:t>
      </w:r>
      <w:r>
        <w:rPr>
          <w:rFonts w:hint="eastAsia" w:eastAsia="仿宋_GB2312" w:cs="Times New Roman"/>
          <w:sz w:val="32"/>
          <w:szCs w:val="32"/>
          <w:lang w:val="en-US" w:eastAsia="zh-CN"/>
        </w:rPr>
        <w:t>0.79</w:t>
      </w:r>
      <w:r>
        <w:rPr>
          <w:rFonts w:hint="default" w:ascii="Times New Roman" w:hAnsi="Times New Roman" w:eastAsia="仿宋_GB2312" w:cs="Times New Roman"/>
          <w:sz w:val="32"/>
          <w:szCs w:val="32"/>
        </w:rPr>
        <w:t>万元。</w:t>
      </w:r>
      <w:r>
        <w:rPr>
          <w:rFonts w:hint="eastAsia" w:eastAsia="仿宋_GB2312" w:cs="Times New Roman"/>
          <w:color w:val="000000"/>
          <w:sz w:val="32"/>
          <w:szCs w:val="32"/>
          <w:lang w:eastAsia="zh-CN"/>
        </w:rPr>
        <w:t>减少</w:t>
      </w:r>
      <w:r>
        <w:rPr>
          <w:rFonts w:hint="default" w:ascii="Times New Roman" w:hAnsi="Times New Roman" w:eastAsia="仿宋_GB2312" w:cs="Times New Roman"/>
          <w:color w:val="000000"/>
          <w:sz w:val="32"/>
          <w:szCs w:val="32"/>
        </w:rPr>
        <w:t>原因主要在于</w:t>
      </w:r>
      <w:r>
        <w:rPr>
          <w:rFonts w:hint="eastAsia" w:eastAsia="仿宋_GB2312" w:cs="Times New Roman"/>
          <w:color w:val="000000"/>
          <w:sz w:val="32"/>
          <w:szCs w:val="32"/>
          <w:lang w:eastAsia="zh-CN"/>
        </w:rPr>
        <w:t>：严格落实厉行节约各项规定，公务用车出行需求有所减少</w:t>
      </w:r>
      <w:r>
        <w:rPr>
          <w:rFonts w:hint="default" w:ascii="Times New Roman" w:hAnsi="Times New Roman" w:eastAsia="仿宋_GB2312" w:cs="Times New Roman"/>
          <w:color w:val="000000"/>
          <w:sz w:val="32"/>
          <w:szCs w:val="32"/>
        </w:rPr>
        <w:t>。</w:t>
      </w:r>
    </w:p>
    <w:p w14:paraId="3297E736">
      <w:pPr>
        <w:keepNext w:val="0"/>
        <w:keepLines w:val="0"/>
        <w:pageBreakBefore w:val="0"/>
        <w:widowControl w:val="0"/>
        <w:shd w:val="clear" w:color="auto" w:fill="FFFFFF"/>
        <w:kinsoku/>
        <w:wordWrap/>
        <w:overflowPunct/>
        <w:topLinePunct/>
        <w:autoSpaceDE w:val="0"/>
        <w:autoSpaceDN/>
        <w:bidi w:val="0"/>
        <w:adjustRightInd/>
        <w:spacing w:line="600" w:lineRule="exact"/>
        <w:ind w:left="0" w:firstLine="632" w:firstLineChars="200"/>
        <w:jc w:val="both"/>
        <w:textAlignment w:val="auto"/>
        <w:rPr>
          <w:rFonts w:hint="default" w:ascii="Times New Roman" w:hAnsi="Times New Roman" w:eastAsia="楷体_GB2312" w:cs="Times New Roman"/>
          <w:b w:val="0"/>
          <w:bCs/>
          <w:spacing w:val="-2"/>
          <w:sz w:val="32"/>
          <w:szCs w:val="32"/>
        </w:rPr>
      </w:pPr>
      <w:r>
        <w:rPr>
          <w:rFonts w:hint="default" w:ascii="Times New Roman" w:hAnsi="Times New Roman" w:eastAsia="楷体_GB2312" w:cs="Times New Roman"/>
          <w:b w:val="0"/>
          <w:bCs/>
          <w:spacing w:val="-2"/>
          <w:sz w:val="32"/>
          <w:szCs w:val="32"/>
        </w:rPr>
        <w:t>（二）项目支出</w:t>
      </w:r>
    </w:p>
    <w:p w14:paraId="07774ED7">
      <w:pPr>
        <w:keepNext w:val="0"/>
        <w:keepLines w:val="0"/>
        <w:pageBreakBefore w:val="0"/>
        <w:widowControl w:val="0"/>
        <w:shd w:val="clear" w:color="auto" w:fill="FFFFFF"/>
        <w:kinsoku/>
        <w:wordWrap/>
        <w:overflowPunct/>
        <w:topLinePunct/>
        <w:autoSpaceDE w:val="0"/>
        <w:autoSpaceDN/>
        <w:bidi w:val="0"/>
        <w:adjustRightInd/>
        <w:spacing w:line="600" w:lineRule="exact"/>
        <w:ind w:left="0" w:firstLine="640" w:firstLineChars="200"/>
        <w:jc w:val="both"/>
        <w:textAlignment w:val="auto"/>
        <w:rPr>
          <w:rFonts w:hint="default" w:ascii="Times New Roman" w:hAnsi="Times New Roman" w:eastAsia="仿宋_GB2312" w:cs="Times New Roman"/>
          <w:color w:val="FF0000"/>
          <w:sz w:val="32"/>
          <w:szCs w:val="32"/>
        </w:rPr>
      </w:pPr>
      <w:r>
        <w:rPr>
          <w:rFonts w:hint="default" w:ascii="Times New Roman" w:hAnsi="Times New Roman" w:eastAsia="仿宋_GB2312" w:cs="Times New Roman"/>
          <w:sz w:val="32"/>
          <w:szCs w:val="32"/>
        </w:rPr>
        <w:t>中心是纳入部门预算的自收自支公益一类事业单位，专项资金性质是财政资金，来源为自筹资金。</w:t>
      </w:r>
    </w:p>
    <w:p w14:paraId="37666F0B">
      <w:pPr>
        <w:keepNext w:val="0"/>
        <w:keepLines w:val="0"/>
        <w:pageBreakBefore w:val="0"/>
        <w:widowControl w:val="0"/>
        <w:shd w:val="clear" w:color="auto" w:fill="FFFFFF"/>
        <w:kinsoku/>
        <w:wordWrap/>
        <w:overflowPunct/>
        <w:topLinePunct/>
        <w:autoSpaceDE w:val="0"/>
        <w:autoSpaceDN/>
        <w:bidi w:val="0"/>
        <w:adjustRightInd/>
        <w:spacing w:line="600" w:lineRule="exact"/>
        <w:ind w:left="0" w:firstLine="640" w:firstLineChars="200"/>
        <w:jc w:val="both"/>
        <w:textAlignment w:val="auto"/>
        <w:rPr>
          <w:rFonts w:hint="eastAsia" w:ascii="Times New Roman" w:hAnsi="Times New Roman" w:eastAsia="仿宋_GB2312" w:cs="Times New Roman"/>
          <w:sz w:val="32"/>
          <w:szCs w:val="32"/>
          <w:lang w:eastAsia="zh-CN"/>
        </w:rPr>
      </w:pPr>
      <w:r>
        <w:rPr>
          <w:rFonts w:hint="eastAsia" w:eastAsia="仿宋_GB2312" w:cs="Times New Roman"/>
          <w:sz w:val="32"/>
          <w:szCs w:val="32"/>
          <w:lang w:eastAsia="zh-CN"/>
        </w:rPr>
        <w:t>2025</w:t>
      </w:r>
      <w:r>
        <w:rPr>
          <w:rFonts w:hint="default" w:ascii="Times New Roman" w:hAnsi="Times New Roman" w:eastAsia="仿宋_GB2312" w:cs="Times New Roman"/>
          <w:sz w:val="32"/>
          <w:szCs w:val="32"/>
        </w:rPr>
        <w:t>年年初预算安排专项资金</w:t>
      </w:r>
      <w:r>
        <w:rPr>
          <w:rFonts w:hint="eastAsia" w:eastAsia="仿宋_GB2312" w:cs="Times New Roman"/>
          <w:sz w:val="32"/>
          <w:szCs w:val="32"/>
          <w:lang w:val="en-US" w:eastAsia="zh-CN"/>
        </w:rPr>
        <w:t>1393.74</w:t>
      </w:r>
      <w:r>
        <w:rPr>
          <w:rFonts w:hint="default" w:ascii="Times New Roman" w:hAnsi="Times New Roman" w:eastAsia="仿宋_GB2312" w:cs="Times New Roman"/>
          <w:sz w:val="32"/>
          <w:szCs w:val="32"/>
        </w:rPr>
        <w:t>万元，</w:t>
      </w:r>
      <w:r>
        <w:rPr>
          <w:rFonts w:hint="default" w:ascii="Times New Roman" w:hAnsi="Times New Roman" w:eastAsia="仿宋_GB2312" w:cs="Times New Roman"/>
          <w:color w:val="FF0000"/>
          <w:sz w:val="32"/>
          <w:szCs w:val="32"/>
        </w:rPr>
        <w:t xml:space="preserve"> </w:t>
      </w:r>
      <w:r>
        <w:rPr>
          <w:rFonts w:hint="eastAsia" w:eastAsia="仿宋_GB2312" w:cs="Times New Roman"/>
          <w:sz w:val="32"/>
          <w:szCs w:val="32"/>
          <w:lang w:eastAsia="zh-CN"/>
        </w:rPr>
        <w:t>2025</w:t>
      </w:r>
      <w:r>
        <w:rPr>
          <w:rFonts w:hint="default" w:ascii="Times New Roman" w:hAnsi="Times New Roman" w:eastAsia="仿宋_GB2312" w:cs="Times New Roman"/>
          <w:sz w:val="32"/>
          <w:szCs w:val="32"/>
        </w:rPr>
        <w:t>年调整预算后安排下达专项资金</w:t>
      </w:r>
      <w:r>
        <w:rPr>
          <w:rFonts w:hint="eastAsia" w:eastAsia="仿宋_GB2312" w:cs="Times New Roman"/>
          <w:sz w:val="32"/>
          <w:szCs w:val="32"/>
          <w:lang w:val="en-US" w:eastAsia="zh-CN"/>
        </w:rPr>
        <w:t>1088.57</w:t>
      </w:r>
      <w:r>
        <w:rPr>
          <w:rFonts w:hint="default" w:ascii="Times New Roman" w:hAnsi="Times New Roman" w:eastAsia="仿宋_GB2312" w:cs="Times New Roman"/>
          <w:sz w:val="32"/>
          <w:szCs w:val="32"/>
        </w:rPr>
        <w:t>万元，实际支出</w:t>
      </w:r>
      <w:r>
        <w:rPr>
          <w:rFonts w:hint="eastAsia" w:eastAsia="仿宋_GB2312" w:cs="Times New Roman"/>
          <w:sz w:val="32"/>
          <w:szCs w:val="32"/>
          <w:lang w:val="en-US" w:eastAsia="zh-CN"/>
        </w:rPr>
        <w:t>645.13</w:t>
      </w:r>
      <w:r>
        <w:rPr>
          <w:rFonts w:hint="default" w:ascii="Times New Roman" w:hAnsi="Times New Roman" w:eastAsia="仿宋_GB2312" w:cs="Times New Roman"/>
          <w:sz w:val="32"/>
          <w:szCs w:val="32"/>
        </w:rPr>
        <w:t>万元，一共涉及</w:t>
      </w:r>
      <w:r>
        <w:rPr>
          <w:rFonts w:hint="eastAsia" w:eastAsia="仿宋_GB2312" w:cs="Times New Roman"/>
          <w:sz w:val="32"/>
          <w:szCs w:val="32"/>
          <w:lang w:val="en-US" w:eastAsia="zh-CN"/>
        </w:rPr>
        <w:t>13</w:t>
      </w:r>
      <w:r>
        <w:rPr>
          <w:rFonts w:hint="default" w:ascii="Times New Roman" w:hAnsi="Times New Roman" w:eastAsia="仿宋_GB2312" w:cs="Times New Roman"/>
          <w:sz w:val="32"/>
          <w:szCs w:val="32"/>
        </w:rPr>
        <w:t>个项目。</w:t>
      </w:r>
    </w:p>
    <w:p w14:paraId="3A923020">
      <w:pPr>
        <w:pStyle w:val="20"/>
        <w:keepNext w:val="0"/>
        <w:keepLines w:val="0"/>
        <w:pageBreakBefore w:val="0"/>
        <w:widowControl w:val="0"/>
        <w:kinsoku/>
        <w:wordWrap/>
        <w:overflowPunct/>
        <w:topLinePunct/>
        <w:autoSpaceDE w:val="0"/>
        <w:autoSpaceDN/>
        <w:bidi w:val="0"/>
        <w:adjustRightInd/>
        <w:spacing w:line="600" w:lineRule="exact"/>
        <w:ind w:left="0" w:firstLine="640" w:firstLineChars="200"/>
        <w:jc w:val="both"/>
        <w:textAlignment w:val="auto"/>
        <w:rPr>
          <w:rFonts w:hint="default"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中心</w:t>
      </w:r>
      <w:r>
        <w:rPr>
          <w:rFonts w:hint="default" w:ascii="Times New Roman" w:hAnsi="Times New Roman" w:eastAsia="仿宋_GB2312" w:cs="Times New Roman"/>
          <w:sz w:val="32"/>
          <w:szCs w:val="32"/>
        </w:rPr>
        <w:t>制订了《怀化市住房公积金管理中心专项资金管理暂行办法》《怀化市住房公积金管理中心预决算管理办法》等，</w:t>
      </w:r>
      <w:r>
        <w:rPr>
          <w:rFonts w:hint="eastAsia" w:ascii="Times New Roman" w:hAnsi="Times New Roman" w:eastAsia="仿宋_GB2312" w:cs="Times New Roman"/>
          <w:sz w:val="32"/>
          <w:szCs w:val="32"/>
          <w:lang w:eastAsia="zh-CN"/>
        </w:rPr>
        <w:t>中心</w:t>
      </w:r>
      <w:r>
        <w:rPr>
          <w:rFonts w:hint="default" w:ascii="Times New Roman" w:hAnsi="Times New Roman" w:eastAsia="仿宋_GB2312" w:cs="Times New Roman"/>
          <w:sz w:val="32"/>
          <w:szCs w:val="32"/>
        </w:rPr>
        <w:t>的项目资金管理均按照上述办法严格执行，项目资金使用实行先收后支、专款专用的原则。</w:t>
      </w:r>
    </w:p>
    <w:p w14:paraId="78B764C0">
      <w:pPr>
        <w:pStyle w:val="20"/>
        <w:keepNext w:val="0"/>
        <w:keepLines w:val="0"/>
        <w:pageBreakBefore w:val="0"/>
        <w:widowControl w:val="0"/>
        <w:kinsoku/>
        <w:wordWrap/>
        <w:overflowPunct/>
        <w:topLinePunct/>
        <w:autoSpaceDE w:val="0"/>
        <w:autoSpaceDN/>
        <w:bidi w:val="0"/>
        <w:adjustRightInd/>
        <w:spacing w:line="600" w:lineRule="exact"/>
        <w:ind w:left="0"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专项资金使用实行申报制度。根据预算批复文件，专项资金在预算金额内专款专用。需要使用专项资金时，由项目管理部门向财务部提交有关专项资金用款计划，项目实施有关文件及领导批示等文本资料。财务部门根据上述文本资料进行初审，报财务主管领导审批后提交到财政归口科室审核，经财政下指标后,按照项目进度及合同约定支付。</w:t>
      </w:r>
    </w:p>
    <w:p w14:paraId="65EF83BC">
      <w:pPr>
        <w:keepNext w:val="0"/>
        <w:keepLines w:val="0"/>
        <w:pageBreakBefore w:val="0"/>
        <w:widowControl w:val="0"/>
        <w:shd w:val="clear" w:color="auto" w:fill="FFFFFF"/>
        <w:kinsoku/>
        <w:wordWrap/>
        <w:overflowPunct/>
        <w:topLinePunct/>
        <w:autoSpaceDE w:val="0"/>
        <w:autoSpaceDN/>
        <w:bidi w:val="0"/>
        <w:adjustRightInd/>
        <w:spacing w:line="600" w:lineRule="exact"/>
        <w:ind w:left="0" w:firstLine="632" w:firstLineChars="200"/>
        <w:jc w:val="both"/>
        <w:textAlignment w:val="auto"/>
        <w:rPr>
          <w:rFonts w:hint="default" w:ascii="Times New Roman" w:hAnsi="Times New Roman" w:eastAsia="黑体" w:cs="Times New Roman"/>
          <w:b w:val="0"/>
          <w:bCs/>
          <w:spacing w:val="-2"/>
          <w:sz w:val="32"/>
          <w:szCs w:val="32"/>
        </w:rPr>
      </w:pPr>
      <w:r>
        <w:rPr>
          <w:rFonts w:hint="default" w:ascii="Times New Roman" w:hAnsi="Times New Roman" w:eastAsia="黑体" w:cs="Times New Roman"/>
          <w:b w:val="0"/>
          <w:bCs/>
          <w:spacing w:val="-2"/>
          <w:sz w:val="32"/>
          <w:szCs w:val="32"/>
        </w:rPr>
        <w:t>三、项目组织实施情况</w:t>
      </w:r>
    </w:p>
    <w:p w14:paraId="0DFD74DD">
      <w:pPr>
        <w:pStyle w:val="20"/>
        <w:keepNext w:val="0"/>
        <w:keepLines w:val="0"/>
        <w:pageBreakBefore w:val="0"/>
        <w:widowControl w:val="0"/>
        <w:kinsoku/>
        <w:wordWrap/>
        <w:overflowPunct/>
        <w:topLinePunct/>
        <w:autoSpaceDE w:val="0"/>
        <w:autoSpaceDN/>
        <w:bidi w:val="0"/>
        <w:adjustRightInd/>
        <w:spacing w:line="600" w:lineRule="exact"/>
        <w:ind w:left="0"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项目严格按照“申报-审批-实施-验收”流程推进。由项目部门按照年初财政下达的项目资金预算来进行采购，经</w:t>
      </w:r>
      <w:r>
        <w:rPr>
          <w:rFonts w:hint="eastAsia" w:ascii="Times New Roman" w:hAnsi="Times New Roman" w:eastAsia="仿宋_GB2312" w:cs="Times New Roman"/>
          <w:sz w:val="32"/>
          <w:szCs w:val="32"/>
          <w:lang w:eastAsia="zh-CN"/>
        </w:rPr>
        <w:t>中心</w:t>
      </w:r>
      <w:r>
        <w:rPr>
          <w:rFonts w:hint="default" w:ascii="Times New Roman" w:hAnsi="Times New Roman" w:eastAsia="仿宋_GB2312" w:cs="Times New Roman"/>
          <w:sz w:val="32"/>
          <w:szCs w:val="32"/>
        </w:rPr>
        <w:t>党委会会议</w:t>
      </w:r>
      <w:r>
        <w:rPr>
          <w:rFonts w:hint="eastAsia" w:ascii="Times New Roman" w:hAnsi="Times New Roman" w:eastAsia="仿宋_GB2312" w:cs="Times New Roman"/>
          <w:sz w:val="32"/>
          <w:szCs w:val="32"/>
          <w:lang w:eastAsia="zh-CN"/>
        </w:rPr>
        <w:t>研究同意</w:t>
      </w:r>
      <w:r>
        <w:rPr>
          <w:rFonts w:hint="default" w:ascii="Times New Roman" w:hAnsi="Times New Roman" w:eastAsia="仿宋_GB2312" w:cs="Times New Roman"/>
          <w:sz w:val="32"/>
          <w:szCs w:val="32"/>
        </w:rPr>
        <w:t>后实行，并按照政府采购程序签订合同。项目实施验收完成后，由项目部门向财务部提交有关项目报销附件。财务部门根据上述报销资料进行初审，报财务分管领导审批后提交到财政归口科室审核，经财政下</w:t>
      </w:r>
      <w:r>
        <w:rPr>
          <w:rFonts w:hint="eastAsia" w:ascii="Times New Roman" w:hAnsi="Times New Roman" w:eastAsia="仿宋_GB2312" w:cs="Times New Roman"/>
          <w:sz w:val="32"/>
          <w:szCs w:val="32"/>
          <w:lang w:eastAsia="zh-CN"/>
        </w:rPr>
        <w:t>达</w:t>
      </w:r>
      <w:r>
        <w:rPr>
          <w:rFonts w:hint="default" w:ascii="Times New Roman" w:hAnsi="Times New Roman" w:eastAsia="仿宋_GB2312" w:cs="Times New Roman"/>
          <w:sz w:val="32"/>
          <w:szCs w:val="32"/>
        </w:rPr>
        <w:t>指标后,按照项目进度及合同约定支付。资金支出严格执行“三重一大”决策制度，严格按照专款专用原则支付项目资金。</w:t>
      </w:r>
    </w:p>
    <w:p w14:paraId="0A6C33B0">
      <w:pPr>
        <w:keepNext w:val="0"/>
        <w:keepLines w:val="0"/>
        <w:pageBreakBefore w:val="0"/>
        <w:widowControl w:val="0"/>
        <w:shd w:val="clear" w:color="auto" w:fill="FFFFFF"/>
        <w:kinsoku/>
        <w:wordWrap/>
        <w:overflowPunct/>
        <w:topLinePunct/>
        <w:autoSpaceDE w:val="0"/>
        <w:autoSpaceDN/>
        <w:bidi w:val="0"/>
        <w:adjustRightInd/>
        <w:spacing w:line="600" w:lineRule="exact"/>
        <w:ind w:left="0" w:firstLine="632" w:firstLineChars="200"/>
        <w:jc w:val="both"/>
        <w:textAlignment w:val="auto"/>
        <w:rPr>
          <w:rFonts w:hint="default" w:ascii="Times New Roman" w:hAnsi="Times New Roman" w:eastAsia="黑体" w:cs="Times New Roman"/>
          <w:b w:val="0"/>
          <w:bCs/>
          <w:spacing w:val="-2"/>
          <w:sz w:val="32"/>
          <w:szCs w:val="32"/>
        </w:rPr>
      </w:pPr>
      <w:r>
        <w:rPr>
          <w:rFonts w:hint="default" w:ascii="Times New Roman" w:hAnsi="Times New Roman" w:eastAsia="黑体" w:cs="Times New Roman"/>
          <w:b w:val="0"/>
          <w:bCs/>
          <w:spacing w:val="-2"/>
          <w:sz w:val="32"/>
          <w:szCs w:val="32"/>
        </w:rPr>
        <w:t>四、资产管理情况</w:t>
      </w:r>
    </w:p>
    <w:p w14:paraId="76205BAB">
      <w:pPr>
        <w:keepNext w:val="0"/>
        <w:keepLines w:val="0"/>
        <w:pageBreakBefore w:val="0"/>
        <w:widowControl w:val="0"/>
        <w:kinsoku/>
        <w:wordWrap/>
        <w:overflowPunct/>
        <w:topLinePunct/>
        <w:autoSpaceDE w:val="0"/>
        <w:autoSpaceDN/>
        <w:bidi w:val="0"/>
        <w:adjustRightInd/>
        <w:spacing w:line="600" w:lineRule="exact"/>
        <w:ind w:left="0"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资产配置、管理、处置程序严格遵循各项要求。 资产配置有预算，各部门购置固定资产时，需事先向综合部申报。综合部根据存量资产的使用情况、预算上限及配置标准，按照能内部调剂优先调剂使用，确需采购从严从紧购置的原则来进行资产配置。经</w:t>
      </w:r>
      <w:r>
        <w:rPr>
          <w:rFonts w:hint="eastAsia" w:eastAsia="仿宋_GB2312" w:cs="Times New Roman"/>
          <w:sz w:val="32"/>
          <w:szCs w:val="32"/>
          <w:lang w:eastAsia="zh-CN"/>
        </w:rPr>
        <w:t>市</w:t>
      </w:r>
      <w:r>
        <w:rPr>
          <w:rFonts w:hint="default" w:ascii="Times New Roman" w:hAnsi="Times New Roman" w:eastAsia="仿宋_GB2312" w:cs="Times New Roman"/>
          <w:sz w:val="32"/>
          <w:szCs w:val="32"/>
        </w:rPr>
        <w:t>机关事务局或</w:t>
      </w:r>
      <w:r>
        <w:rPr>
          <w:rFonts w:hint="eastAsia" w:eastAsia="仿宋_GB2312" w:cs="Times New Roman"/>
          <w:sz w:val="32"/>
          <w:szCs w:val="32"/>
          <w:lang w:eastAsia="zh-CN"/>
        </w:rPr>
        <w:t>市</w:t>
      </w:r>
      <w:r>
        <w:rPr>
          <w:rFonts w:hint="default" w:ascii="Times New Roman" w:hAnsi="Times New Roman" w:eastAsia="仿宋_GB2312" w:cs="Times New Roman"/>
          <w:sz w:val="32"/>
          <w:szCs w:val="32"/>
        </w:rPr>
        <w:t>财政资产</w:t>
      </w:r>
      <w:r>
        <w:rPr>
          <w:rFonts w:hint="eastAsia" w:eastAsia="仿宋_GB2312" w:cs="Times New Roman"/>
          <w:sz w:val="32"/>
          <w:szCs w:val="32"/>
          <w:lang w:eastAsia="zh-CN"/>
        </w:rPr>
        <w:t>管理</w:t>
      </w:r>
      <w:r>
        <w:rPr>
          <w:rFonts w:hint="default" w:ascii="Times New Roman" w:hAnsi="Times New Roman" w:eastAsia="仿宋_GB2312" w:cs="Times New Roman"/>
          <w:sz w:val="32"/>
          <w:szCs w:val="32"/>
        </w:rPr>
        <w:t>科审批后进行采购。在资产购置验收环节，由综合部会同财务部、机关纪委专人联合验收，涉及信息类的软硬件购置要求科技信息部一同参与验收。资产处置严格按财政部令第36号、第71号、第68号的规定执行。未达到最低使用年限的资产，不得处置更新，因规定技术指标无法使用、损坏无法修复等需要提前报废的资产，国家有规定的，由职能部门出具鉴定意见；暂未规定的，应经综合部和科技信息部鉴定，并严格按照资产处置有关规定办理审批手续。已达到规定使用年限，但尚可继续使用的资产，应继续使用，充分发挥国有资产的使用效益。</w:t>
      </w:r>
    </w:p>
    <w:p w14:paraId="721A3548">
      <w:pPr>
        <w:keepNext w:val="0"/>
        <w:keepLines w:val="0"/>
        <w:pageBreakBefore w:val="0"/>
        <w:widowControl w:val="0"/>
        <w:shd w:val="clear" w:color="auto" w:fill="FFFFFF"/>
        <w:kinsoku/>
        <w:wordWrap/>
        <w:overflowPunct/>
        <w:topLinePunct/>
        <w:autoSpaceDE w:val="0"/>
        <w:autoSpaceDN/>
        <w:bidi w:val="0"/>
        <w:adjustRightInd/>
        <w:spacing w:line="600" w:lineRule="exact"/>
        <w:ind w:left="0" w:firstLine="632" w:firstLineChars="200"/>
        <w:jc w:val="both"/>
        <w:textAlignment w:val="auto"/>
        <w:rPr>
          <w:rFonts w:hint="default" w:ascii="Times New Roman" w:hAnsi="Times New Roman" w:eastAsia="黑体" w:cs="Times New Roman"/>
          <w:b w:val="0"/>
          <w:bCs/>
          <w:spacing w:val="-2"/>
          <w:sz w:val="32"/>
          <w:szCs w:val="32"/>
        </w:rPr>
      </w:pPr>
      <w:r>
        <w:rPr>
          <w:rFonts w:hint="default" w:ascii="Times New Roman" w:hAnsi="Times New Roman" w:eastAsia="黑体" w:cs="Times New Roman"/>
          <w:b w:val="0"/>
          <w:bCs/>
          <w:spacing w:val="-2"/>
          <w:sz w:val="32"/>
          <w:szCs w:val="32"/>
        </w:rPr>
        <w:t>五、政府性基金预算支出情况</w:t>
      </w:r>
    </w:p>
    <w:p w14:paraId="53F1CFD5">
      <w:pPr>
        <w:pStyle w:val="9"/>
        <w:keepNext w:val="0"/>
        <w:keepLines w:val="0"/>
        <w:pageBreakBefore w:val="0"/>
        <w:widowControl w:val="0"/>
        <w:shd w:val="clear" w:color="auto" w:fill="FFFFFF"/>
        <w:kinsoku/>
        <w:wordWrap/>
        <w:overflowPunct/>
        <w:topLinePunct/>
        <w:autoSpaceDE w:val="0"/>
        <w:autoSpaceDN/>
        <w:bidi w:val="0"/>
        <w:adjustRightInd/>
        <w:snapToGrid w:val="0"/>
        <w:spacing w:before="0" w:beforeAutospacing="0" w:after="0" w:afterAutospacing="0" w:line="600" w:lineRule="exact"/>
        <w:ind w:left="0" w:firstLine="640" w:firstLineChars="200"/>
        <w:jc w:val="both"/>
        <w:textAlignment w:val="auto"/>
        <w:rPr>
          <w:rFonts w:hint="default" w:ascii="Times New Roman" w:hAnsi="Times New Roman" w:eastAsia="仿宋_GB2312" w:cs="Times New Roman"/>
          <w:kern w:val="2"/>
          <w:sz w:val="32"/>
          <w:szCs w:val="32"/>
        </w:rPr>
      </w:pPr>
      <w:r>
        <w:rPr>
          <w:rFonts w:hint="default" w:ascii="Times New Roman" w:hAnsi="Times New Roman" w:eastAsia="仿宋_GB2312" w:cs="Times New Roman"/>
          <w:kern w:val="2"/>
          <w:sz w:val="32"/>
          <w:szCs w:val="32"/>
        </w:rPr>
        <w:t>无。</w:t>
      </w:r>
    </w:p>
    <w:p w14:paraId="663D4641">
      <w:pPr>
        <w:keepNext w:val="0"/>
        <w:keepLines w:val="0"/>
        <w:pageBreakBefore w:val="0"/>
        <w:widowControl w:val="0"/>
        <w:shd w:val="clear" w:color="auto" w:fill="FFFFFF"/>
        <w:kinsoku/>
        <w:wordWrap/>
        <w:overflowPunct/>
        <w:topLinePunct/>
        <w:autoSpaceDE w:val="0"/>
        <w:autoSpaceDN/>
        <w:bidi w:val="0"/>
        <w:adjustRightInd/>
        <w:spacing w:line="600" w:lineRule="exact"/>
        <w:ind w:left="0" w:firstLine="632" w:firstLineChars="200"/>
        <w:jc w:val="both"/>
        <w:textAlignment w:val="auto"/>
        <w:rPr>
          <w:rFonts w:hint="default" w:ascii="Times New Roman" w:hAnsi="Times New Roman" w:eastAsia="黑体" w:cs="Times New Roman"/>
          <w:b w:val="0"/>
          <w:bCs/>
          <w:spacing w:val="-2"/>
          <w:sz w:val="32"/>
          <w:szCs w:val="32"/>
        </w:rPr>
      </w:pPr>
      <w:r>
        <w:rPr>
          <w:rFonts w:hint="default" w:ascii="Times New Roman" w:hAnsi="Times New Roman" w:eastAsia="黑体" w:cs="Times New Roman"/>
          <w:b w:val="0"/>
          <w:bCs/>
          <w:spacing w:val="-2"/>
          <w:sz w:val="32"/>
          <w:szCs w:val="32"/>
        </w:rPr>
        <w:t>六、国有资本经营预算支出情况</w:t>
      </w:r>
    </w:p>
    <w:p w14:paraId="479F88BF">
      <w:pPr>
        <w:pStyle w:val="9"/>
        <w:keepNext w:val="0"/>
        <w:keepLines w:val="0"/>
        <w:pageBreakBefore w:val="0"/>
        <w:widowControl w:val="0"/>
        <w:shd w:val="clear" w:color="auto" w:fill="FFFFFF"/>
        <w:kinsoku/>
        <w:wordWrap/>
        <w:overflowPunct/>
        <w:topLinePunct/>
        <w:autoSpaceDE w:val="0"/>
        <w:autoSpaceDN/>
        <w:bidi w:val="0"/>
        <w:adjustRightInd/>
        <w:snapToGrid w:val="0"/>
        <w:spacing w:before="0" w:beforeAutospacing="0" w:after="0" w:afterAutospacing="0" w:line="600" w:lineRule="exact"/>
        <w:ind w:left="0" w:firstLine="640" w:firstLineChars="200"/>
        <w:jc w:val="both"/>
        <w:textAlignment w:val="auto"/>
        <w:rPr>
          <w:rFonts w:hint="default" w:ascii="Times New Roman" w:hAnsi="Times New Roman" w:eastAsia="仿宋_GB2312" w:cs="Times New Roman"/>
          <w:kern w:val="2"/>
          <w:sz w:val="32"/>
          <w:szCs w:val="32"/>
        </w:rPr>
      </w:pPr>
      <w:r>
        <w:rPr>
          <w:rFonts w:hint="default" w:ascii="Times New Roman" w:hAnsi="Times New Roman" w:eastAsia="仿宋_GB2312" w:cs="Times New Roman"/>
          <w:kern w:val="2"/>
          <w:sz w:val="32"/>
          <w:szCs w:val="32"/>
        </w:rPr>
        <w:t>无。</w:t>
      </w:r>
    </w:p>
    <w:p w14:paraId="2F4D5381">
      <w:pPr>
        <w:keepNext w:val="0"/>
        <w:keepLines w:val="0"/>
        <w:pageBreakBefore w:val="0"/>
        <w:widowControl w:val="0"/>
        <w:shd w:val="clear" w:color="auto" w:fill="FFFFFF"/>
        <w:kinsoku/>
        <w:wordWrap/>
        <w:overflowPunct/>
        <w:topLinePunct/>
        <w:autoSpaceDE w:val="0"/>
        <w:autoSpaceDN/>
        <w:bidi w:val="0"/>
        <w:adjustRightInd/>
        <w:spacing w:line="600" w:lineRule="exact"/>
        <w:ind w:left="0" w:firstLine="632" w:firstLineChars="200"/>
        <w:jc w:val="both"/>
        <w:textAlignment w:val="auto"/>
        <w:rPr>
          <w:rFonts w:hint="default" w:ascii="Times New Roman" w:hAnsi="Times New Roman" w:eastAsia="黑体" w:cs="Times New Roman"/>
          <w:b w:val="0"/>
          <w:bCs/>
          <w:spacing w:val="-2"/>
          <w:sz w:val="32"/>
          <w:szCs w:val="32"/>
        </w:rPr>
      </w:pPr>
      <w:r>
        <w:rPr>
          <w:rFonts w:hint="default" w:ascii="Times New Roman" w:hAnsi="Times New Roman" w:eastAsia="黑体" w:cs="Times New Roman"/>
          <w:b w:val="0"/>
          <w:bCs/>
          <w:spacing w:val="-2"/>
          <w:sz w:val="32"/>
          <w:szCs w:val="32"/>
        </w:rPr>
        <w:t>七、社会保险基金预算支出情况</w:t>
      </w:r>
    </w:p>
    <w:p w14:paraId="517E6E1F">
      <w:pPr>
        <w:pStyle w:val="9"/>
        <w:keepNext w:val="0"/>
        <w:keepLines w:val="0"/>
        <w:pageBreakBefore w:val="0"/>
        <w:widowControl w:val="0"/>
        <w:shd w:val="clear" w:color="auto" w:fill="FFFFFF"/>
        <w:kinsoku/>
        <w:wordWrap/>
        <w:overflowPunct/>
        <w:topLinePunct/>
        <w:autoSpaceDE w:val="0"/>
        <w:autoSpaceDN/>
        <w:bidi w:val="0"/>
        <w:adjustRightInd/>
        <w:snapToGrid w:val="0"/>
        <w:spacing w:before="0" w:beforeAutospacing="0" w:after="0" w:afterAutospacing="0" w:line="600" w:lineRule="exact"/>
        <w:ind w:left="0" w:firstLine="640" w:firstLineChars="200"/>
        <w:jc w:val="both"/>
        <w:textAlignment w:val="auto"/>
        <w:rPr>
          <w:rFonts w:hint="default" w:ascii="Times New Roman" w:hAnsi="Times New Roman" w:eastAsia="仿宋_GB2312" w:cs="Times New Roman"/>
          <w:kern w:val="2"/>
          <w:sz w:val="32"/>
          <w:szCs w:val="32"/>
        </w:rPr>
      </w:pPr>
      <w:r>
        <w:rPr>
          <w:rFonts w:hint="default" w:ascii="Times New Roman" w:hAnsi="Times New Roman" w:eastAsia="仿宋_GB2312" w:cs="Times New Roman"/>
          <w:kern w:val="2"/>
          <w:sz w:val="32"/>
          <w:szCs w:val="32"/>
        </w:rPr>
        <w:t>无。</w:t>
      </w:r>
    </w:p>
    <w:p w14:paraId="12F12F47">
      <w:pPr>
        <w:keepNext w:val="0"/>
        <w:keepLines w:val="0"/>
        <w:pageBreakBefore w:val="0"/>
        <w:widowControl w:val="0"/>
        <w:shd w:val="clear" w:color="auto" w:fill="FFFFFF"/>
        <w:kinsoku/>
        <w:wordWrap/>
        <w:overflowPunct/>
        <w:topLinePunct/>
        <w:autoSpaceDE w:val="0"/>
        <w:autoSpaceDN/>
        <w:bidi w:val="0"/>
        <w:adjustRightInd/>
        <w:spacing w:line="600" w:lineRule="exact"/>
        <w:ind w:left="0" w:firstLine="632" w:firstLineChars="200"/>
        <w:jc w:val="both"/>
        <w:textAlignment w:val="auto"/>
        <w:rPr>
          <w:rFonts w:hint="default" w:ascii="Times New Roman" w:hAnsi="Times New Roman" w:eastAsia="黑体" w:cs="Times New Roman"/>
          <w:b w:val="0"/>
          <w:bCs/>
          <w:spacing w:val="-2"/>
          <w:sz w:val="32"/>
          <w:szCs w:val="32"/>
        </w:rPr>
      </w:pPr>
      <w:r>
        <w:rPr>
          <w:rFonts w:hint="default" w:ascii="Times New Roman" w:hAnsi="Times New Roman" w:eastAsia="黑体" w:cs="Times New Roman"/>
          <w:b w:val="0"/>
          <w:bCs/>
          <w:spacing w:val="-2"/>
          <w:sz w:val="32"/>
          <w:szCs w:val="32"/>
        </w:rPr>
        <w:t>八、部门整体支出绩效情况</w:t>
      </w:r>
    </w:p>
    <w:p w14:paraId="18907183">
      <w:pPr>
        <w:keepNext w:val="0"/>
        <w:keepLines w:val="0"/>
        <w:pageBreakBefore w:val="0"/>
        <w:widowControl w:val="0"/>
        <w:pBdr>
          <w:bottom w:val="single" w:color="FFFFFF" w:sz="4" w:space="31"/>
        </w:pBdr>
        <w:kinsoku/>
        <w:wordWrap/>
        <w:overflowPunct/>
        <w:topLinePunct/>
        <w:autoSpaceDE w:val="0"/>
        <w:autoSpaceDN/>
        <w:bidi w:val="0"/>
        <w:adjustRightInd/>
        <w:snapToGrid w:val="0"/>
        <w:spacing w:line="600" w:lineRule="exact"/>
        <w:ind w:left="0" w:firstLine="643" w:firstLineChars="200"/>
        <w:jc w:val="both"/>
        <w:textAlignment w:val="auto"/>
        <w:rPr>
          <w:rFonts w:hint="default" w:ascii="Times New Roman" w:hAnsi="Times New Roman" w:eastAsia="仿宋_GB2312" w:cs="Times New Roman"/>
          <w:b/>
          <w:bCs/>
          <w:color w:val="000000"/>
          <w:sz w:val="32"/>
          <w:szCs w:val="32"/>
        </w:rPr>
      </w:pPr>
      <w:r>
        <w:rPr>
          <w:rFonts w:hint="default" w:ascii="Times New Roman" w:hAnsi="Times New Roman" w:eastAsia="仿宋_GB2312" w:cs="Times New Roman"/>
          <w:b/>
          <w:bCs/>
          <w:snapToGrid w:val="0"/>
          <w:color w:val="000000"/>
          <w:sz w:val="32"/>
          <w:szCs w:val="32"/>
        </w:rPr>
        <w:t>从整体绩效目标设定情况分析</w:t>
      </w:r>
      <w:r>
        <w:rPr>
          <w:rFonts w:hint="eastAsia" w:eastAsia="仿宋_GB2312" w:cs="Times New Roman"/>
          <w:b/>
          <w:bCs/>
          <w:snapToGrid w:val="0"/>
          <w:color w:val="000000"/>
          <w:sz w:val="32"/>
          <w:szCs w:val="32"/>
          <w:lang w:eastAsia="zh-CN"/>
        </w:rPr>
        <w:t>：</w:t>
      </w:r>
      <w:r>
        <w:rPr>
          <w:rFonts w:hint="default" w:ascii="Times New Roman" w:hAnsi="Times New Roman" w:eastAsia="仿宋_GB2312" w:cs="Times New Roman"/>
          <w:b/>
          <w:bCs/>
          <w:color w:val="000000"/>
          <w:sz w:val="32"/>
          <w:szCs w:val="32"/>
        </w:rPr>
        <w:t xml:space="preserve">      </w:t>
      </w:r>
    </w:p>
    <w:p w14:paraId="49512262">
      <w:pPr>
        <w:keepNext w:val="0"/>
        <w:keepLines w:val="0"/>
        <w:pageBreakBefore w:val="0"/>
        <w:widowControl w:val="0"/>
        <w:pBdr>
          <w:bottom w:val="single" w:color="FFFFFF" w:sz="4" w:space="31"/>
        </w:pBdr>
        <w:kinsoku/>
        <w:wordWrap/>
        <w:overflowPunct/>
        <w:topLinePunct/>
        <w:autoSpaceDE w:val="0"/>
        <w:autoSpaceDN/>
        <w:bidi w:val="0"/>
        <w:adjustRightInd/>
        <w:snapToGrid w:val="0"/>
        <w:spacing w:line="600" w:lineRule="exact"/>
        <w:ind w:left="0"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①住房公积金归集</w:t>
      </w:r>
      <w:r>
        <w:rPr>
          <w:rFonts w:hint="eastAsia" w:eastAsia="仿宋_GB2312" w:cs="Times New Roman"/>
          <w:sz w:val="32"/>
          <w:szCs w:val="32"/>
          <w:lang w:val="en-US" w:eastAsia="zh-CN"/>
        </w:rPr>
        <w:t>44.88</w:t>
      </w:r>
      <w:r>
        <w:rPr>
          <w:rFonts w:hint="default" w:ascii="Times New Roman" w:hAnsi="Times New Roman" w:eastAsia="仿宋_GB2312" w:cs="Times New Roman"/>
          <w:sz w:val="32"/>
          <w:szCs w:val="32"/>
        </w:rPr>
        <w:t>亿元，同比增长</w:t>
      </w:r>
      <w:r>
        <w:rPr>
          <w:rFonts w:hint="eastAsia" w:eastAsia="仿宋_GB2312" w:cs="Times New Roman"/>
          <w:sz w:val="32"/>
          <w:szCs w:val="32"/>
          <w:lang w:val="en-US" w:eastAsia="zh-CN"/>
        </w:rPr>
        <w:t>3.29</w:t>
      </w:r>
      <w:r>
        <w:rPr>
          <w:rFonts w:hint="default" w:ascii="Times New Roman" w:hAnsi="Times New Roman" w:eastAsia="仿宋_GB2312" w:cs="Times New Roman"/>
          <w:sz w:val="32"/>
          <w:szCs w:val="32"/>
        </w:rPr>
        <w:t>%，累计缴存总额</w:t>
      </w:r>
      <w:r>
        <w:rPr>
          <w:rFonts w:hint="eastAsia" w:eastAsia="仿宋_GB2312" w:cs="Times New Roman"/>
          <w:sz w:val="32"/>
          <w:szCs w:val="32"/>
          <w:lang w:val="en-US" w:eastAsia="zh-CN"/>
        </w:rPr>
        <w:t>439.39</w:t>
      </w:r>
      <w:r>
        <w:rPr>
          <w:rFonts w:hint="default" w:ascii="Times New Roman" w:hAnsi="Times New Roman" w:eastAsia="仿宋_GB2312" w:cs="Times New Roman"/>
          <w:sz w:val="32"/>
          <w:szCs w:val="32"/>
        </w:rPr>
        <w:t>亿元，缴存余额</w:t>
      </w:r>
      <w:r>
        <w:rPr>
          <w:rFonts w:hint="eastAsia" w:eastAsia="仿宋_GB2312" w:cs="Times New Roman"/>
          <w:sz w:val="32"/>
          <w:szCs w:val="32"/>
          <w:lang w:val="en-US" w:eastAsia="zh-CN"/>
        </w:rPr>
        <w:t>178.64</w:t>
      </w:r>
      <w:r>
        <w:rPr>
          <w:rFonts w:hint="default" w:ascii="Times New Roman" w:hAnsi="Times New Roman" w:eastAsia="仿宋_GB2312" w:cs="Times New Roman"/>
          <w:sz w:val="32"/>
          <w:szCs w:val="32"/>
        </w:rPr>
        <w:t>亿元；②发放个人住房贷款</w:t>
      </w:r>
      <w:r>
        <w:rPr>
          <w:rFonts w:hint="eastAsia" w:eastAsia="仿宋_GB2312" w:cs="Times New Roman"/>
          <w:sz w:val="32"/>
          <w:szCs w:val="32"/>
          <w:lang w:val="en-US" w:eastAsia="zh-CN"/>
        </w:rPr>
        <w:t>2137</w:t>
      </w:r>
      <w:r>
        <w:rPr>
          <w:rFonts w:hint="default" w:ascii="Times New Roman" w:hAnsi="Times New Roman" w:eastAsia="仿宋_GB2312" w:cs="Times New Roman"/>
          <w:sz w:val="32"/>
          <w:szCs w:val="32"/>
        </w:rPr>
        <w:t>笔共</w:t>
      </w:r>
      <w:r>
        <w:rPr>
          <w:rFonts w:hint="eastAsia" w:eastAsia="仿宋_GB2312" w:cs="Times New Roman"/>
          <w:sz w:val="32"/>
          <w:szCs w:val="32"/>
          <w:lang w:val="en-US" w:eastAsia="zh-CN"/>
        </w:rPr>
        <w:t>7.56</w:t>
      </w:r>
      <w:r>
        <w:rPr>
          <w:rFonts w:hint="default" w:ascii="Times New Roman" w:hAnsi="Times New Roman" w:eastAsia="仿宋_GB2312" w:cs="Times New Roman"/>
          <w:sz w:val="32"/>
          <w:szCs w:val="32"/>
        </w:rPr>
        <w:t>亿元，</w:t>
      </w:r>
      <w:r>
        <w:rPr>
          <w:rFonts w:hint="eastAsia" w:eastAsia="仿宋_GB2312" w:cs="Times New Roman"/>
          <w:sz w:val="32"/>
          <w:szCs w:val="32"/>
          <w:lang w:eastAsia="zh-CN"/>
        </w:rPr>
        <w:t>超额完成年初计划</w:t>
      </w:r>
      <w:r>
        <w:rPr>
          <w:rFonts w:hint="eastAsia" w:eastAsia="仿宋_GB2312" w:cs="Times New Roman"/>
          <w:sz w:val="32"/>
          <w:szCs w:val="32"/>
          <w:lang w:val="en-US" w:eastAsia="zh-CN"/>
        </w:rPr>
        <w:t>0.66亿元，</w:t>
      </w:r>
      <w:r>
        <w:rPr>
          <w:rFonts w:hint="default" w:ascii="Times New Roman" w:hAnsi="Times New Roman" w:eastAsia="仿宋_GB2312" w:cs="Times New Roman"/>
          <w:sz w:val="32"/>
          <w:szCs w:val="32"/>
        </w:rPr>
        <w:t>同比下降</w:t>
      </w:r>
      <w:r>
        <w:rPr>
          <w:rFonts w:hint="eastAsia" w:eastAsia="仿宋_GB2312" w:cs="Times New Roman"/>
          <w:sz w:val="32"/>
          <w:szCs w:val="32"/>
          <w:lang w:val="en-US" w:eastAsia="zh-CN"/>
        </w:rPr>
        <w:t>23.79</w:t>
      </w:r>
      <w:r>
        <w:rPr>
          <w:rFonts w:hint="default" w:ascii="Times New Roman" w:hAnsi="Times New Roman" w:eastAsia="仿宋_GB2312" w:cs="Times New Roman"/>
          <w:sz w:val="32"/>
          <w:szCs w:val="32"/>
        </w:rPr>
        <w:t>%，</w:t>
      </w:r>
      <w:r>
        <w:rPr>
          <w:rFonts w:hint="eastAsia" w:eastAsia="仿宋_GB2312" w:cs="Times New Roman"/>
          <w:sz w:val="32"/>
          <w:szCs w:val="32"/>
          <w:lang w:eastAsia="zh-CN"/>
        </w:rPr>
        <w:t>累计发放个人住房贷款</w:t>
      </w:r>
      <w:r>
        <w:rPr>
          <w:rFonts w:hint="eastAsia" w:eastAsia="仿宋_GB2312" w:cs="Times New Roman"/>
          <w:sz w:val="32"/>
          <w:szCs w:val="32"/>
          <w:lang w:val="en-US" w:eastAsia="zh-CN"/>
        </w:rPr>
        <w:t>250.84亿元，个人贷款余额为111.61亿元，</w:t>
      </w:r>
      <w:r>
        <w:rPr>
          <w:rFonts w:hint="default" w:ascii="Times New Roman" w:hAnsi="Times New Roman" w:eastAsia="仿宋_GB2312" w:cs="Times New Roman"/>
          <w:sz w:val="32"/>
          <w:szCs w:val="32"/>
        </w:rPr>
        <w:t>个贷率为</w:t>
      </w:r>
      <w:r>
        <w:rPr>
          <w:rFonts w:hint="eastAsia" w:eastAsia="仿宋_GB2312" w:cs="Times New Roman"/>
          <w:sz w:val="32"/>
          <w:szCs w:val="32"/>
          <w:lang w:val="en-US" w:eastAsia="zh-CN"/>
        </w:rPr>
        <w:t>62.48</w:t>
      </w:r>
      <w:r>
        <w:rPr>
          <w:rFonts w:hint="default" w:ascii="Times New Roman" w:hAnsi="Times New Roman" w:eastAsia="仿宋_GB2312" w:cs="Times New Roman"/>
          <w:sz w:val="32"/>
          <w:szCs w:val="32"/>
        </w:rPr>
        <w:t>%；③</w:t>
      </w:r>
      <w:r>
        <w:rPr>
          <w:rFonts w:hint="eastAsia" w:eastAsia="仿宋_GB2312" w:cs="Times New Roman"/>
          <w:sz w:val="32"/>
          <w:szCs w:val="32"/>
          <w:lang w:eastAsia="zh-CN"/>
        </w:rPr>
        <w:t>办理公积金提取</w:t>
      </w:r>
      <w:r>
        <w:rPr>
          <w:rFonts w:hint="eastAsia" w:eastAsia="仿宋_GB2312" w:cs="Times New Roman"/>
          <w:sz w:val="32"/>
          <w:szCs w:val="32"/>
          <w:lang w:val="en-US" w:eastAsia="zh-CN"/>
        </w:rPr>
        <w:t>29.5亿元，同比下降10.93%</w:t>
      </w:r>
      <w:r>
        <w:rPr>
          <w:rFonts w:hint="default" w:ascii="Times New Roman" w:hAnsi="Times New Roman" w:eastAsia="仿宋_GB2312" w:cs="Times New Roman"/>
          <w:sz w:val="32"/>
          <w:szCs w:val="32"/>
        </w:rPr>
        <w:t>；④</w:t>
      </w:r>
      <w:r>
        <w:rPr>
          <w:rFonts w:hint="eastAsia" w:eastAsia="仿宋_GB2312" w:cs="Times New Roman"/>
          <w:sz w:val="32"/>
          <w:szCs w:val="32"/>
          <w:lang w:eastAsia="zh-CN"/>
        </w:rPr>
        <w:t>为</w:t>
      </w:r>
      <w:r>
        <w:rPr>
          <w:rFonts w:hint="eastAsia" w:eastAsia="仿宋_GB2312" w:cs="Times New Roman"/>
          <w:sz w:val="32"/>
          <w:szCs w:val="32"/>
          <w:lang w:val="en-US" w:eastAsia="zh-CN"/>
        </w:rPr>
        <w:t>25.74万名缴存职工年度结息2.42亿元，同比增长7.6%；⑤全市住房公积金个贷逾期总额为316.5万元，同比下降10.93%，个贷逾期率为0.0284%，持续稳定在省控标准0.03%以内，个贷风险准备金累计余额达1.12亿元，个人住房贷款逾期额与个人贷款风险准备金余额的比率为2.84%，资金运行安全稳健</w:t>
      </w:r>
      <w:r>
        <w:rPr>
          <w:rFonts w:hint="default" w:ascii="Times New Roman" w:hAnsi="Times New Roman" w:eastAsia="仿宋_GB2312" w:cs="Times New Roman"/>
          <w:sz w:val="32"/>
          <w:szCs w:val="32"/>
        </w:rPr>
        <w:t>。</w:t>
      </w:r>
    </w:p>
    <w:p w14:paraId="20763168">
      <w:pPr>
        <w:keepNext w:val="0"/>
        <w:keepLines w:val="0"/>
        <w:pageBreakBefore w:val="0"/>
        <w:widowControl w:val="0"/>
        <w:pBdr>
          <w:bottom w:val="single" w:color="FFFFFF" w:sz="4" w:space="31"/>
        </w:pBdr>
        <w:kinsoku/>
        <w:wordWrap/>
        <w:overflowPunct/>
        <w:topLinePunct/>
        <w:autoSpaceDE w:val="0"/>
        <w:autoSpaceDN/>
        <w:bidi w:val="0"/>
        <w:adjustRightInd/>
        <w:snapToGrid w:val="0"/>
        <w:spacing w:line="600" w:lineRule="exact"/>
        <w:ind w:left="0" w:firstLine="643" w:firstLineChars="200"/>
        <w:jc w:val="both"/>
        <w:textAlignment w:val="auto"/>
        <w:rPr>
          <w:rFonts w:hint="eastAsia" w:ascii="Times New Roman" w:hAnsi="Times New Roman" w:eastAsia="仿宋_GB2312" w:cs="Times New Roman"/>
          <w:b/>
          <w:bCs/>
          <w:sz w:val="32"/>
          <w:szCs w:val="32"/>
        </w:rPr>
      </w:pPr>
      <w:r>
        <w:rPr>
          <w:rFonts w:hint="eastAsia" w:eastAsia="仿宋_GB2312" w:cs="Times New Roman"/>
          <w:b/>
          <w:bCs/>
          <w:sz w:val="32"/>
          <w:szCs w:val="32"/>
          <w:lang w:val="en-US" w:eastAsia="zh-CN"/>
        </w:rPr>
        <w:t>1.</w:t>
      </w:r>
      <w:r>
        <w:rPr>
          <w:rFonts w:hint="eastAsia" w:ascii="Times New Roman" w:hAnsi="Times New Roman" w:eastAsia="仿宋_GB2312" w:cs="Times New Roman"/>
          <w:b/>
          <w:bCs/>
          <w:sz w:val="32"/>
          <w:szCs w:val="32"/>
        </w:rPr>
        <w:t>运行成本</w:t>
      </w:r>
    </w:p>
    <w:p w14:paraId="47B24DFA">
      <w:pPr>
        <w:keepNext w:val="0"/>
        <w:keepLines w:val="0"/>
        <w:pageBreakBefore w:val="0"/>
        <w:widowControl w:val="0"/>
        <w:pBdr>
          <w:bottom w:val="single" w:color="FFFFFF" w:sz="4" w:space="31"/>
        </w:pBdr>
        <w:kinsoku/>
        <w:wordWrap/>
        <w:overflowPunct/>
        <w:topLinePunct/>
        <w:autoSpaceDE w:val="0"/>
        <w:autoSpaceDN/>
        <w:bidi w:val="0"/>
        <w:adjustRightInd/>
        <w:snapToGrid w:val="0"/>
        <w:spacing w:line="600" w:lineRule="exact"/>
        <w:ind w:left="0" w:firstLine="640" w:firstLineChars="200"/>
        <w:jc w:val="both"/>
        <w:textAlignment w:val="auto"/>
        <w:rPr>
          <w:rFonts w:hint="default" w:ascii="Times New Roman" w:hAnsi="Times New Roman" w:eastAsia="仿宋_GB2312" w:cs="Times New Roman"/>
          <w:sz w:val="32"/>
          <w:szCs w:val="32"/>
        </w:rPr>
      </w:pPr>
      <w:r>
        <w:rPr>
          <w:rFonts w:hint="eastAsia" w:eastAsia="仿宋_GB2312" w:cs="Times New Roman"/>
          <w:sz w:val="32"/>
          <w:szCs w:val="32"/>
          <w:lang w:eastAsia="zh-CN"/>
        </w:rPr>
        <w:t>2025</w:t>
      </w:r>
      <w:r>
        <w:rPr>
          <w:rFonts w:hint="default" w:ascii="Times New Roman" w:hAnsi="Times New Roman" w:eastAsia="仿宋_GB2312" w:cs="Times New Roman"/>
          <w:sz w:val="32"/>
          <w:szCs w:val="32"/>
        </w:rPr>
        <w:t>年，全年一般公共预算财政拨款安排的基本支出</w:t>
      </w:r>
      <w:r>
        <w:rPr>
          <w:rFonts w:hint="eastAsia" w:eastAsia="仿宋_GB2312" w:cs="Times New Roman"/>
          <w:sz w:val="32"/>
          <w:szCs w:val="32"/>
          <w:lang w:val="en-US" w:eastAsia="zh-CN"/>
        </w:rPr>
        <w:t>1979.60</w:t>
      </w:r>
      <w:r>
        <w:rPr>
          <w:rFonts w:hint="default" w:ascii="Times New Roman" w:hAnsi="Times New Roman" w:eastAsia="仿宋_GB2312" w:cs="Times New Roman"/>
          <w:sz w:val="32"/>
          <w:szCs w:val="32"/>
        </w:rPr>
        <w:t>万元，其中，人员经费</w:t>
      </w:r>
      <w:r>
        <w:rPr>
          <w:rFonts w:hint="eastAsia" w:eastAsia="仿宋_GB2312" w:cs="Times New Roman"/>
          <w:sz w:val="32"/>
          <w:szCs w:val="32"/>
          <w:lang w:val="en-US" w:eastAsia="zh-CN"/>
        </w:rPr>
        <w:t>1693.41</w:t>
      </w:r>
      <w:r>
        <w:rPr>
          <w:rFonts w:hint="default" w:ascii="Times New Roman" w:hAnsi="Times New Roman" w:eastAsia="仿宋_GB2312" w:cs="Times New Roman"/>
          <w:sz w:val="32"/>
          <w:szCs w:val="32"/>
        </w:rPr>
        <w:t>万元，日常公用经费</w:t>
      </w:r>
      <w:r>
        <w:rPr>
          <w:rFonts w:hint="eastAsia" w:eastAsia="仿宋_GB2312" w:cs="Times New Roman"/>
          <w:sz w:val="32"/>
          <w:szCs w:val="32"/>
          <w:lang w:val="en-US" w:eastAsia="zh-CN"/>
        </w:rPr>
        <w:t>286.19</w:t>
      </w:r>
      <w:r>
        <w:rPr>
          <w:rFonts w:hint="default" w:ascii="Times New Roman" w:hAnsi="Times New Roman" w:eastAsia="仿宋_GB2312" w:cs="Times New Roman"/>
          <w:sz w:val="32"/>
          <w:szCs w:val="32"/>
        </w:rPr>
        <w:t>万元。根据相关工资标准支出人员经费，未超范围未超标准；严格落实中央、省、市关于压减一般性支出相关规定，坚持厉行节约，遵守国家财务管理规定，重大重点支出坚持事前审批，严格执行一般性公务支出标准，加快预算执行进度。</w:t>
      </w:r>
    </w:p>
    <w:p w14:paraId="7F9DF6C4">
      <w:pPr>
        <w:keepNext w:val="0"/>
        <w:keepLines w:val="0"/>
        <w:pageBreakBefore w:val="0"/>
        <w:widowControl w:val="0"/>
        <w:pBdr>
          <w:bottom w:val="single" w:color="FFFFFF" w:sz="4" w:space="31"/>
        </w:pBdr>
        <w:kinsoku/>
        <w:wordWrap/>
        <w:overflowPunct/>
        <w:topLinePunct/>
        <w:autoSpaceDE w:val="0"/>
        <w:autoSpaceDN/>
        <w:bidi w:val="0"/>
        <w:adjustRightInd/>
        <w:snapToGrid w:val="0"/>
        <w:spacing w:line="600" w:lineRule="exact"/>
        <w:ind w:left="0" w:firstLine="643" w:firstLineChars="200"/>
        <w:jc w:val="both"/>
        <w:textAlignment w:val="auto"/>
        <w:rPr>
          <w:rFonts w:hint="default" w:ascii="Times New Roman" w:hAnsi="Times New Roman" w:eastAsia="仿宋_GB2312" w:cs="Times New Roman"/>
          <w:b/>
          <w:bCs/>
          <w:sz w:val="32"/>
          <w:szCs w:val="32"/>
        </w:rPr>
      </w:pPr>
      <w:r>
        <w:rPr>
          <w:rFonts w:hint="eastAsia" w:eastAsia="仿宋_GB2312" w:cs="Times New Roman"/>
          <w:b/>
          <w:bCs/>
          <w:sz w:val="32"/>
          <w:szCs w:val="32"/>
          <w:lang w:val="en-US" w:eastAsia="zh-CN"/>
        </w:rPr>
        <w:t>2.</w:t>
      </w:r>
      <w:r>
        <w:rPr>
          <w:rFonts w:hint="default" w:ascii="Times New Roman" w:hAnsi="Times New Roman" w:eastAsia="仿宋_GB2312" w:cs="Times New Roman"/>
          <w:b/>
          <w:bCs/>
          <w:sz w:val="32"/>
          <w:szCs w:val="32"/>
        </w:rPr>
        <w:t>管理效率</w:t>
      </w:r>
    </w:p>
    <w:p w14:paraId="01A62877">
      <w:pPr>
        <w:keepNext w:val="0"/>
        <w:keepLines w:val="0"/>
        <w:pageBreakBefore w:val="0"/>
        <w:widowControl w:val="0"/>
        <w:pBdr>
          <w:bottom w:val="single" w:color="FFFFFF" w:sz="4" w:space="31"/>
        </w:pBdr>
        <w:kinsoku/>
        <w:wordWrap/>
        <w:overflowPunct/>
        <w:topLinePunct/>
        <w:autoSpaceDE w:val="0"/>
        <w:autoSpaceDN/>
        <w:bidi w:val="0"/>
        <w:adjustRightInd/>
        <w:snapToGrid w:val="0"/>
        <w:spacing w:line="600" w:lineRule="exact"/>
        <w:ind w:left="0" w:firstLine="640" w:firstLineChars="200"/>
        <w:jc w:val="both"/>
        <w:textAlignment w:val="auto"/>
        <w:rPr>
          <w:rFonts w:hint="default" w:ascii="Times New Roman" w:hAnsi="Times New Roman" w:eastAsia="仿宋_GB2312" w:cs="Times New Roman"/>
          <w:sz w:val="32"/>
          <w:szCs w:val="32"/>
        </w:rPr>
      </w:pPr>
      <w:r>
        <w:rPr>
          <w:rFonts w:hint="eastAsia" w:eastAsia="仿宋_GB2312" w:cs="Times New Roman"/>
          <w:sz w:val="32"/>
          <w:szCs w:val="32"/>
          <w:lang w:eastAsia="zh-CN"/>
        </w:rPr>
        <w:t>（</w:t>
      </w:r>
      <w:r>
        <w:rPr>
          <w:rFonts w:hint="eastAsia" w:eastAsia="仿宋_GB2312" w:cs="Times New Roman"/>
          <w:sz w:val="32"/>
          <w:szCs w:val="32"/>
          <w:lang w:val="en-US" w:eastAsia="zh-CN"/>
        </w:rPr>
        <w:t>1</w:t>
      </w:r>
      <w:r>
        <w:rPr>
          <w:rFonts w:hint="eastAsia" w:eastAsia="仿宋_GB2312" w:cs="Times New Roman"/>
          <w:sz w:val="32"/>
          <w:szCs w:val="32"/>
          <w:lang w:eastAsia="zh-CN"/>
        </w:rPr>
        <w:t>）</w:t>
      </w:r>
      <w:r>
        <w:rPr>
          <w:rFonts w:hint="default" w:ascii="Times New Roman" w:hAnsi="Times New Roman" w:eastAsia="仿宋_GB2312" w:cs="Times New Roman"/>
          <w:sz w:val="32"/>
          <w:szCs w:val="32"/>
        </w:rPr>
        <w:t>业务收入：</w:t>
      </w:r>
      <w:r>
        <w:rPr>
          <w:rFonts w:hint="eastAsia" w:eastAsia="仿宋_GB2312" w:cs="Times New Roman"/>
          <w:sz w:val="32"/>
          <w:szCs w:val="32"/>
          <w:lang w:eastAsia="zh-CN"/>
        </w:rPr>
        <w:t>2025</w:t>
      </w:r>
      <w:r>
        <w:rPr>
          <w:rFonts w:hint="default" w:ascii="Times New Roman" w:hAnsi="Times New Roman" w:eastAsia="仿宋_GB2312" w:cs="Times New Roman"/>
          <w:sz w:val="32"/>
          <w:szCs w:val="32"/>
        </w:rPr>
        <w:t>年，业务收入</w:t>
      </w:r>
      <w:r>
        <w:rPr>
          <w:rFonts w:hint="eastAsia" w:eastAsia="仿宋_GB2312" w:cs="Times New Roman"/>
          <w:sz w:val="32"/>
          <w:szCs w:val="32"/>
          <w:lang w:val="en-US" w:eastAsia="zh-CN"/>
        </w:rPr>
        <w:t>47211.67</w:t>
      </w:r>
      <w:r>
        <w:rPr>
          <w:rFonts w:hint="default" w:ascii="Times New Roman" w:hAnsi="Times New Roman" w:eastAsia="仿宋_GB2312" w:cs="Times New Roman"/>
          <w:sz w:val="32"/>
          <w:szCs w:val="32"/>
        </w:rPr>
        <w:t>万元，同比</w:t>
      </w:r>
      <w:r>
        <w:rPr>
          <w:rFonts w:hint="eastAsia" w:eastAsia="仿宋_GB2312" w:cs="Times New Roman"/>
          <w:sz w:val="32"/>
          <w:szCs w:val="32"/>
          <w:lang w:eastAsia="zh-CN"/>
        </w:rPr>
        <w:t>下降</w:t>
      </w:r>
      <w:r>
        <w:rPr>
          <w:rFonts w:hint="eastAsia" w:eastAsia="仿宋_GB2312" w:cs="Times New Roman"/>
          <w:sz w:val="32"/>
          <w:szCs w:val="32"/>
          <w:lang w:val="en-US" w:eastAsia="zh-CN"/>
        </w:rPr>
        <w:t>6.17</w:t>
      </w:r>
      <w:r>
        <w:rPr>
          <w:rFonts w:hint="default" w:ascii="Times New Roman" w:hAnsi="Times New Roman" w:eastAsia="仿宋_GB2312" w:cs="Times New Roman"/>
          <w:sz w:val="32"/>
          <w:szCs w:val="32"/>
        </w:rPr>
        <w:t>%。其中，存款利息</w:t>
      </w:r>
      <w:r>
        <w:rPr>
          <w:rFonts w:hint="eastAsia" w:eastAsia="仿宋_GB2312" w:cs="Times New Roman"/>
          <w:sz w:val="32"/>
          <w:szCs w:val="32"/>
          <w:lang w:val="en-US" w:eastAsia="zh-CN"/>
        </w:rPr>
        <w:t>13708.97</w:t>
      </w:r>
      <w:r>
        <w:rPr>
          <w:rFonts w:hint="default" w:ascii="Times New Roman" w:hAnsi="Times New Roman" w:eastAsia="仿宋_GB2312" w:cs="Times New Roman"/>
          <w:sz w:val="32"/>
          <w:szCs w:val="32"/>
        </w:rPr>
        <w:t>万元，委托贷款利息</w:t>
      </w:r>
      <w:r>
        <w:rPr>
          <w:rFonts w:hint="eastAsia" w:eastAsia="仿宋_GB2312" w:cs="Times New Roman"/>
          <w:sz w:val="32"/>
          <w:szCs w:val="32"/>
          <w:lang w:val="en-US" w:eastAsia="zh-CN"/>
        </w:rPr>
        <w:t>33496.32</w:t>
      </w:r>
      <w:r>
        <w:rPr>
          <w:rFonts w:hint="default" w:ascii="Times New Roman" w:hAnsi="Times New Roman" w:eastAsia="仿宋_GB2312" w:cs="Times New Roman"/>
          <w:sz w:val="32"/>
          <w:szCs w:val="32"/>
        </w:rPr>
        <w:t>万元，其他</w:t>
      </w:r>
      <w:r>
        <w:rPr>
          <w:rFonts w:hint="eastAsia" w:eastAsia="仿宋_GB2312" w:cs="Times New Roman"/>
          <w:sz w:val="32"/>
          <w:szCs w:val="32"/>
          <w:lang w:val="en-US" w:eastAsia="zh-CN"/>
        </w:rPr>
        <w:t>6.38</w:t>
      </w:r>
      <w:r>
        <w:rPr>
          <w:rFonts w:hint="default" w:ascii="Times New Roman" w:hAnsi="Times New Roman" w:eastAsia="仿宋_GB2312" w:cs="Times New Roman"/>
          <w:sz w:val="32"/>
          <w:szCs w:val="32"/>
        </w:rPr>
        <w:t>万元。</w:t>
      </w:r>
    </w:p>
    <w:p w14:paraId="6375AAAF">
      <w:pPr>
        <w:keepNext w:val="0"/>
        <w:keepLines w:val="0"/>
        <w:pageBreakBefore w:val="0"/>
        <w:widowControl w:val="0"/>
        <w:pBdr>
          <w:bottom w:val="single" w:color="FFFFFF" w:sz="4" w:space="31"/>
        </w:pBdr>
        <w:kinsoku/>
        <w:wordWrap/>
        <w:overflowPunct/>
        <w:topLinePunct/>
        <w:autoSpaceDE w:val="0"/>
        <w:autoSpaceDN/>
        <w:bidi w:val="0"/>
        <w:adjustRightInd/>
        <w:snapToGrid w:val="0"/>
        <w:spacing w:line="600" w:lineRule="exact"/>
        <w:ind w:left="0" w:firstLine="640" w:firstLineChars="200"/>
        <w:jc w:val="both"/>
        <w:textAlignment w:val="auto"/>
        <w:rPr>
          <w:rFonts w:hint="default" w:ascii="Times New Roman" w:hAnsi="Times New Roman" w:eastAsia="仿宋_GB2312" w:cs="Times New Roman"/>
          <w:sz w:val="32"/>
          <w:szCs w:val="32"/>
        </w:rPr>
      </w:pPr>
      <w:r>
        <w:rPr>
          <w:rFonts w:hint="eastAsia" w:eastAsia="仿宋_GB2312" w:cs="Times New Roman"/>
          <w:sz w:val="32"/>
          <w:szCs w:val="32"/>
          <w:lang w:eastAsia="zh-CN"/>
        </w:rPr>
        <w:t>（</w:t>
      </w:r>
      <w:r>
        <w:rPr>
          <w:rFonts w:hint="eastAsia" w:eastAsia="仿宋_GB2312" w:cs="Times New Roman"/>
          <w:sz w:val="32"/>
          <w:szCs w:val="32"/>
          <w:lang w:val="en-US" w:eastAsia="zh-CN"/>
        </w:rPr>
        <w:t>2</w:t>
      </w:r>
      <w:r>
        <w:rPr>
          <w:rFonts w:hint="eastAsia" w:eastAsia="仿宋_GB2312" w:cs="Times New Roman"/>
          <w:sz w:val="32"/>
          <w:szCs w:val="32"/>
          <w:lang w:eastAsia="zh-CN"/>
        </w:rPr>
        <w:t>）</w:t>
      </w:r>
      <w:r>
        <w:rPr>
          <w:rFonts w:hint="default" w:ascii="Times New Roman" w:hAnsi="Times New Roman" w:eastAsia="仿宋_GB2312" w:cs="Times New Roman"/>
          <w:sz w:val="32"/>
          <w:szCs w:val="32"/>
        </w:rPr>
        <w:t>业务支出：</w:t>
      </w:r>
      <w:r>
        <w:rPr>
          <w:rFonts w:hint="eastAsia" w:eastAsia="仿宋_GB2312" w:cs="Times New Roman"/>
          <w:sz w:val="32"/>
          <w:szCs w:val="32"/>
          <w:lang w:eastAsia="zh-CN"/>
        </w:rPr>
        <w:t>2025</w:t>
      </w:r>
      <w:r>
        <w:rPr>
          <w:rFonts w:hint="default" w:ascii="Times New Roman" w:hAnsi="Times New Roman" w:eastAsia="仿宋_GB2312" w:cs="Times New Roman"/>
          <w:sz w:val="32"/>
          <w:szCs w:val="32"/>
        </w:rPr>
        <w:t>年，业务支出</w:t>
      </w:r>
      <w:r>
        <w:rPr>
          <w:rFonts w:hint="eastAsia" w:eastAsia="仿宋_GB2312" w:cs="Times New Roman"/>
          <w:sz w:val="32"/>
          <w:szCs w:val="32"/>
          <w:lang w:val="en-US" w:eastAsia="zh-CN"/>
        </w:rPr>
        <w:t>25999.8</w:t>
      </w:r>
      <w:r>
        <w:rPr>
          <w:rFonts w:hint="default" w:ascii="Times New Roman" w:hAnsi="Times New Roman" w:eastAsia="仿宋_GB2312" w:cs="Times New Roman"/>
          <w:sz w:val="32"/>
          <w:szCs w:val="32"/>
        </w:rPr>
        <w:t>万元，同比增长7.</w:t>
      </w:r>
      <w:r>
        <w:rPr>
          <w:rFonts w:hint="eastAsia" w:eastAsia="仿宋_GB2312" w:cs="Times New Roman"/>
          <w:sz w:val="32"/>
          <w:szCs w:val="32"/>
          <w:lang w:val="en-US" w:eastAsia="zh-CN"/>
        </w:rPr>
        <w:t>95</w:t>
      </w:r>
      <w:r>
        <w:rPr>
          <w:rFonts w:hint="default" w:ascii="Times New Roman" w:hAnsi="Times New Roman" w:eastAsia="仿宋_GB2312" w:cs="Times New Roman"/>
          <w:sz w:val="32"/>
          <w:szCs w:val="32"/>
        </w:rPr>
        <w:t>%。其中，支付职工住房公积金利息</w:t>
      </w:r>
      <w:r>
        <w:rPr>
          <w:rFonts w:hint="eastAsia" w:eastAsia="仿宋_GB2312" w:cs="Times New Roman"/>
          <w:sz w:val="32"/>
          <w:szCs w:val="32"/>
          <w:lang w:val="en-US" w:eastAsia="zh-CN"/>
        </w:rPr>
        <w:t>25961.16</w:t>
      </w:r>
      <w:r>
        <w:rPr>
          <w:rFonts w:hint="default" w:ascii="Times New Roman" w:hAnsi="Times New Roman" w:eastAsia="仿宋_GB2312" w:cs="Times New Roman"/>
          <w:sz w:val="32"/>
          <w:szCs w:val="32"/>
        </w:rPr>
        <w:t>万元，其他</w:t>
      </w:r>
      <w:r>
        <w:rPr>
          <w:rFonts w:hint="eastAsia" w:eastAsia="仿宋_GB2312" w:cs="Times New Roman"/>
          <w:sz w:val="32"/>
          <w:szCs w:val="32"/>
          <w:lang w:val="en-US" w:eastAsia="zh-CN"/>
        </w:rPr>
        <w:t>38.64</w:t>
      </w:r>
      <w:r>
        <w:rPr>
          <w:rFonts w:hint="default" w:ascii="Times New Roman" w:hAnsi="Times New Roman" w:eastAsia="仿宋_GB2312" w:cs="Times New Roman"/>
          <w:sz w:val="32"/>
          <w:szCs w:val="32"/>
        </w:rPr>
        <w:t>万元。</w:t>
      </w:r>
    </w:p>
    <w:p w14:paraId="7AE45451">
      <w:pPr>
        <w:keepNext w:val="0"/>
        <w:keepLines w:val="0"/>
        <w:pageBreakBefore w:val="0"/>
        <w:widowControl w:val="0"/>
        <w:pBdr>
          <w:bottom w:val="single" w:color="FFFFFF" w:sz="4" w:space="31"/>
        </w:pBdr>
        <w:kinsoku/>
        <w:wordWrap/>
        <w:overflowPunct/>
        <w:topLinePunct/>
        <w:autoSpaceDE w:val="0"/>
        <w:autoSpaceDN/>
        <w:bidi w:val="0"/>
        <w:adjustRightInd/>
        <w:snapToGrid w:val="0"/>
        <w:spacing w:line="600" w:lineRule="exact"/>
        <w:ind w:left="0" w:firstLine="640" w:firstLineChars="200"/>
        <w:jc w:val="both"/>
        <w:textAlignment w:val="auto"/>
        <w:rPr>
          <w:rFonts w:hint="default" w:ascii="Times New Roman" w:hAnsi="Times New Roman" w:eastAsia="仿宋_GB2312" w:cs="Times New Roman"/>
          <w:sz w:val="32"/>
          <w:szCs w:val="32"/>
        </w:rPr>
      </w:pPr>
      <w:r>
        <w:rPr>
          <w:rFonts w:hint="eastAsia" w:eastAsia="仿宋_GB2312" w:cs="Times New Roman"/>
          <w:sz w:val="32"/>
          <w:szCs w:val="32"/>
          <w:lang w:eastAsia="zh-CN"/>
        </w:rPr>
        <w:t>（</w:t>
      </w:r>
      <w:r>
        <w:rPr>
          <w:rFonts w:hint="eastAsia" w:eastAsia="仿宋_GB2312" w:cs="Times New Roman"/>
          <w:sz w:val="32"/>
          <w:szCs w:val="32"/>
          <w:lang w:val="en-US" w:eastAsia="zh-CN"/>
        </w:rPr>
        <w:t>3</w:t>
      </w:r>
      <w:r>
        <w:rPr>
          <w:rFonts w:hint="eastAsia" w:eastAsia="仿宋_GB2312" w:cs="Times New Roman"/>
          <w:sz w:val="32"/>
          <w:szCs w:val="32"/>
          <w:lang w:eastAsia="zh-CN"/>
        </w:rPr>
        <w:t>）</w:t>
      </w:r>
      <w:r>
        <w:rPr>
          <w:rFonts w:hint="default" w:ascii="Times New Roman" w:hAnsi="Times New Roman" w:eastAsia="仿宋_GB2312" w:cs="Times New Roman"/>
          <w:sz w:val="32"/>
          <w:szCs w:val="32"/>
        </w:rPr>
        <w:t>增值收益：</w:t>
      </w:r>
      <w:r>
        <w:rPr>
          <w:rFonts w:hint="eastAsia" w:eastAsia="仿宋_GB2312" w:cs="Times New Roman"/>
          <w:sz w:val="32"/>
          <w:szCs w:val="32"/>
          <w:lang w:eastAsia="zh-CN"/>
        </w:rPr>
        <w:t>2025</w:t>
      </w:r>
      <w:r>
        <w:rPr>
          <w:rFonts w:hint="default" w:ascii="Times New Roman" w:hAnsi="Times New Roman" w:eastAsia="仿宋_GB2312" w:cs="Times New Roman"/>
          <w:sz w:val="32"/>
          <w:szCs w:val="32"/>
        </w:rPr>
        <w:t>年，增值收益</w:t>
      </w:r>
      <w:r>
        <w:rPr>
          <w:rFonts w:hint="eastAsia" w:eastAsia="仿宋_GB2312" w:cs="Times New Roman"/>
          <w:sz w:val="32"/>
          <w:szCs w:val="32"/>
          <w:lang w:val="en-US" w:eastAsia="zh-CN"/>
        </w:rPr>
        <w:t>21211.87</w:t>
      </w:r>
      <w:r>
        <w:rPr>
          <w:rFonts w:hint="default" w:ascii="Times New Roman" w:hAnsi="Times New Roman" w:eastAsia="仿宋_GB2312" w:cs="Times New Roman"/>
          <w:sz w:val="32"/>
          <w:szCs w:val="32"/>
        </w:rPr>
        <w:t>万元，同比</w:t>
      </w:r>
      <w:r>
        <w:rPr>
          <w:rFonts w:hint="eastAsia" w:eastAsia="仿宋_GB2312" w:cs="Times New Roman"/>
          <w:sz w:val="32"/>
          <w:szCs w:val="32"/>
          <w:lang w:eastAsia="zh-CN"/>
        </w:rPr>
        <w:t>下降</w:t>
      </w:r>
      <w:r>
        <w:rPr>
          <w:rFonts w:hint="eastAsia" w:eastAsia="仿宋_GB2312" w:cs="Times New Roman"/>
          <w:sz w:val="32"/>
          <w:szCs w:val="32"/>
          <w:lang w:val="en-US" w:eastAsia="zh-CN"/>
        </w:rPr>
        <w:t>19.14</w:t>
      </w:r>
      <w:r>
        <w:rPr>
          <w:rFonts w:hint="default" w:ascii="Times New Roman" w:hAnsi="Times New Roman" w:eastAsia="仿宋_GB2312" w:cs="Times New Roman"/>
          <w:sz w:val="32"/>
          <w:szCs w:val="32"/>
        </w:rPr>
        <w:t>%。</w:t>
      </w:r>
    </w:p>
    <w:p w14:paraId="6216E990">
      <w:pPr>
        <w:keepNext w:val="0"/>
        <w:keepLines w:val="0"/>
        <w:pageBreakBefore w:val="0"/>
        <w:widowControl w:val="0"/>
        <w:pBdr>
          <w:bottom w:val="single" w:color="FFFFFF" w:sz="4" w:space="31"/>
        </w:pBdr>
        <w:kinsoku/>
        <w:wordWrap/>
        <w:overflowPunct/>
        <w:topLinePunct/>
        <w:autoSpaceDE w:val="0"/>
        <w:autoSpaceDN/>
        <w:bidi w:val="0"/>
        <w:adjustRightInd/>
        <w:snapToGrid w:val="0"/>
        <w:spacing w:line="600" w:lineRule="exact"/>
        <w:ind w:left="0" w:firstLine="640" w:firstLineChars="200"/>
        <w:jc w:val="both"/>
        <w:textAlignment w:val="auto"/>
        <w:rPr>
          <w:rFonts w:hint="eastAsia" w:eastAsia="仿宋_GB2312" w:cs="Times New Roman"/>
          <w:sz w:val="32"/>
          <w:szCs w:val="32"/>
          <w:lang w:val="en-US" w:eastAsia="zh-CN"/>
        </w:rPr>
      </w:pPr>
      <w:r>
        <w:rPr>
          <w:rFonts w:hint="eastAsia" w:eastAsia="仿宋_GB2312" w:cs="Times New Roman"/>
          <w:sz w:val="32"/>
          <w:szCs w:val="32"/>
          <w:lang w:eastAsia="zh-CN"/>
        </w:rPr>
        <w:t>（</w:t>
      </w:r>
      <w:r>
        <w:rPr>
          <w:rFonts w:hint="eastAsia" w:eastAsia="仿宋_GB2312" w:cs="Times New Roman"/>
          <w:sz w:val="32"/>
          <w:szCs w:val="32"/>
          <w:lang w:val="en-US" w:eastAsia="zh-CN"/>
        </w:rPr>
        <w:t>4</w:t>
      </w:r>
      <w:r>
        <w:rPr>
          <w:rFonts w:hint="eastAsia" w:eastAsia="仿宋_GB2312" w:cs="Times New Roman"/>
          <w:sz w:val="32"/>
          <w:szCs w:val="32"/>
          <w:lang w:eastAsia="zh-CN"/>
        </w:rPr>
        <w:t>）</w:t>
      </w:r>
      <w:r>
        <w:rPr>
          <w:rFonts w:hint="default" w:ascii="Times New Roman" w:hAnsi="Times New Roman" w:eastAsia="仿宋_GB2312" w:cs="Times New Roman"/>
          <w:sz w:val="32"/>
          <w:szCs w:val="32"/>
        </w:rPr>
        <w:t>增值收益分配：</w:t>
      </w:r>
      <w:r>
        <w:rPr>
          <w:rFonts w:hint="eastAsia" w:eastAsia="仿宋_GB2312" w:cs="Times New Roman"/>
          <w:sz w:val="32"/>
          <w:szCs w:val="32"/>
          <w:lang w:eastAsia="zh-CN"/>
        </w:rPr>
        <w:t>2025</w:t>
      </w:r>
      <w:r>
        <w:rPr>
          <w:rFonts w:hint="default" w:ascii="Times New Roman" w:hAnsi="Times New Roman" w:eastAsia="仿宋_GB2312" w:cs="Times New Roman"/>
          <w:sz w:val="32"/>
          <w:szCs w:val="32"/>
        </w:rPr>
        <w:t>年，</w:t>
      </w:r>
      <w:r>
        <w:rPr>
          <w:rFonts w:hint="eastAsia" w:eastAsia="仿宋_GB2312" w:cs="Times New Roman"/>
          <w:sz w:val="32"/>
          <w:szCs w:val="32"/>
          <w:lang w:eastAsia="zh-CN"/>
        </w:rPr>
        <w:t>按照《湖南省财政厅湖南省增值收益管理的通知》（湘财综</w:t>
      </w:r>
      <w:r>
        <w:rPr>
          <w:rFonts w:hint="eastAsia" w:eastAsia="仿宋_GB2312" w:cs="Times New Roman"/>
          <w:sz w:val="32"/>
          <w:szCs w:val="32"/>
          <w:lang w:val="en-US" w:eastAsia="zh-CN"/>
        </w:rPr>
        <w:t>[2025]21号）“全省住房公积金贷款风险准备金统一按照年末贷款余额的1%计提，风险准备金余额高于年末贷款余额1%的，超额部分应予以冲回”的要求，提取贷款风险准备金-12513.79万元；提取管理费用2974.01万元，提取城市公共租赁住房（廉租住房）建设补充资金30751.65万元。</w:t>
      </w:r>
    </w:p>
    <w:p w14:paraId="367B1938">
      <w:pPr>
        <w:keepNext w:val="0"/>
        <w:keepLines w:val="0"/>
        <w:pageBreakBefore w:val="0"/>
        <w:widowControl w:val="0"/>
        <w:pBdr>
          <w:bottom w:val="single" w:color="FFFFFF" w:sz="4" w:space="31"/>
        </w:pBdr>
        <w:kinsoku/>
        <w:wordWrap/>
        <w:overflowPunct/>
        <w:topLinePunct/>
        <w:autoSpaceDE w:val="0"/>
        <w:autoSpaceDN/>
        <w:bidi w:val="0"/>
        <w:adjustRightInd/>
        <w:snapToGrid w:val="0"/>
        <w:spacing w:line="600" w:lineRule="exact"/>
        <w:ind w:left="0" w:firstLine="640" w:firstLineChars="200"/>
        <w:jc w:val="both"/>
        <w:textAlignment w:val="auto"/>
        <w:rPr>
          <w:rFonts w:hint="eastAsia" w:eastAsia="仿宋_GB2312" w:cs="Times New Roman"/>
          <w:sz w:val="32"/>
          <w:szCs w:val="32"/>
          <w:lang w:val="en-US" w:eastAsia="zh-CN"/>
        </w:rPr>
      </w:pPr>
      <w:r>
        <w:rPr>
          <w:rFonts w:hint="eastAsia" w:eastAsia="仿宋_GB2312" w:cs="Times New Roman"/>
          <w:sz w:val="32"/>
          <w:szCs w:val="32"/>
          <w:lang w:val="en-US" w:eastAsia="zh-CN"/>
        </w:rPr>
        <w:t>2025年，上交财政管理费用2974.01万元。上缴财政城市公共租赁住房（廉租住房）建设补充资金24246.05万元。</w:t>
      </w:r>
    </w:p>
    <w:p w14:paraId="4D9AD41C">
      <w:pPr>
        <w:keepNext w:val="0"/>
        <w:keepLines w:val="0"/>
        <w:pageBreakBefore w:val="0"/>
        <w:widowControl w:val="0"/>
        <w:pBdr>
          <w:bottom w:val="single" w:color="FFFFFF" w:sz="4" w:space="31"/>
        </w:pBdr>
        <w:kinsoku/>
        <w:wordWrap/>
        <w:overflowPunct/>
        <w:topLinePunct/>
        <w:autoSpaceDE w:val="0"/>
        <w:autoSpaceDN/>
        <w:bidi w:val="0"/>
        <w:adjustRightInd/>
        <w:snapToGrid w:val="0"/>
        <w:spacing w:line="600" w:lineRule="exact"/>
        <w:ind w:left="0" w:firstLine="640" w:firstLineChars="200"/>
        <w:jc w:val="both"/>
        <w:textAlignment w:val="auto"/>
        <w:rPr>
          <w:rFonts w:hint="default" w:eastAsia="仿宋_GB2312" w:cs="Times New Roman"/>
          <w:sz w:val="32"/>
          <w:szCs w:val="32"/>
          <w:lang w:val="en-US" w:eastAsia="zh-CN"/>
        </w:rPr>
      </w:pPr>
      <w:r>
        <w:rPr>
          <w:rFonts w:hint="eastAsia" w:eastAsia="仿宋_GB2312" w:cs="Times New Roman"/>
          <w:sz w:val="32"/>
          <w:szCs w:val="32"/>
          <w:lang w:val="en-US" w:eastAsia="zh-CN"/>
        </w:rPr>
        <w:t>2025年末，贷款风险准备金余额11161.30万元。累计提</w:t>
      </w:r>
      <w:r>
        <w:rPr>
          <w:rFonts w:hint="eastAsia" w:eastAsia="仿宋_GB2312" w:cs="Times New Roman"/>
          <w:spacing w:val="-6"/>
          <w:sz w:val="32"/>
          <w:szCs w:val="32"/>
          <w:lang w:val="en-US" w:eastAsia="zh-CN"/>
        </w:rPr>
        <w:t>取城市公共租赁住房（廉租住房）建设补充资金201290.1万元。</w:t>
      </w:r>
    </w:p>
    <w:p w14:paraId="3C9EE6A1">
      <w:pPr>
        <w:keepNext w:val="0"/>
        <w:keepLines w:val="0"/>
        <w:pageBreakBefore w:val="0"/>
        <w:widowControl w:val="0"/>
        <w:pBdr>
          <w:bottom w:val="single" w:color="FFFFFF" w:sz="4" w:space="31"/>
        </w:pBdr>
        <w:kinsoku/>
        <w:wordWrap/>
        <w:overflowPunct/>
        <w:topLinePunct/>
        <w:autoSpaceDE w:val="0"/>
        <w:autoSpaceDN/>
        <w:bidi w:val="0"/>
        <w:adjustRightInd/>
        <w:snapToGrid w:val="0"/>
        <w:spacing w:line="600" w:lineRule="exact"/>
        <w:ind w:left="0" w:firstLine="640" w:firstLineChars="200"/>
        <w:jc w:val="both"/>
        <w:textAlignment w:val="auto"/>
        <w:rPr>
          <w:rFonts w:hint="default" w:ascii="Times New Roman" w:hAnsi="Times New Roman" w:eastAsia="仿宋_GB2312" w:cs="Times New Roman"/>
          <w:sz w:val="32"/>
          <w:szCs w:val="32"/>
        </w:rPr>
      </w:pPr>
      <w:r>
        <w:rPr>
          <w:rFonts w:hint="eastAsia" w:eastAsia="仿宋_GB2312" w:cs="Times New Roman"/>
          <w:sz w:val="32"/>
          <w:szCs w:val="32"/>
          <w:lang w:eastAsia="zh-CN"/>
        </w:rPr>
        <w:t>（</w:t>
      </w:r>
      <w:r>
        <w:rPr>
          <w:rFonts w:hint="eastAsia" w:eastAsia="仿宋_GB2312" w:cs="Times New Roman"/>
          <w:sz w:val="32"/>
          <w:szCs w:val="32"/>
          <w:lang w:val="en-US" w:eastAsia="zh-CN"/>
        </w:rPr>
        <w:t>5</w:t>
      </w:r>
      <w:r>
        <w:rPr>
          <w:rFonts w:hint="eastAsia" w:eastAsia="仿宋_GB2312" w:cs="Times New Roman"/>
          <w:sz w:val="32"/>
          <w:szCs w:val="32"/>
          <w:lang w:eastAsia="zh-CN"/>
        </w:rPr>
        <w:t>）</w:t>
      </w:r>
      <w:r>
        <w:rPr>
          <w:rFonts w:hint="default" w:ascii="Times New Roman" w:hAnsi="Times New Roman" w:eastAsia="仿宋_GB2312" w:cs="Times New Roman"/>
          <w:sz w:val="32"/>
          <w:szCs w:val="32"/>
        </w:rPr>
        <w:t>管理费用支出：</w:t>
      </w:r>
      <w:r>
        <w:rPr>
          <w:rFonts w:hint="eastAsia" w:eastAsia="仿宋_GB2312" w:cs="Times New Roman"/>
          <w:sz w:val="32"/>
          <w:szCs w:val="32"/>
          <w:lang w:eastAsia="zh-CN"/>
        </w:rPr>
        <w:t>2025</w:t>
      </w:r>
      <w:r>
        <w:rPr>
          <w:rFonts w:hint="default" w:ascii="Times New Roman" w:hAnsi="Times New Roman" w:eastAsia="仿宋_GB2312" w:cs="Times New Roman"/>
          <w:sz w:val="32"/>
          <w:szCs w:val="32"/>
        </w:rPr>
        <w:t>年，管理费用支出</w:t>
      </w:r>
      <w:r>
        <w:rPr>
          <w:rFonts w:hint="eastAsia" w:eastAsia="仿宋_GB2312" w:cs="Times New Roman"/>
          <w:sz w:val="32"/>
          <w:szCs w:val="32"/>
          <w:lang w:val="en-US" w:eastAsia="zh-CN"/>
        </w:rPr>
        <w:t>2624.73</w:t>
      </w:r>
      <w:r>
        <w:rPr>
          <w:rFonts w:hint="default" w:ascii="Times New Roman" w:hAnsi="Times New Roman" w:eastAsia="仿宋_GB2312" w:cs="Times New Roman"/>
          <w:sz w:val="32"/>
          <w:szCs w:val="32"/>
        </w:rPr>
        <w:t>万元，同比</w:t>
      </w:r>
      <w:r>
        <w:rPr>
          <w:rFonts w:hint="eastAsia" w:eastAsia="仿宋_GB2312" w:cs="Times New Roman"/>
          <w:sz w:val="32"/>
          <w:szCs w:val="32"/>
          <w:lang w:eastAsia="zh-CN"/>
        </w:rPr>
        <w:t>下降</w:t>
      </w:r>
      <w:r>
        <w:rPr>
          <w:rFonts w:hint="eastAsia" w:eastAsia="仿宋_GB2312" w:cs="Times New Roman"/>
          <w:sz w:val="32"/>
          <w:szCs w:val="32"/>
          <w:lang w:val="en-US" w:eastAsia="zh-CN"/>
        </w:rPr>
        <w:t>7.23</w:t>
      </w:r>
      <w:r>
        <w:rPr>
          <w:rFonts w:hint="default" w:ascii="Times New Roman" w:hAnsi="Times New Roman" w:eastAsia="仿宋_GB2312" w:cs="Times New Roman"/>
          <w:sz w:val="32"/>
          <w:szCs w:val="32"/>
        </w:rPr>
        <w:t>%。其中，人员经费</w:t>
      </w:r>
      <w:r>
        <w:rPr>
          <w:rFonts w:hint="eastAsia" w:eastAsia="仿宋_GB2312" w:cs="Times New Roman"/>
          <w:sz w:val="32"/>
          <w:szCs w:val="32"/>
          <w:lang w:val="en-US" w:eastAsia="zh-CN"/>
        </w:rPr>
        <w:t>1693.41</w:t>
      </w:r>
      <w:r>
        <w:rPr>
          <w:rFonts w:hint="default" w:ascii="Times New Roman" w:hAnsi="Times New Roman" w:eastAsia="仿宋_GB2312" w:cs="Times New Roman"/>
          <w:sz w:val="32"/>
          <w:szCs w:val="32"/>
        </w:rPr>
        <w:t>万元，公用经费</w:t>
      </w:r>
      <w:r>
        <w:rPr>
          <w:rFonts w:hint="eastAsia" w:eastAsia="仿宋_GB2312" w:cs="Times New Roman"/>
          <w:sz w:val="32"/>
          <w:szCs w:val="32"/>
          <w:lang w:val="en-US" w:eastAsia="zh-CN"/>
        </w:rPr>
        <w:t>286.19</w:t>
      </w:r>
      <w:r>
        <w:rPr>
          <w:rFonts w:hint="default" w:ascii="Times New Roman" w:hAnsi="Times New Roman" w:eastAsia="仿宋_GB2312" w:cs="Times New Roman"/>
          <w:sz w:val="32"/>
          <w:szCs w:val="32"/>
        </w:rPr>
        <w:t>万元，专项经费</w:t>
      </w:r>
      <w:r>
        <w:rPr>
          <w:rFonts w:hint="eastAsia" w:eastAsia="仿宋_GB2312" w:cs="Times New Roman"/>
          <w:sz w:val="32"/>
          <w:szCs w:val="32"/>
          <w:lang w:val="en-US" w:eastAsia="zh-CN"/>
        </w:rPr>
        <w:t>645.13</w:t>
      </w:r>
      <w:r>
        <w:rPr>
          <w:rFonts w:hint="default" w:ascii="Times New Roman" w:hAnsi="Times New Roman" w:eastAsia="仿宋_GB2312" w:cs="Times New Roman"/>
          <w:sz w:val="32"/>
          <w:szCs w:val="32"/>
        </w:rPr>
        <w:t>万元。</w:t>
      </w:r>
    </w:p>
    <w:p w14:paraId="2EA7B59C">
      <w:pPr>
        <w:keepNext w:val="0"/>
        <w:keepLines w:val="0"/>
        <w:pageBreakBefore w:val="0"/>
        <w:widowControl w:val="0"/>
        <w:pBdr>
          <w:bottom w:val="single" w:color="FFFFFF" w:sz="4" w:space="31"/>
        </w:pBdr>
        <w:kinsoku/>
        <w:wordWrap/>
        <w:overflowPunct/>
        <w:topLinePunct/>
        <w:autoSpaceDE w:val="0"/>
        <w:autoSpaceDN/>
        <w:bidi w:val="0"/>
        <w:adjustRightInd/>
        <w:snapToGrid w:val="0"/>
        <w:spacing w:line="600" w:lineRule="exact"/>
        <w:ind w:left="0" w:firstLine="643" w:firstLineChars="200"/>
        <w:jc w:val="both"/>
        <w:textAlignment w:val="auto"/>
        <w:rPr>
          <w:rFonts w:hint="default" w:ascii="Times New Roman" w:hAnsi="Times New Roman" w:eastAsia="仿宋_GB2312" w:cs="Times New Roman"/>
          <w:color w:val="FF0000"/>
          <w:sz w:val="32"/>
          <w:szCs w:val="32"/>
        </w:rPr>
      </w:pPr>
      <w:r>
        <w:rPr>
          <w:rFonts w:hint="eastAsia" w:eastAsia="仿宋_GB2312" w:cs="Times New Roman"/>
          <w:b/>
          <w:bCs/>
          <w:sz w:val="32"/>
          <w:szCs w:val="32"/>
          <w:lang w:val="en-US" w:eastAsia="zh-CN"/>
        </w:rPr>
        <w:t>3.</w:t>
      </w:r>
      <w:r>
        <w:rPr>
          <w:rFonts w:hint="default" w:ascii="Times New Roman" w:hAnsi="Times New Roman" w:eastAsia="仿宋_GB2312" w:cs="Times New Roman"/>
          <w:b/>
          <w:bCs/>
          <w:sz w:val="32"/>
          <w:szCs w:val="32"/>
        </w:rPr>
        <w:t>社会效应</w:t>
      </w:r>
    </w:p>
    <w:p w14:paraId="6957C1F4">
      <w:pPr>
        <w:keepNext w:val="0"/>
        <w:keepLines w:val="0"/>
        <w:pageBreakBefore w:val="0"/>
        <w:widowControl w:val="0"/>
        <w:pBdr>
          <w:bottom w:val="single" w:color="FFFFFF" w:sz="4" w:space="31"/>
        </w:pBdr>
        <w:kinsoku/>
        <w:wordWrap/>
        <w:overflowPunct/>
        <w:topLinePunct/>
        <w:autoSpaceDE w:val="0"/>
        <w:autoSpaceDN/>
        <w:bidi w:val="0"/>
        <w:adjustRightInd/>
        <w:snapToGrid w:val="0"/>
        <w:spacing w:line="600" w:lineRule="exact"/>
        <w:ind w:left="0" w:firstLine="640" w:firstLineChars="200"/>
        <w:jc w:val="both"/>
        <w:textAlignment w:val="auto"/>
        <w:rPr>
          <w:rFonts w:hint="eastAsia" w:eastAsia="仿宋_GB2312" w:cs="Times New Roman"/>
          <w:b w:val="0"/>
          <w:bCs w:val="0"/>
          <w:sz w:val="32"/>
          <w:szCs w:val="32"/>
          <w:lang w:eastAsia="zh-CN"/>
        </w:rPr>
      </w:pPr>
      <w:r>
        <w:rPr>
          <w:rFonts w:hint="eastAsia" w:eastAsia="仿宋_GB2312" w:cs="Times New Roman"/>
          <w:b w:val="0"/>
          <w:bCs w:val="0"/>
          <w:sz w:val="32"/>
          <w:szCs w:val="32"/>
          <w:lang w:eastAsia="zh-CN"/>
        </w:rPr>
        <w:t>（</w:t>
      </w:r>
      <w:r>
        <w:rPr>
          <w:rFonts w:hint="eastAsia" w:eastAsia="仿宋_GB2312" w:cs="Times New Roman"/>
          <w:b w:val="0"/>
          <w:bCs w:val="0"/>
          <w:sz w:val="32"/>
          <w:szCs w:val="32"/>
          <w:lang w:val="en-US" w:eastAsia="zh-CN"/>
        </w:rPr>
        <w:t>1</w:t>
      </w:r>
      <w:r>
        <w:rPr>
          <w:rFonts w:hint="eastAsia" w:eastAsia="仿宋_GB2312" w:cs="Times New Roman"/>
          <w:b w:val="0"/>
          <w:bCs w:val="0"/>
          <w:sz w:val="32"/>
          <w:szCs w:val="32"/>
          <w:lang w:eastAsia="zh-CN"/>
        </w:rPr>
        <w:t>）缴存业务。</w:t>
      </w:r>
    </w:p>
    <w:p w14:paraId="4C6CC403">
      <w:pPr>
        <w:keepNext w:val="0"/>
        <w:keepLines w:val="0"/>
        <w:pageBreakBefore w:val="0"/>
        <w:widowControl w:val="0"/>
        <w:pBdr>
          <w:bottom w:val="single" w:color="FFFFFF" w:sz="4" w:space="31"/>
        </w:pBdr>
        <w:kinsoku/>
        <w:wordWrap/>
        <w:overflowPunct/>
        <w:topLinePunct/>
        <w:autoSpaceDE w:val="0"/>
        <w:autoSpaceDN/>
        <w:bidi w:val="0"/>
        <w:adjustRightInd/>
        <w:snapToGrid w:val="0"/>
        <w:spacing w:line="600" w:lineRule="exact"/>
        <w:ind w:left="0" w:firstLine="640" w:firstLineChars="200"/>
        <w:jc w:val="both"/>
        <w:textAlignment w:val="auto"/>
        <w:rPr>
          <w:rFonts w:hint="eastAsia" w:eastAsia="仿宋_GB2312" w:cs="Times New Roman"/>
          <w:b w:val="0"/>
          <w:bCs w:val="0"/>
          <w:sz w:val="32"/>
          <w:szCs w:val="32"/>
          <w:lang w:eastAsia="zh-CN"/>
        </w:rPr>
      </w:pPr>
      <w:r>
        <w:rPr>
          <w:rFonts w:hint="eastAsia" w:eastAsia="仿宋_GB2312" w:cs="Times New Roman"/>
          <w:b w:val="0"/>
          <w:bCs w:val="0"/>
          <w:sz w:val="32"/>
          <w:szCs w:val="32"/>
          <w:lang w:eastAsia="zh-CN"/>
        </w:rPr>
        <w:t>缴存人中，企业单位占24.35%，非企业单位占72.76%，灵活就业人员占2.89%。新开户缴存人中，企业单位占37.54%，非企业单位占62.13%，灵活就业人员占0.33%。</w:t>
      </w:r>
    </w:p>
    <w:p w14:paraId="670D7D17">
      <w:pPr>
        <w:keepNext w:val="0"/>
        <w:keepLines w:val="0"/>
        <w:pageBreakBefore w:val="0"/>
        <w:widowControl w:val="0"/>
        <w:pBdr>
          <w:bottom w:val="single" w:color="FFFFFF" w:sz="4" w:space="31"/>
        </w:pBdr>
        <w:kinsoku/>
        <w:wordWrap/>
        <w:overflowPunct/>
        <w:topLinePunct/>
        <w:autoSpaceDE w:val="0"/>
        <w:autoSpaceDN/>
        <w:bidi w:val="0"/>
        <w:adjustRightInd/>
        <w:snapToGrid w:val="0"/>
        <w:spacing w:line="600" w:lineRule="exact"/>
        <w:ind w:left="0" w:firstLine="640" w:firstLineChars="200"/>
        <w:jc w:val="both"/>
        <w:textAlignment w:val="auto"/>
        <w:rPr>
          <w:rFonts w:hint="eastAsia" w:eastAsia="仿宋_GB2312" w:cs="Times New Roman"/>
          <w:b w:val="0"/>
          <w:bCs w:val="0"/>
          <w:sz w:val="32"/>
          <w:szCs w:val="32"/>
          <w:lang w:eastAsia="zh-CN"/>
        </w:rPr>
      </w:pPr>
      <w:r>
        <w:rPr>
          <w:rFonts w:hint="eastAsia" w:eastAsia="仿宋_GB2312" w:cs="Times New Roman"/>
          <w:b w:val="0"/>
          <w:bCs w:val="0"/>
          <w:sz w:val="32"/>
          <w:szCs w:val="32"/>
          <w:lang w:eastAsia="zh-CN"/>
        </w:rPr>
        <w:t>（</w:t>
      </w:r>
      <w:r>
        <w:rPr>
          <w:rFonts w:hint="eastAsia" w:eastAsia="仿宋_GB2312" w:cs="Times New Roman"/>
          <w:b w:val="0"/>
          <w:bCs w:val="0"/>
          <w:sz w:val="32"/>
          <w:szCs w:val="32"/>
          <w:lang w:val="en-US" w:eastAsia="zh-CN"/>
        </w:rPr>
        <w:t>2</w:t>
      </w:r>
      <w:r>
        <w:rPr>
          <w:rFonts w:hint="eastAsia" w:eastAsia="仿宋_GB2312" w:cs="Times New Roman"/>
          <w:b w:val="0"/>
          <w:bCs w:val="0"/>
          <w:sz w:val="32"/>
          <w:szCs w:val="32"/>
          <w:lang w:eastAsia="zh-CN"/>
        </w:rPr>
        <w:t>）提取业务。</w:t>
      </w:r>
    </w:p>
    <w:p w14:paraId="49282297">
      <w:pPr>
        <w:keepNext w:val="0"/>
        <w:keepLines w:val="0"/>
        <w:pageBreakBefore w:val="0"/>
        <w:widowControl w:val="0"/>
        <w:pBdr>
          <w:bottom w:val="single" w:color="FFFFFF" w:sz="4" w:space="31"/>
        </w:pBdr>
        <w:kinsoku/>
        <w:wordWrap/>
        <w:overflowPunct/>
        <w:topLinePunct/>
        <w:autoSpaceDE w:val="0"/>
        <w:autoSpaceDN/>
        <w:bidi w:val="0"/>
        <w:adjustRightInd/>
        <w:snapToGrid w:val="0"/>
        <w:spacing w:line="600" w:lineRule="exact"/>
        <w:ind w:left="0" w:firstLine="640" w:firstLineChars="200"/>
        <w:jc w:val="both"/>
        <w:textAlignment w:val="auto"/>
        <w:rPr>
          <w:rFonts w:hint="eastAsia" w:eastAsia="仿宋_GB2312" w:cs="Times New Roman"/>
          <w:b w:val="0"/>
          <w:bCs w:val="0"/>
          <w:sz w:val="32"/>
          <w:szCs w:val="32"/>
          <w:lang w:eastAsia="zh-CN"/>
        </w:rPr>
      </w:pPr>
      <w:r>
        <w:rPr>
          <w:rFonts w:hint="eastAsia" w:eastAsia="仿宋_GB2312" w:cs="Times New Roman"/>
          <w:b w:val="0"/>
          <w:bCs w:val="0"/>
          <w:sz w:val="32"/>
          <w:szCs w:val="32"/>
          <w:lang w:eastAsia="zh-CN"/>
        </w:rPr>
        <w:t>提取金额中，购买、建造、翻建、大修自住住房占19.25%，偿还购房贷款本息占42.43%，租赁住房占3.69%，老旧小区改造占0%，离休和退休提取占29.67%，完全丧失劳动能力并与单位终止劳动关系提取占2.74%，出境定居占0%，其他占2.22%。</w:t>
      </w:r>
    </w:p>
    <w:p w14:paraId="1E62D647">
      <w:pPr>
        <w:keepNext w:val="0"/>
        <w:keepLines w:val="0"/>
        <w:pageBreakBefore w:val="0"/>
        <w:widowControl w:val="0"/>
        <w:pBdr>
          <w:bottom w:val="single" w:color="FFFFFF" w:sz="4" w:space="31"/>
        </w:pBdr>
        <w:kinsoku/>
        <w:wordWrap/>
        <w:overflowPunct/>
        <w:topLinePunct/>
        <w:autoSpaceDE w:val="0"/>
        <w:autoSpaceDN/>
        <w:bidi w:val="0"/>
        <w:adjustRightInd/>
        <w:snapToGrid w:val="0"/>
        <w:spacing w:line="600" w:lineRule="exact"/>
        <w:ind w:left="0" w:firstLine="640" w:firstLineChars="200"/>
        <w:jc w:val="both"/>
        <w:textAlignment w:val="auto"/>
        <w:rPr>
          <w:rFonts w:hint="eastAsia" w:eastAsia="仿宋_GB2312" w:cs="Times New Roman"/>
          <w:b w:val="0"/>
          <w:bCs w:val="0"/>
          <w:sz w:val="32"/>
          <w:szCs w:val="32"/>
          <w:lang w:eastAsia="zh-CN"/>
        </w:rPr>
      </w:pPr>
      <w:r>
        <w:rPr>
          <w:rFonts w:hint="eastAsia" w:eastAsia="仿宋_GB2312" w:cs="Times New Roman"/>
          <w:b w:val="0"/>
          <w:bCs w:val="0"/>
          <w:sz w:val="32"/>
          <w:szCs w:val="32"/>
          <w:lang w:eastAsia="zh-CN"/>
        </w:rPr>
        <w:t>（</w:t>
      </w:r>
      <w:r>
        <w:rPr>
          <w:rFonts w:hint="eastAsia" w:eastAsia="仿宋_GB2312" w:cs="Times New Roman"/>
          <w:b w:val="0"/>
          <w:bCs w:val="0"/>
          <w:sz w:val="32"/>
          <w:szCs w:val="32"/>
          <w:lang w:val="en-US" w:eastAsia="zh-CN"/>
        </w:rPr>
        <w:t>3</w:t>
      </w:r>
      <w:r>
        <w:rPr>
          <w:rFonts w:hint="eastAsia" w:eastAsia="仿宋_GB2312" w:cs="Times New Roman"/>
          <w:b w:val="0"/>
          <w:bCs w:val="0"/>
          <w:sz w:val="32"/>
          <w:szCs w:val="32"/>
          <w:lang w:eastAsia="zh-CN"/>
        </w:rPr>
        <w:t>）贷款业务。</w:t>
      </w:r>
    </w:p>
    <w:p w14:paraId="0B54E40F">
      <w:pPr>
        <w:keepNext w:val="0"/>
        <w:keepLines w:val="0"/>
        <w:pageBreakBefore w:val="0"/>
        <w:widowControl w:val="0"/>
        <w:pBdr>
          <w:bottom w:val="single" w:color="FFFFFF" w:sz="4" w:space="31"/>
        </w:pBdr>
        <w:kinsoku/>
        <w:wordWrap/>
        <w:overflowPunct/>
        <w:topLinePunct/>
        <w:autoSpaceDE w:val="0"/>
        <w:autoSpaceDN/>
        <w:bidi w:val="0"/>
        <w:adjustRightInd/>
        <w:snapToGrid w:val="0"/>
        <w:spacing w:line="600" w:lineRule="exact"/>
        <w:ind w:left="0" w:firstLine="640" w:firstLineChars="200"/>
        <w:jc w:val="both"/>
        <w:textAlignment w:val="auto"/>
        <w:rPr>
          <w:rFonts w:hint="eastAsia" w:eastAsia="仿宋_GB2312" w:cs="Times New Roman"/>
          <w:b w:val="0"/>
          <w:bCs w:val="0"/>
          <w:sz w:val="32"/>
          <w:szCs w:val="32"/>
          <w:lang w:eastAsia="zh-CN"/>
        </w:rPr>
      </w:pPr>
      <w:r>
        <w:rPr>
          <w:rFonts w:hint="eastAsia" w:ascii="宋体" w:hAnsi="宋体" w:eastAsia="宋体" w:cs="宋体"/>
          <w:b w:val="0"/>
          <w:bCs w:val="0"/>
          <w:sz w:val="32"/>
          <w:szCs w:val="32"/>
          <w:lang w:eastAsia="zh-CN"/>
        </w:rPr>
        <w:t>①</w:t>
      </w:r>
      <w:r>
        <w:rPr>
          <w:rFonts w:hint="eastAsia" w:eastAsia="仿宋_GB2312" w:cs="Times New Roman"/>
          <w:b w:val="0"/>
          <w:bCs w:val="0"/>
          <w:sz w:val="32"/>
          <w:szCs w:val="32"/>
          <w:lang w:eastAsia="zh-CN"/>
        </w:rPr>
        <w:t>个人住房贷款：2025年，支持缴存人购建房27.36万平方米（含公转商贴息贷款），年末个人住房贷款市场占有</w:t>
      </w:r>
      <w:r>
        <w:rPr>
          <w:rFonts w:hint="eastAsia" w:eastAsia="仿宋_GB2312" w:cs="Times New Roman"/>
          <w:b w:val="0"/>
          <w:bCs w:val="0"/>
          <w:spacing w:val="-11"/>
          <w:sz w:val="32"/>
          <w:szCs w:val="32"/>
          <w:lang w:eastAsia="zh-CN"/>
        </w:rPr>
        <w:t>率（含公转商贴息贷款）为18.31%，比上年末减少0.3个百分点。</w:t>
      </w:r>
    </w:p>
    <w:p w14:paraId="6E3BA26B">
      <w:pPr>
        <w:keepNext w:val="0"/>
        <w:keepLines w:val="0"/>
        <w:pageBreakBefore w:val="0"/>
        <w:widowControl w:val="0"/>
        <w:pBdr>
          <w:bottom w:val="single" w:color="FFFFFF" w:sz="4" w:space="31"/>
        </w:pBdr>
        <w:kinsoku/>
        <w:wordWrap/>
        <w:overflowPunct/>
        <w:topLinePunct/>
        <w:autoSpaceDE w:val="0"/>
        <w:autoSpaceDN/>
        <w:bidi w:val="0"/>
        <w:adjustRightInd/>
        <w:snapToGrid w:val="0"/>
        <w:spacing w:line="600" w:lineRule="exact"/>
        <w:ind w:left="0" w:firstLine="640" w:firstLineChars="200"/>
        <w:jc w:val="both"/>
        <w:textAlignment w:val="auto"/>
        <w:rPr>
          <w:rFonts w:hint="eastAsia" w:eastAsia="仿宋_GB2312" w:cs="Times New Roman"/>
          <w:b w:val="0"/>
          <w:bCs w:val="0"/>
          <w:sz w:val="32"/>
          <w:szCs w:val="32"/>
          <w:lang w:eastAsia="zh-CN"/>
        </w:rPr>
      </w:pPr>
      <w:r>
        <w:rPr>
          <w:rFonts w:hint="eastAsia" w:eastAsia="仿宋_GB2312" w:cs="Times New Roman"/>
          <w:b w:val="0"/>
          <w:bCs w:val="0"/>
          <w:sz w:val="32"/>
          <w:szCs w:val="32"/>
          <w:lang w:eastAsia="zh-CN"/>
        </w:rPr>
        <w:t>发放贷款笔数中，购买新建住房占40.9%（其中购买保障性住房占0%），购买二手房占59.1%，建造、翻建、大修自住住房占0%，其他占0%。</w:t>
      </w:r>
    </w:p>
    <w:p w14:paraId="693C2930">
      <w:pPr>
        <w:keepNext w:val="0"/>
        <w:keepLines w:val="0"/>
        <w:pageBreakBefore w:val="0"/>
        <w:widowControl w:val="0"/>
        <w:pBdr>
          <w:bottom w:val="single" w:color="FFFFFF" w:sz="4" w:space="31"/>
        </w:pBdr>
        <w:kinsoku/>
        <w:wordWrap/>
        <w:overflowPunct/>
        <w:topLinePunct/>
        <w:autoSpaceDE w:val="0"/>
        <w:autoSpaceDN/>
        <w:bidi w:val="0"/>
        <w:adjustRightInd/>
        <w:snapToGrid w:val="0"/>
        <w:spacing w:line="600" w:lineRule="exact"/>
        <w:ind w:left="0" w:firstLine="640" w:firstLineChars="200"/>
        <w:jc w:val="both"/>
        <w:textAlignment w:val="auto"/>
        <w:rPr>
          <w:rFonts w:hint="eastAsia" w:eastAsia="仿宋_GB2312" w:cs="Times New Roman"/>
          <w:b w:val="0"/>
          <w:bCs w:val="0"/>
          <w:sz w:val="32"/>
          <w:szCs w:val="32"/>
          <w:lang w:eastAsia="zh-CN"/>
        </w:rPr>
      </w:pPr>
      <w:r>
        <w:rPr>
          <w:rFonts w:hint="eastAsia" w:eastAsia="仿宋_GB2312" w:cs="Times New Roman"/>
          <w:b w:val="0"/>
          <w:bCs w:val="0"/>
          <w:sz w:val="32"/>
          <w:szCs w:val="32"/>
          <w:lang w:eastAsia="zh-CN"/>
        </w:rPr>
        <w:t>发放贷款笔数中，单缴存人申请贷款占57.04%，双缴存</w:t>
      </w:r>
      <w:r>
        <w:rPr>
          <w:rFonts w:hint="eastAsia" w:eastAsia="仿宋_GB2312" w:cs="Times New Roman"/>
          <w:b w:val="0"/>
          <w:bCs w:val="0"/>
          <w:spacing w:val="-6"/>
          <w:sz w:val="32"/>
          <w:szCs w:val="32"/>
          <w:lang w:eastAsia="zh-CN"/>
        </w:rPr>
        <w:t>人申请贷款占42.96%，三人及以上缴存人共同申请贷款占0%。</w:t>
      </w:r>
    </w:p>
    <w:p w14:paraId="0E1AF23F">
      <w:pPr>
        <w:keepNext w:val="0"/>
        <w:keepLines w:val="0"/>
        <w:pageBreakBefore w:val="0"/>
        <w:widowControl w:val="0"/>
        <w:pBdr>
          <w:bottom w:val="single" w:color="FFFFFF" w:sz="4" w:space="31"/>
        </w:pBdr>
        <w:kinsoku/>
        <w:wordWrap/>
        <w:overflowPunct/>
        <w:topLinePunct/>
        <w:autoSpaceDE w:val="0"/>
        <w:autoSpaceDN/>
        <w:bidi w:val="0"/>
        <w:adjustRightInd/>
        <w:snapToGrid w:val="0"/>
        <w:spacing w:line="600" w:lineRule="exact"/>
        <w:ind w:left="0" w:firstLine="640" w:firstLineChars="200"/>
        <w:jc w:val="both"/>
        <w:textAlignment w:val="auto"/>
        <w:rPr>
          <w:rFonts w:hint="eastAsia" w:eastAsia="仿宋_GB2312" w:cs="Times New Roman"/>
          <w:b w:val="0"/>
          <w:bCs w:val="0"/>
          <w:sz w:val="32"/>
          <w:szCs w:val="32"/>
          <w:lang w:eastAsia="zh-CN"/>
        </w:rPr>
      </w:pPr>
      <w:r>
        <w:rPr>
          <w:rFonts w:hint="eastAsia" w:eastAsia="仿宋_GB2312" w:cs="Times New Roman"/>
          <w:b w:val="0"/>
          <w:bCs w:val="0"/>
          <w:sz w:val="32"/>
          <w:szCs w:val="32"/>
          <w:lang w:eastAsia="zh-CN"/>
        </w:rPr>
        <w:t>借款人中，30岁（含）以下占56.72%，30岁-40岁（含）占30.88%，40岁-50岁（含）占10.67%，50岁以上占1.73%；购买首套住房申请贷款占86.38%，购买二套及以上申请贷款占13.62%。</w:t>
      </w:r>
    </w:p>
    <w:p w14:paraId="2D7D32A6">
      <w:pPr>
        <w:keepNext w:val="0"/>
        <w:keepLines w:val="0"/>
        <w:pageBreakBefore w:val="0"/>
        <w:widowControl w:val="0"/>
        <w:pBdr>
          <w:bottom w:val="single" w:color="FFFFFF" w:sz="4" w:space="31"/>
        </w:pBdr>
        <w:kinsoku/>
        <w:wordWrap/>
        <w:overflowPunct/>
        <w:topLinePunct/>
        <w:autoSpaceDE w:val="0"/>
        <w:autoSpaceDN/>
        <w:bidi w:val="0"/>
        <w:adjustRightInd/>
        <w:snapToGrid w:val="0"/>
        <w:spacing w:line="600" w:lineRule="exact"/>
        <w:ind w:left="0" w:firstLine="640" w:firstLineChars="200"/>
        <w:jc w:val="both"/>
        <w:textAlignment w:val="auto"/>
        <w:rPr>
          <w:rFonts w:hint="eastAsia" w:eastAsia="仿宋_GB2312" w:cs="Times New Roman"/>
          <w:b w:val="0"/>
          <w:bCs w:val="0"/>
          <w:sz w:val="32"/>
          <w:szCs w:val="32"/>
          <w:lang w:eastAsia="zh-CN"/>
        </w:rPr>
      </w:pPr>
      <w:r>
        <w:rPr>
          <w:rFonts w:hint="eastAsia" w:ascii="宋体" w:hAnsi="宋体" w:eastAsia="宋体" w:cs="宋体"/>
          <w:b w:val="0"/>
          <w:bCs w:val="0"/>
          <w:sz w:val="32"/>
          <w:szCs w:val="32"/>
          <w:lang w:eastAsia="zh-CN"/>
        </w:rPr>
        <w:t>②</w:t>
      </w:r>
      <w:r>
        <w:rPr>
          <w:rFonts w:hint="eastAsia" w:eastAsia="仿宋_GB2312" w:cs="Times New Roman"/>
          <w:b w:val="0"/>
          <w:bCs w:val="0"/>
          <w:sz w:val="32"/>
          <w:szCs w:val="32"/>
          <w:lang w:eastAsia="zh-CN"/>
        </w:rPr>
        <w:t>支持保障性住房建设试点项目贷款：无。</w:t>
      </w:r>
    </w:p>
    <w:p w14:paraId="7FF80C47">
      <w:pPr>
        <w:keepNext w:val="0"/>
        <w:keepLines w:val="0"/>
        <w:pageBreakBefore w:val="0"/>
        <w:widowControl w:val="0"/>
        <w:pBdr>
          <w:bottom w:val="single" w:color="FFFFFF" w:sz="4" w:space="31"/>
        </w:pBdr>
        <w:kinsoku/>
        <w:wordWrap/>
        <w:overflowPunct/>
        <w:topLinePunct/>
        <w:autoSpaceDE w:val="0"/>
        <w:autoSpaceDN/>
        <w:bidi w:val="0"/>
        <w:adjustRightInd/>
        <w:snapToGrid w:val="0"/>
        <w:spacing w:line="600" w:lineRule="exact"/>
        <w:ind w:left="0" w:firstLine="640" w:firstLineChars="200"/>
        <w:jc w:val="both"/>
        <w:textAlignment w:val="auto"/>
        <w:rPr>
          <w:rFonts w:hint="eastAsia" w:eastAsia="仿宋_GB2312" w:cs="Times New Roman"/>
          <w:b w:val="0"/>
          <w:bCs w:val="0"/>
          <w:sz w:val="32"/>
          <w:szCs w:val="32"/>
          <w:lang w:eastAsia="zh-CN"/>
        </w:rPr>
      </w:pPr>
      <w:r>
        <w:rPr>
          <w:rFonts w:hint="eastAsia" w:eastAsia="仿宋_GB2312" w:cs="Times New Roman"/>
          <w:b w:val="0"/>
          <w:bCs w:val="0"/>
          <w:sz w:val="32"/>
          <w:szCs w:val="32"/>
          <w:lang w:eastAsia="zh-CN"/>
        </w:rPr>
        <w:t>（</w:t>
      </w:r>
      <w:r>
        <w:rPr>
          <w:rFonts w:hint="eastAsia" w:eastAsia="仿宋_GB2312" w:cs="Times New Roman"/>
          <w:b w:val="0"/>
          <w:bCs w:val="0"/>
          <w:sz w:val="32"/>
          <w:szCs w:val="32"/>
          <w:lang w:val="en-US" w:eastAsia="zh-CN"/>
        </w:rPr>
        <w:t>4</w:t>
      </w:r>
      <w:r>
        <w:rPr>
          <w:rFonts w:hint="eastAsia" w:eastAsia="仿宋_GB2312" w:cs="Times New Roman"/>
          <w:b w:val="0"/>
          <w:bCs w:val="0"/>
          <w:sz w:val="32"/>
          <w:szCs w:val="32"/>
          <w:lang w:eastAsia="zh-CN"/>
        </w:rPr>
        <w:t>）住房贡献率。</w:t>
      </w:r>
    </w:p>
    <w:p w14:paraId="155402F5">
      <w:pPr>
        <w:keepNext w:val="0"/>
        <w:keepLines w:val="0"/>
        <w:pageBreakBefore w:val="0"/>
        <w:widowControl w:val="0"/>
        <w:pBdr>
          <w:bottom w:val="single" w:color="FFFFFF" w:sz="4" w:space="31"/>
        </w:pBdr>
        <w:kinsoku/>
        <w:wordWrap/>
        <w:overflowPunct/>
        <w:topLinePunct/>
        <w:autoSpaceDE w:val="0"/>
        <w:autoSpaceDN/>
        <w:bidi w:val="0"/>
        <w:adjustRightInd/>
        <w:snapToGrid w:val="0"/>
        <w:spacing w:line="600" w:lineRule="exact"/>
        <w:ind w:left="0" w:firstLine="640" w:firstLineChars="200"/>
        <w:jc w:val="both"/>
        <w:textAlignment w:val="auto"/>
        <w:rPr>
          <w:rFonts w:hint="eastAsia" w:eastAsia="仿宋_GB2312" w:cs="Times New Roman"/>
          <w:b w:val="0"/>
          <w:bCs w:val="0"/>
          <w:sz w:val="32"/>
          <w:szCs w:val="32"/>
          <w:lang w:eastAsia="zh-CN"/>
        </w:rPr>
      </w:pPr>
      <w:r>
        <w:rPr>
          <w:rFonts w:hint="eastAsia" w:eastAsia="仿宋_GB2312" w:cs="Times New Roman"/>
          <w:b w:val="0"/>
          <w:bCs w:val="0"/>
          <w:sz w:val="32"/>
          <w:szCs w:val="32"/>
          <w:lang w:eastAsia="zh-CN"/>
        </w:rPr>
        <w:t>2025年，个人住房贷款发放额、公转商贴息贷款发放额、项目贷款发放额、住房消费提取额的总和与当年缴存额的比率为59.8%，比上年减少9.13个百分点。</w:t>
      </w:r>
    </w:p>
    <w:p w14:paraId="5F9CC2BE">
      <w:pPr>
        <w:keepNext w:val="0"/>
        <w:keepLines w:val="0"/>
        <w:pageBreakBefore w:val="0"/>
        <w:widowControl w:val="0"/>
        <w:pBdr>
          <w:bottom w:val="single" w:color="FFFFFF" w:sz="4" w:space="31"/>
        </w:pBdr>
        <w:kinsoku/>
        <w:wordWrap/>
        <w:overflowPunct/>
        <w:topLinePunct/>
        <w:autoSpaceDE w:val="0"/>
        <w:autoSpaceDN/>
        <w:bidi w:val="0"/>
        <w:adjustRightInd/>
        <w:snapToGrid w:val="0"/>
        <w:spacing w:line="600" w:lineRule="exact"/>
        <w:ind w:left="0" w:firstLine="643" w:firstLineChars="200"/>
        <w:jc w:val="both"/>
        <w:textAlignment w:val="auto"/>
        <w:rPr>
          <w:rFonts w:hint="default" w:ascii="Times New Roman" w:hAnsi="Times New Roman" w:eastAsia="仿宋_GB2312" w:cs="Times New Roman"/>
          <w:b/>
          <w:bCs/>
          <w:color w:val="000000"/>
          <w:sz w:val="32"/>
          <w:szCs w:val="32"/>
          <w:shd w:val="clear" w:color="auto" w:fill="FFFFFF"/>
        </w:rPr>
      </w:pPr>
      <w:r>
        <w:rPr>
          <w:rFonts w:hint="eastAsia" w:eastAsia="仿宋_GB2312" w:cs="Times New Roman"/>
          <w:b/>
          <w:bCs/>
          <w:color w:val="000000"/>
          <w:sz w:val="32"/>
          <w:szCs w:val="32"/>
          <w:shd w:val="clear" w:color="auto" w:fill="FFFFFF"/>
          <w:lang w:val="en-US" w:eastAsia="zh-CN"/>
        </w:rPr>
        <w:t>5.</w:t>
      </w:r>
      <w:r>
        <w:rPr>
          <w:rFonts w:hint="default" w:ascii="Times New Roman" w:hAnsi="Times New Roman" w:eastAsia="仿宋_GB2312" w:cs="Times New Roman"/>
          <w:b/>
          <w:bCs/>
          <w:color w:val="000000"/>
          <w:sz w:val="32"/>
          <w:szCs w:val="32"/>
          <w:shd w:val="clear" w:color="auto" w:fill="FFFFFF"/>
        </w:rPr>
        <w:t>可持续发展能力</w:t>
      </w:r>
    </w:p>
    <w:p w14:paraId="2E7050B1">
      <w:pPr>
        <w:keepNext w:val="0"/>
        <w:keepLines w:val="0"/>
        <w:pageBreakBefore w:val="0"/>
        <w:widowControl w:val="0"/>
        <w:pBdr>
          <w:bottom w:val="single" w:color="FFFFFF" w:sz="4" w:space="31"/>
        </w:pBdr>
        <w:kinsoku/>
        <w:wordWrap/>
        <w:overflowPunct/>
        <w:topLinePunct/>
        <w:autoSpaceDE w:val="0"/>
        <w:autoSpaceDN/>
        <w:bidi w:val="0"/>
        <w:adjustRightInd/>
        <w:snapToGrid w:val="0"/>
        <w:spacing w:line="600" w:lineRule="exact"/>
        <w:ind w:left="0" w:firstLine="640" w:firstLineChars="200"/>
        <w:jc w:val="both"/>
        <w:textAlignment w:val="auto"/>
        <w:rPr>
          <w:rFonts w:hint="eastAsia" w:eastAsia="仿宋_GB2312" w:cs="Times New Roman"/>
          <w:color w:val="000000"/>
          <w:sz w:val="32"/>
          <w:szCs w:val="32"/>
          <w:shd w:val="clear" w:color="auto" w:fill="FFFFFF"/>
          <w:lang w:val="en-US" w:eastAsia="zh-CN"/>
        </w:rPr>
      </w:pPr>
      <w:r>
        <w:rPr>
          <w:rFonts w:hint="eastAsia" w:eastAsia="仿宋_GB2312" w:cs="Times New Roman"/>
          <w:color w:val="000000"/>
          <w:sz w:val="32"/>
          <w:szCs w:val="32"/>
          <w:shd w:val="clear" w:color="auto" w:fill="FFFFFF"/>
          <w:lang w:val="en-US" w:eastAsia="zh-CN"/>
        </w:rPr>
        <w:t>2025年，中心坚持以习近平新时代中国特色社会主义思想为指导，全面贯彻党中央、省委决策部署，按照市委、市政府工作要求，深化改革、创新实干，全力为群众办大事、解难事、做实事，用高质量发展保障和改善民生，为住房公积金高质量发展积累新优势、创造新胜势。</w:t>
      </w:r>
    </w:p>
    <w:p w14:paraId="2DEC75B2">
      <w:pPr>
        <w:keepNext w:val="0"/>
        <w:keepLines w:val="0"/>
        <w:pageBreakBefore w:val="0"/>
        <w:widowControl w:val="0"/>
        <w:pBdr>
          <w:bottom w:val="single" w:color="FFFFFF" w:sz="4" w:space="31"/>
        </w:pBdr>
        <w:kinsoku/>
        <w:wordWrap/>
        <w:overflowPunct/>
        <w:topLinePunct/>
        <w:autoSpaceDE w:val="0"/>
        <w:autoSpaceDN/>
        <w:bidi w:val="0"/>
        <w:adjustRightInd/>
        <w:snapToGrid w:val="0"/>
        <w:spacing w:line="600" w:lineRule="exact"/>
        <w:ind w:left="0" w:firstLine="643" w:firstLineChars="200"/>
        <w:jc w:val="both"/>
        <w:textAlignment w:val="auto"/>
        <w:rPr>
          <w:rFonts w:hint="default" w:ascii="Times New Roman" w:hAnsi="Times New Roman" w:eastAsia="仿宋_GB2312" w:cs="Times New Roman"/>
          <w:b/>
          <w:bCs/>
          <w:kern w:val="0"/>
          <w:sz w:val="32"/>
          <w:szCs w:val="32"/>
        </w:rPr>
      </w:pPr>
      <w:r>
        <w:rPr>
          <w:rFonts w:hint="eastAsia" w:ascii="Times New Roman" w:hAnsi="Times New Roman" w:eastAsia="仿宋_GB2312" w:cs="Times New Roman"/>
          <w:b/>
          <w:bCs/>
          <w:kern w:val="0"/>
          <w:sz w:val="32"/>
          <w:szCs w:val="32"/>
          <w:lang w:val="en-US" w:eastAsia="zh-CN"/>
        </w:rPr>
        <w:t>6.</w:t>
      </w:r>
      <w:r>
        <w:rPr>
          <w:rFonts w:hint="default" w:ascii="Times New Roman" w:hAnsi="Times New Roman" w:eastAsia="仿宋_GB2312" w:cs="Times New Roman"/>
          <w:b/>
          <w:bCs/>
          <w:kern w:val="0"/>
          <w:sz w:val="32"/>
          <w:szCs w:val="32"/>
        </w:rPr>
        <w:t>服务对象满意度</w:t>
      </w:r>
    </w:p>
    <w:p w14:paraId="6C6C3BB7">
      <w:pPr>
        <w:keepNext w:val="0"/>
        <w:keepLines w:val="0"/>
        <w:pageBreakBefore w:val="0"/>
        <w:widowControl w:val="0"/>
        <w:pBdr>
          <w:bottom w:val="single" w:color="FFFFFF" w:sz="4" w:space="31"/>
        </w:pBdr>
        <w:kinsoku/>
        <w:wordWrap/>
        <w:overflowPunct/>
        <w:topLinePunct/>
        <w:autoSpaceDE w:val="0"/>
        <w:autoSpaceDN/>
        <w:bidi w:val="0"/>
        <w:adjustRightInd/>
        <w:snapToGrid w:val="0"/>
        <w:spacing w:line="600" w:lineRule="exact"/>
        <w:ind w:left="0" w:firstLine="640" w:firstLineChars="200"/>
        <w:jc w:val="both"/>
        <w:textAlignment w:val="auto"/>
        <w:rPr>
          <w:rFonts w:hint="default" w:eastAsia="仿宋_GB2312" w:cs="Times New Roman"/>
          <w:kern w:val="0"/>
          <w:sz w:val="32"/>
          <w:szCs w:val="32"/>
          <w:lang w:val="en-US" w:eastAsia="zh-CN"/>
        </w:rPr>
      </w:pPr>
      <w:r>
        <w:rPr>
          <w:rFonts w:hint="eastAsia" w:eastAsia="仿宋_GB2312" w:cs="Times New Roman"/>
          <w:kern w:val="0"/>
          <w:sz w:val="32"/>
          <w:szCs w:val="32"/>
          <w:lang w:eastAsia="zh-CN"/>
        </w:rPr>
        <w:t>服务对象满意度≥</w:t>
      </w:r>
      <w:r>
        <w:rPr>
          <w:rFonts w:hint="eastAsia" w:eastAsia="仿宋_GB2312" w:cs="Times New Roman"/>
          <w:kern w:val="0"/>
          <w:sz w:val="32"/>
          <w:szCs w:val="32"/>
          <w:lang w:val="en-US" w:eastAsia="zh-CN"/>
        </w:rPr>
        <w:t>95%，刚需贷款、提取业务、企业缴存服务认可度高，驻村帮扶基层群众评价良好。</w:t>
      </w:r>
    </w:p>
    <w:p w14:paraId="245D26AA">
      <w:pPr>
        <w:keepNext w:val="0"/>
        <w:keepLines w:val="0"/>
        <w:pageBreakBefore w:val="0"/>
        <w:widowControl w:val="0"/>
        <w:pBdr>
          <w:bottom w:val="single" w:color="FFFFFF" w:sz="4" w:space="31"/>
        </w:pBdr>
        <w:kinsoku/>
        <w:wordWrap/>
        <w:overflowPunct/>
        <w:topLinePunct/>
        <w:autoSpaceDE w:val="0"/>
        <w:autoSpaceDN/>
        <w:bidi w:val="0"/>
        <w:adjustRightInd/>
        <w:snapToGrid w:val="0"/>
        <w:spacing w:line="600" w:lineRule="exact"/>
        <w:ind w:left="0" w:firstLine="640" w:firstLineChars="200"/>
        <w:jc w:val="both"/>
        <w:textAlignment w:val="auto"/>
        <w:rPr>
          <w:rFonts w:hint="eastAsia" w:ascii="黑体" w:hAnsi="黑体" w:eastAsia="黑体" w:cs="黑体"/>
          <w:kern w:val="0"/>
          <w:sz w:val="32"/>
          <w:szCs w:val="32"/>
        </w:rPr>
      </w:pPr>
      <w:r>
        <w:rPr>
          <w:rFonts w:hint="eastAsia" w:ascii="黑体" w:hAnsi="黑体" w:eastAsia="黑体" w:cs="黑体"/>
          <w:kern w:val="0"/>
          <w:sz w:val="32"/>
          <w:szCs w:val="32"/>
        </w:rPr>
        <w:t>九、存在的问题及原因分析</w:t>
      </w:r>
    </w:p>
    <w:p w14:paraId="1AA002B8">
      <w:pPr>
        <w:keepNext w:val="0"/>
        <w:keepLines w:val="0"/>
        <w:pageBreakBefore w:val="0"/>
        <w:widowControl w:val="0"/>
        <w:pBdr>
          <w:bottom w:val="single" w:color="FFFFFF" w:sz="4" w:space="31"/>
        </w:pBdr>
        <w:kinsoku/>
        <w:wordWrap/>
        <w:overflowPunct/>
        <w:topLinePunct/>
        <w:autoSpaceDE w:val="0"/>
        <w:autoSpaceDN/>
        <w:bidi w:val="0"/>
        <w:adjustRightInd/>
        <w:snapToGrid w:val="0"/>
        <w:spacing w:line="600" w:lineRule="exact"/>
        <w:ind w:left="0" w:firstLine="640" w:firstLineChars="200"/>
        <w:jc w:val="both"/>
        <w:textAlignment w:val="auto"/>
        <w:rPr>
          <w:rFonts w:hint="eastAsia" w:eastAsia="仿宋_GB2312" w:cs="Times New Roman"/>
          <w:kern w:val="0"/>
          <w:sz w:val="32"/>
          <w:szCs w:val="32"/>
          <w:lang w:val="en-US" w:eastAsia="zh-CN"/>
        </w:rPr>
      </w:pPr>
      <w:r>
        <w:rPr>
          <w:rFonts w:hint="default" w:ascii="Times New Roman" w:hAnsi="Times New Roman" w:eastAsia="仿宋_GB2312" w:cs="Times New Roman"/>
          <w:kern w:val="0"/>
          <w:sz w:val="32"/>
          <w:szCs w:val="32"/>
        </w:rPr>
        <w:t>1</w:t>
      </w:r>
      <w:r>
        <w:rPr>
          <w:rFonts w:hint="default" w:ascii="Times New Roman" w:hAnsi="Times New Roman" w:eastAsia="仿宋_GB2312" w:cs="Times New Roman"/>
          <w:kern w:val="0"/>
          <w:sz w:val="32"/>
          <w:szCs w:val="32"/>
          <w:lang w:val="en-US" w:eastAsia="zh-CN"/>
        </w:rPr>
        <w:t>.</w:t>
      </w:r>
      <w:r>
        <w:rPr>
          <w:rFonts w:hint="eastAsia" w:eastAsia="仿宋_GB2312" w:cs="Times New Roman"/>
          <w:kern w:val="0"/>
          <w:sz w:val="32"/>
          <w:szCs w:val="32"/>
          <w:lang w:val="en-US" w:eastAsia="zh-CN"/>
        </w:rPr>
        <w:t>项目预算支出时序统筹不足，各项目资金执行节奏差异较大，部分项目前期筹备周期长、资金拨付滞后，部分项目集中收尾阶段批量付款，整体预算执行时序不均衡。</w:t>
      </w:r>
    </w:p>
    <w:p w14:paraId="3DA8B7A6">
      <w:pPr>
        <w:keepNext w:val="0"/>
        <w:keepLines w:val="0"/>
        <w:pageBreakBefore w:val="0"/>
        <w:widowControl w:val="0"/>
        <w:pBdr>
          <w:bottom w:val="single" w:color="FFFFFF" w:sz="4" w:space="31"/>
        </w:pBdr>
        <w:kinsoku/>
        <w:wordWrap/>
        <w:overflowPunct/>
        <w:topLinePunct/>
        <w:autoSpaceDE w:val="0"/>
        <w:autoSpaceDN/>
        <w:bidi w:val="0"/>
        <w:adjustRightInd/>
        <w:snapToGrid w:val="0"/>
        <w:spacing w:line="600" w:lineRule="exact"/>
        <w:ind w:left="0" w:firstLine="640" w:firstLineChars="200"/>
        <w:jc w:val="both"/>
        <w:textAlignment w:val="auto"/>
        <w:rPr>
          <w:rFonts w:hint="default" w:eastAsia="仿宋_GB2312" w:cs="Times New Roman"/>
          <w:kern w:val="0"/>
          <w:sz w:val="32"/>
          <w:szCs w:val="32"/>
          <w:lang w:val="en-US" w:eastAsia="zh-CN"/>
        </w:rPr>
      </w:pPr>
      <w:r>
        <w:rPr>
          <w:rFonts w:hint="eastAsia" w:eastAsia="仿宋_GB2312" w:cs="Times New Roman"/>
          <w:kern w:val="0"/>
          <w:sz w:val="32"/>
          <w:szCs w:val="32"/>
          <w:lang w:val="en-US" w:eastAsia="zh-CN"/>
        </w:rPr>
        <w:t>2.预算绩效内控体系仍需优化，全员绩效管理理念不够深入，绩效过程常态化管控不足。</w:t>
      </w:r>
    </w:p>
    <w:p w14:paraId="73BA4376">
      <w:pPr>
        <w:keepNext w:val="0"/>
        <w:keepLines w:val="0"/>
        <w:pageBreakBefore w:val="0"/>
        <w:widowControl w:val="0"/>
        <w:pBdr>
          <w:bottom w:val="single" w:color="FFFFFF" w:sz="4" w:space="31"/>
        </w:pBdr>
        <w:kinsoku/>
        <w:wordWrap/>
        <w:overflowPunct/>
        <w:topLinePunct/>
        <w:autoSpaceDE w:val="0"/>
        <w:autoSpaceDN/>
        <w:bidi w:val="0"/>
        <w:adjustRightInd/>
        <w:snapToGrid w:val="0"/>
        <w:spacing w:line="600" w:lineRule="exact"/>
        <w:ind w:left="0" w:firstLine="640" w:firstLineChars="200"/>
        <w:jc w:val="both"/>
        <w:textAlignment w:val="auto"/>
        <w:rPr>
          <w:rFonts w:hint="default" w:ascii="Times New Roman" w:hAnsi="Times New Roman" w:eastAsia="黑体" w:cs="Times New Roman"/>
          <w:sz w:val="32"/>
          <w:szCs w:val="32"/>
        </w:rPr>
      </w:pPr>
      <w:r>
        <w:rPr>
          <w:rFonts w:hint="default" w:ascii="Times New Roman" w:hAnsi="Times New Roman" w:eastAsia="黑体" w:cs="Times New Roman"/>
          <w:color w:val="000000"/>
          <w:sz w:val="32"/>
          <w:szCs w:val="32"/>
          <w:shd w:val="clear" w:color="auto" w:fill="FFFFFF"/>
        </w:rPr>
        <w:t>十、下一步改进措施</w:t>
      </w:r>
    </w:p>
    <w:p w14:paraId="2B4174C0">
      <w:pPr>
        <w:keepNext w:val="0"/>
        <w:keepLines w:val="0"/>
        <w:pageBreakBefore w:val="0"/>
        <w:widowControl w:val="0"/>
        <w:pBdr>
          <w:bottom w:val="single" w:color="FFFFFF" w:sz="4" w:space="31"/>
        </w:pBdr>
        <w:kinsoku/>
        <w:wordWrap/>
        <w:overflowPunct/>
        <w:topLinePunct/>
        <w:autoSpaceDE w:val="0"/>
        <w:autoSpaceDN/>
        <w:bidi w:val="0"/>
        <w:adjustRightInd/>
        <w:snapToGrid w:val="0"/>
        <w:spacing w:line="600" w:lineRule="exact"/>
        <w:ind w:left="0" w:firstLine="640" w:firstLineChars="200"/>
        <w:jc w:val="both"/>
        <w:textAlignment w:val="auto"/>
        <w:rPr>
          <w:rFonts w:hint="eastAsia" w:eastAsia="仿宋_GB2312" w:cs="Times New Roman"/>
          <w:sz w:val="32"/>
          <w:szCs w:val="32"/>
          <w:lang w:val="en-US" w:eastAsia="zh-CN"/>
        </w:rPr>
      </w:pPr>
      <w:r>
        <w:rPr>
          <w:rFonts w:hint="eastAsia" w:eastAsia="仿宋_GB2312" w:cs="Times New Roman"/>
          <w:sz w:val="32"/>
          <w:szCs w:val="32"/>
          <w:lang w:val="en-US" w:eastAsia="zh-CN"/>
        </w:rPr>
        <w:t>1.精准统筹项目资金时序，均衡预算执行节奏。对周期长的项目提前启动前置审批流程，分散支付节点，消化沉淀资金，杜绝年末扎堆支付，保障各项目资金平稳、均衡支出。</w:t>
      </w:r>
    </w:p>
    <w:p w14:paraId="7832246C">
      <w:pPr>
        <w:keepNext w:val="0"/>
        <w:keepLines w:val="0"/>
        <w:pageBreakBefore w:val="0"/>
        <w:widowControl w:val="0"/>
        <w:pBdr>
          <w:bottom w:val="single" w:color="FFFFFF" w:sz="4" w:space="31"/>
        </w:pBdr>
        <w:kinsoku/>
        <w:wordWrap/>
        <w:overflowPunct/>
        <w:topLinePunct/>
        <w:autoSpaceDE w:val="0"/>
        <w:autoSpaceDN/>
        <w:bidi w:val="0"/>
        <w:adjustRightInd/>
        <w:snapToGrid w:val="0"/>
        <w:spacing w:line="600" w:lineRule="exact"/>
        <w:ind w:left="0" w:firstLine="640" w:firstLineChars="200"/>
        <w:jc w:val="both"/>
        <w:textAlignment w:val="auto"/>
        <w:rPr>
          <w:rFonts w:hint="default" w:eastAsia="仿宋_GB2312" w:cs="Times New Roman"/>
          <w:sz w:val="32"/>
          <w:szCs w:val="32"/>
          <w:lang w:val="en-US" w:eastAsia="zh-CN"/>
        </w:rPr>
      </w:pPr>
      <w:r>
        <w:rPr>
          <w:rFonts w:hint="eastAsia" w:eastAsia="仿宋_GB2312" w:cs="Times New Roman"/>
          <w:sz w:val="32"/>
          <w:szCs w:val="32"/>
          <w:lang w:val="en-US" w:eastAsia="zh-CN"/>
        </w:rPr>
        <w:t>2. 优化预算绩效内控体系，强化过程绩效管理。完善内控制度，加强绩效理念宣贯，落实全过程绩效管控，健全常态化监控机制，及时纠偏执行偏差，推动绩效管理提质增效。</w:t>
      </w:r>
    </w:p>
    <w:p w14:paraId="2F72B2B9">
      <w:pPr>
        <w:keepNext w:val="0"/>
        <w:keepLines w:val="0"/>
        <w:pageBreakBefore w:val="0"/>
        <w:widowControl w:val="0"/>
        <w:pBdr>
          <w:bottom w:val="single" w:color="FFFFFF" w:sz="4" w:space="31"/>
        </w:pBdr>
        <w:kinsoku/>
        <w:wordWrap/>
        <w:overflowPunct/>
        <w:topLinePunct/>
        <w:autoSpaceDE w:val="0"/>
        <w:autoSpaceDN/>
        <w:bidi w:val="0"/>
        <w:adjustRightInd/>
        <w:snapToGrid w:val="0"/>
        <w:spacing w:line="600" w:lineRule="exact"/>
        <w:ind w:left="0" w:firstLine="640" w:firstLineChars="200"/>
        <w:jc w:val="both"/>
        <w:textAlignment w:val="auto"/>
        <w:rPr>
          <w:rFonts w:hint="default" w:ascii="Times New Roman" w:hAnsi="Times New Roman" w:eastAsia="黑体" w:cs="Times New Roman"/>
          <w:sz w:val="32"/>
          <w:szCs w:val="32"/>
        </w:rPr>
      </w:pPr>
      <w:r>
        <w:rPr>
          <w:rFonts w:hint="default" w:ascii="Times New Roman" w:hAnsi="Times New Roman" w:eastAsia="黑体" w:cs="Times New Roman"/>
          <w:sz w:val="32"/>
          <w:szCs w:val="32"/>
        </w:rPr>
        <w:t>十一、绩效自评结果拟应用和公开情况</w:t>
      </w:r>
    </w:p>
    <w:p w14:paraId="3E1E5343">
      <w:pPr>
        <w:keepNext w:val="0"/>
        <w:keepLines w:val="0"/>
        <w:pageBreakBefore w:val="0"/>
        <w:widowControl w:val="0"/>
        <w:pBdr>
          <w:bottom w:val="single" w:color="FFFFFF" w:sz="4" w:space="31"/>
        </w:pBdr>
        <w:kinsoku/>
        <w:wordWrap/>
        <w:overflowPunct/>
        <w:topLinePunct/>
        <w:autoSpaceDE w:val="0"/>
        <w:autoSpaceDN/>
        <w:bidi w:val="0"/>
        <w:adjustRightInd/>
        <w:snapToGrid w:val="0"/>
        <w:spacing w:line="600" w:lineRule="exact"/>
        <w:ind w:left="0" w:firstLine="640" w:firstLineChars="200"/>
        <w:jc w:val="both"/>
        <w:textAlignment w:val="auto"/>
        <w:rPr>
          <w:rFonts w:hint="default" w:ascii="Times New Roman" w:hAnsi="Times New Roman" w:eastAsia="仿宋_GB2312" w:cs="Times New Roman"/>
          <w:color w:val="000000"/>
          <w:sz w:val="32"/>
          <w:szCs w:val="32"/>
          <w:shd w:val="clear" w:color="auto" w:fill="FFFFFF"/>
        </w:rPr>
      </w:pPr>
      <w:r>
        <w:rPr>
          <w:rFonts w:hint="default" w:ascii="Times New Roman" w:hAnsi="Times New Roman" w:eastAsia="仿宋_GB2312" w:cs="Times New Roman"/>
          <w:sz w:val="32"/>
          <w:szCs w:val="32"/>
        </w:rPr>
        <w:t>中心将针对</w:t>
      </w:r>
      <w:r>
        <w:rPr>
          <w:rFonts w:hint="eastAsia" w:eastAsia="仿宋_GB2312" w:cs="Times New Roman"/>
          <w:sz w:val="32"/>
          <w:szCs w:val="32"/>
          <w:lang w:eastAsia="zh-CN"/>
        </w:rPr>
        <w:t>本次</w:t>
      </w:r>
      <w:r>
        <w:rPr>
          <w:rFonts w:hint="default" w:ascii="Times New Roman" w:hAnsi="Times New Roman" w:eastAsia="仿宋_GB2312" w:cs="Times New Roman"/>
          <w:sz w:val="32"/>
          <w:szCs w:val="32"/>
        </w:rPr>
        <w:t>自评中发现的问题，取切实可行的整改举措并落实到位，进一步重视绩效考核激励作用，扎实做好绩效评价工作，提高财政资金使用效益。同时，按照统一部署，在中心门户网站公</w:t>
      </w:r>
      <w:r>
        <w:rPr>
          <w:rFonts w:hint="eastAsia" w:eastAsia="仿宋_GB2312" w:cs="Times New Roman"/>
          <w:sz w:val="32"/>
          <w:szCs w:val="32"/>
          <w:lang w:eastAsia="zh-CN"/>
        </w:rPr>
        <w:t>布2025</w:t>
      </w:r>
      <w:r>
        <w:rPr>
          <w:rFonts w:hint="default" w:ascii="Times New Roman" w:hAnsi="Times New Roman" w:eastAsia="仿宋_GB2312" w:cs="Times New Roman"/>
          <w:sz w:val="32"/>
          <w:szCs w:val="32"/>
        </w:rPr>
        <w:t>年部门整体支出绩效自评报告，接受社会监督。</w:t>
      </w:r>
    </w:p>
    <w:p w14:paraId="034E9928">
      <w:pPr>
        <w:keepNext w:val="0"/>
        <w:keepLines w:val="0"/>
        <w:pageBreakBefore w:val="0"/>
        <w:widowControl w:val="0"/>
        <w:pBdr>
          <w:bottom w:val="single" w:color="FFFFFF" w:sz="4" w:space="31"/>
        </w:pBdr>
        <w:kinsoku/>
        <w:wordWrap/>
        <w:overflowPunct/>
        <w:topLinePunct/>
        <w:autoSpaceDE w:val="0"/>
        <w:autoSpaceDN/>
        <w:bidi w:val="0"/>
        <w:adjustRightInd/>
        <w:snapToGrid w:val="0"/>
        <w:spacing w:line="600" w:lineRule="exact"/>
        <w:ind w:left="0" w:firstLine="640" w:firstLineChars="200"/>
        <w:jc w:val="both"/>
        <w:textAlignment w:val="auto"/>
        <w:rPr>
          <w:rFonts w:hint="default" w:ascii="Times New Roman" w:hAnsi="Times New Roman" w:eastAsia="黑体" w:cs="Times New Roman"/>
          <w:sz w:val="32"/>
          <w:szCs w:val="32"/>
        </w:rPr>
      </w:pPr>
      <w:r>
        <w:rPr>
          <w:rFonts w:hint="default" w:ascii="Times New Roman" w:hAnsi="Times New Roman" w:eastAsia="黑体" w:cs="Times New Roman"/>
          <w:sz w:val="32"/>
          <w:szCs w:val="32"/>
        </w:rPr>
        <w:t>十二、其他需要说明的情况</w:t>
      </w:r>
    </w:p>
    <w:p w14:paraId="6D304E5B">
      <w:pPr>
        <w:keepNext w:val="0"/>
        <w:keepLines w:val="0"/>
        <w:pageBreakBefore w:val="0"/>
        <w:widowControl w:val="0"/>
        <w:pBdr>
          <w:bottom w:val="single" w:color="FFFFFF" w:sz="4" w:space="31"/>
        </w:pBdr>
        <w:kinsoku/>
        <w:wordWrap/>
        <w:overflowPunct/>
        <w:topLinePunct/>
        <w:autoSpaceDE w:val="0"/>
        <w:autoSpaceDN/>
        <w:bidi w:val="0"/>
        <w:adjustRightInd/>
        <w:snapToGrid w:val="0"/>
        <w:spacing w:line="600" w:lineRule="exact"/>
        <w:ind w:left="0"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无。</w:t>
      </w:r>
    </w:p>
    <w:p w14:paraId="36AA4EAC">
      <w:pPr>
        <w:rPr>
          <w:rFonts w:hint="default" w:ascii="Times New Roman" w:hAnsi="Times New Roman" w:cs="Times New Roman"/>
        </w:rPr>
      </w:pPr>
    </w:p>
    <w:p w14:paraId="141A2620">
      <w:pPr>
        <w:rPr>
          <w:rFonts w:eastAsia="仿宋_GB2312"/>
          <w:color w:val="000000"/>
          <w:kern w:val="0"/>
          <w:sz w:val="32"/>
          <w:szCs w:val="32"/>
        </w:rPr>
      </w:pPr>
      <w:r>
        <w:rPr>
          <w:rFonts w:eastAsia="仿宋_GB2312"/>
          <w:color w:val="000000"/>
          <w:kern w:val="0"/>
          <w:sz w:val="32"/>
          <w:szCs w:val="32"/>
        </w:rPr>
        <w:br w:type="page"/>
      </w:r>
    </w:p>
    <w:p w14:paraId="2FE13496">
      <w:pPr>
        <w:rPr>
          <w:rFonts w:eastAsia="仿宋_GB2312"/>
          <w:color w:val="000000"/>
          <w:kern w:val="0"/>
          <w:sz w:val="32"/>
          <w:szCs w:val="32"/>
        </w:rPr>
        <w:sectPr>
          <w:footerReference r:id="rId7" w:type="default"/>
          <w:pgSz w:w="11906" w:h="16838"/>
          <w:pgMar w:top="1247" w:right="1800" w:bottom="1247" w:left="1800" w:header="851" w:footer="992" w:gutter="0"/>
          <w:pgNumType w:fmt="decimal"/>
          <w:cols w:space="0" w:num="1"/>
          <w:rtlGutter w:val="0"/>
          <w:docGrid w:type="lines" w:linePitch="312" w:charSpace="0"/>
        </w:sectPr>
      </w:pPr>
    </w:p>
    <w:p w14:paraId="2331981F">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right="0"/>
        <w:jc w:val="both"/>
        <w:textAlignment w:val="auto"/>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pPr>
      <w:r>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t>附件1</w:t>
      </w:r>
    </w:p>
    <w:p w14:paraId="26F70C39">
      <w:pPr>
        <w:keepNext w:val="0"/>
        <w:keepLines w:val="0"/>
        <w:pageBreakBefore w:val="0"/>
        <w:widowControl/>
        <w:tabs>
          <w:tab w:val="left" w:pos="3611"/>
          <w:tab w:val="left" w:pos="4791"/>
          <w:tab w:val="left" w:pos="5951"/>
          <w:tab w:val="left" w:pos="7071"/>
          <w:tab w:val="left" w:pos="8191"/>
          <w:tab w:val="left" w:pos="9311"/>
        </w:tabs>
        <w:kinsoku/>
        <w:wordWrap/>
        <w:overflowPunct/>
        <w:topLinePunct w:val="0"/>
        <w:autoSpaceDE/>
        <w:autoSpaceDN/>
        <w:bidi w:val="0"/>
        <w:adjustRightInd/>
        <w:snapToGrid/>
        <w:spacing w:line="480" w:lineRule="exact"/>
        <w:ind w:left="91"/>
        <w:jc w:val="center"/>
        <w:textAlignment w:val="auto"/>
        <w:rPr>
          <w:rFonts w:hint="eastAsia" w:ascii="方正小标宋简体" w:hAnsi="方正小标宋简体" w:eastAsia="方正小标宋简体" w:cs="方正小标宋简体"/>
          <w:color w:val="000000"/>
          <w:kern w:val="0"/>
          <w:sz w:val="36"/>
          <w:szCs w:val="36"/>
          <w:lang w:val="en-US" w:eastAsia="zh-CN"/>
        </w:rPr>
      </w:pPr>
      <w:r>
        <w:rPr>
          <w:rFonts w:hint="eastAsia" w:ascii="方正小标宋简体" w:hAnsi="方正小标宋简体" w:eastAsia="方正小标宋简体" w:cs="方正小标宋简体"/>
          <w:color w:val="000000"/>
          <w:kern w:val="0"/>
          <w:sz w:val="36"/>
          <w:szCs w:val="36"/>
          <w:lang w:val="en-US" w:eastAsia="zh-CN"/>
        </w:rPr>
        <w:t>部门整体支出绩效评价基础数据表</w:t>
      </w:r>
    </w:p>
    <w:p w14:paraId="7B370F13">
      <w:pPr>
        <w:widowControl/>
        <w:tabs>
          <w:tab w:val="left" w:pos="3611"/>
          <w:tab w:val="left" w:pos="4791"/>
          <w:tab w:val="left" w:pos="5951"/>
          <w:tab w:val="left" w:pos="7071"/>
          <w:tab w:val="left" w:pos="8191"/>
          <w:tab w:val="left" w:pos="9311"/>
        </w:tabs>
        <w:ind w:left="91"/>
        <w:jc w:val="left"/>
        <w:rPr>
          <w:rFonts w:hint="default" w:eastAsia="仿宋_GB2312"/>
          <w:kern w:val="0"/>
          <w:sz w:val="24"/>
          <w:lang w:val="en-US" w:eastAsia="zh-CN"/>
        </w:rPr>
      </w:pPr>
      <w:r>
        <w:rPr>
          <w:rFonts w:hint="eastAsia" w:eastAsia="仿宋_GB2312"/>
          <w:kern w:val="0"/>
          <w:sz w:val="24"/>
          <w:lang w:val="en-US" w:eastAsia="zh-CN"/>
        </w:rPr>
        <w:t xml:space="preserve">                                       </w:t>
      </w:r>
    </w:p>
    <w:tbl>
      <w:tblPr>
        <w:tblStyle w:val="10"/>
        <w:tblW w:w="946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354"/>
        <w:gridCol w:w="1189"/>
        <w:gridCol w:w="849"/>
        <w:gridCol w:w="1129"/>
        <w:gridCol w:w="1111"/>
        <w:gridCol w:w="969"/>
        <w:gridCol w:w="863"/>
      </w:tblGrid>
      <w:tr w14:paraId="0121C8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jc w:val="center"/>
        </w:trPr>
        <w:tc>
          <w:tcPr>
            <w:tcW w:w="3354" w:type="dxa"/>
            <w:vMerge w:val="restart"/>
            <w:noWrap w:val="0"/>
            <w:vAlign w:val="center"/>
          </w:tcPr>
          <w:p w14:paraId="34516532">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财政供养人员情况</w:t>
            </w:r>
          </w:p>
        </w:tc>
        <w:tc>
          <w:tcPr>
            <w:tcW w:w="2038" w:type="dxa"/>
            <w:gridSpan w:val="2"/>
            <w:noWrap w:val="0"/>
            <w:vAlign w:val="center"/>
          </w:tcPr>
          <w:p w14:paraId="3BE299E0">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编制数</w:t>
            </w:r>
          </w:p>
        </w:tc>
        <w:tc>
          <w:tcPr>
            <w:tcW w:w="2240" w:type="dxa"/>
            <w:gridSpan w:val="2"/>
            <w:noWrap w:val="0"/>
            <w:vAlign w:val="center"/>
          </w:tcPr>
          <w:p w14:paraId="577799FC">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20</w:t>
            </w:r>
            <w:r>
              <w:rPr>
                <w:rFonts w:hint="eastAsia" w:ascii="仿宋" w:hAnsi="仿宋" w:eastAsia="仿宋" w:cs="仿宋"/>
                <w:b w:val="0"/>
                <w:bCs w:val="0"/>
                <w:kern w:val="0"/>
                <w:sz w:val="20"/>
                <w:szCs w:val="20"/>
                <w:lang w:val="en-US" w:eastAsia="zh-CN"/>
              </w:rPr>
              <w:t>25</w:t>
            </w:r>
            <w:r>
              <w:rPr>
                <w:rFonts w:hint="eastAsia" w:ascii="仿宋" w:hAnsi="仿宋" w:eastAsia="仿宋" w:cs="仿宋"/>
                <w:b w:val="0"/>
                <w:bCs w:val="0"/>
                <w:kern w:val="0"/>
                <w:sz w:val="20"/>
                <w:szCs w:val="20"/>
              </w:rPr>
              <w:t>年实际在职人数</w:t>
            </w:r>
          </w:p>
        </w:tc>
        <w:tc>
          <w:tcPr>
            <w:tcW w:w="1832" w:type="dxa"/>
            <w:gridSpan w:val="2"/>
            <w:noWrap w:val="0"/>
            <w:vAlign w:val="center"/>
          </w:tcPr>
          <w:p w14:paraId="1B2695BD">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控制率</w:t>
            </w:r>
          </w:p>
        </w:tc>
      </w:tr>
      <w:tr w14:paraId="448543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3354" w:type="dxa"/>
            <w:vMerge w:val="continue"/>
            <w:noWrap w:val="0"/>
            <w:vAlign w:val="center"/>
          </w:tcPr>
          <w:p w14:paraId="02C12AB0">
            <w:pPr>
              <w:keepNext w:val="0"/>
              <w:keepLines w:val="0"/>
              <w:pageBreakBefore w:val="0"/>
              <w:widowControl/>
              <w:kinsoku/>
              <w:wordWrap/>
              <w:overflowPunct/>
              <w:topLinePunct w:val="0"/>
              <w:autoSpaceDE/>
              <w:autoSpaceDN/>
              <w:bidi w:val="0"/>
              <w:adjustRightInd/>
              <w:snapToGrid/>
              <w:spacing w:line="220" w:lineRule="exact"/>
              <w:jc w:val="left"/>
              <w:textAlignment w:val="auto"/>
              <w:rPr>
                <w:rFonts w:hint="eastAsia" w:ascii="仿宋" w:hAnsi="仿宋" w:eastAsia="仿宋" w:cs="仿宋"/>
                <w:b w:val="0"/>
                <w:bCs w:val="0"/>
                <w:kern w:val="0"/>
                <w:sz w:val="20"/>
                <w:szCs w:val="20"/>
              </w:rPr>
            </w:pPr>
          </w:p>
        </w:tc>
        <w:tc>
          <w:tcPr>
            <w:tcW w:w="2038" w:type="dxa"/>
            <w:gridSpan w:val="2"/>
            <w:noWrap w:val="0"/>
            <w:vAlign w:val="center"/>
          </w:tcPr>
          <w:p w14:paraId="06AC6898">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default" w:ascii="仿宋" w:hAnsi="仿宋" w:eastAsia="仿宋" w:cs="仿宋"/>
                <w:b w:val="0"/>
                <w:bCs w:val="0"/>
                <w:kern w:val="0"/>
                <w:sz w:val="20"/>
                <w:szCs w:val="20"/>
                <w:lang w:val="en-US" w:eastAsia="zh-CN"/>
              </w:rPr>
            </w:pPr>
            <w:r>
              <w:rPr>
                <w:rFonts w:hint="eastAsia" w:ascii="仿宋" w:hAnsi="仿宋" w:eastAsia="仿宋" w:cs="仿宋"/>
                <w:b w:val="0"/>
                <w:bCs w:val="0"/>
                <w:kern w:val="0"/>
                <w:sz w:val="20"/>
                <w:szCs w:val="20"/>
                <w:lang w:val="en-US" w:eastAsia="zh-CN"/>
              </w:rPr>
              <w:t>98</w:t>
            </w:r>
          </w:p>
        </w:tc>
        <w:tc>
          <w:tcPr>
            <w:tcW w:w="2240" w:type="dxa"/>
            <w:gridSpan w:val="2"/>
            <w:noWrap w:val="0"/>
            <w:vAlign w:val="center"/>
          </w:tcPr>
          <w:p w14:paraId="1EC7A9B6">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default" w:ascii="仿宋" w:hAnsi="仿宋" w:eastAsia="仿宋" w:cs="仿宋"/>
                <w:b w:val="0"/>
                <w:bCs w:val="0"/>
                <w:kern w:val="0"/>
                <w:sz w:val="20"/>
                <w:szCs w:val="20"/>
                <w:lang w:val="en-US" w:eastAsia="zh-CN"/>
              </w:rPr>
            </w:pPr>
            <w:r>
              <w:rPr>
                <w:rFonts w:hint="eastAsia" w:ascii="仿宋" w:hAnsi="仿宋" w:eastAsia="仿宋" w:cs="仿宋"/>
                <w:b w:val="0"/>
                <w:bCs w:val="0"/>
                <w:kern w:val="0"/>
                <w:sz w:val="20"/>
                <w:szCs w:val="20"/>
                <w:lang w:val="en-US" w:eastAsia="zh-CN"/>
              </w:rPr>
              <w:t>94</w:t>
            </w:r>
          </w:p>
        </w:tc>
        <w:tc>
          <w:tcPr>
            <w:tcW w:w="1832" w:type="dxa"/>
            <w:gridSpan w:val="2"/>
            <w:noWrap w:val="0"/>
            <w:vAlign w:val="center"/>
          </w:tcPr>
          <w:p w14:paraId="53C72DEE">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default" w:ascii="仿宋" w:hAnsi="仿宋" w:eastAsia="仿宋" w:cs="仿宋"/>
                <w:b w:val="0"/>
                <w:bCs w:val="0"/>
                <w:kern w:val="0"/>
                <w:sz w:val="20"/>
                <w:szCs w:val="20"/>
                <w:lang w:val="en-US" w:eastAsia="zh-CN"/>
              </w:rPr>
            </w:pPr>
            <w:r>
              <w:rPr>
                <w:rFonts w:hint="eastAsia" w:ascii="仿宋" w:hAnsi="仿宋" w:eastAsia="仿宋" w:cs="仿宋"/>
                <w:b w:val="0"/>
                <w:bCs w:val="0"/>
                <w:kern w:val="0"/>
                <w:sz w:val="20"/>
                <w:szCs w:val="20"/>
                <w:lang w:val="en-US" w:eastAsia="zh-CN"/>
              </w:rPr>
              <w:t>95.92%</w:t>
            </w:r>
          </w:p>
        </w:tc>
      </w:tr>
      <w:tr w14:paraId="37279F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4CAC8723">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经费控制情况</w:t>
            </w:r>
          </w:p>
        </w:tc>
        <w:tc>
          <w:tcPr>
            <w:tcW w:w="2038" w:type="dxa"/>
            <w:gridSpan w:val="2"/>
            <w:noWrap w:val="0"/>
            <w:vAlign w:val="center"/>
          </w:tcPr>
          <w:p w14:paraId="53AD76AB">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20</w:t>
            </w:r>
            <w:r>
              <w:rPr>
                <w:rFonts w:hint="eastAsia" w:ascii="仿宋" w:hAnsi="仿宋" w:eastAsia="仿宋" w:cs="仿宋"/>
                <w:b w:val="0"/>
                <w:bCs w:val="0"/>
                <w:kern w:val="0"/>
                <w:sz w:val="20"/>
                <w:szCs w:val="20"/>
                <w:lang w:val="en-US" w:eastAsia="zh-CN"/>
              </w:rPr>
              <w:t>24</w:t>
            </w:r>
            <w:r>
              <w:rPr>
                <w:rFonts w:hint="eastAsia" w:ascii="仿宋" w:hAnsi="仿宋" w:eastAsia="仿宋" w:cs="仿宋"/>
                <w:b w:val="0"/>
                <w:bCs w:val="0"/>
                <w:kern w:val="0"/>
                <w:sz w:val="20"/>
                <w:szCs w:val="20"/>
              </w:rPr>
              <w:t>年决算数</w:t>
            </w:r>
          </w:p>
        </w:tc>
        <w:tc>
          <w:tcPr>
            <w:tcW w:w="2240" w:type="dxa"/>
            <w:gridSpan w:val="2"/>
            <w:noWrap w:val="0"/>
            <w:vAlign w:val="center"/>
          </w:tcPr>
          <w:p w14:paraId="695FAD0E">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20</w:t>
            </w:r>
            <w:r>
              <w:rPr>
                <w:rFonts w:hint="eastAsia" w:ascii="仿宋" w:hAnsi="仿宋" w:eastAsia="仿宋" w:cs="仿宋"/>
                <w:b w:val="0"/>
                <w:bCs w:val="0"/>
                <w:kern w:val="0"/>
                <w:sz w:val="20"/>
                <w:szCs w:val="20"/>
                <w:lang w:val="en-US" w:eastAsia="zh-CN"/>
              </w:rPr>
              <w:t>25</w:t>
            </w:r>
            <w:r>
              <w:rPr>
                <w:rFonts w:hint="eastAsia" w:ascii="仿宋" w:hAnsi="仿宋" w:eastAsia="仿宋" w:cs="仿宋"/>
                <w:b w:val="0"/>
                <w:bCs w:val="0"/>
                <w:kern w:val="0"/>
                <w:sz w:val="20"/>
                <w:szCs w:val="20"/>
              </w:rPr>
              <w:t>年预算数</w:t>
            </w:r>
          </w:p>
        </w:tc>
        <w:tc>
          <w:tcPr>
            <w:tcW w:w="1832" w:type="dxa"/>
            <w:gridSpan w:val="2"/>
            <w:noWrap w:val="0"/>
            <w:vAlign w:val="center"/>
          </w:tcPr>
          <w:p w14:paraId="2B31A81F">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20</w:t>
            </w:r>
            <w:r>
              <w:rPr>
                <w:rFonts w:hint="eastAsia" w:ascii="仿宋" w:hAnsi="仿宋" w:eastAsia="仿宋" w:cs="仿宋"/>
                <w:b w:val="0"/>
                <w:bCs w:val="0"/>
                <w:kern w:val="0"/>
                <w:sz w:val="20"/>
                <w:szCs w:val="20"/>
                <w:lang w:val="en-US" w:eastAsia="zh-CN"/>
              </w:rPr>
              <w:t>25</w:t>
            </w:r>
            <w:r>
              <w:rPr>
                <w:rFonts w:hint="eastAsia" w:ascii="仿宋" w:hAnsi="仿宋" w:eastAsia="仿宋" w:cs="仿宋"/>
                <w:b w:val="0"/>
                <w:bCs w:val="0"/>
                <w:kern w:val="0"/>
                <w:sz w:val="20"/>
                <w:szCs w:val="20"/>
              </w:rPr>
              <w:t>年决算数</w:t>
            </w:r>
          </w:p>
        </w:tc>
      </w:tr>
      <w:tr w14:paraId="1DF343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69EBB952">
            <w:pPr>
              <w:keepNext w:val="0"/>
              <w:keepLines w:val="0"/>
              <w:pageBreakBefore w:val="0"/>
              <w:widowControl/>
              <w:kinsoku/>
              <w:wordWrap/>
              <w:overflowPunct/>
              <w:topLinePunct w:val="0"/>
              <w:autoSpaceDE/>
              <w:autoSpaceDN/>
              <w:bidi w:val="0"/>
              <w:adjustRightInd/>
              <w:snapToGrid/>
              <w:spacing w:line="220" w:lineRule="exact"/>
              <w:jc w:val="left"/>
              <w:textAlignment w:val="auto"/>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三公经费</w:t>
            </w:r>
          </w:p>
        </w:tc>
        <w:tc>
          <w:tcPr>
            <w:tcW w:w="2038" w:type="dxa"/>
            <w:gridSpan w:val="2"/>
            <w:noWrap w:val="0"/>
            <w:vAlign w:val="center"/>
          </w:tcPr>
          <w:p w14:paraId="4FA2DAF8">
            <w:pPr>
              <w:keepNext w:val="0"/>
              <w:keepLines w:val="0"/>
              <w:pageBreakBefore w:val="0"/>
              <w:widowControl w:val="0"/>
              <w:kinsoku/>
              <w:wordWrap/>
              <w:overflowPunct/>
              <w:topLinePunct w:val="0"/>
              <w:autoSpaceDE/>
              <w:autoSpaceDN/>
              <w:bidi w:val="0"/>
              <w:adjustRightInd/>
              <w:snapToGrid/>
              <w:spacing w:line="220" w:lineRule="exact"/>
              <w:ind w:firstLine="0" w:firstLineChars="0"/>
              <w:jc w:val="center"/>
              <w:textAlignment w:val="auto"/>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27.61</w:t>
            </w:r>
          </w:p>
        </w:tc>
        <w:tc>
          <w:tcPr>
            <w:tcW w:w="2240" w:type="dxa"/>
            <w:gridSpan w:val="2"/>
            <w:noWrap w:val="0"/>
            <w:vAlign w:val="center"/>
          </w:tcPr>
          <w:p w14:paraId="2A721DD3">
            <w:pPr>
              <w:keepNext w:val="0"/>
              <w:keepLines w:val="0"/>
              <w:pageBreakBefore w:val="0"/>
              <w:widowControl w:val="0"/>
              <w:kinsoku/>
              <w:wordWrap/>
              <w:overflowPunct/>
              <w:topLinePunct w:val="0"/>
              <w:autoSpaceDE/>
              <w:autoSpaceDN/>
              <w:bidi w:val="0"/>
              <w:adjustRightInd/>
              <w:snapToGrid/>
              <w:spacing w:line="220" w:lineRule="exact"/>
              <w:ind w:firstLine="0" w:firstLineChars="0"/>
              <w:jc w:val="center"/>
              <w:textAlignment w:val="auto"/>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21</w:t>
            </w:r>
          </w:p>
        </w:tc>
        <w:tc>
          <w:tcPr>
            <w:tcW w:w="1832" w:type="dxa"/>
            <w:gridSpan w:val="2"/>
            <w:noWrap w:val="0"/>
            <w:vAlign w:val="center"/>
          </w:tcPr>
          <w:p w14:paraId="7A276703">
            <w:pPr>
              <w:keepNext w:val="0"/>
              <w:keepLines w:val="0"/>
              <w:pageBreakBefore w:val="0"/>
              <w:widowControl w:val="0"/>
              <w:kinsoku/>
              <w:wordWrap/>
              <w:overflowPunct/>
              <w:topLinePunct w:val="0"/>
              <w:autoSpaceDE/>
              <w:autoSpaceDN/>
              <w:bidi w:val="0"/>
              <w:adjustRightInd/>
              <w:snapToGrid/>
              <w:spacing w:line="220" w:lineRule="exact"/>
              <w:ind w:firstLine="0" w:firstLineChars="0"/>
              <w:jc w:val="center"/>
              <w:textAlignment w:val="auto"/>
              <w:rPr>
                <w:rFonts w:hint="default" w:ascii="仿宋" w:hAnsi="仿宋" w:eastAsia="仿宋" w:cs="仿宋"/>
                <w:b w:val="0"/>
                <w:bCs w:val="0"/>
                <w:kern w:val="0"/>
                <w:sz w:val="20"/>
                <w:szCs w:val="20"/>
                <w:lang w:val="en-US" w:eastAsia="zh-CN"/>
              </w:rPr>
            </w:pPr>
            <w:r>
              <w:rPr>
                <w:rFonts w:hint="eastAsia" w:ascii="仿宋" w:hAnsi="仿宋" w:eastAsia="仿宋" w:cs="仿宋"/>
                <w:b w:val="0"/>
                <w:bCs w:val="0"/>
                <w:kern w:val="0"/>
                <w:sz w:val="20"/>
                <w:szCs w:val="20"/>
                <w:lang w:val="en-US" w:eastAsia="zh-CN"/>
              </w:rPr>
              <w:t>21</w:t>
            </w:r>
          </w:p>
        </w:tc>
      </w:tr>
      <w:tr w14:paraId="2E3018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jc w:val="center"/>
        </w:trPr>
        <w:tc>
          <w:tcPr>
            <w:tcW w:w="3354" w:type="dxa"/>
            <w:noWrap w:val="0"/>
            <w:vAlign w:val="center"/>
          </w:tcPr>
          <w:p w14:paraId="081033C1">
            <w:pPr>
              <w:keepNext w:val="0"/>
              <w:keepLines w:val="0"/>
              <w:pageBreakBefore w:val="0"/>
              <w:widowControl/>
              <w:kinsoku/>
              <w:wordWrap/>
              <w:overflowPunct/>
              <w:topLinePunct w:val="0"/>
              <w:autoSpaceDE/>
              <w:autoSpaceDN/>
              <w:bidi w:val="0"/>
              <w:adjustRightInd/>
              <w:snapToGrid/>
              <w:spacing w:line="220" w:lineRule="exact"/>
              <w:jc w:val="left"/>
              <w:textAlignment w:val="auto"/>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xml:space="preserve">   1、公务用车购置和维护经费</w:t>
            </w:r>
          </w:p>
        </w:tc>
        <w:tc>
          <w:tcPr>
            <w:tcW w:w="2038" w:type="dxa"/>
            <w:gridSpan w:val="2"/>
            <w:noWrap w:val="0"/>
            <w:vAlign w:val="center"/>
          </w:tcPr>
          <w:p w14:paraId="391B8F9D">
            <w:pPr>
              <w:keepNext w:val="0"/>
              <w:keepLines w:val="0"/>
              <w:pageBreakBefore w:val="0"/>
              <w:widowControl w:val="0"/>
              <w:kinsoku/>
              <w:wordWrap/>
              <w:overflowPunct/>
              <w:topLinePunct w:val="0"/>
              <w:autoSpaceDE/>
              <w:autoSpaceDN/>
              <w:bidi w:val="0"/>
              <w:adjustRightInd/>
              <w:snapToGrid/>
              <w:spacing w:line="220" w:lineRule="exact"/>
              <w:ind w:firstLine="0" w:firstLineChars="0"/>
              <w:jc w:val="center"/>
              <w:textAlignment w:val="auto"/>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26.82</w:t>
            </w:r>
          </w:p>
        </w:tc>
        <w:tc>
          <w:tcPr>
            <w:tcW w:w="2240" w:type="dxa"/>
            <w:gridSpan w:val="2"/>
            <w:noWrap w:val="0"/>
            <w:vAlign w:val="center"/>
          </w:tcPr>
          <w:p w14:paraId="79507252">
            <w:pPr>
              <w:keepNext w:val="0"/>
              <w:keepLines w:val="0"/>
              <w:pageBreakBefore w:val="0"/>
              <w:widowControl w:val="0"/>
              <w:kinsoku/>
              <w:wordWrap/>
              <w:overflowPunct/>
              <w:topLinePunct w:val="0"/>
              <w:autoSpaceDE/>
              <w:autoSpaceDN/>
              <w:bidi w:val="0"/>
              <w:adjustRightInd/>
              <w:snapToGrid/>
              <w:spacing w:line="220" w:lineRule="exact"/>
              <w:ind w:firstLine="0" w:firstLineChars="0"/>
              <w:jc w:val="center"/>
              <w:textAlignment w:val="auto"/>
              <w:rPr>
                <w:rFonts w:hint="default" w:ascii="仿宋" w:hAnsi="仿宋" w:eastAsia="仿宋" w:cs="仿宋"/>
                <w:b w:val="0"/>
                <w:bCs w:val="0"/>
                <w:kern w:val="0"/>
                <w:sz w:val="20"/>
                <w:szCs w:val="20"/>
                <w:lang w:val="en-US"/>
              </w:rPr>
            </w:pPr>
            <w:r>
              <w:rPr>
                <w:rFonts w:hint="eastAsia" w:ascii="仿宋" w:hAnsi="仿宋" w:eastAsia="仿宋" w:cs="仿宋"/>
                <w:b w:val="0"/>
                <w:bCs w:val="0"/>
                <w:kern w:val="0"/>
                <w:sz w:val="20"/>
                <w:szCs w:val="20"/>
                <w:lang w:val="en-US" w:eastAsia="zh-CN"/>
              </w:rPr>
              <w:t>20</w:t>
            </w:r>
          </w:p>
        </w:tc>
        <w:tc>
          <w:tcPr>
            <w:tcW w:w="1832" w:type="dxa"/>
            <w:gridSpan w:val="2"/>
            <w:noWrap w:val="0"/>
            <w:vAlign w:val="center"/>
          </w:tcPr>
          <w:p w14:paraId="43FBB47F">
            <w:pPr>
              <w:keepNext w:val="0"/>
              <w:keepLines w:val="0"/>
              <w:pageBreakBefore w:val="0"/>
              <w:widowControl w:val="0"/>
              <w:kinsoku/>
              <w:wordWrap/>
              <w:overflowPunct/>
              <w:topLinePunct w:val="0"/>
              <w:autoSpaceDE/>
              <w:autoSpaceDN/>
              <w:bidi w:val="0"/>
              <w:adjustRightInd/>
              <w:snapToGrid/>
              <w:spacing w:line="220" w:lineRule="exact"/>
              <w:ind w:firstLine="0" w:firstLineChars="0"/>
              <w:jc w:val="center"/>
              <w:textAlignment w:val="auto"/>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21</w:t>
            </w:r>
          </w:p>
        </w:tc>
      </w:tr>
      <w:tr w14:paraId="4F2D94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6A535139">
            <w:pPr>
              <w:keepNext w:val="0"/>
              <w:keepLines w:val="0"/>
              <w:pageBreakBefore w:val="0"/>
              <w:widowControl/>
              <w:kinsoku/>
              <w:wordWrap/>
              <w:overflowPunct/>
              <w:topLinePunct w:val="0"/>
              <w:autoSpaceDE/>
              <w:autoSpaceDN/>
              <w:bidi w:val="0"/>
              <w:adjustRightInd/>
              <w:snapToGrid/>
              <w:spacing w:line="220" w:lineRule="exact"/>
              <w:jc w:val="left"/>
              <w:textAlignment w:val="auto"/>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xml:space="preserve">       其中：公车购置</w:t>
            </w:r>
          </w:p>
        </w:tc>
        <w:tc>
          <w:tcPr>
            <w:tcW w:w="2038" w:type="dxa"/>
            <w:gridSpan w:val="2"/>
            <w:noWrap w:val="0"/>
            <w:vAlign w:val="center"/>
          </w:tcPr>
          <w:p w14:paraId="746C39F4">
            <w:pPr>
              <w:keepNext w:val="0"/>
              <w:keepLines w:val="0"/>
              <w:pageBreakBefore w:val="0"/>
              <w:widowControl w:val="0"/>
              <w:kinsoku/>
              <w:wordWrap/>
              <w:overflowPunct/>
              <w:topLinePunct w:val="0"/>
              <w:autoSpaceDE/>
              <w:autoSpaceDN/>
              <w:bidi w:val="0"/>
              <w:adjustRightInd/>
              <w:snapToGrid/>
              <w:spacing w:line="220" w:lineRule="exact"/>
              <w:ind w:firstLine="0" w:firstLineChars="0"/>
              <w:jc w:val="center"/>
              <w:textAlignment w:val="auto"/>
              <w:rPr>
                <w:rFonts w:hint="eastAsia" w:ascii="仿宋" w:hAnsi="仿宋" w:eastAsia="仿宋" w:cs="仿宋"/>
                <w:b w:val="0"/>
                <w:bCs w:val="0"/>
                <w:kern w:val="0"/>
                <w:sz w:val="20"/>
                <w:szCs w:val="20"/>
              </w:rPr>
            </w:pPr>
          </w:p>
        </w:tc>
        <w:tc>
          <w:tcPr>
            <w:tcW w:w="2240" w:type="dxa"/>
            <w:gridSpan w:val="2"/>
            <w:noWrap w:val="0"/>
            <w:vAlign w:val="center"/>
          </w:tcPr>
          <w:p w14:paraId="79D5E606">
            <w:pPr>
              <w:keepNext w:val="0"/>
              <w:keepLines w:val="0"/>
              <w:pageBreakBefore w:val="0"/>
              <w:widowControl w:val="0"/>
              <w:kinsoku/>
              <w:wordWrap/>
              <w:overflowPunct/>
              <w:topLinePunct w:val="0"/>
              <w:autoSpaceDE/>
              <w:autoSpaceDN/>
              <w:bidi w:val="0"/>
              <w:adjustRightInd/>
              <w:snapToGrid/>
              <w:spacing w:line="220" w:lineRule="exact"/>
              <w:ind w:firstLine="0" w:firstLineChars="0"/>
              <w:jc w:val="center"/>
              <w:textAlignment w:val="auto"/>
              <w:rPr>
                <w:rFonts w:hint="eastAsia" w:ascii="仿宋" w:hAnsi="仿宋" w:eastAsia="仿宋" w:cs="仿宋"/>
                <w:b w:val="0"/>
                <w:bCs w:val="0"/>
                <w:kern w:val="0"/>
                <w:sz w:val="20"/>
                <w:szCs w:val="20"/>
              </w:rPr>
            </w:pPr>
          </w:p>
        </w:tc>
        <w:tc>
          <w:tcPr>
            <w:tcW w:w="1832" w:type="dxa"/>
            <w:gridSpan w:val="2"/>
            <w:noWrap w:val="0"/>
            <w:vAlign w:val="center"/>
          </w:tcPr>
          <w:p w14:paraId="0AA6D6E7">
            <w:pPr>
              <w:keepNext w:val="0"/>
              <w:keepLines w:val="0"/>
              <w:pageBreakBefore w:val="0"/>
              <w:widowControl w:val="0"/>
              <w:kinsoku/>
              <w:wordWrap/>
              <w:overflowPunct/>
              <w:topLinePunct w:val="0"/>
              <w:autoSpaceDE/>
              <w:autoSpaceDN/>
              <w:bidi w:val="0"/>
              <w:adjustRightInd/>
              <w:snapToGrid/>
              <w:spacing w:line="220" w:lineRule="exact"/>
              <w:ind w:firstLine="0" w:firstLineChars="0"/>
              <w:jc w:val="center"/>
              <w:textAlignment w:val="auto"/>
              <w:rPr>
                <w:rFonts w:hint="eastAsia" w:ascii="仿宋" w:hAnsi="仿宋" w:eastAsia="仿宋" w:cs="仿宋"/>
                <w:b w:val="0"/>
                <w:bCs w:val="0"/>
                <w:kern w:val="0"/>
                <w:sz w:val="20"/>
                <w:szCs w:val="20"/>
              </w:rPr>
            </w:pPr>
          </w:p>
        </w:tc>
      </w:tr>
      <w:tr w14:paraId="3372B3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7BBA619E">
            <w:pPr>
              <w:keepNext w:val="0"/>
              <w:keepLines w:val="0"/>
              <w:pageBreakBefore w:val="0"/>
              <w:widowControl/>
              <w:kinsoku/>
              <w:wordWrap/>
              <w:overflowPunct/>
              <w:topLinePunct w:val="0"/>
              <w:autoSpaceDE/>
              <w:autoSpaceDN/>
              <w:bidi w:val="0"/>
              <w:adjustRightInd/>
              <w:snapToGrid/>
              <w:spacing w:line="220" w:lineRule="exact"/>
              <w:jc w:val="left"/>
              <w:textAlignment w:val="auto"/>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xml:space="preserve">             公车运行维护</w:t>
            </w:r>
          </w:p>
        </w:tc>
        <w:tc>
          <w:tcPr>
            <w:tcW w:w="2038" w:type="dxa"/>
            <w:gridSpan w:val="2"/>
            <w:noWrap w:val="0"/>
            <w:vAlign w:val="center"/>
          </w:tcPr>
          <w:p w14:paraId="462921EA">
            <w:pPr>
              <w:keepNext w:val="0"/>
              <w:keepLines w:val="0"/>
              <w:pageBreakBefore w:val="0"/>
              <w:widowControl w:val="0"/>
              <w:kinsoku/>
              <w:wordWrap/>
              <w:overflowPunct/>
              <w:topLinePunct w:val="0"/>
              <w:autoSpaceDE/>
              <w:autoSpaceDN/>
              <w:bidi w:val="0"/>
              <w:adjustRightInd/>
              <w:snapToGrid/>
              <w:spacing w:line="220" w:lineRule="exact"/>
              <w:ind w:firstLine="0" w:firstLineChars="0"/>
              <w:jc w:val="center"/>
              <w:textAlignment w:val="auto"/>
              <w:rPr>
                <w:rFonts w:hint="default" w:ascii="仿宋" w:hAnsi="仿宋" w:eastAsia="仿宋" w:cs="仿宋"/>
                <w:b w:val="0"/>
                <w:bCs w:val="0"/>
                <w:kern w:val="0"/>
                <w:sz w:val="20"/>
                <w:szCs w:val="20"/>
                <w:lang w:val="en-US" w:eastAsia="zh-CN"/>
              </w:rPr>
            </w:pPr>
            <w:r>
              <w:rPr>
                <w:rFonts w:hint="eastAsia" w:ascii="仿宋" w:hAnsi="仿宋" w:eastAsia="仿宋" w:cs="仿宋"/>
                <w:b w:val="0"/>
                <w:bCs w:val="0"/>
                <w:kern w:val="0"/>
                <w:sz w:val="20"/>
                <w:szCs w:val="20"/>
                <w:lang w:val="en-US" w:eastAsia="zh-CN"/>
              </w:rPr>
              <w:t>26.82</w:t>
            </w:r>
          </w:p>
        </w:tc>
        <w:tc>
          <w:tcPr>
            <w:tcW w:w="2240" w:type="dxa"/>
            <w:gridSpan w:val="2"/>
            <w:noWrap w:val="0"/>
            <w:vAlign w:val="center"/>
          </w:tcPr>
          <w:p w14:paraId="616B8888">
            <w:pPr>
              <w:keepNext w:val="0"/>
              <w:keepLines w:val="0"/>
              <w:pageBreakBefore w:val="0"/>
              <w:widowControl w:val="0"/>
              <w:kinsoku/>
              <w:wordWrap/>
              <w:overflowPunct/>
              <w:topLinePunct w:val="0"/>
              <w:autoSpaceDE/>
              <w:autoSpaceDN/>
              <w:bidi w:val="0"/>
              <w:adjustRightInd/>
              <w:snapToGrid/>
              <w:spacing w:line="220" w:lineRule="exact"/>
              <w:ind w:firstLine="0" w:firstLineChars="0"/>
              <w:jc w:val="center"/>
              <w:textAlignment w:val="auto"/>
              <w:rPr>
                <w:rFonts w:hint="default" w:ascii="仿宋" w:hAnsi="仿宋" w:eastAsia="仿宋" w:cs="仿宋"/>
                <w:b w:val="0"/>
                <w:bCs w:val="0"/>
                <w:kern w:val="0"/>
                <w:sz w:val="20"/>
                <w:szCs w:val="20"/>
                <w:lang w:val="en-US"/>
              </w:rPr>
            </w:pPr>
            <w:r>
              <w:rPr>
                <w:rFonts w:hint="eastAsia" w:ascii="仿宋" w:hAnsi="仿宋" w:eastAsia="仿宋" w:cs="仿宋"/>
                <w:b w:val="0"/>
                <w:bCs w:val="0"/>
                <w:kern w:val="0"/>
                <w:sz w:val="20"/>
                <w:szCs w:val="20"/>
                <w:lang w:val="en-US" w:eastAsia="zh-CN"/>
              </w:rPr>
              <w:t>20</w:t>
            </w:r>
          </w:p>
        </w:tc>
        <w:tc>
          <w:tcPr>
            <w:tcW w:w="1832" w:type="dxa"/>
            <w:gridSpan w:val="2"/>
            <w:noWrap w:val="0"/>
            <w:vAlign w:val="center"/>
          </w:tcPr>
          <w:p w14:paraId="59BEE799">
            <w:pPr>
              <w:keepNext w:val="0"/>
              <w:keepLines w:val="0"/>
              <w:pageBreakBefore w:val="0"/>
              <w:widowControl w:val="0"/>
              <w:kinsoku/>
              <w:wordWrap/>
              <w:overflowPunct/>
              <w:topLinePunct w:val="0"/>
              <w:autoSpaceDE/>
              <w:autoSpaceDN/>
              <w:bidi w:val="0"/>
              <w:adjustRightInd/>
              <w:snapToGrid/>
              <w:spacing w:line="220" w:lineRule="exact"/>
              <w:ind w:firstLine="0" w:firstLineChars="0"/>
              <w:jc w:val="center"/>
              <w:textAlignment w:val="auto"/>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21</w:t>
            </w:r>
          </w:p>
        </w:tc>
      </w:tr>
      <w:tr w14:paraId="254AD1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7B209531">
            <w:pPr>
              <w:keepNext w:val="0"/>
              <w:keepLines w:val="0"/>
              <w:pageBreakBefore w:val="0"/>
              <w:widowControl/>
              <w:kinsoku/>
              <w:wordWrap/>
              <w:overflowPunct/>
              <w:topLinePunct w:val="0"/>
              <w:autoSpaceDE/>
              <w:autoSpaceDN/>
              <w:bidi w:val="0"/>
              <w:adjustRightInd/>
              <w:snapToGrid/>
              <w:spacing w:line="220" w:lineRule="exact"/>
              <w:jc w:val="left"/>
              <w:textAlignment w:val="auto"/>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xml:space="preserve">   2、出国经费</w:t>
            </w:r>
          </w:p>
        </w:tc>
        <w:tc>
          <w:tcPr>
            <w:tcW w:w="2038" w:type="dxa"/>
            <w:gridSpan w:val="2"/>
            <w:noWrap w:val="0"/>
            <w:vAlign w:val="center"/>
          </w:tcPr>
          <w:p w14:paraId="43E95A57">
            <w:pPr>
              <w:keepNext w:val="0"/>
              <w:keepLines w:val="0"/>
              <w:pageBreakBefore w:val="0"/>
              <w:widowControl w:val="0"/>
              <w:kinsoku/>
              <w:wordWrap/>
              <w:overflowPunct/>
              <w:topLinePunct w:val="0"/>
              <w:autoSpaceDE/>
              <w:autoSpaceDN/>
              <w:bidi w:val="0"/>
              <w:adjustRightInd/>
              <w:snapToGrid/>
              <w:spacing w:line="220" w:lineRule="exact"/>
              <w:ind w:firstLine="0" w:firstLineChars="0"/>
              <w:jc w:val="center"/>
              <w:textAlignment w:val="auto"/>
              <w:rPr>
                <w:rFonts w:hint="eastAsia" w:ascii="仿宋" w:hAnsi="仿宋" w:eastAsia="仿宋" w:cs="仿宋"/>
                <w:b w:val="0"/>
                <w:bCs w:val="0"/>
                <w:kern w:val="0"/>
                <w:sz w:val="20"/>
                <w:szCs w:val="20"/>
              </w:rPr>
            </w:pPr>
          </w:p>
        </w:tc>
        <w:tc>
          <w:tcPr>
            <w:tcW w:w="2240" w:type="dxa"/>
            <w:gridSpan w:val="2"/>
            <w:noWrap w:val="0"/>
            <w:vAlign w:val="center"/>
          </w:tcPr>
          <w:p w14:paraId="3317BD60">
            <w:pPr>
              <w:keepNext w:val="0"/>
              <w:keepLines w:val="0"/>
              <w:pageBreakBefore w:val="0"/>
              <w:widowControl w:val="0"/>
              <w:kinsoku/>
              <w:wordWrap/>
              <w:overflowPunct/>
              <w:topLinePunct w:val="0"/>
              <w:autoSpaceDE/>
              <w:autoSpaceDN/>
              <w:bidi w:val="0"/>
              <w:adjustRightInd/>
              <w:snapToGrid/>
              <w:spacing w:line="220" w:lineRule="exact"/>
              <w:ind w:firstLine="0" w:firstLineChars="0"/>
              <w:jc w:val="center"/>
              <w:textAlignment w:val="auto"/>
              <w:rPr>
                <w:rFonts w:hint="eastAsia" w:ascii="仿宋" w:hAnsi="仿宋" w:eastAsia="仿宋" w:cs="仿宋"/>
                <w:b w:val="0"/>
                <w:bCs w:val="0"/>
                <w:kern w:val="0"/>
                <w:sz w:val="20"/>
                <w:szCs w:val="20"/>
              </w:rPr>
            </w:pPr>
          </w:p>
        </w:tc>
        <w:tc>
          <w:tcPr>
            <w:tcW w:w="1832" w:type="dxa"/>
            <w:gridSpan w:val="2"/>
            <w:noWrap w:val="0"/>
            <w:vAlign w:val="center"/>
          </w:tcPr>
          <w:p w14:paraId="6080AEFD">
            <w:pPr>
              <w:keepNext w:val="0"/>
              <w:keepLines w:val="0"/>
              <w:pageBreakBefore w:val="0"/>
              <w:widowControl w:val="0"/>
              <w:kinsoku/>
              <w:wordWrap/>
              <w:overflowPunct/>
              <w:topLinePunct w:val="0"/>
              <w:autoSpaceDE/>
              <w:autoSpaceDN/>
              <w:bidi w:val="0"/>
              <w:adjustRightInd/>
              <w:snapToGrid/>
              <w:spacing w:line="220" w:lineRule="exact"/>
              <w:ind w:firstLine="0" w:firstLineChars="0"/>
              <w:jc w:val="center"/>
              <w:textAlignment w:val="auto"/>
              <w:rPr>
                <w:rFonts w:hint="eastAsia" w:ascii="仿宋" w:hAnsi="仿宋" w:eastAsia="仿宋" w:cs="仿宋"/>
                <w:b w:val="0"/>
                <w:bCs w:val="0"/>
                <w:kern w:val="0"/>
                <w:sz w:val="20"/>
                <w:szCs w:val="20"/>
              </w:rPr>
            </w:pPr>
          </w:p>
        </w:tc>
      </w:tr>
      <w:tr w14:paraId="05DCFD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5035AFC8">
            <w:pPr>
              <w:keepNext w:val="0"/>
              <w:keepLines w:val="0"/>
              <w:pageBreakBefore w:val="0"/>
              <w:widowControl/>
              <w:kinsoku/>
              <w:wordWrap/>
              <w:overflowPunct/>
              <w:topLinePunct w:val="0"/>
              <w:autoSpaceDE/>
              <w:autoSpaceDN/>
              <w:bidi w:val="0"/>
              <w:adjustRightInd/>
              <w:snapToGrid/>
              <w:spacing w:line="220" w:lineRule="exact"/>
              <w:jc w:val="left"/>
              <w:textAlignment w:val="auto"/>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xml:space="preserve">   3、公务接待</w:t>
            </w:r>
          </w:p>
        </w:tc>
        <w:tc>
          <w:tcPr>
            <w:tcW w:w="2038" w:type="dxa"/>
            <w:gridSpan w:val="2"/>
            <w:noWrap w:val="0"/>
            <w:vAlign w:val="center"/>
          </w:tcPr>
          <w:p w14:paraId="5FDCEB49">
            <w:pPr>
              <w:keepNext w:val="0"/>
              <w:keepLines w:val="0"/>
              <w:pageBreakBefore w:val="0"/>
              <w:widowControl w:val="0"/>
              <w:kinsoku/>
              <w:wordWrap/>
              <w:overflowPunct/>
              <w:topLinePunct w:val="0"/>
              <w:autoSpaceDE/>
              <w:autoSpaceDN/>
              <w:bidi w:val="0"/>
              <w:adjustRightInd/>
              <w:snapToGrid/>
              <w:spacing w:line="220" w:lineRule="exact"/>
              <w:ind w:firstLine="0" w:firstLineChars="0"/>
              <w:jc w:val="center"/>
              <w:textAlignment w:val="auto"/>
              <w:rPr>
                <w:rFonts w:hint="default" w:ascii="仿宋" w:hAnsi="仿宋" w:eastAsia="仿宋" w:cs="仿宋"/>
                <w:b w:val="0"/>
                <w:bCs w:val="0"/>
                <w:kern w:val="0"/>
                <w:sz w:val="20"/>
                <w:szCs w:val="20"/>
                <w:lang w:val="en-US" w:eastAsia="zh-CN"/>
              </w:rPr>
            </w:pPr>
            <w:r>
              <w:rPr>
                <w:rFonts w:hint="eastAsia" w:ascii="仿宋" w:hAnsi="仿宋" w:eastAsia="仿宋" w:cs="仿宋"/>
                <w:b w:val="0"/>
                <w:bCs w:val="0"/>
                <w:kern w:val="0"/>
                <w:sz w:val="20"/>
                <w:szCs w:val="20"/>
                <w:lang w:val="en-US" w:eastAsia="zh-CN"/>
              </w:rPr>
              <w:t>7.94</w:t>
            </w:r>
          </w:p>
        </w:tc>
        <w:tc>
          <w:tcPr>
            <w:tcW w:w="2240" w:type="dxa"/>
            <w:gridSpan w:val="2"/>
            <w:noWrap w:val="0"/>
            <w:vAlign w:val="center"/>
          </w:tcPr>
          <w:p w14:paraId="47E07CB7">
            <w:pPr>
              <w:keepNext w:val="0"/>
              <w:keepLines w:val="0"/>
              <w:pageBreakBefore w:val="0"/>
              <w:widowControl w:val="0"/>
              <w:kinsoku/>
              <w:wordWrap/>
              <w:overflowPunct/>
              <w:topLinePunct w:val="0"/>
              <w:autoSpaceDE/>
              <w:autoSpaceDN/>
              <w:bidi w:val="0"/>
              <w:adjustRightInd/>
              <w:snapToGrid/>
              <w:spacing w:line="220" w:lineRule="exact"/>
              <w:ind w:firstLine="0" w:firstLineChars="0"/>
              <w:jc w:val="center"/>
              <w:textAlignment w:val="auto"/>
              <w:rPr>
                <w:rFonts w:hint="default" w:ascii="仿宋" w:hAnsi="仿宋" w:eastAsia="仿宋" w:cs="仿宋"/>
                <w:b w:val="0"/>
                <w:bCs w:val="0"/>
                <w:kern w:val="0"/>
                <w:sz w:val="20"/>
                <w:szCs w:val="20"/>
                <w:lang w:val="en-US"/>
              </w:rPr>
            </w:pPr>
            <w:r>
              <w:rPr>
                <w:rFonts w:hint="eastAsia" w:ascii="仿宋" w:hAnsi="仿宋" w:eastAsia="仿宋" w:cs="仿宋"/>
                <w:b w:val="0"/>
                <w:bCs w:val="0"/>
                <w:kern w:val="0"/>
                <w:sz w:val="20"/>
                <w:szCs w:val="20"/>
                <w:lang w:val="en-US" w:eastAsia="zh-CN"/>
              </w:rPr>
              <w:t>1</w:t>
            </w:r>
          </w:p>
        </w:tc>
        <w:tc>
          <w:tcPr>
            <w:tcW w:w="1832" w:type="dxa"/>
            <w:gridSpan w:val="2"/>
            <w:noWrap w:val="0"/>
            <w:vAlign w:val="center"/>
          </w:tcPr>
          <w:p w14:paraId="73AEDD45">
            <w:pPr>
              <w:keepNext w:val="0"/>
              <w:keepLines w:val="0"/>
              <w:pageBreakBefore w:val="0"/>
              <w:widowControl w:val="0"/>
              <w:kinsoku/>
              <w:wordWrap/>
              <w:overflowPunct/>
              <w:topLinePunct w:val="0"/>
              <w:autoSpaceDE/>
              <w:autoSpaceDN/>
              <w:bidi w:val="0"/>
              <w:adjustRightInd/>
              <w:snapToGrid/>
              <w:spacing w:line="220" w:lineRule="exact"/>
              <w:ind w:firstLine="0" w:firstLineChars="0"/>
              <w:jc w:val="center"/>
              <w:textAlignment w:val="auto"/>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0</w:t>
            </w:r>
          </w:p>
        </w:tc>
      </w:tr>
      <w:tr w14:paraId="0D0F4B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176E7FAA">
            <w:pPr>
              <w:keepNext w:val="0"/>
              <w:keepLines w:val="0"/>
              <w:pageBreakBefore w:val="0"/>
              <w:widowControl/>
              <w:kinsoku/>
              <w:wordWrap/>
              <w:overflowPunct/>
              <w:topLinePunct w:val="0"/>
              <w:autoSpaceDE/>
              <w:autoSpaceDN/>
              <w:bidi w:val="0"/>
              <w:adjustRightInd/>
              <w:snapToGrid/>
              <w:spacing w:line="220" w:lineRule="exact"/>
              <w:jc w:val="left"/>
              <w:textAlignment w:val="auto"/>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项目支出：</w:t>
            </w:r>
          </w:p>
        </w:tc>
        <w:tc>
          <w:tcPr>
            <w:tcW w:w="2038" w:type="dxa"/>
            <w:gridSpan w:val="2"/>
            <w:noWrap w:val="0"/>
            <w:vAlign w:val="center"/>
          </w:tcPr>
          <w:p w14:paraId="735D22C3">
            <w:pPr>
              <w:keepNext w:val="0"/>
              <w:keepLines w:val="0"/>
              <w:pageBreakBefore w:val="0"/>
              <w:widowControl w:val="0"/>
              <w:kinsoku/>
              <w:wordWrap/>
              <w:overflowPunct/>
              <w:topLinePunct w:val="0"/>
              <w:autoSpaceDE/>
              <w:autoSpaceDN/>
              <w:bidi w:val="0"/>
              <w:adjustRightInd/>
              <w:snapToGrid/>
              <w:spacing w:line="220" w:lineRule="exact"/>
              <w:ind w:firstLine="0" w:firstLineChars="0"/>
              <w:jc w:val="center"/>
              <w:textAlignment w:val="auto"/>
              <w:rPr>
                <w:rFonts w:hint="eastAsia" w:ascii="仿宋" w:hAnsi="仿宋" w:eastAsia="仿宋" w:cs="仿宋"/>
                <w:b w:val="0"/>
                <w:bCs w:val="0"/>
                <w:kern w:val="0"/>
                <w:sz w:val="20"/>
                <w:szCs w:val="20"/>
                <w:lang w:val="en-US" w:eastAsia="zh-CN" w:bidi="ar-SA"/>
              </w:rPr>
            </w:pPr>
            <w:r>
              <w:rPr>
                <w:rFonts w:hint="eastAsia" w:ascii="仿宋" w:hAnsi="仿宋" w:eastAsia="仿宋" w:cs="仿宋"/>
                <w:b w:val="0"/>
                <w:bCs w:val="0"/>
                <w:kern w:val="0"/>
                <w:sz w:val="20"/>
                <w:szCs w:val="20"/>
              </w:rPr>
              <w:t>1085</w:t>
            </w:r>
            <w:r>
              <w:rPr>
                <w:rFonts w:hint="eastAsia" w:ascii="仿宋" w:hAnsi="仿宋" w:eastAsia="仿宋" w:cs="仿宋"/>
                <w:b w:val="0"/>
                <w:bCs w:val="0"/>
                <w:kern w:val="0"/>
                <w:sz w:val="20"/>
                <w:szCs w:val="20"/>
                <w:lang w:val="en-US" w:eastAsia="zh-CN"/>
              </w:rPr>
              <w:t>.</w:t>
            </w:r>
            <w:r>
              <w:rPr>
                <w:rFonts w:hint="eastAsia" w:ascii="仿宋" w:hAnsi="仿宋" w:eastAsia="仿宋" w:cs="仿宋"/>
                <w:b w:val="0"/>
                <w:bCs w:val="0"/>
                <w:kern w:val="0"/>
                <w:sz w:val="20"/>
                <w:szCs w:val="20"/>
              </w:rPr>
              <w:t>48</w:t>
            </w:r>
          </w:p>
        </w:tc>
        <w:tc>
          <w:tcPr>
            <w:tcW w:w="2240" w:type="dxa"/>
            <w:gridSpan w:val="2"/>
            <w:noWrap w:val="0"/>
            <w:vAlign w:val="center"/>
          </w:tcPr>
          <w:p w14:paraId="4D807011">
            <w:pPr>
              <w:keepNext w:val="0"/>
              <w:keepLines w:val="0"/>
              <w:pageBreakBefore w:val="0"/>
              <w:widowControl w:val="0"/>
              <w:kinsoku/>
              <w:wordWrap/>
              <w:overflowPunct/>
              <w:topLinePunct w:val="0"/>
              <w:autoSpaceDE/>
              <w:autoSpaceDN/>
              <w:bidi w:val="0"/>
              <w:adjustRightInd/>
              <w:snapToGrid/>
              <w:spacing w:line="220" w:lineRule="exact"/>
              <w:ind w:firstLine="0" w:firstLineChars="0"/>
              <w:jc w:val="center"/>
              <w:textAlignment w:val="auto"/>
              <w:rPr>
                <w:rFonts w:hint="eastAsia" w:ascii="仿宋" w:hAnsi="仿宋" w:eastAsia="仿宋" w:cs="仿宋"/>
                <w:b w:val="0"/>
                <w:bCs w:val="0"/>
                <w:kern w:val="0"/>
                <w:sz w:val="20"/>
                <w:szCs w:val="20"/>
                <w:lang w:val="en-US" w:eastAsia="zh-CN" w:bidi="ar-SA"/>
              </w:rPr>
            </w:pPr>
            <w:r>
              <w:rPr>
                <w:rFonts w:hint="eastAsia" w:ascii="仿宋" w:hAnsi="仿宋" w:eastAsia="仿宋" w:cs="仿宋"/>
                <w:b w:val="0"/>
                <w:bCs w:val="0"/>
                <w:kern w:val="0"/>
                <w:sz w:val="20"/>
                <w:szCs w:val="20"/>
              </w:rPr>
              <w:t>1088</w:t>
            </w:r>
            <w:r>
              <w:rPr>
                <w:rFonts w:hint="eastAsia" w:ascii="仿宋" w:hAnsi="仿宋" w:eastAsia="仿宋" w:cs="仿宋"/>
                <w:b w:val="0"/>
                <w:bCs w:val="0"/>
                <w:kern w:val="0"/>
                <w:sz w:val="20"/>
                <w:szCs w:val="20"/>
                <w:lang w:val="en-US" w:eastAsia="zh-CN"/>
              </w:rPr>
              <w:t>.</w:t>
            </w:r>
            <w:r>
              <w:rPr>
                <w:rFonts w:hint="eastAsia" w:ascii="仿宋" w:hAnsi="仿宋" w:eastAsia="仿宋" w:cs="仿宋"/>
                <w:b w:val="0"/>
                <w:bCs w:val="0"/>
                <w:kern w:val="0"/>
                <w:sz w:val="20"/>
                <w:szCs w:val="20"/>
              </w:rPr>
              <w:t>57</w:t>
            </w:r>
          </w:p>
        </w:tc>
        <w:tc>
          <w:tcPr>
            <w:tcW w:w="1832" w:type="dxa"/>
            <w:gridSpan w:val="2"/>
            <w:noWrap w:val="0"/>
            <w:vAlign w:val="center"/>
          </w:tcPr>
          <w:p w14:paraId="5CA3106C">
            <w:pPr>
              <w:keepNext w:val="0"/>
              <w:keepLines w:val="0"/>
              <w:pageBreakBefore w:val="0"/>
              <w:widowControl w:val="0"/>
              <w:kinsoku/>
              <w:wordWrap/>
              <w:overflowPunct/>
              <w:topLinePunct w:val="0"/>
              <w:autoSpaceDE/>
              <w:autoSpaceDN/>
              <w:bidi w:val="0"/>
              <w:adjustRightInd/>
              <w:snapToGrid/>
              <w:spacing w:line="220" w:lineRule="exact"/>
              <w:ind w:firstLine="0" w:firstLineChars="0"/>
              <w:jc w:val="center"/>
              <w:textAlignment w:val="auto"/>
              <w:rPr>
                <w:rFonts w:hint="eastAsia" w:ascii="仿宋" w:hAnsi="仿宋" w:eastAsia="仿宋" w:cs="仿宋"/>
                <w:b w:val="0"/>
                <w:bCs w:val="0"/>
                <w:kern w:val="0"/>
                <w:sz w:val="20"/>
                <w:szCs w:val="20"/>
                <w:lang w:val="en-US" w:eastAsia="zh-CN" w:bidi="ar-SA"/>
              </w:rPr>
            </w:pPr>
            <w:r>
              <w:rPr>
                <w:rFonts w:hint="eastAsia" w:ascii="仿宋" w:hAnsi="仿宋" w:eastAsia="仿宋" w:cs="仿宋"/>
                <w:b w:val="0"/>
                <w:bCs w:val="0"/>
                <w:kern w:val="0"/>
                <w:sz w:val="20"/>
                <w:szCs w:val="20"/>
              </w:rPr>
              <w:t>645</w:t>
            </w:r>
            <w:r>
              <w:rPr>
                <w:rFonts w:hint="eastAsia" w:ascii="仿宋" w:hAnsi="仿宋" w:eastAsia="仿宋" w:cs="仿宋"/>
                <w:b w:val="0"/>
                <w:bCs w:val="0"/>
                <w:kern w:val="0"/>
                <w:sz w:val="20"/>
                <w:szCs w:val="20"/>
                <w:lang w:val="en-US" w:eastAsia="zh-CN"/>
              </w:rPr>
              <w:t>.</w:t>
            </w:r>
            <w:r>
              <w:rPr>
                <w:rFonts w:hint="eastAsia" w:ascii="仿宋" w:hAnsi="仿宋" w:eastAsia="仿宋" w:cs="仿宋"/>
                <w:b w:val="0"/>
                <w:bCs w:val="0"/>
                <w:kern w:val="0"/>
                <w:sz w:val="20"/>
                <w:szCs w:val="20"/>
              </w:rPr>
              <w:t>1</w:t>
            </w:r>
            <w:r>
              <w:rPr>
                <w:rFonts w:hint="eastAsia" w:ascii="仿宋" w:hAnsi="仿宋" w:eastAsia="仿宋" w:cs="仿宋"/>
                <w:b w:val="0"/>
                <w:bCs w:val="0"/>
                <w:kern w:val="0"/>
                <w:sz w:val="20"/>
                <w:szCs w:val="20"/>
                <w:lang w:val="en-US" w:eastAsia="zh-CN"/>
              </w:rPr>
              <w:t>3</w:t>
            </w:r>
          </w:p>
        </w:tc>
      </w:tr>
      <w:tr w14:paraId="78F6E0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2E9435C3">
            <w:pPr>
              <w:keepNext w:val="0"/>
              <w:keepLines w:val="0"/>
              <w:pageBreakBefore w:val="0"/>
              <w:widowControl/>
              <w:kinsoku/>
              <w:wordWrap/>
              <w:overflowPunct/>
              <w:topLinePunct w:val="0"/>
              <w:autoSpaceDE/>
              <w:autoSpaceDN/>
              <w:bidi w:val="0"/>
              <w:adjustRightInd/>
              <w:snapToGrid/>
              <w:spacing w:line="220" w:lineRule="exact"/>
              <w:jc w:val="left"/>
              <w:textAlignment w:val="auto"/>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xml:space="preserve">    1、业务工作经费</w:t>
            </w:r>
          </w:p>
        </w:tc>
        <w:tc>
          <w:tcPr>
            <w:tcW w:w="2038" w:type="dxa"/>
            <w:gridSpan w:val="2"/>
            <w:noWrap w:val="0"/>
            <w:vAlign w:val="center"/>
          </w:tcPr>
          <w:p w14:paraId="02C88F78">
            <w:pPr>
              <w:keepNext w:val="0"/>
              <w:keepLines w:val="0"/>
              <w:pageBreakBefore w:val="0"/>
              <w:widowControl w:val="0"/>
              <w:kinsoku/>
              <w:wordWrap/>
              <w:overflowPunct/>
              <w:topLinePunct w:val="0"/>
              <w:autoSpaceDE/>
              <w:autoSpaceDN/>
              <w:bidi w:val="0"/>
              <w:adjustRightInd/>
              <w:snapToGrid/>
              <w:spacing w:line="220" w:lineRule="exact"/>
              <w:ind w:firstLine="0" w:firstLineChars="0"/>
              <w:jc w:val="center"/>
              <w:textAlignment w:val="auto"/>
              <w:rPr>
                <w:rFonts w:hint="eastAsia" w:ascii="仿宋" w:hAnsi="仿宋" w:eastAsia="仿宋" w:cs="仿宋"/>
                <w:b w:val="0"/>
                <w:bCs w:val="0"/>
                <w:kern w:val="0"/>
                <w:sz w:val="20"/>
                <w:szCs w:val="20"/>
              </w:rPr>
            </w:pPr>
          </w:p>
          <w:p w14:paraId="76187FF6">
            <w:pPr>
              <w:keepNext w:val="0"/>
              <w:keepLines w:val="0"/>
              <w:pageBreakBefore w:val="0"/>
              <w:widowControl w:val="0"/>
              <w:kinsoku/>
              <w:wordWrap/>
              <w:overflowPunct/>
              <w:topLinePunct w:val="0"/>
              <w:autoSpaceDE/>
              <w:autoSpaceDN/>
              <w:bidi w:val="0"/>
              <w:adjustRightInd/>
              <w:snapToGrid/>
              <w:spacing w:line="220" w:lineRule="exact"/>
              <w:ind w:firstLine="0" w:firstLineChars="0"/>
              <w:jc w:val="center"/>
              <w:textAlignment w:val="auto"/>
              <w:rPr>
                <w:rFonts w:hint="eastAsia" w:ascii="仿宋" w:hAnsi="仿宋" w:eastAsia="仿宋" w:cs="仿宋"/>
                <w:b w:val="0"/>
                <w:bCs w:val="0"/>
                <w:kern w:val="0"/>
                <w:sz w:val="20"/>
                <w:szCs w:val="20"/>
              </w:rPr>
            </w:pPr>
          </w:p>
        </w:tc>
        <w:tc>
          <w:tcPr>
            <w:tcW w:w="2240" w:type="dxa"/>
            <w:gridSpan w:val="2"/>
            <w:noWrap w:val="0"/>
            <w:vAlign w:val="center"/>
          </w:tcPr>
          <w:p w14:paraId="4A8B89A6">
            <w:pPr>
              <w:keepNext w:val="0"/>
              <w:keepLines w:val="0"/>
              <w:pageBreakBefore w:val="0"/>
              <w:widowControl w:val="0"/>
              <w:kinsoku/>
              <w:wordWrap/>
              <w:overflowPunct/>
              <w:topLinePunct w:val="0"/>
              <w:autoSpaceDE/>
              <w:autoSpaceDN/>
              <w:bidi w:val="0"/>
              <w:adjustRightInd/>
              <w:snapToGrid/>
              <w:spacing w:line="220" w:lineRule="exact"/>
              <w:ind w:firstLine="0" w:firstLineChars="0"/>
              <w:jc w:val="center"/>
              <w:textAlignment w:val="auto"/>
              <w:rPr>
                <w:rFonts w:hint="eastAsia" w:ascii="仿宋" w:hAnsi="仿宋" w:eastAsia="仿宋" w:cs="仿宋"/>
                <w:b w:val="0"/>
                <w:bCs w:val="0"/>
                <w:kern w:val="0"/>
                <w:sz w:val="20"/>
                <w:szCs w:val="20"/>
              </w:rPr>
            </w:pPr>
          </w:p>
        </w:tc>
        <w:tc>
          <w:tcPr>
            <w:tcW w:w="1832" w:type="dxa"/>
            <w:gridSpan w:val="2"/>
            <w:noWrap w:val="0"/>
            <w:vAlign w:val="center"/>
          </w:tcPr>
          <w:p w14:paraId="0C8274C0">
            <w:pPr>
              <w:keepNext w:val="0"/>
              <w:keepLines w:val="0"/>
              <w:pageBreakBefore w:val="0"/>
              <w:widowControl w:val="0"/>
              <w:kinsoku/>
              <w:wordWrap/>
              <w:overflowPunct/>
              <w:topLinePunct w:val="0"/>
              <w:autoSpaceDE/>
              <w:autoSpaceDN/>
              <w:bidi w:val="0"/>
              <w:adjustRightInd/>
              <w:snapToGrid/>
              <w:spacing w:line="220" w:lineRule="exact"/>
              <w:ind w:firstLine="0" w:firstLineChars="0"/>
              <w:jc w:val="center"/>
              <w:textAlignment w:val="auto"/>
              <w:rPr>
                <w:rFonts w:hint="eastAsia" w:ascii="仿宋" w:hAnsi="仿宋" w:eastAsia="仿宋" w:cs="仿宋"/>
                <w:b w:val="0"/>
                <w:bCs w:val="0"/>
                <w:kern w:val="0"/>
                <w:sz w:val="20"/>
                <w:szCs w:val="20"/>
              </w:rPr>
            </w:pPr>
          </w:p>
        </w:tc>
      </w:tr>
      <w:tr w14:paraId="55FAF0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794C8CE4">
            <w:pPr>
              <w:keepNext w:val="0"/>
              <w:keepLines w:val="0"/>
              <w:pageBreakBefore w:val="0"/>
              <w:widowControl/>
              <w:kinsoku/>
              <w:wordWrap/>
              <w:overflowPunct/>
              <w:topLinePunct w:val="0"/>
              <w:autoSpaceDE/>
              <w:autoSpaceDN/>
              <w:bidi w:val="0"/>
              <w:adjustRightInd/>
              <w:snapToGrid/>
              <w:spacing w:line="220" w:lineRule="exact"/>
              <w:jc w:val="left"/>
              <w:textAlignment w:val="auto"/>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xml:space="preserve">    2、运行维护经费</w:t>
            </w:r>
          </w:p>
        </w:tc>
        <w:tc>
          <w:tcPr>
            <w:tcW w:w="2038" w:type="dxa"/>
            <w:gridSpan w:val="2"/>
            <w:noWrap w:val="0"/>
            <w:vAlign w:val="center"/>
          </w:tcPr>
          <w:p w14:paraId="49802F09">
            <w:pPr>
              <w:keepNext w:val="0"/>
              <w:keepLines w:val="0"/>
              <w:pageBreakBefore w:val="0"/>
              <w:widowControl w:val="0"/>
              <w:kinsoku/>
              <w:wordWrap/>
              <w:overflowPunct/>
              <w:topLinePunct w:val="0"/>
              <w:autoSpaceDE/>
              <w:autoSpaceDN/>
              <w:bidi w:val="0"/>
              <w:adjustRightInd/>
              <w:snapToGrid/>
              <w:spacing w:line="220" w:lineRule="exact"/>
              <w:ind w:firstLine="0" w:firstLineChars="0"/>
              <w:jc w:val="center"/>
              <w:textAlignment w:val="auto"/>
              <w:rPr>
                <w:rFonts w:hint="eastAsia" w:ascii="仿宋" w:hAnsi="仿宋" w:eastAsia="仿宋" w:cs="仿宋"/>
                <w:b w:val="0"/>
                <w:bCs w:val="0"/>
                <w:kern w:val="0"/>
                <w:sz w:val="20"/>
                <w:szCs w:val="20"/>
              </w:rPr>
            </w:pPr>
          </w:p>
        </w:tc>
        <w:tc>
          <w:tcPr>
            <w:tcW w:w="2240" w:type="dxa"/>
            <w:gridSpan w:val="2"/>
            <w:noWrap w:val="0"/>
            <w:vAlign w:val="center"/>
          </w:tcPr>
          <w:p w14:paraId="46E9D1B0">
            <w:pPr>
              <w:keepNext w:val="0"/>
              <w:keepLines w:val="0"/>
              <w:pageBreakBefore w:val="0"/>
              <w:widowControl w:val="0"/>
              <w:kinsoku/>
              <w:wordWrap/>
              <w:overflowPunct/>
              <w:topLinePunct w:val="0"/>
              <w:autoSpaceDE/>
              <w:autoSpaceDN/>
              <w:bidi w:val="0"/>
              <w:adjustRightInd/>
              <w:snapToGrid/>
              <w:spacing w:line="220" w:lineRule="exact"/>
              <w:ind w:firstLine="0" w:firstLineChars="0"/>
              <w:jc w:val="center"/>
              <w:textAlignment w:val="auto"/>
              <w:rPr>
                <w:rFonts w:hint="eastAsia" w:ascii="仿宋" w:hAnsi="仿宋" w:eastAsia="仿宋" w:cs="仿宋"/>
                <w:b w:val="0"/>
                <w:bCs w:val="0"/>
                <w:kern w:val="0"/>
                <w:sz w:val="20"/>
                <w:szCs w:val="20"/>
              </w:rPr>
            </w:pPr>
          </w:p>
        </w:tc>
        <w:tc>
          <w:tcPr>
            <w:tcW w:w="1832" w:type="dxa"/>
            <w:gridSpan w:val="2"/>
            <w:noWrap w:val="0"/>
            <w:vAlign w:val="center"/>
          </w:tcPr>
          <w:p w14:paraId="7383453E">
            <w:pPr>
              <w:keepNext w:val="0"/>
              <w:keepLines w:val="0"/>
              <w:pageBreakBefore w:val="0"/>
              <w:widowControl w:val="0"/>
              <w:kinsoku/>
              <w:wordWrap/>
              <w:overflowPunct/>
              <w:topLinePunct w:val="0"/>
              <w:autoSpaceDE/>
              <w:autoSpaceDN/>
              <w:bidi w:val="0"/>
              <w:adjustRightInd/>
              <w:snapToGrid/>
              <w:spacing w:line="220" w:lineRule="exact"/>
              <w:ind w:firstLine="0" w:firstLineChars="0"/>
              <w:jc w:val="center"/>
              <w:textAlignment w:val="auto"/>
              <w:rPr>
                <w:rFonts w:hint="eastAsia" w:ascii="仿宋" w:hAnsi="仿宋" w:eastAsia="仿宋" w:cs="仿宋"/>
                <w:b w:val="0"/>
                <w:bCs w:val="0"/>
                <w:kern w:val="0"/>
                <w:sz w:val="20"/>
                <w:szCs w:val="20"/>
              </w:rPr>
            </w:pPr>
          </w:p>
        </w:tc>
      </w:tr>
      <w:tr w14:paraId="46AE51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3354" w:type="dxa"/>
            <w:noWrap w:val="0"/>
            <w:vAlign w:val="center"/>
          </w:tcPr>
          <w:p w14:paraId="1FF7017D">
            <w:pPr>
              <w:keepNext w:val="0"/>
              <w:keepLines w:val="0"/>
              <w:pageBreakBefore w:val="0"/>
              <w:widowControl/>
              <w:kinsoku/>
              <w:wordWrap/>
              <w:overflowPunct/>
              <w:topLinePunct w:val="0"/>
              <w:autoSpaceDE/>
              <w:autoSpaceDN/>
              <w:bidi w:val="0"/>
              <w:adjustRightInd/>
              <w:snapToGrid/>
              <w:spacing w:line="220" w:lineRule="exact"/>
              <w:ind w:firstLine="400" w:firstLineChars="200"/>
              <w:jc w:val="left"/>
              <w:textAlignment w:val="auto"/>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3、</w:t>
            </w:r>
            <w:r>
              <w:rPr>
                <w:rFonts w:hint="eastAsia" w:ascii="仿宋" w:hAnsi="仿宋" w:eastAsia="仿宋" w:cs="仿宋"/>
                <w:b w:val="0"/>
                <w:bCs w:val="0"/>
                <w:kern w:val="0"/>
                <w:sz w:val="20"/>
                <w:szCs w:val="20"/>
                <w:lang w:eastAsia="zh-CN"/>
              </w:rPr>
              <w:t>本级</w:t>
            </w:r>
            <w:r>
              <w:rPr>
                <w:rFonts w:hint="eastAsia" w:ascii="仿宋" w:hAnsi="仿宋" w:eastAsia="仿宋" w:cs="仿宋"/>
                <w:b w:val="0"/>
                <w:bCs w:val="0"/>
                <w:kern w:val="0"/>
                <w:sz w:val="20"/>
                <w:szCs w:val="20"/>
              </w:rPr>
              <w:t>专项资金</w:t>
            </w:r>
          </w:p>
          <w:p w14:paraId="34606551">
            <w:pPr>
              <w:keepNext w:val="0"/>
              <w:keepLines w:val="0"/>
              <w:pageBreakBefore w:val="0"/>
              <w:widowControl/>
              <w:kinsoku/>
              <w:wordWrap/>
              <w:overflowPunct/>
              <w:topLinePunct w:val="0"/>
              <w:autoSpaceDE/>
              <w:autoSpaceDN/>
              <w:bidi w:val="0"/>
              <w:adjustRightInd/>
              <w:snapToGrid/>
              <w:spacing w:line="220" w:lineRule="exact"/>
              <w:ind w:firstLine="600" w:firstLineChars="300"/>
              <w:jc w:val="left"/>
              <w:textAlignment w:val="auto"/>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（一个专项一行）</w:t>
            </w:r>
          </w:p>
        </w:tc>
        <w:tc>
          <w:tcPr>
            <w:tcW w:w="2038" w:type="dxa"/>
            <w:gridSpan w:val="2"/>
            <w:noWrap w:val="0"/>
            <w:vAlign w:val="center"/>
          </w:tcPr>
          <w:p w14:paraId="10F65A93">
            <w:pPr>
              <w:keepNext w:val="0"/>
              <w:keepLines w:val="0"/>
              <w:pageBreakBefore w:val="0"/>
              <w:widowControl w:val="0"/>
              <w:kinsoku/>
              <w:wordWrap/>
              <w:overflowPunct/>
              <w:topLinePunct w:val="0"/>
              <w:autoSpaceDE/>
              <w:autoSpaceDN/>
              <w:bidi w:val="0"/>
              <w:adjustRightInd/>
              <w:snapToGrid/>
              <w:spacing w:line="220" w:lineRule="exact"/>
              <w:ind w:firstLine="0" w:firstLineChars="0"/>
              <w:jc w:val="center"/>
              <w:textAlignment w:val="auto"/>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1085</w:t>
            </w:r>
            <w:r>
              <w:rPr>
                <w:rFonts w:hint="eastAsia" w:ascii="仿宋" w:hAnsi="仿宋" w:eastAsia="仿宋" w:cs="仿宋"/>
                <w:b w:val="0"/>
                <w:bCs w:val="0"/>
                <w:kern w:val="0"/>
                <w:sz w:val="20"/>
                <w:szCs w:val="20"/>
                <w:lang w:val="en-US" w:eastAsia="zh-CN"/>
              </w:rPr>
              <w:t>.</w:t>
            </w:r>
            <w:r>
              <w:rPr>
                <w:rFonts w:hint="eastAsia" w:ascii="仿宋" w:hAnsi="仿宋" w:eastAsia="仿宋" w:cs="仿宋"/>
                <w:b w:val="0"/>
                <w:bCs w:val="0"/>
                <w:kern w:val="0"/>
                <w:sz w:val="20"/>
                <w:szCs w:val="20"/>
              </w:rPr>
              <w:t>48</w:t>
            </w:r>
          </w:p>
        </w:tc>
        <w:tc>
          <w:tcPr>
            <w:tcW w:w="2240" w:type="dxa"/>
            <w:gridSpan w:val="2"/>
            <w:noWrap w:val="0"/>
            <w:vAlign w:val="center"/>
          </w:tcPr>
          <w:p w14:paraId="3EDCEEE6">
            <w:pPr>
              <w:keepNext w:val="0"/>
              <w:keepLines w:val="0"/>
              <w:pageBreakBefore w:val="0"/>
              <w:widowControl w:val="0"/>
              <w:kinsoku/>
              <w:wordWrap/>
              <w:overflowPunct/>
              <w:topLinePunct w:val="0"/>
              <w:autoSpaceDE/>
              <w:autoSpaceDN/>
              <w:bidi w:val="0"/>
              <w:adjustRightInd/>
              <w:snapToGrid/>
              <w:spacing w:line="220" w:lineRule="exact"/>
              <w:ind w:firstLine="0" w:firstLineChars="0"/>
              <w:jc w:val="center"/>
              <w:textAlignment w:val="auto"/>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1088</w:t>
            </w:r>
            <w:r>
              <w:rPr>
                <w:rFonts w:hint="eastAsia" w:ascii="仿宋" w:hAnsi="仿宋" w:eastAsia="仿宋" w:cs="仿宋"/>
                <w:b w:val="0"/>
                <w:bCs w:val="0"/>
                <w:kern w:val="0"/>
                <w:sz w:val="20"/>
                <w:szCs w:val="20"/>
                <w:lang w:val="en-US" w:eastAsia="zh-CN"/>
              </w:rPr>
              <w:t>.</w:t>
            </w:r>
            <w:r>
              <w:rPr>
                <w:rFonts w:hint="eastAsia" w:ascii="仿宋" w:hAnsi="仿宋" w:eastAsia="仿宋" w:cs="仿宋"/>
                <w:b w:val="0"/>
                <w:bCs w:val="0"/>
                <w:kern w:val="0"/>
                <w:sz w:val="20"/>
                <w:szCs w:val="20"/>
              </w:rPr>
              <w:t>57</w:t>
            </w:r>
          </w:p>
        </w:tc>
        <w:tc>
          <w:tcPr>
            <w:tcW w:w="1832" w:type="dxa"/>
            <w:gridSpan w:val="2"/>
            <w:noWrap w:val="0"/>
            <w:vAlign w:val="center"/>
          </w:tcPr>
          <w:p w14:paraId="335FDCF3">
            <w:pPr>
              <w:keepNext w:val="0"/>
              <w:keepLines w:val="0"/>
              <w:pageBreakBefore w:val="0"/>
              <w:widowControl w:val="0"/>
              <w:kinsoku/>
              <w:wordWrap/>
              <w:overflowPunct/>
              <w:topLinePunct w:val="0"/>
              <w:autoSpaceDE/>
              <w:autoSpaceDN/>
              <w:bidi w:val="0"/>
              <w:adjustRightInd/>
              <w:snapToGrid/>
              <w:spacing w:line="220" w:lineRule="exact"/>
              <w:ind w:firstLine="0" w:firstLineChars="0"/>
              <w:jc w:val="center"/>
              <w:textAlignment w:val="auto"/>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645</w:t>
            </w:r>
            <w:r>
              <w:rPr>
                <w:rFonts w:hint="eastAsia" w:ascii="仿宋" w:hAnsi="仿宋" w:eastAsia="仿宋" w:cs="仿宋"/>
                <w:b w:val="0"/>
                <w:bCs w:val="0"/>
                <w:kern w:val="0"/>
                <w:sz w:val="20"/>
                <w:szCs w:val="20"/>
                <w:lang w:val="en-US" w:eastAsia="zh-CN"/>
              </w:rPr>
              <w:t>.</w:t>
            </w:r>
            <w:r>
              <w:rPr>
                <w:rFonts w:hint="eastAsia" w:ascii="仿宋" w:hAnsi="仿宋" w:eastAsia="仿宋" w:cs="仿宋"/>
                <w:b w:val="0"/>
                <w:bCs w:val="0"/>
                <w:kern w:val="0"/>
                <w:sz w:val="20"/>
                <w:szCs w:val="20"/>
              </w:rPr>
              <w:t>1</w:t>
            </w:r>
            <w:r>
              <w:rPr>
                <w:rFonts w:hint="eastAsia" w:ascii="仿宋" w:hAnsi="仿宋" w:eastAsia="仿宋" w:cs="仿宋"/>
                <w:b w:val="0"/>
                <w:bCs w:val="0"/>
                <w:kern w:val="0"/>
                <w:sz w:val="20"/>
                <w:szCs w:val="20"/>
                <w:lang w:val="en-US" w:eastAsia="zh-CN"/>
              </w:rPr>
              <w:t>3</w:t>
            </w:r>
          </w:p>
        </w:tc>
      </w:tr>
      <w:tr w14:paraId="4E1E78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3354" w:type="dxa"/>
            <w:noWrap w:val="0"/>
            <w:vAlign w:val="center"/>
          </w:tcPr>
          <w:p w14:paraId="3579C6A4">
            <w:pPr>
              <w:keepNext w:val="0"/>
              <w:keepLines w:val="0"/>
              <w:pageBreakBefore w:val="0"/>
              <w:widowControl/>
              <w:kinsoku/>
              <w:wordWrap/>
              <w:overflowPunct/>
              <w:topLinePunct w:val="0"/>
              <w:autoSpaceDE/>
              <w:autoSpaceDN/>
              <w:bidi w:val="0"/>
              <w:adjustRightInd/>
              <w:snapToGrid/>
              <w:spacing w:line="220" w:lineRule="exact"/>
              <w:ind w:firstLine="400" w:firstLineChars="200"/>
              <w:jc w:val="left"/>
              <w:textAlignment w:val="auto"/>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引进人才财政补贴</w:t>
            </w:r>
          </w:p>
        </w:tc>
        <w:tc>
          <w:tcPr>
            <w:tcW w:w="2038" w:type="dxa"/>
            <w:gridSpan w:val="2"/>
            <w:noWrap w:val="0"/>
            <w:vAlign w:val="center"/>
          </w:tcPr>
          <w:p w14:paraId="77F8B991">
            <w:pPr>
              <w:keepNext w:val="0"/>
              <w:keepLines w:val="0"/>
              <w:pageBreakBefore w:val="0"/>
              <w:widowControl w:val="0"/>
              <w:kinsoku/>
              <w:wordWrap/>
              <w:overflowPunct/>
              <w:topLinePunct w:val="0"/>
              <w:autoSpaceDE/>
              <w:autoSpaceDN/>
              <w:bidi w:val="0"/>
              <w:adjustRightInd/>
              <w:snapToGrid/>
              <w:spacing w:line="220" w:lineRule="exact"/>
              <w:ind w:firstLine="0" w:firstLineChars="0"/>
              <w:jc w:val="center"/>
              <w:textAlignment w:val="auto"/>
              <w:rPr>
                <w:rFonts w:hint="default" w:ascii="仿宋" w:hAnsi="仿宋" w:eastAsia="仿宋" w:cs="仿宋"/>
                <w:b w:val="0"/>
                <w:bCs w:val="0"/>
                <w:kern w:val="0"/>
                <w:sz w:val="20"/>
                <w:szCs w:val="20"/>
                <w:lang w:val="en-US" w:eastAsia="zh-CN"/>
              </w:rPr>
            </w:pPr>
            <w:r>
              <w:rPr>
                <w:rFonts w:hint="eastAsia" w:ascii="仿宋" w:hAnsi="仿宋" w:eastAsia="仿宋" w:cs="仿宋"/>
                <w:b w:val="0"/>
                <w:bCs w:val="0"/>
                <w:kern w:val="0"/>
                <w:sz w:val="20"/>
                <w:szCs w:val="20"/>
                <w:lang w:val="en-US" w:eastAsia="zh-CN"/>
              </w:rPr>
              <w:t>2.4</w:t>
            </w:r>
          </w:p>
        </w:tc>
        <w:tc>
          <w:tcPr>
            <w:tcW w:w="2240" w:type="dxa"/>
            <w:gridSpan w:val="2"/>
            <w:noWrap w:val="0"/>
            <w:vAlign w:val="center"/>
          </w:tcPr>
          <w:p w14:paraId="27C14DE6">
            <w:pPr>
              <w:keepNext w:val="0"/>
              <w:keepLines w:val="0"/>
              <w:pageBreakBefore w:val="0"/>
              <w:widowControl w:val="0"/>
              <w:kinsoku/>
              <w:wordWrap/>
              <w:overflowPunct/>
              <w:topLinePunct w:val="0"/>
              <w:autoSpaceDE/>
              <w:autoSpaceDN/>
              <w:bidi w:val="0"/>
              <w:adjustRightInd/>
              <w:snapToGrid/>
              <w:spacing w:line="220" w:lineRule="exact"/>
              <w:ind w:firstLine="0" w:firstLineChars="0"/>
              <w:jc w:val="center"/>
              <w:textAlignment w:val="auto"/>
              <w:rPr>
                <w:rFonts w:hint="default" w:ascii="仿宋" w:hAnsi="仿宋" w:eastAsia="仿宋" w:cs="仿宋"/>
                <w:b w:val="0"/>
                <w:bCs w:val="0"/>
                <w:kern w:val="0"/>
                <w:sz w:val="20"/>
                <w:szCs w:val="20"/>
                <w:lang w:val="en-US" w:eastAsia="zh-CN"/>
              </w:rPr>
            </w:pPr>
            <w:r>
              <w:rPr>
                <w:rFonts w:hint="eastAsia" w:ascii="仿宋" w:hAnsi="仿宋" w:eastAsia="仿宋" w:cs="仿宋"/>
                <w:b w:val="0"/>
                <w:bCs w:val="0"/>
                <w:kern w:val="0"/>
                <w:sz w:val="20"/>
                <w:szCs w:val="20"/>
                <w:lang w:val="en-US" w:eastAsia="zh-CN"/>
              </w:rPr>
              <w:t>2.4</w:t>
            </w:r>
          </w:p>
        </w:tc>
        <w:tc>
          <w:tcPr>
            <w:tcW w:w="1832" w:type="dxa"/>
            <w:gridSpan w:val="2"/>
            <w:noWrap w:val="0"/>
            <w:vAlign w:val="center"/>
          </w:tcPr>
          <w:p w14:paraId="30E4CFBB">
            <w:pPr>
              <w:keepNext w:val="0"/>
              <w:keepLines w:val="0"/>
              <w:pageBreakBefore w:val="0"/>
              <w:widowControl w:val="0"/>
              <w:kinsoku/>
              <w:wordWrap/>
              <w:overflowPunct/>
              <w:topLinePunct w:val="0"/>
              <w:autoSpaceDE/>
              <w:autoSpaceDN/>
              <w:bidi w:val="0"/>
              <w:adjustRightInd/>
              <w:snapToGrid/>
              <w:spacing w:line="220" w:lineRule="exact"/>
              <w:ind w:firstLine="0" w:firstLineChars="0"/>
              <w:jc w:val="center"/>
              <w:textAlignment w:val="auto"/>
              <w:rPr>
                <w:rFonts w:hint="default" w:ascii="仿宋" w:hAnsi="仿宋" w:eastAsia="仿宋" w:cs="仿宋"/>
                <w:b w:val="0"/>
                <w:bCs w:val="0"/>
                <w:kern w:val="0"/>
                <w:sz w:val="20"/>
                <w:szCs w:val="20"/>
                <w:lang w:val="en-US" w:eastAsia="zh-CN"/>
              </w:rPr>
            </w:pPr>
            <w:r>
              <w:rPr>
                <w:rFonts w:hint="eastAsia" w:ascii="仿宋" w:hAnsi="仿宋" w:eastAsia="仿宋" w:cs="仿宋"/>
                <w:b w:val="0"/>
                <w:bCs w:val="0"/>
                <w:kern w:val="0"/>
                <w:sz w:val="20"/>
                <w:szCs w:val="20"/>
                <w:lang w:val="en-US" w:eastAsia="zh-CN"/>
              </w:rPr>
              <w:t>2.4</w:t>
            </w:r>
          </w:p>
        </w:tc>
      </w:tr>
      <w:tr w14:paraId="5903FE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3354" w:type="dxa"/>
            <w:noWrap w:val="0"/>
            <w:vAlign w:val="center"/>
          </w:tcPr>
          <w:p w14:paraId="3C4B6929">
            <w:pPr>
              <w:keepNext w:val="0"/>
              <w:keepLines w:val="0"/>
              <w:pageBreakBefore w:val="0"/>
              <w:widowControl/>
              <w:kinsoku/>
              <w:wordWrap/>
              <w:overflowPunct/>
              <w:topLinePunct w:val="0"/>
              <w:autoSpaceDE/>
              <w:autoSpaceDN/>
              <w:bidi w:val="0"/>
              <w:adjustRightInd/>
              <w:snapToGrid/>
              <w:spacing w:line="220" w:lineRule="exact"/>
              <w:ind w:firstLine="400" w:firstLineChars="200"/>
              <w:jc w:val="left"/>
              <w:textAlignment w:val="auto"/>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短信平台</w:t>
            </w:r>
          </w:p>
        </w:tc>
        <w:tc>
          <w:tcPr>
            <w:tcW w:w="2038" w:type="dxa"/>
            <w:gridSpan w:val="2"/>
            <w:noWrap w:val="0"/>
            <w:vAlign w:val="center"/>
          </w:tcPr>
          <w:p w14:paraId="2D30F382">
            <w:pPr>
              <w:keepNext w:val="0"/>
              <w:keepLines w:val="0"/>
              <w:pageBreakBefore w:val="0"/>
              <w:widowControl w:val="0"/>
              <w:kinsoku/>
              <w:wordWrap/>
              <w:overflowPunct/>
              <w:topLinePunct w:val="0"/>
              <w:autoSpaceDE/>
              <w:autoSpaceDN/>
              <w:bidi w:val="0"/>
              <w:adjustRightInd/>
              <w:snapToGrid/>
              <w:spacing w:line="220" w:lineRule="exact"/>
              <w:ind w:firstLine="0" w:firstLineChars="0"/>
              <w:jc w:val="center"/>
              <w:textAlignment w:val="auto"/>
              <w:rPr>
                <w:rFonts w:hint="default" w:ascii="仿宋" w:hAnsi="仿宋" w:eastAsia="仿宋" w:cs="仿宋"/>
                <w:b w:val="0"/>
                <w:bCs w:val="0"/>
                <w:kern w:val="0"/>
                <w:sz w:val="20"/>
                <w:szCs w:val="20"/>
                <w:lang w:val="en-US" w:eastAsia="zh-CN"/>
              </w:rPr>
            </w:pPr>
            <w:r>
              <w:rPr>
                <w:rFonts w:hint="eastAsia" w:ascii="仿宋" w:hAnsi="仿宋" w:eastAsia="仿宋" w:cs="仿宋"/>
                <w:b w:val="0"/>
                <w:bCs w:val="0"/>
                <w:kern w:val="0"/>
                <w:sz w:val="20"/>
                <w:szCs w:val="20"/>
                <w:lang w:val="en-US" w:eastAsia="zh-CN"/>
              </w:rPr>
              <w:t>44.74</w:t>
            </w:r>
          </w:p>
        </w:tc>
        <w:tc>
          <w:tcPr>
            <w:tcW w:w="2240" w:type="dxa"/>
            <w:gridSpan w:val="2"/>
            <w:noWrap w:val="0"/>
            <w:vAlign w:val="center"/>
          </w:tcPr>
          <w:p w14:paraId="185DB8DF">
            <w:pPr>
              <w:keepNext w:val="0"/>
              <w:keepLines w:val="0"/>
              <w:pageBreakBefore w:val="0"/>
              <w:widowControl w:val="0"/>
              <w:kinsoku/>
              <w:wordWrap/>
              <w:overflowPunct/>
              <w:topLinePunct w:val="0"/>
              <w:autoSpaceDE/>
              <w:autoSpaceDN/>
              <w:bidi w:val="0"/>
              <w:adjustRightInd/>
              <w:snapToGrid/>
              <w:spacing w:line="220" w:lineRule="exact"/>
              <w:ind w:firstLine="0" w:firstLineChars="0"/>
              <w:jc w:val="center"/>
              <w:textAlignment w:val="auto"/>
              <w:rPr>
                <w:rFonts w:hint="default" w:ascii="仿宋" w:hAnsi="仿宋" w:eastAsia="仿宋" w:cs="仿宋"/>
                <w:b w:val="0"/>
                <w:bCs w:val="0"/>
                <w:kern w:val="0"/>
                <w:sz w:val="20"/>
                <w:szCs w:val="20"/>
                <w:lang w:val="en-US" w:eastAsia="zh-CN"/>
              </w:rPr>
            </w:pPr>
            <w:r>
              <w:rPr>
                <w:rFonts w:hint="eastAsia" w:ascii="仿宋" w:hAnsi="仿宋" w:eastAsia="仿宋" w:cs="仿宋"/>
                <w:b w:val="0"/>
                <w:bCs w:val="0"/>
                <w:kern w:val="0"/>
                <w:sz w:val="20"/>
                <w:szCs w:val="20"/>
                <w:lang w:val="en-US" w:eastAsia="zh-CN"/>
              </w:rPr>
              <w:t>17.56</w:t>
            </w:r>
          </w:p>
        </w:tc>
        <w:tc>
          <w:tcPr>
            <w:tcW w:w="1832" w:type="dxa"/>
            <w:gridSpan w:val="2"/>
            <w:noWrap w:val="0"/>
            <w:vAlign w:val="center"/>
          </w:tcPr>
          <w:p w14:paraId="737110ED">
            <w:pPr>
              <w:keepNext w:val="0"/>
              <w:keepLines w:val="0"/>
              <w:pageBreakBefore w:val="0"/>
              <w:widowControl w:val="0"/>
              <w:kinsoku/>
              <w:wordWrap/>
              <w:overflowPunct/>
              <w:topLinePunct w:val="0"/>
              <w:autoSpaceDE/>
              <w:autoSpaceDN/>
              <w:bidi w:val="0"/>
              <w:adjustRightInd/>
              <w:snapToGrid/>
              <w:spacing w:line="220" w:lineRule="exact"/>
              <w:ind w:firstLine="0" w:firstLineChars="0"/>
              <w:jc w:val="center"/>
              <w:textAlignment w:val="auto"/>
              <w:rPr>
                <w:rFonts w:hint="default" w:ascii="仿宋" w:hAnsi="仿宋" w:eastAsia="仿宋" w:cs="仿宋"/>
                <w:b/>
                <w:bCs/>
                <w:kern w:val="0"/>
                <w:sz w:val="20"/>
                <w:szCs w:val="20"/>
                <w:lang w:val="en-US" w:eastAsia="zh-CN"/>
              </w:rPr>
            </w:pPr>
            <w:r>
              <w:rPr>
                <w:rFonts w:hint="eastAsia" w:ascii="仿宋" w:hAnsi="仿宋" w:eastAsia="仿宋" w:cs="仿宋"/>
                <w:b w:val="0"/>
                <w:bCs w:val="0"/>
                <w:kern w:val="0"/>
                <w:sz w:val="20"/>
                <w:szCs w:val="20"/>
                <w:lang w:val="en-US" w:eastAsia="zh-CN"/>
              </w:rPr>
              <w:t>8.14</w:t>
            </w:r>
          </w:p>
        </w:tc>
      </w:tr>
      <w:tr w14:paraId="61CE38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3354" w:type="dxa"/>
            <w:noWrap w:val="0"/>
            <w:vAlign w:val="center"/>
          </w:tcPr>
          <w:p w14:paraId="6EBCA0C3">
            <w:pPr>
              <w:keepNext w:val="0"/>
              <w:keepLines w:val="0"/>
              <w:pageBreakBefore w:val="0"/>
              <w:widowControl/>
              <w:kinsoku/>
              <w:wordWrap/>
              <w:overflowPunct/>
              <w:topLinePunct w:val="0"/>
              <w:autoSpaceDE/>
              <w:autoSpaceDN/>
              <w:bidi w:val="0"/>
              <w:adjustRightInd/>
              <w:snapToGrid/>
              <w:spacing w:line="220" w:lineRule="exact"/>
              <w:ind w:firstLine="400" w:firstLineChars="200"/>
              <w:jc w:val="left"/>
              <w:textAlignment w:val="auto"/>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业务线路费</w:t>
            </w:r>
          </w:p>
        </w:tc>
        <w:tc>
          <w:tcPr>
            <w:tcW w:w="2038" w:type="dxa"/>
            <w:gridSpan w:val="2"/>
            <w:noWrap w:val="0"/>
            <w:vAlign w:val="center"/>
          </w:tcPr>
          <w:p w14:paraId="1D2DC2E0">
            <w:pPr>
              <w:keepNext w:val="0"/>
              <w:keepLines w:val="0"/>
              <w:pageBreakBefore w:val="0"/>
              <w:widowControl w:val="0"/>
              <w:kinsoku/>
              <w:wordWrap/>
              <w:overflowPunct/>
              <w:topLinePunct w:val="0"/>
              <w:autoSpaceDE/>
              <w:autoSpaceDN/>
              <w:bidi w:val="0"/>
              <w:adjustRightInd/>
              <w:snapToGrid/>
              <w:spacing w:line="220" w:lineRule="exact"/>
              <w:ind w:firstLine="0" w:firstLineChars="0"/>
              <w:jc w:val="center"/>
              <w:textAlignment w:val="auto"/>
              <w:rPr>
                <w:rFonts w:hint="default" w:ascii="仿宋" w:hAnsi="仿宋" w:eastAsia="仿宋" w:cs="仿宋"/>
                <w:b w:val="0"/>
                <w:bCs w:val="0"/>
                <w:kern w:val="0"/>
                <w:sz w:val="20"/>
                <w:szCs w:val="20"/>
                <w:lang w:val="en-US" w:eastAsia="zh-CN"/>
              </w:rPr>
            </w:pPr>
            <w:r>
              <w:rPr>
                <w:rFonts w:hint="eastAsia" w:ascii="仿宋" w:hAnsi="仿宋" w:eastAsia="仿宋" w:cs="仿宋"/>
                <w:b w:val="0"/>
                <w:bCs w:val="0"/>
                <w:kern w:val="0"/>
                <w:sz w:val="20"/>
                <w:szCs w:val="20"/>
                <w:lang w:val="en-US" w:eastAsia="zh-CN"/>
              </w:rPr>
              <w:t>39.96</w:t>
            </w:r>
          </w:p>
        </w:tc>
        <w:tc>
          <w:tcPr>
            <w:tcW w:w="2240" w:type="dxa"/>
            <w:gridSpan w:val="2"/>
            <w:noWrap w:val="0"/>
            <w:vAlign w:val="center"/>
          </w:tcPr>
          <w:p w14:paraId="0AD827F8">
            <w:pPr>
              <w:keepNext w:val="0"/>
              <w:keepLines w:val="0"/>
              <w:pageBreakBefore w:val="0"/>
              <w:widowControl w:val="0"/>
              <w:kinsoku/>
              <w:wordWrap/>
              <w:overflowPunct/>
              <w:topLinePunct w:val="0"/>
              <w:autoSpaceDE/>
              <w:autoSpaceDN/>
              <w:bidi w:val="0"/>
              <w:adjustRightInd/>
              <w:snapToGrid/>
              <w:spacing w:line="220" w:lineRule="exact"/>
              <w:ind w:firstLine="0" w:firstLineChars="0"/>
              <w:jc w:val="center"/>
              <w:textAlignment w:val="auto"/>
              <w:rPr>
                <w:rFonts w:hint="default" w:ascii="仿宋" w:hAnsi="仿宋" w:eastAsia="仿宋" w:cs="仿宋"/>
                <w:b w:val="0"/>
                <w:bCs w:val="0"/>
                <w:kern w:val="0"/>
                <w:sz w:val="20"/>
                <w:szCs w:val="20"/>
                <w:lang w:val="en-US" w:eastAsia="zh-CN"/>
              </w:rPr>
            </w:pPr>
            <w:r>
              <w:rPr>
                <w:rFonts w:hint="eastAsia" w:ascii="仿宋" w:hAnsi="仿宋" w:eastAsia="仿宋" w:cs="仿宋"/>
                <w:b w:val="0"/>
                <w:bCs w:val="0"/>
                <w:kern w:val="0"/>
                <w:sz w:val="20"/>
                <w:szCs w:val="20"/>
                <w:lang w:val="en-US" w:eastAsia="zh-CN"/>
              </w:rPr>
              <w:t>34.63</w:t>
            </w:r>
          </w:p>
        </w:tc>
        <w:tc>
          <w:tcPr>
            <w:tcW w:w="1832" w:type="dxa"/>
            <w:gridSpan w:val="2"/>
            <w:noWrap w:val="0"/>
            <w:vAlign w:val="center"/>
          </w:tcPr>
          <w:p w14:paraId="7FC9C264">
            <w:pPr>
              <w:keepNext w:val="0"/>
              <w:keepLines w:val="0"/>
              <w:pageBreakBefore w:val="0"/>
              <w:widowControl w:val="0"/>
              <w:kinsoku/>
              <w:wordWrap/>
              <w:overflowPunct/>
              <w:topLinePunct w:val="0"/>
              <w:autoSpaceDE/>
              <w:autoSpaceDN/>
              <w:bidi w:val="0"/>
              <w:adjustRightInd/>
              <w:snapToGrid/>
              <w:spacing w:line="220" w:lineRule="exact"/>
              <w:ind w:firstLine="0" w:firstLineChars="0"/>
              <w:jc w:val="center"/>
              <w:textAlignment w:val="auto"/>
              <w:rPr>
                <w:rFonts w:hint="default" w:ascii="仿宋" w:hAnsi="仿宋" w:eastAsia="仿宋" w:cs="仿宋"/>
                <w:b w:val="0"/>
                <w:bCs w:val="0"/>
                <w:kern w:val="0"/>
                <w:sz w:val="20"/>
                <w:szCs w:val="20"/>
                <w:lang w:val="en-US" w:eastAsia="zh-CN"/>
              </w:rPr>
            </w:pPr>
            <w:r>
              <w:rPr>
                <w:rFonts w:hint="eastAsia" w:ascii="仿宋" w:hAnsi="仿宋" w:eastAsia="仿宋" w:cs="仿宋"/>
                <w:b w:val="0"/>
                <w:bCs w:val="0"/>
                <w:kern w:val="0"/>
                <w:sz w:val="20"/>
                <w:szCs w:val="20"/>
                <w:lang w:val="en-US" w:eastAsia="zh-CN"/>
              </w:rPr>
              <w:t>3.77</w:t>
            </w:r>
          </w:p>
        </w:tc>
      </w:tr>
      <w:tr w14:paraId="452E97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3354" w:type="dxa"/>
            <w:shd w:val="clear" w:color="auto" w:fill="auto"/>
            <w:noWrap w:val="0"/>
            <w:vAlign w:val="center"/>
          </w:tcPr>
          <w:p w14:paraId="757B9F60">
            <w:pPr>
              <w:keepNext w:val="0"/>
              <w:keepLines w:val="0"/>
              <w:pageBreakBefore w:val="0"/>
              <w:widowControl/>
              <w:kinsoku/>
              <w:wordWrap/>
              <w:overflowPunct/>
              <w:topLinePunct w:val="0"/>
              <w:autoSpaceDE/>
              <w:autoSpaceDN/>
              <w:bidi w:val="0"/>
              <w:adjustRightInd/>
              <w:snapToGrid/>
              <w:spacing w:line="220" w:lineRule="exact"/>
              <w:ind w:firstLine="400" w:firstLineChars="200"/>
              <w:jc w:val="left"/>
              <w:textAlignment w:val="auto"/>
              <w:rPr>
                <w:rFonts w:hint="eastAsia" w:ascii="仿宋" w:hAnsi="仿宋" w:eastAsia="仿宋" w:cs="仿宋"/>
                <w:b w:val="0"/>
                <w:bCs w:val="0"/>
                <w:kern w:val="0"/>
                <w:sz w:val="20"/>
                <w:szCs w:val="20"/>
                <w:lang w:val="en-US" w:eastAsia="zh-CN" w:bidi="ar-SA"/>
              </w:rPr>
            </w:pPr>
            <w:r>
              <w:rPr>
                <w:rFonts w:hint="eastAsia" w:ascii="仿宋" w:hAnsi="仿宋" w:eastAsia="仿宋" w:cs="仿宋"/>
                <w:b w:val="0"/>
                <w:bCs w:val="0"/>
                <w:kern w:val="0"/>
                <w:sz w:val="20"/>
                <w:szCs w:val="20"/>
                <w:lang w:val="en-US" w:eastAsia="zh-CN"/>
              </w:rPr>
              <w:t>劳务派遣人员工资奖金</w:t>
            </w:r>
          </w:p>
        </w:tc>
        <w:tc>
          <w:tcPr>
            <w:tcW w:w="2038" w:type="dxa"/>
            <w:gridSpan w:val="2"/>
            <w:shd w:val="clear" w:color="auto" w:fill="auto"/>
            <w:noWrap w:val="0"/>
            <w:vAlign w:val="center"/>
          </w:tcPr>
          <w:p w14:paraId="31988E31">
            <w:pPr>
              <w:keepNext w:val="0"/>
              <w:keepLines w:val="0"/>
              <w:pageBreakBefore w:val="0"/>
              <w:widowControl w:val="0"/>
              <w:kinsoku/>
              <w:wordWrap/>
              <w:overflowPunct/>
              <w:topLinePunct w:val="0"/>
              <w:autoSpaceDE/>
              <w:autoSpaceDN/>
              <w:bidi w:val="0"/>
              <w:adjustRightInd/>
              <w:snapToGrid/>
              <w:spacing w:line="220" w:lineRule="exact"/>
              <w:ind w:firstLine="0" w:firstLineChars="0"/>
              <w:jc w:val="center"/>
              <w:textAlignment w:val="auto"/>
              <w:rPr>
                <w:rFonts w:hint="eastAsia" w:ascii="仿宋" w:hAnsi="仿宋" w:eastAsia="仿宋" w:cs="仿宋"/>
                <w:b w:val="0"/>
                <w:bCs w:val="0"/>
                <w:kern w:val="0"/>
                <w:sz w:val="20"/>
                <w:szCs w:val="20"/>
                <w:lang w:val="en-US" w:eastAsia="zh-CN" w:bidi="ar-SA"/>
              </w:rPr>
            </w:pPr>
            <w:r>
              <w:rPr>
                <w:rFonts w:hint="eastAsia" w:ascii="仿宋" w:hAnsi="仿宋" w:eastAsia="仿宋" w:cs="仿宋"/>
                <w:b w:val="0"/>
                <w:bCs w:val="0"/>
                <w:kern w:val="0"/>
                <w:sz w:val="20"/>
                <w:szCs w:val="20"/>
                <w:lang w:val="en-US" w:eastAsia="zh-CN"/>
              </w:rPr>
              <w:t>319.14</w:t>
            </w:r>
          </w:p>
        </w:tc>
        <w:tc>
          <w:tcPr>
            <w:tcW w:w="2240" w:type="dxa"/>
            <w:gridSpan w:val="2"/>
            <w:shd w:val="clear" w:color="auto" w:fill="auto"/>
            <w:noWrap w:val="0"/>
            <w:vAlign w:val="center"/>
          </w:tcPr>
          <w:p w14:paraId="5679CCC6">
            <w:pPr>
              <w:keepNext w:val="0"/>
              <w:keepLines w:val="0"/>
              <w:pageBreakBefore w:val="0"/>
              <w:widowControl w:val="0"/>
              <w:kinsoku/>
              <w:wordWrap/>
              <w:overflowPunct/>
              <w:topLinePunct w:val="0"/>
              <w:autoSpaceDE/>
              <w:autoSpaceDN/>
              <w:bidi w:val="0"/>
              <w:adjustRightInd/>
              <w:snapToGrid/>
              <w:spacing w:line="220" w:lineRule="exact"/>
              <w:ind w:firstLine="0" w:firstLineChars="0"/>
              <w:jc w:val="center"/>
              <w:textAlignment w:val="auto"/>
              <w:rPr>
                <w:rFonts w:hint="eastAsia" w:ascii="仿宋" w:hAnsi="仿宋" w:eastAsia="仿宋" w:cs="仿宋"/>
                <w:b w:val="0"/>
                <w:bCs w:val="0"/>
                <w:kern w:val="0"/>
                <w:sz w:val="20"/>
                <w:szCs w:val="20"/>
                <w:lang w:val="en-US" w:eastAsia="zh-CN" w:bidi="ar-SA"/>
              </w:rPr>
            </w:pPr>
            <w:r>
              <w:rPr>
                <w:rFonts w:hint="eastAsia" w:ascii="仿宋" w:hAnsi="仿宋" w:eastAsia="仿宋" w:cs="仿宋"/>
                <w:b w:val="0"/>
                <w:bCs w:val="0"/>
                <w:kern w:val="0"/>
                <w:sz w:val="20"/>
                <w:szCs w:val="20"/>
                <w:lang w:val="en-US" w:eastAsia="zh-CN"/>
              </w:rPr>
              <w:t>310.67</w:t>
            </w:r>
          </w:p>
        </w:tc>
        <w:tc>
          <w:tcPr>
            <w:tcW w:w="1832" w:type="dxa"/>
            <w:gridSpan w:val="2"/>
            <w:shd w:val="clear" w:color="auto" w:fill="auto"/>
            <w:noWrap w:val="0"/>
            <w:vAlign w:val="center"/>
          </w:tcPr>
          <w:p w14:paraId="4BE902CB">
            <w:pPr>
              <w:keepNext w:val="0"/>
              <w:keepLines w:val="0"/>
              <w:pageBreakBefore w:val="0"/>
              <w:widowControl w:val="0"/>
              <w:kinsoku/>
              <w:wordWrap/>
              <w:overflowPunct/>
              <w:topLinePunct w:val="0"/>
              <w:autoSpaceDE/>
              <w:autoSpaceDN/>
              <w:bidi w:val="0"/>
              <w:adjustRightInd/>
              <w:snapToGrid/>
              <w:spacing w:line="220" w:lineRule="exact"/>
              <w:ind w:firstLine="0" w:firstLineChars="0"/>
              <w:jc w:val="center"/>
              <w:textAlignment w:val="auto"/>
              <w:rPr>
                <w:rFonts w:hint="eastAsia" w:ascii="仿宋" w:hAnsi="仿宋" w:eastAsia="仿宋" w:cs="仿宋"/>
                <w:b/>
                <w:bCs/>
                <w:kern w:val="0"/>
                <w:sz w:val="20"/>
                <w:szCs w:val="20"/>
                <w:lang w:val="en-US" w:eastAsia="zh-CN" w:bidi="ar-SA"/>
              </w:rPr>
            </w:pPr>
            <w:r>
              <w:rPr>
                <w:rFonts w:hint="eastAsia" w:ascii="仿宋" w:hAnsi="仿宋" w:eastAsia="仿宋" w:cs="仿宋"/>
                <w:b w:val="0"/>
                <w:bCs w:val="0"/>
                <w:kern w:val="0"/>
                <w:sz w:val="20"/>
                <w:szCs w:val="20"/>
                <w:lang w:val="en-US" w:eastAsia="zh-CN"/>
              </w:rPr>
              <w:t>310.67</w:t>
            </w:r>
          </w:p>
        </w:tc>
      </w:tr>
      <w:tr w14:paraId="1F9E3C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3354" w:type="dxa"/>
            <w:shd w:val="clear" w:color="auto" w:fill="auto"/>
            <w:noWrap w:val="0"/>
            <w:vAlign w:val="center"/>
          </w:tcPr>
          <w:p w14:paraId="028246EF">
            <w:pPr>
              <w:keepNext w:val="0"/>
              <w:keepLines w:val="0"/>
              <w:pageBreakBefore w:val="0"/>
              <w:widowControl/>
              <w:kinsoku/>
              <w:wordWrap/>
              <w:overflowPunct/>
              <w:topLinePunct w:val="0"/>
              <w:autoSpaceDE/>
              <w:autoSpaceDN/>
              <w:bidi w:val="0"/>
              <w:adjustRightInd/>
              <w:snapToGrid/>
              <w:spacing w:line="220" w:lineRule="exact"/>
              <w:ind w:firstLine="400" w:firstLineChars="200"/>
              <w:jc w:val="left"/>
              <w:textAlignment w:val="auto"/>
              <w:rPr>
                <w:rFonts w:hint="eastAsia" w:ascii="仿宋" w:hAnsi="仿宋" w:eastAsia="仿宋" w:cs="仿宋"/>
                <w:b w:val="0"/>
                <w:bCs w:val="0"/>
                <w:kern w:val="0"/>
                <w:sz w:val="20"/>
                <w:szCs w:val="20"/>
                <w:lang w:val="en-US" w:eastAsia="zh-CN" w:bidi="ar-SA"/>
              </w:rPr>
            </w:pPr>
            <w:r>
              <w:rPr>
                <w:rFonts w:hint="eastAsia" w:ascii="仿宋" w:hAnsi="仿宋" w:eastAsia="仿宋" w:cs="仿宋"/>
                <w:b w:val="0"/>
                <w:bCs w:val="0"/>
                <w:kern w:val="0"/>
                <w:sz w:val="20"/>
                <w:szCs w:val="20"/>
                <w:lang w:val="en-US" w:eastAsia="zh-CN"/>
              </w:rPr>
              <w:t>中心及14个管理部物业管理费</w:t>
            </w:r>
          </w:p>
        </w:tc>
        <w:tc>
          <w:tcPr>
            <w:tcW w:w="2038" w:type="dxa"/>
            <w:gridSpan w:val="2"/>
            <w:shd w:val="clear" w:color="auto" w:fill="auto"/>
            <w:noWrap w:val="0"/>
            <w:vAlign w:val="center"/>
          </w:tcPr>
          <w:p w14:paraId="37981F24">
            <w:pPr>
              <w:keepNext w:val="0"/>
              <w:keepLines w:val="0"/>
              <w:pageBreakBefore w:val="0"/>
              <w:widowControl w:val="0"/>
              <w:kinsoku/>
              <w:wordWrap/>
              <w:overflowPunct/>
              <w:topLinePunct w:val="0"/>
              <w:autoSpaceDE/>
              <w:autoSpaceDN/>
              <w:bidi w:val="0"/>
              <w:adjustRightInd/>
              <w:snapToGrid/>
              <w:spacing w:line="220" w:lineRule="exact"/>
              <w:ind w:firstLine="0" w:firstLineChars="0"/>
              <w:jc w:val="center"/>
              <w:textAlignment w:val="auto"/>
              <w:rPr>
                <w:rFonts w:hint="eastAsia" w:ascii="仿宋" w:hAnsi="仿宋" w:eastAsia="仿宋" w:cs="仿宋"/>
                <w:b/>
                <w:bCs/>
                <w:kern w:val="0"/>
                <w:sz w:val="20"/>
                <w:szCs w:val="20"/>
                <w:lang w:val="en-US" w:eastAsia="zh-CN" w:bidi="ar-SA"/>
              </w:rPr>
            </w:pPr>
            <w:r>
              <w:rPr>
                <w:rFonts w:hint="eastAsia" w:ascii="仿宋" w:hAnsi="仿宋" w:eastAsia="仿宋" w:cs="仿宋"/>
                <w:b w:val="0"/>
                <w:bCs w:val="0"/>
                <w:kern w:val="0"/>
                <w:sz w:val="20"/>
                <w:szCs w:val="20"/>
                <w:lang w:val="en-US" w:eastAsia="zh-CN"/>
              </w:rPr>
              <w:t>141.14</w:t>
            </w:r>
          </w:p>
        </w:tc>
        <w:tc>
          <w:tcPr>
            <w:tcW w:w="2240" w:type="dxa"/>
            <w:gridSpan w:val="2"/>
            <w:shd w:val="clear" w:color="auto" w:fill="auto"/>
            <w:noWrap w:val="0"/>
            <w:vAlign w:val="center"/>
          </w:tcPr>
          <w:p w14:paraId="13607AE9">
            <w:pPr>
              <w:keepNext w:val="0"/>
              <w:keepLines w:val="0"/>
              <w:pageBreakBefore w:val="0"/>
              <w:widowControl w:val="0"/>
              <w:kinsoku/>
              <w:wordWrap/>
              <w:overflowPunct/>
              <w:topLinePunct w:val="0"/>
              <w:autoSpaceDE/>
              <w:autoSpaceDN/>
              <w:bidi w:val="0"/>
              <w:adjustRightInd/>
              <w:snapToGrid/>
              <w:spacing w:line="220" w:lineRule="exact"/>
              <w:ind w:firstLine="0" w:firstLineChars="0"/>
              <w:jc w:val="center"/>
              <w:textAlignment w:val="auto"/>
              <w:rPr>
                <w:rFonts w:hint="eastAsia" w:ascii="仿宋" w:hAnsi="仿宋" w:eastAsia="仿宋" w:cs="仿宋"/>
                <w:b w:val="0"/>
                <w:bCs w:val="0"/>
                <w:kern w:val="0"/>
                <w:sz w:val="20"/>
                <w:szCs w:val="20"/>
                <w:lang w:val="en-US" w:eastAsia="zh-CN" w:bidi="ar-SA"/>
              </w:rPr>
            </w:pPr>
            <w:r>
              <w:rPr>
                <w:rFonts w:hint="eastAsia" w:ascii="仿宋" w:hAnsi="仿宋" w:eastAsia="仿宋" w:cs="仿宋"/>
                <w:b w:val="0"/>
                <w:bCs w:val="0"/>
                <w:kern w:val="0"/>
                <w:sz w:val="20"/>
                <w:szCs w:val="20"/>
                <w:lang w:val="en-US" w:eastAsia="zh-CN"/>
              </w:rPr>
              <w:t>134.69</w:t>
            </w:r>
          </w:p>
        </w:tc>
        <w:tc>
          <w:tcPr>
            <w:tcW w:w="1832" w:type="dxa"/>
            <w:gridSpan w:val="2"/>
            <w:shd w:val="clear" w:color="auto" w:fill="auto"/>
            <w:noWrap w:val="0"/>
            <w:vAlign w:val="center"/>
          </w:tcPr>
          <w:p w14:paraId="7CDEA984">
            <w:pPr>
              <w:keepNext w:val="0"/>
              <w:keepLines w:val="0"/>
              <w:pageBreakBefore w:val="0"/>
              <w:widowControl w:val="0"/>
              <w:kinsoku/>
              <w:wordWrap/>
              <w:overflowPunct/>
              <w:topLinePunct w:val="0"/>
              <w:autoSpaceDE/>
              <w:autoSpaceDN/>
              <w:bidi w:val="0"/>
              <w:adjustRightInd/>
              <w:snapToGrid/>
              <w:spacing w:line="220" w:lineRule="exact"/>
              <w:ind w:firstLine="0" w:firstLineChars="0"/>
              <w:jc w:val="center"/>
              <w:textAlignment w:val="auto"/>
              <w:rPr>
                <w:rFonts w:hint="eastAsia" w:ascii="仿宋" w:hAnsi="仿宋" w:eastAsia="仿宋" w:cs="仿宋"/>
                <w:b w:val="0"/>
                <w:bCs w:val="0"/>
                <w:kern w:val="0"/>
                <w:sz w:val="20"/>
                <w:szCs w:val="20"/>
                <w:lang w:val="en-US" w:eastAsia="zh-CN" w:bidi="ar-SA"/>
              </w:rPr>
            </w:pPr>
            <w:r>
              <w:rPr>
                <w:rFonts w:hint="eastAsia" w:ascii="仿宋" w:hAnsi="仿宋" w:eastAsia="仿宋" w:cs="仿宋"/>
                <w:b w:val="0"/>
                <w:bCs w:val="0"/>
                <w:kern w:val="0"/>
                <w:sz w:val="20"/>
                <w:szCs w:val="20"/>
                <w:lang w:val="en-US" w:eastAsia="zh-CN"/>
              </w:rPr>
              <w:t>112.12</w:t>
            </w:r>
          </w:p>
        </w:tc>
      </w:tr>
      <w:tr w14:paraId="2BC528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3354" w:type="dxa"/>
            <w:shd w:val="clear" w:color="auto" w:fill="auto"/>
            <w:noWrap w:val="0"/>
            <w:vAlign w:val="center"/>
          </w:tcPr>
          <w:p w14:paraId="3BE28AB5">
            <w:pPr>
              <w:keepNext w:val="0"/>
              <w:keepLines w:val="0"/>
              <w:pageBreakBefore w:val="0"/>
              <w:widowControl/>
              <w:kinsoku/>
              <w:wordWrap/>
              <w:overflowPunct/>
              <w:topLinePunct w:val="0"/>
              <w:autoSpaceDE/>
              <w:autoSpaceDN/>
              <w:bidi w:val="0"/>
              <w:adjustRightInd/>
              <w:snapToGrid/>
              <w:spacing w:line="220" w:lineRule="exact"/>
              <w:ind w:firstLine="400" w:firstLineChars="200"/>
              <w:jc w:val="left"/>
              <w:textAlignment w:val="auto"/>
              <w:rPr>
                <w:rFonts w:hint="eastAsia" w:ascii="仿宋" w:hAnsi="仿宋" w:eastAsia="仿宋" w:cs="仿宋"/>
                <w:b w:val="0"/>
                <w:bCs w:val="0"/>
                <w:kern w:val="0"/>
                <w:sz w:val="20"/>
                <w:szCs w:val="20"/>
                <w:lang w:val="en-US" w:eastAsia="zh-CN" w:bidi="ar-SA"/>
              </w:rPr>
            </w:pPr>
            <w:r>
              <w:rPr>
                <w:rFonts w:hint="eastAsia" w:ascii="仿宋" w:hAnsi="仿宋" w:eastAsia="仿宋" w:cs="仿宋"/>
                <w:b w:val="0"/>
                <w:bCs w:val="0"/>
                <w:kern w:val="0"/>
                <w:sz w:val="20"/>
                <w:szCs w:val="20"/>
                <w:lang w:val="en-US" w:eastAsia="zh-CN"/>
              </w:rPr>
              <w:t>乡村振兴工作经费</w:t>
            </w:r>
          </w:p>
        </w:tc>
        <w:tc>
          <w:tcPr>
            <w:tcW w:w="2038" w:type="dxa"/>
            <w:gridSpan w:val="2"/>
            <w:shd w:val="clear" w:color="auto" w:fill="auto"/>
            <w:noWrap w:val="0"/>
            <w:vAlign w:val="center"/>
          </w:tcPr>
          <w:p w14:paraId="6621171B">
            <w:pPr>
              <w:keepNext w:val="0"/>
              <w:keepLines w:val="0"/>
              <w:pageBreakBefore w:val="0"/>
              <w:widowControl w:val="0"/>
              <w:kinsoku/>
              <w:wordWrap/>
              <w:overflowPunct/>
              <w:topLinePunct w:val="0"/>
              <w:autoSpaceDE/>
              <w:autoSpaceDN/>
              <w:bidi w:val="0"/>
              <w:adjustRightInd/>
              <w:snapToGrid/>
              <w:spacing w:line="220" w:lineRule="exact"/>
              <w:ind w:firstLine="0" w:firstLineChars="0"/>
              <w:jc w:val="center"/>
              <w:textAlignment w:val="auto"/>
              <w:rPr>
                <w:rFonts w:hint="eastAsia" w:ascii="仿宋" w:hAnsi="仿宋" w:eastAsia="仿宋" w:cs="仿宋"/>
                <w:b w:val="0"/>
                <w:bCs w:val="0"/>
                <w:kern w:val="0"/>
                <w:sz w:val="20"/>
                <w:szCs w:val="20"/>
                <w:lang w:val="en-US" w:eastAsia="zh-CN" w:bidi="ar-SA"/>
              </w:rPr>
            </w:pPr>
            <w:r>
              <w:rPr>
                <w:rFonts w:hint="eastAsia" w:ascii="仿宋" w:hAnsi="仿宋" w:eastAsia="仿宋" w:cs="仿宋"/>
                <w:b w:val="0"/>
                <w:bCs w:val="0"/>
                <w:kern w:val="0"/>
                <w:sz w:val="20"/>
                <w:szCs w:val="20"/>
                <w:lang w:val="en-US" w:eastAsia="zh-CN"/>
              </w:rPr>
              <w:t>30.</w:t>
            </w:r>
          </w:p>
        </w:tc>
        <w:tc>
          <w:tcPr>
            <w:tcW w:w="2240" w:type="dxa"/>
            <w:gridSpan w:val="2"/>
            <w:shd w:val="clear" w:color="auto" w:fill="auto"/>
            <w:noWrap w:val="0"/>
            <w:vAlign w:val="center"/>
          </w:tcPr>
          <w:p w14:paraId="3C9835FB">
            <w:pPr>
              <w:keepNext w:val="0"/>
              <w:keepLines w:val="0"/>
              <w:pageBreakBefore w:val="0"/>
              <w:widowControl w:val="0"/>
              <w:kinsoku/>
              <w:wordWrap/>
              <w:overflowPunct/>
              <w:topLinePunct w:val="0"/>
              <w:autoSpaceDE/>
              <w:autoSpaceDN/>
              <w:bidi w:val="0"/>
              <w:adjustRightInd/>
              <w:snapToGrid/>
              <w:spacing w:line="220" w:lineRule="exact"/>
              <w:ind w:firstLine="0" w:firstLineChars="0"/>
              <w:jc w:val="center"/>
              <w:textAlignment w:val="auto"/>
              <w:rPr>
                <w:rFonts w:hint="eastAsia" w:ascii="仿宋" w:hAnsi="仿宋" w:eastAsia="仿宋" w:cs="仿宋"/>
                <w:b w:val="0"/>
                <w:bCs w:val="0"/>
                <w:kern w:val="0"/>
                <w:sz w:val="20"/>
                <w:szCs w:val="20"/>
                <w:lang w:val="en-US" w:eastAsia="zh-CN" w:bidi="ar-SA"/>
              </w:rPr>
            </w:pPr>
            <w:r>
              <w:rPr>
                <w:rFonts w:hint="eastAsia" w:ascii="仿宋" w:hAnsi="仿宋" w:eastAsia="仿宋" w:cs="仿宋"/>
                <w:b w:val="0"/>
                <w:bCs w:val="0"/>
                <w:kern w:val="0"/>
                <w:sz w:val="20"/>
                <w:szCs w:val="20"/>
                <w:lang w:val="en-US" w:eastAsia="zh-CN"/>
              </w:rPr>
              <w:t>30</w:t>
            </w:r>
          </w:p>
        </w:tc>
        <w:tc>
          <w:tcPr>
            <w:tcW w:w="1832" w:type="dxa"/>
            <w:gridSpan w:val="2"/>
            <w:shd w:val="clear" w:color="auto" w:fill="auto"/>
            <w:noWrap w:val="0"/>
            <w:vAlign w:val="center"/>
          </w:tcPr>
          <w:p w14:paraId="60DE2262">
            <w:pPr>
              <w:keepNext w:val="0"/>
              <w:keepLines w:val="0"/>
              <w:pageBreakBefore w:val="0"/>
              <w:widowControl w:val="0"/>
              <w:kinsoku/>
              <w:wordWrap/>
              <w:overflowPunct/>
              <w:topLinePunct w:val="0"/>
              <w:autoSpaceDE/>
              <w:autoSpaceDN/>
              <w:bidi w:val="0"/>
              <w:adjustRightInd/>
              <w:snapToGrid/>
              <w:spacing w:line="220" w:lineRule="exact"/>
              <w:ind w:firstLine="0" w:firstLineChars="0"/>
              <w:jc w:val="center"/>
              <w:textAlignment w:val="auto"/>
              <w:rPr>
                <w:rFonts w:hint="eastAsia" w:ascii="仿宋" w:hAnsi="仿宋" w:eastAsia="仿宋" w:cs="仿宋"/>
                <w:b w:val="0"/>
                <w:bCs w:val="0"/>
                <w:kern w:val="0"/>
                <w:sz w:val="20"/>
                <w:szCs w:val="20"/>
                <w:lang w:val="en-US" w:eastAsia="zh-CN" w:bidi="ar-SA"/>
              </w:rPr>
            </w:pPr>
            <w:r>
              <w:rPr>
                <w:rFonts w:hint="eastAsia" w:ascii="仿宋" w:hAnsi="仿宋" w:eastAsia="仿宋" w:cs="仿宋"/>
                <w:b w:val="0"/>
                <w:bCs w:val="0"/>
                <w:kern w:val="0"/>
                <w:sz w:val="20"/>
                <w:szCs w:val="20"/>
                <w:lang w:val="en-US" w:eastAsia="zh-CN"/>
              </w:rPr>
              <w:t>29.96</w:t>
            </w:r>
          </w:p>
        </w:tc>
      </w:tr>
      <w:tr w14:paraId="431997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3354" w:type="dxa"/>
            <w:shd w:val="clear" w:color="auto" w:fill="auto"/>
            <w:noWrap w:val="0"/>
            <w:vAlign w:val="center"/>
          </w:tcPr>
          <w:p w14:paraId="19E7D0A2">
            <w:pPr>
              <w:keepNext w:val="0"/>
              <w:keepLines w:val="0"/>
              <w:pageBreakBefore w:val="0"/>
              <w:widowControl/>
              <w:kinsoku/>
              <w:wordWrap/>
              <w:overflowPunct/>
              <w:topLinePunct w:val="0"/>
              <w:autoSpaceDE/>
              <w:autoSpaceDN/>
              <w:bidi w:val="0"/>
              <w:adjustRightInd/>
              <w:snapToGrid/>
              <w:spacing w:line="220" w:lineRule="exact"/>
              <w:ind w:firstLine="400" w:firstLineChars="200"/>
              <w:jc w:val="left"/>
              <w:textAlignment w:val="auto"/>
              <w:rPr>
                <w:rFonts w:hint="eastAsia" w:ascii="仿宋" w:hAnsi="仿宋" w:eastAsia="仿宋" w:cs="仿宋"/>
                <w:b w:val="0"/>
                <w:bCs w:val="0"/>
                <w:color w:val="auto"/>
                <w:kern w:val="0"/>
                <w:sz w:val="20"/>
                <w:szCs w:val="20"/>
                <w:lang w:val="en-US" w:eastAsia="zh-CN" w:bidi="ar-SA"/>
              </w:rPr>
            </w:pPr>
            <w:r>
              <w:rPr>
                <w:rFonts w:hint="eastAsia" w:ascii="仿宋" w:hAnsi="仿宋" w:eastAsia="仿宋" w:cs="仿宋"/>
                <w:b w:val="0"/>
                <w:bCs w:val="0"/>
                <w:color w:val="auto"/>
                <w:kern w:val="0"/>
                <w:sz w:val="20"/>
                <w:szCs w:val="20"/>
                <w:lang w:val="en-US" w:eastAsia="zh-CN"/>
              </w:rPr>
              <w:t>电子化办公服务设备和办公家具购置及维修</w:t>
            </w:r>
          </w:p>
        </w:tc>
        <w:tc>
          <w:tcPr>
            <w:tcW w:w="2038" w:type="dxa"/>
            <w:gridSpan w:val="2"/>
            <w:shd w:val="clear" w:color="auto" w:fill="auto"/>
            <w:noWrap w:val="0"/>
            <w:vAlign w:val="center"/>
          </w:tcPr>
          <w:p w14:paraId="5EAFD70A">
            <w:pPr>
              <w:keepNext w:val="0"/>
              <w:keepLines w:val="0"/>
              <w:pageBreakBefore w:val="0"/>
              <w:widowControl w:val="0"/>
              <w:kinsoku/>
              <w:wordWrap/>
              <w:overflowPunct/>
              <w:topLinePunct w:val="0"/>
              <w:autoSpaceDE/>
              <w:autoSpaceDN/>
              <w:bidi w:val="0"/>
              <w:adjustRightInd/>
              <w:snapToGrid/>
              <w:spacing w:line="220" w:lineRule="exact"/>
              <w:ind w:firstLine="0" w:firstLineChars="0"/>
              <w:jc w:val="center"/>
              <w:textAlignment w:val="auto"/>
              <w:rPr>
                <w:rFonts w:hint="eastAsia" w:ascii="仿宋" w:hAnsi="仿宋" w:eastAsia="仿宋" w:cs="仿宋"/>
                <w:b w:val="0"/>
                <w:bCs w:val="0"/>
                <w:color w:val="auto"/>
                <w:kern w:val="0"/>
                <w:sz w:val="20"/>
                <w:szCs w:val="20"/>
                <w:lang w:val="en-US" w:eastAsia="zh-CN" w:bidi="ar-SA"/>
              </w:rPr>
            </w:pPr>
            <w:r>
              <w:rPr>
                <w:rFonts w:hint="eastAsia" w:ascii="仿宋" w:hAnsi="仿宋" w:eastAsia="仿宋" w:cs="仿宋"/>
                <w:b w:val="0"/>
                <w:bCs w:val="0"/>
                <w:color w:val="auto"/>
                <w:kern w:val="0"/>
                <w:sz w:val="20"/>
                <w:szCs w:val="20"/>
                <w:lang w:val="en-US" w:eastAsia="zh-CN"/>
              </w:rPr>
              <w:t>20</w:t>
            </w:r>
          </w:p>
        </w:tc>
        <w:tc>
          <w:tcPr>
            <w:tcW w:w="2240" w:type="dxa"/>
            <w:gridSpan w:val="2"/>
            <w:shd w:val="clear" w:color="auto" w:fill="auto"/>
            <w:noWrap w:val="0"/>
            <w:vAlign w:val="center"/>
          </w:tcPr>
          <w:p w14:paraId="479B4262">
            <w:pPr>
              <w:keepNext w:val="0"/>
              <w:keepLines w:val="0"/>
              <w:pageBreakBefore w:val="0"/>
              <w:widowControl w:val="0"/>
              <w:kinsoku/>
              <w:wordWrap/>
              <w:overflowPunct/>
              <w:topLinePunct w:val="0"/>
              <w:autoSpaceDE/>
              <w:autoSpaceDN/>
              <w:bidi w:val="0"/>
              <w:adjustRightInd/>
              <w:snapToGrid/>
              <w:spacing w:line="220" w:lineRule="exact"/>
              <w:ind w:firstLine="0" w:firstLineChars="0"/>
              <w:jc w:val="center"/>
              <w:textAlignment w:val="auto"/>
              <w:rPr>
                <w:rFonts w:hint="eastAsia" w:ascii="仿宋" w:hAnsi="仿宋" w:eastAsia="仿宋" w:cs="仿宋"/>
                <w:b w:val="0"/>
                <w:bCs w:val="0"/>
                <w:color w:val="auto"/>
                <w:kern w:val="0"/>
                <w:sz w:val="20"/>
                <w:szCs w:val="20"/>
                <w:lang w:val="en-US" w:eastAsia="zh-CN" w:bidi="ar-SA"/>
              </w:rPr>
            </w:pPr>
            <w:r>
              <w:rPr>
                <w:rFonts w:hint="eastAsia" w:ascii="仿宋" w:hAnsi="仿宋" w:eastAsia="仿宋" w:cs="仿宋"/>
                <w:b w:val="0"/>
                <w:bCs w:val="0"/>
                <w:color w:val="auto"/>
                <w:kern w:val="0"/>
                <w:sz w:val="20"/>
                <w:szCs w:val="20"/>
                <w:lang w:val="en-US" w:eastAsia="zh-CN"/>
              </w:rPr>
              <w:t>20</w:t>
            </w:r>
          </w:p>
        </w:tc>
        <w:tc>
          <w:tcPr>
            <w:tcW w:w="1832" w:type="dxa"/>
            <w:gridSpan w:val="2"/>
            <w:shd w:val="clear" w:color="auto" w:fill="auto"/>
            <w:noWrap w:val="0"/>
            <w:vAlign w:val="center"/>
          </w:tcPr>
          <w:p w14:paraId="658D0A42">
            <w:pPr>
              <w:keepNext w:val="0"/>
              <w:keepLines w:val="0"/>
              <w:pageBreakBefore w:val="0"/>
              <w:widowControl w:val="0"/>
              <w:kinsoku/>
              <w:wordWrap/>
              <w:overflowPunct/>
              <w:topLinePunct w:val="0"/>
              <w:autoSpaceDE/>
              <w:autoSpaceDN/>
              <w:bidi w:val="0"/>
              <w:adjustRightInd/>
              <w:snapToGrid/>
              <w:spacing w:line="220" w:lineRule="exact"/>
              <w:ind w:firstLine="0" w:firstLineChars="0"/>
              <w:jc w:val="center"/>
              <w:textAlignment w:val="auto"/>
              <w:rPr>
                <w:rFonts w:hint="eastAsia" w:ascii="仿宋" w:hAnsi="仿宋" w:eastAsia="仿宋" w:cs="仿宋"/>
                <w:b w:val="0"/>
                <w:bCs w:val="0"/>
                <w:kern w:val="0"/>
                <w:sz w:val="20"/>
                <w:szCs w:val="20"/>
                <w:lang w:val="en-US" w:eastAsia="zh-CN" w:bidi="ar-SA"/>
              </w:rPr>
            </w:pPr>
            <w:r>
              <w:rPr>
                <w:rFonts w:hint="eastAsia" w:ascii="仿宋" w:hAnsi="仿宋" w:eastAsia="仿宋" w:cs="仿宋"/>
                <w:b w:val="0"/>
                <w:bCs w:val="0"/>
                <w:kern w:val="0"/>
                <w:sz w:val="20"/>
                <w:szCs w:val="20"/>
                <w:lang w:val="en-US" w:eastAsia="zh-CN"/>
              </w:rPr>
              <w:t>19.46</w:t>
            </w:r>
          </w:p>
        </w:tc>
      </w:tr>
      <w:tr w14:paraId="3DC6A6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3354" w:type="dxa"/>
            <w:noWrap w:val="0"/>
            <w:vAlign w:val="center"/>
          </w:tcPr>
          <w:p w14:paraId="6E735BF5">
            <w:pPr>
              <w:keepNext w:val="0"/>
              <w:keepLines w:val="0"/>
              <w:pageBreakBefore w:val="0"/>
              <w:widowControl/>
              <w:kinsoku/>
              <w:wordWrap/>
              <w:overflowPunct/>
              <w:topLinePunct w:val="0"/>
              <w:autoSpaceDE/>
              <w:autoSpaceDN/>
              <w:bidi w:val="0"/>
              <w:adjustRightInd/>
              <w:snapToGrid/>
              <w:spacing w:line="220" w:lineRule="exact"/>
              <w:ind w:firstLine="400" w:firstLineChars="200"/>
              <w:jc w:val="left"/>
              <w:textAlignment w:val="auto"/>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业务系统升级和运维费</w:t>
            </w:r>
          </w:p>
        </w:tc>
        <w:tc>
          <w:tcPr>
            <w:tcW w:w="2038" w:type="dxa"/>
            <w:gridSpan w:val="2"/>
            <w:noWrap w:val="0"/>
            <w:vAlign w:val="center"/>
          </w:tcPr>
          <w:p w14:paraId="760A7C5A">
            <w:pPr>
              <w:keepNext w:val="0"/>
              <w:keepLines w:val="0"/>
              <w:pageBreakBefore w:val="0"/>
              <w:widowControl w:val="0"/>
              <w:kinsoku/>
              <w:wordWrap/>
              <w:overflowPunct/>
              <w:topLinePunct w:val="0"/>
              <w:autoSpaceDE/>
              <w:autoSpaceDN/>
              <w:bidi w:val="0"/>
              <w:adjustRightInd/>
              <w:snapToGrid/>
              <w:spacing w:line="220" w:lineRule="exact"/>
              <w:ind w:firstLine="0" w:firstLineChars="0"/>
              <w:jc w:val="center"/>
              <w:textAlignment w:val="auto"/>
              <w:rPr>
                <w:rFonts w:hint="default" w:ascii="仿宋" w:hAnsi="仿宋" w:eastAsia="仿宋" w:cs="仿宋"/>
                <w:b w:val="0"/>
                <w:bCs w:val="0"/>
                <w:kern w:val="0"/>
                <w:sz w:val="20"/>
                <w:szCs w:val="20"/>
                <w:lang w:val="en-US" w:eastAsia="zh-CN"/>
              </w:rPr>
            </w:pPr>
            <w:r>
              <w:rPr>
                <w:rFonts w:hint="eastAsia" w:ascii="仿宋" w:hAnsi="仿宋" w:eastAsia="仿宋" w:cs="仿宋"/>
                <w:b w:val="0"/>
                <w:bCs w:val="0"/>
                <w:kern w:val="0"/>
                <w:sz w:val="20"/>
                <w:szCs w:val="20"/>
                <w:lang w:val="en-US" w:eastAsia="zh-CN"/>
              </w:rPr>
              <w:t>37.21</w:t>
            </w:r>
          </w:p>
        </w:tc>
        <w:tc>
          <w:tcPr>
            <w:tcW w:w="2240" w:type="dxa"/>
            <w:gridSpan w:val="2"/>
            <w:noWrap w:val="0"/>
            <w:vAlign w:val="center"/>
          </w:tcPr>
          <w:p w14:paraId="17FD116D">
            <w:pPr>
              <w:keepNext w:val="0"/>
              <w:keepLines w:val="0"/>
              <w:pageBreakBefore w:val="0"/>
              <w:widowControl w:val="0"/>
              <w:kinsoku/>
              <w:wordWrap/>
              <w:overflowPunct/>
              <w:topLinePunct w:val="0"/>
              <w:autoSpaceDE/>
              <w:autoSpaceDN/>
              <w:bidi w:val="0"/>
              <w:adjustRightInd/>
              <w:snapToGrid/>
              <w:spacing w:line="220" w:lineRule="exact"/>
              <w:ind w:firstLine="0" w:firstLineChars="0"/>
              <w:jc w:val="center"/>
              <w:textAlignment w:val="auto"/>
              <w:rPr>
                <w:rFonts w:hint="default" w:ascii="仿宋" w:hAnsi="仿宋" w:eastAsia="仿宋" w:cs="仿宋"/>
                <w:b w:val="0"/>
                <w:bCs w:val="0"/>
                <w:kern w:val="0"/>
                <w:sz w:val="20"/>
                <w:szCs w:val="20"/>
                <w:lang w:val="en-US" w:eastAsia="zh-CN"/>
              </w:rPr>
            </w:pPr>
            <w:r>
              <w:rPr>
                <w:rFonts w:hint="eastAsia" w:ascii="仿宋" w:hAnsi="仿宋" w:eastAsia="仿宋" w:cs="仿宋"/>
                <w:b w:val="0"/>
                <w:bCs w:val="0"/>
                <w:kern w:val="0"/>
                <w:sz w:val="20"/>
                <w:szCs w:val="20"/>
                <w:lang w:val="en-US" w:eastAsia="zh-CN"/>
              </w:rPr>
              <w:t>50.60</w:t>
            </w:r>
          </w:p>
        </w:tc>
        <w:tc>
          <w:tcPr>
            <w:tcW w:w="1832" w:type="dxa"/>
            <w:gridSpan w:val="2"/>
            <w:noWrap w:val="0"/>
            <w:vAlign w:val="center"/>
          </w:tcPr>
          <w:p w14:paraId="638474BE">
            <w:pPr>
              <w:keepNext w:val="0"/>
              <w:keepLines w:val="0"/>
              <w:pageBreakBefore w:val="0"/>
              <w:widowControl w:val="0"/>
              <w:kinsoku/>
              <w:wordWrap/>
              <w:overflowPunct/>
              <w:topLinePunct w:val="0"/>
              <w:autoSpaceDE/>
              <w:autoSpaceDN/>
              <w:bidi w:val="0"/>
              <w:adjustRightInd/>
              <w:snapToGrid/>
              <w:spacing w:line="220" w:lineRule="exact"/>
              <w:ind w:firstLine="0" w:firstLineChars="0"/>
              <w:jc w:val="center"/>
              <w:textAlignment w:val="auto"/>
              <w:rPr>
                <w:rFonts w:hint="eastAsia" w:ascii="仿宋" w:hAnsi="仿宋" w:eastAsia="仿宋" w:cs="仿宋"/>
                <w:b w:val="0"/>
                <w:bCs w:val="0"/>
                <w:kern w:val="0"/>
                <w:sz w:val="20"/>
                <w:szCs w:val="20"/>
              </w:rPr>
            </w:pPr>
          </w:p>
        </w:tc>
      </w:tr>
      <w:tr w14:paraId="6D49A7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3354" w:type="dxa"/>
            <w:noWrap w:val="0"/>
            <w:vAlign w:val="center"/>
          </w:tcPr>
          <w:p w14:paraId="21E7BCFB">
            <w:pPr>
              <w:keepNext w:val="0"/>
              <w:keepLines w:val="0"/>
              <w:pageBreakBefore w:val="0"/>
              <w:widowControl/>
              <w:kinsoku/>
              <w:wordWrap/>
              <w:overflowPunct/>
              <w:topLinePunct w:val="0"/>
              <w:autoSpaceDE/>
              <w:autoSpaceDN/>
              <w:bidi w:val="0"/>
              <w:adjustRightInd/>
              <w:snapToGrid/>
              <w:spacing w:line="220" w:lineRule="exact"/>
              <w:ind w:firstLine="400" w:firstLineChars="200"/>
              <w:jc w:val="left"/>
              <w:textAlignment w:val="auto"/>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CA维护费</w:t>
            </w:r>
          </w:p>
        </w:tc>
        <w:tc>
          <w:tcPr>
            <w:tcW w:w="2038" w:type="dxa"/>
            <w:gridSpan w:val="2"/>
            <w:noWrap w:val="0"/>
            <w:vAlign w:val="center"/>
          </w:tcPr>
          <w:p w14:paraId="132A7A66">
            <w:pPr>
              <w:keepNext w:val="0"/>
              <w:keepLines w:val="0"/>
              <w:pageBreakBefore w:val="0"/>
              <w:widowControl w:val="0"/>
              <w:kinsoku/>
              <w:wordWrap/>
              <w:overflowPunct/>
              <w:topLinePunct w:val="0"/>
              <w:autoSpaceDE/>
              <w:autoSpaceDN/>
              <w:bidi w:val="0"/>
              <w:adjustRightInd/>
              <w:snapToGrid/>
              <w:spacing w:line="220" w:lineRule="exact"/>
              <w:ind w:firstLine="0" w:firstLineChars="0"/>
              <w:jc w:val="center"/>
              <w:textAlignment w:val="auto"/>
              <w:rPr>
                <w:rFonts w:hint="default" w:ascii="仿宋" w:hAnsi="仿宋" w:eastAsia="仿宋" w:cs="仿宋"/>
                <w:b w:val="0"/>
                <w:bCs w:val="0"/>
                <w:kern w:val="0"/>
                <w:sz w:val="20"/>
                <w:szCs w:val="20"/>
                <w:lang w:val="en-US" w:eastAsia="zh-CN"/>
              </w:rPr>
            </w:pPr>
            <w:r>
              <w:rPr>
                <w:rFonts w:hint="eastAsia" w:ascii="仿宋" w:hAnsi="仿宋" w:eastAsia="仿宋" w:cs="仿宋"/>
                <w:b w:val="0"/>
                <w:bCs w:val="0"/>
                <w:kern w:val="0"/>
                <w:sz w:val="20"/>
                <w:szCs w:val="20"/>
                <w:lang w:val="en-US" w:eastAsia="zh-CN"/>
              </w:rPr>
              <w:t>12.21</w:t>
            </w:r>
          </w:p>
        </w:tc>
        <w:tc>
          <w:tcPr>
            <w:tcW w:w="2240" w:type="dxa"/>
            <w:gridSpan w:val="2"/>
            <w:noWrap w:val="0"/>
            <w:vAlign w:val="center"/>
          </w:tcPr>
          <w:p w14:paraId="2A2AFF3E">
            <w:pPr>
              <w:keepNext w:val="0"/>
              <w:keepLines w:val="0"/>
              <w:pageBreakBefore w:val="0"/>
              <w:widowControl w:val="0"/>
              <w:kinsoku/>
              <w:wordWrap/>
              <w:overflowPunct/>
              <w:topLinePunct w:val="0"/>
              <w:autoSpaceDE/>
              <w:autoSpaceDN/>
              <w:bidi w:val="0"/>
              <w:adjustRightInd/>
              <w:snapToGrid/>
              <w:spacing w:line="220" w:lineRule="exact"/>
              <w:ind w:firstLine="0" w:firstLineChars="0"/>
              <w:jc w:val="center"/>
              <w:textAlignment w:val="auto"/>
              <w:rPr>
                <w:rFonts w:hint="default" w:ascii="仿宋" w:hAnsi="仿宋" w:eastAsia="仿宋" w:cs="仿宋"/>
                <w:b w:val="0"/>
                <w:bCs w:val="0"/>
                <w:kern w:val="0"/>
                <w:sz w:val="20"/>
                <w:szCs w:val="20"/>
                <w:lang w:val="en-US" w:eastAsia="zh-CN"/>
              </w:rPr>
            </w:pPr>
            <w:r>
              <w:rPr>
                <w:rFonts w:hint="eastAsia" w:ascii="仿宋" w:hAnsi="仿宋" w:eastAsia="仿宋" w:cs="仿宋"/>
                <w:b w:val="0"/>
                <w:bCs w:val="0"/>
                <w:kern w:val="0"/>
                <w:sz w:val="20"/>
                <w:szCs w:val="20"/>
                <w:lang w:val="en-US" w:eastAsia="zh-CN"/>
              </w:rPr>
              <w:t>39.44</w:t>
            </w:r>
          </w:p>
        </w:tc>
        <w:tc>
          <w:tcPr>
            <w:tcW w:w="1832" w:type="dxa"/>
            <w:gridSpan w:val="2"/>
            <w:noWrap w:val="0"/>
            <w:vAlign w:val="center"/>
          </w:tcPr>
          <w:p w14:paraId="631F74A2">
            <w:pPr>
              <w:keepNext w:val="0"/>
              <w:keepLines w:val="0"/>
              <w:pageBreakBefore w:val="0"/>
              <w:widowControl w:val="0"/>
              <w:kinsoku/>
              <w:wordWrap/>
              <w:overflowPunct/>
              <w:topLinePunct w:val="0"/>
              <w:autoSpaceDE/>
              <w:autoSpaceDN/>
              <w:bidi w:val="0"/>
              <w:adjustRightInd/>
              <w:snapToGrid/>
              <w:spacing w:line="220" w:lineRule="exact"/>
              <w:ind w:firstLine="0" w:firstLineChars="0"/>
              <w:jc w:val="center"/>
              <w:textAlignment w:val="auto"/>
              <w:rPr>
                <w:rFonts w:hint="eastAsia" w:ascii="仿宋" w:hAnsi="仿宋" w:eastAsia="仿宋" w:cs="仿宋"/>
                <w:b w:val="0"/>
                <w:bCs w:val="0"/>
                <w:kern w:val="0"/>
                <w:sz w:val="20"/>
                <w:szCs w:val="20"/>
              </w:rPr>
            </w:pPr>
          </w:p>
        </w:tc>
      </w:tr>
      <w:tr w14:paraId="1FC400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3354" w:type="dxa"/>
            <w:shd w:val="clear" w:color="auto" w:fill="auto"/>
            <w:noWrap w:val="0"/>
            <w:vAlign w:val="center"/>
          </w:tcPr>
          <w:p w14:paraId="0757B9E2">
            <w:pPr>
              <w:keepNext w:val="0"/>
              <w:keepLines w:val="0"/>
              <w:pageBreakBefore w:val="0"/>
              <w:widowControl/>
              <w:kinsoku/>
              <w:wordWrap/>
              <w:overflowPunct/>
              <w:topLinePunct w:val="0"/>
              <w:autoSpaceDE/>
              <w:autoSpaceDN/>
              <w:bidi w:val="0"/>
              <w:adjustRightInd/>
              <w:snapToGrid/>
              <w:spacing w:line="220" w:lineRule="exact"/>
              <w:ind w:firstLine="400" w:firstLineChars="200"/>
              <w:jc w:val="left"/>
              <w:textAlignment w:val="auto"/>
              <w:rPr>
                <w:rFonts w:hint="eastAsia" w:ascii="仿宋" w:hAnsi="仿宋" w:eastAsia="仿宋" w:cs="仿宋"/>
                <w:b w:val="0"/>
                <w:bCs w:val="0"/>
                <w:kern w:val="0"/>
                <w:sz w:val="20"/>
                <w:szCs w:val="20"/>
                <w:lang w:val="en-US" w:eastAsia="zh-CN" w:bidi="ar-SA"/>
              </w:rPr>
            </w:pPr>
            <w:r>
              <w:rPr>
                <w:rFonts w:hint="eastAsia" w:ascii="仿宋" w:hAnsi="仿宋" w:eastAsia="仿宋" w:cs="仿宋"/>
                <w:b w:val="0"/>
                <w:bCs w:val="0"/>
                <w:kern w:val="0"/>
                <w:sz w:val="20"/>
                <w:szCs w:val="20"/>
                <w:lang w:val="en-US" w:eastAsia="zh-CN"/>
              </w:rPr>
              <w:t>政务一件事一次办对接</w:t>
            </w:r>
          </w:p>
        </w:tc>
        <w:tc>
          <w:tcPr>
            <w:tcW w:w="2038" w:type="dxa"/>
            <w:gridSpan w:val="2"/>
            <w:shd w:val="clear" w:color="auto" w:fill="auto"/>
            <w:noWrap w:val="0"/>
            <w:vAlign w:val="center"/>
          </w:tcPr>
          <w:p w14:paraId="3E724182">
            <w:pPr>
              <w:keepNext w:val="0"/>
              <w:keepLines w:val="0"/>
              <w:pageBreakBefore w:val="0"/>
              <w:widowControl w:val="0"/>
              <w:kinsoku/>
              <w:wordWrap/>
              <w:overflowPunct/>
              <w:topLinePunct w:val="0"/>
              <w:autoSpaceDE/>
              <w:autoSpaceDN/>
              <w:bidi w:val="0"/>
              <w:adjustRightInd/>
              <w:snapToGrid/>
              <w:spacing w:line="220" w:lineRule="exact"/>
              <w:ind w:firstLine="0" w:firstLineChars="0"/>
              <w:jc w:val="center"/>
              <w:textAlignment w:val="auto"/>
              <w:rPr>
                <w:rFonts w:hint="eastAsia" w:ascii="仿宋" w:hAnsi="仿宋" w:eastAsia="仿宋" w:cs="仿宋"/>
                <w:b w:val="0"/>
                <w:bCs w:val="0"/>
                <w:kern w:val="0"/>
                <w:sz w:val="20"/>
                <w:szCs w:val="20"/>
                <w:lang w:val="en-US" w:eastAsia="zh-CN" w:bidi="ar-SA"/>
              </w:rPr>
            </w:pPr>
            <w:r>
              <w:rPr>
                <w:rFonts w:hint="eastAsia" w:ascii="仿宋" w:hAnsi="仿宋" w:eastAsia="仿宋" w:cs="仿宋"/>
                <w:b w:val="0"/>
                <w:bCs w:val="0"/>
                <w:kern w:val="0"/>
                <w:sz w:val="20"/>
                <w:szCs w:val="20"/>
                <w:lang w:val="en-US" w:eastAsia="zh-CN"/>
              </w:rPr>
              <w:t>11.62</w:t>
            </w:r>
          </w:p>
        </w:tc>
        <w:tc>
          <w:tcPr>
            <w:tcW w:w="2240" w:type="dxa"/>
            <w:gridSpan w:val="2"/>
            <w:shd w:val="clear" w:color="auto" w:fill="auto"/>
            <w:noWrap w:val="0"/>
            <w:vAlign w:val="center"/>
          </w:tcPr>
          <w:p w14:paraId="1B0726C9">
            <w:pPr>
              <w:keepNext w:val="0"/>
              <w:keepLines w:val="0"/>
              <w:pageBreakBefore w:val="0"/>
              <w:widowControl w:val="0"/>
              <w:kinsoku/>
              <w:wordWrap/>
              <w:overflowPunct/>
              <w:topLinePunct w:val="0"/>
              <w:autoSpaceDE/>
              <w:autoSpaceDN/>
              <w:bidi w:val="0"/>
              <w:adjustRightInd/>
              <w:snapToGrid/>
              <w:spacing w:line="220" w:lineRule="exact"/>
              <w:ind w:firstLine="0" w:firstLineChars="0"/>
              <w:jc w:val="center"/>
              <w:textAlignment w:val="auto"/>
              <w:rPr>
                <w:rFonts w:hint="eastAsia" w:ascii="仿宋" w:hAnsi="仿宋" w:eastAsia="仿宋" w:cs="仿宋"/>
                <w:b w:val="0"/>
                <w:bCs w:val="0"/>
                <w:kern w:val="0"/>
                <w:sz w:val="20"/>
                <w:szCs w:val="20"/>
                <w:lang w:val="en-US" w:eastAsia="zh-CN" w:bidi="ar-SA"/>
              </w:rPr>
            </w:pPr>
            <w:r>
              <w:rPr>
                <w:rFonts w:hint="eastAsia" w:ascii="仿宋" w:hAnsi="仿宋" w:eastAsia="仿宋" w:cs="仿宋"/>
                <w:b w:val="0"/>
                <w:bCs w:val="0"/>
                <w:kern w:val="0"/>
                <w:sz w:val="20"/>
                <w:szCs w:val="20"/>
                <w:lang w:val="en-US" w:eastAsia="zh-CN"/>
              </w:rPr>
              <w:t>23.20</w:t>
            </w:r>
          </w:p>
        </w:tc>
        <w:tc>
          <w:tcPr>
            <w:tcW w:w="1832" w:type="dxa"/>
            <w:gridSpan w:val="2"/>
            <w:shd w:val="clear" w:color="auto" w:fill="auto"/>
            <w:noWrap w:val="0"/>
            <w:vAlign w:val="center"/>
          </w:tcPr>
          <w:p w14:paraId="6809C988">
            <w:pPr>
              <w:keepNext w:val="0"/>
              <w:keepLines w:val="0"/>
              <w:pageBreakBefore w:val="0"/>
              <w:widowControl w:val="0"/>
              <w:kinsoku/>
              <w:wordWrap/>
              <w:overflowPunct/>
              <w:topLinePunct w:val="0"/>
              <w:autoSpaceDE/>
              <w:autoSpaceDN/>
              <w:bidi w:val="0"/>
              <w:adjustRightInd/>
              <w:snapToGrid/>
              <w:spacing w:line="220" w:lineRule="exact"/>
              <w:ind w:firstLine="0" w:firstLineChars="0"/>
              <w:jc w:val="center"/>
              <w:textAlignment w:val="auto"/>
              <w:rPr>
                <w:rFonts w:hint="eastAsia" w:ascii="仿宋" w:hAnsi="仿宋" w:eastAsia="仿宋" w:cs="仿宋"/>
                <w:b w:val="0"/>
                <w:bCs w:val="0"/>
                <w:kern w:val="0"/>
                <w:sz w:val="20"/>
                <w:szCs w:val="20"/>
                <w:lang w:val="en-US" w:eastAsia="zh-CN" w:bidi="ar-SA"/>
              </w:rPr>
            </w:pPr>
          </w:p>
        </w:tc>
      </w:tr>
      <w:tr w14:paraId="3227B8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3354" w:type="dxa"/>
            <w:shd w:val="clear" w:color="auto" w:fill="auto"/>
            <w:noWrap w:val="0"/>
            <w:vAlign w:val="center"/>
          </w:tcPr>
          <w:p w14:paraId="581DF158">
            <w:pPr>
              <w:keepNext w:val="0"/>
              <w:keepLines w:val="0"/>
              <w:pageBreakBefore w:val="0"/>
              <w:widowControl/>
              <w:kinsoku/>
              <w:wordWrap/>
              <w:overflowPunct/>
              <w:topLinePunct w:val="0"/>
              <w:autoSpaceDE/>
              <w:autoSpaceDN/>
              <w:bidi w:val="0"/>
              <w:adjustRightInd/>
              <w:snapToGrid/>
              <w:spacing w:line="220" w:lineRule="exact"/>
              <w:ind w:firstLine="400" w:firstLineChars="200"/>
              <w:jc w:val="left"/>
              <w:textAlignment w:val="auto"/>
              <w:rPr>
                <w:rFonts w:hint="eastAsia" w:ascii="仿宋" w:hAnsi="仿宋" w:eastAsia="仿宋" w:cs="仿宋"/>
                <w:b w:val="0"/>
                <w:bCs w:val="0"/>
                <w:color w:val="auto"/>
                <w:kern w:val="0"/>
                <w:sz w:val="20"/>
                <w:szCs w:val="20"/>
                <w:lang w:val="en-US" w:eastAsia="zh-CN" w:bidi="ar-SA"/>
              </w:rPr>
            </w:pPr>
            <w:r>
              <w:rPr>
                <w:rFonts w:hint="eastAsia" w:ascii="仿宋" w:hAnsi="仿宋" w:eastAsia="仿宋" w:cs="仿宋"/>
                <w:b w:val="0"/>
                <w:bCs w:val="0"/>
                <w:color w:val="auto"/>
                <w:kern w:val="0"/>
                <w:sz w:val="20"/>
                <w:szCs w:val="20"/>
                <w:lang w:val="en-US" w:eastAsia="zh-CN"/>
              </w:rPr>
              <w:t>手机公积金APP及微信公众号渠道改造</w:t>
            </w:r>
          </w:p>
        </w:tc>
        <w:tc>
          <w:tcPr>
            <w:tcW w:w="2038" w:type="dxa"/>
            <w:gridSpan w:val="2"/>
            <w:shd w:val="clear" w:color="auto" w:fill="auto"/>
            <w:noWrap w:val="0"/>
            <w:vAlign w:val="center"/>
          </w:tcPr>
          <w:p w14:paraId="24CECB1C">
            <w:pPr>
              <w:keepNext w:val="0"/>
              <w:keepLines w:val="0"/>
              <w:pageBreakBefore w:val="0"/>
              <w:widowControl w:val="0"/>
              <w:kinsoku/>
              <w:wordWrap/>
              <w:overflowPunct/>
              <w:topLinePunct w:val="0"/>
              <w:autoSpaceDE/>
              <w:autoSpaceDN/>
              <w:bidi w:val="0"/>
              <w:adjustRightInd/>
              <w:snapToGrid/>
              <w:spacing w:line="220" w:lineRule="exact"/>
              <w:ind w:firstLine="0" w:firstLineChars="0"/>
              <w:jc w:val="center"/>
              <w:textAlignment w:val="auto"/>
              <w:rPr>
                <w:rFonts w:hint="eastAsia" w:ascii="仿宋" w:hAnsi="仿宋" w:eastAsia="仿宋" w:cs="仿宋"/>
                <w:b w:val="0"/>
                <w:bCs w:val="0"/>
                <w:color w:val="auto"/>
                <w:kern w:val="0"/>
                <w:sz w:val="20"/>
                <w:szCs w:val="20"/>
                <w:lang w:val="en-US" w:eastAsia="zh-CN" w:bidi="ar-SA"/>
              </w:rPr>
            </w:pPr>
            <w:r>
              <w:rPr>
                <w:rFonts w:hint="eastAsia" w:ascii="仿宋" w:hAnsi="仿宋" w:eastAsia="仿宋" w:cs="仿宋"/>
                <w:b w:val="0"/>
                <w:bCs w:val="0"/>
                <w:color w:val="auto"/>
                <w:kern w:val="0"/>
                <w:sz w:val="20"/>
                <w:szCs w:val="20"/>
                <w:lang w:val="en-US" w:eastAsia="zh-CN"/>
              </w:rPr>
              <w:t>49.25</w:t>
            </w:r>
          </w:p>
        </w:tc>
        <w:tc>
          <w:tcPr>
            <w:tcW w:w="2240" w:type="dxa"/>
            <w:gridSpan w:val="2"/>
            <w:shd w:val="clear" w:color="auto" w:fill="auto"/>
            <w:noWrap w:val="0"/>
            <w:vAlign w:val="center"/>
          </w:tcPr>
          <w:p w14:paraId="1190FB1B">
            <w:pPr>
              <w:keepNext w:val="0"/>
              <w:keepLines w:val="0"/>
              <w:pageBreakBefore w:val="0"/>
              <w:widowControl w:val="0"/>
              <w:kinsoku/>
              <w:wordWrap/>
              <w:overflowPunct/>
              <w:topLinePunct w:val="0"/>
              <w:autoSpaceDE/>
              <w:autoSpaceDN/>
              <w:bidi w:val="0"/>
              <w:adjustRightInd/>
              <w:snapToGrid/>
              <w:spacing w:line="220" w:lineRule="exact"/>
              <w:ind w:firstLine="0" w:firstLineChars="0"/>
              <w:jc w:val="center"/>
              <w:textAlignment w:val="auto"/>
              <w:rPr>
                <w:rFonts w:hint="eastAsia" w:ascii="仿宋" w:hAnsi="仿宋" w:eastAsia="仿宋" w:cs="仿宋"/>
                <w:b w:val="0"/>
                <w:bCs w:val="0"/>
                <w:color w:val="auto"/>
                <w:kern w:val="0"/>
                <w:sz w:val="20"/>
                <w:szCs w:val="20"/>
                <w:lang w:val="en-US" w:eastAsia="zh-CN" w:bidi="ar-SA"/>
              </w:rPr>
            </w:pPr>
            <w:r>
              <w:rPr>
                <w:rFonts w:hint="eastAsia" w:ascii="仿宋" w:hAnsi="仿宋" w:eastAsia="仿宋" w:cs="仿宋"/>
                <w:b w:val="0"/>
                <w:bCs w:val="0"/>
                <w:color w:val="auto"/>
                <w:kern w:val="0"/>
                <w:sz w:val="20"/>
                <w:szCs w:val="20"/>
                <w:lang w:val="en-US" w:eastAsia="zh-CN"/>
              </w:rPr>
              <w:t>26.03</w:t>
            </w:r>
          </w:p>
        </w:tc>
        <w:tc>
          <w:tcPr>
            <w:tcW w:w="1832" w:type="dxa"/>
            <w:gridSpan w:val="2"/>
            <w:shd w:val="clear" w:color="auto" w:fill="auto"/>
            <w:noWrap w:val="0"/>
            <w:vAlign w:val="center"/>
          </w:tcPr>
          <w:p w14:paraId="1F52E595">
            <w:pPr>
              <w:keepNext w:val="0"/>
              <w:keepLines w:val="0"/>
              <w:pageBreakBefore w:val="0"/>
              <w:widowControl w:val="0"/>
              <w:kinsoku/>
              <w:wordWrap/>
              <w:overflowPunct/>
              <w:topLinePunct w:val="0"/>
              <w:autoSpaceDE/>
              <w:autoSpaceDN/>
              <w:bidi w:val="0"/>
              <w:adjustRightInd/>
              <w:snapToGrid/>
              <w:spacing w:line="220" w:lineRule="exact"/>
              <w:ind w:firstLine="0" w:firstLineChars="0"/>
              <w:jc w:val="center"/>
              <w:textAlignment w:val="auto"/>
              <w:rPr>
                <w:rFonts w:hint="eastAsia" w:ascii="仿宋" w:hAnsi="仿宋" w:eastAsia="仿宋" w:cs="仿宋"/>
                <w:b w:val="0"/>
                <w:bCs w:val="0"/>
                <w:kern w:val="0"/>
                <w:sz w:val="20"/>
                <w:szCs w:val="20"/>
                <w:lang w:val="en-US" w:eastAsia="zh-CN" w:bidi="ar-SA"/>
              </w:rPr>
            </w:pPr>
          </w:p>
        </w:tc>
      </w:tr>
      <w:tr w14:paraId="6509DB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3354" w:type="dxa"/>
            <w:shd w:val="clear" w:color="auto" w:fill="auto"/>
            <w:noWrap w:val="0"/>
            <w:vAlign w:val="center"/>
          </w:tcPr>
          <w:p w14:paraId="6EABFBE5">
            <w:pPr>
              <w:keepNext w:val="0"/>
              <w:keepLines w:val="0"/>
              <w:pageBreakBefore w:val="0"/>
              <w:widowControl/>
              <w:kinsoku/>
              <w:wordWrap/>
              <w:overflowPunct/>
              <w:topLinePunct w:val="0"/>
              <w:autoSpaceDE/>
              <w:autoSpaceDN/>
              <w:bidi w:val="0"/>
              <w:adjustRightInd/>
              <w:snapToGrid/>
              <w:spacing w:line="220" w:lineRule="exact"/>
              <w:ind w:firstLine="400" w:firstLineChars="200"/>
              <w:jc w:val="left"/>
              <w:textAlignment w:val="auto"/>
              <w:rPr>
                <w:rFonts w:hint="eastAsia" w:ascii="仿宋" w:hAnsi="仿宋" w:eastAsia="仿宋" w:cs="仿宋"/>
                <w:b w:val="0"/>
                <w:bCs w:val="0"/>
                <w:color w:val="auto"/>
                <w:kern w:val="0"/>
                <w:sz w:val="20"/>
                <w:szCs w:val="20"/>
                <w:lang w:val="en-US" w:eastAsia="zh-CN" w:bidi="ar-SA"/>
              </w:rPr>
            </w:pPr>
            <w:r>
              <w:rPr>
                <w:rFonts w:hint="eastAsia" w:ascii="仿宋" w:hAnsi="仿宋" w:eastAsia="仿宋" w:cs="仿宋"/>
                <w:b w:val="0"/>
                <w:bCs w:val="0"/>
                <w:color w:val="auto"/>
                <w:kern w:val="0"/>
                <w:sz w:val="20"/>
                <w:szCs w:val="20"/>
                <w:lang w:val="en-US" w:eastAsia="zh-CN"/>
              </w:rPr>
              <w:t>国产化前端适配改造</w:t>
            </w:r>
          </w:p>
        </w:tc>
        <w:tc>
          <w:tcPr>
            <w:tcW w:w="2038" w:type="dxa"/>
            <w:gridSpan w:val="2"/>
            <w:shd w:val="clear" w:color="auto" w:fill="auto"/>
            <w:noWrap w:val="0"/>
            <w:vAlign w:val="center"/>
          </w:tcPr>
          <w:p w14:paraId="5ACA9659">
            <w:pPr>
              <w:keepNext w:val="0"/>
              <w:keepLines w:val="0"/>
              <w:pageBreakBefore w:val="0"/>
              <w:widowControl w:val="0"/>
              <w:kinsoku/>
              <w:wordWrap/>
              <w:overflowPunct/>
              <w:topLinePunct w:val="0"/>
              <w:autoSpaceDE/>
              <w:autoSpaceDN/>
              <w:bidi w:val="0"/>
              <w:adjustRightInd/>
              <w:snapToGrid/>
              <w:spacing w:line="220" w:lineRule="exact"/>
              <w:ind w:firstLine="0" w:firstLineChars="0"/>
              <w:jc w:val="center"/>
              <w:textAlignment w:val="auto"/>
              <w:rPr>
                <w:rFonts w:hint="eastAsia" w:ascii="仿宋" w:hAnsi="仿宋" w:eastAsia="仿宋" w:cs="仿宋"/>
                <w:b w:val="0"/>
                <w:bCs w:val="0"/>
                <w:color w:val="auto"/>
                <w:kern w:val="0"/>
                <w:sz w:val="20"/>
                <w:szCs w:val="20"/>
                <w:lang w:val="en-US" w:eastAsia="zh-CN" w:bidi="ar-SA"/>
              </w:rPr>
            </w:pPr>
            <w:r>
              <w:rPr>
                <w:rFonts w:hint="eastAsia" w:ascii="仿宋" w:hAnsi="仿宋" w:eastAsia="仿宋" w:cs="仿宋"/>
                <w:b w:val="0"/>
                <w:bCs w:val="0"/>
                <w:color w:val="auto"/>
                <w:kern w:val="0"/>
                <w:sz w:val="20"/>
                <w:szCs w:val="20"/>
                <w:lang w:val="en-US" w:eastAsia="zh-CN"/>
              </w:rPr>
              <w:t>33.71</w:t>
            </w:r>
          </w:p>
        </w:tc>
        <w:tc>
          <w:tcPr>
            <w:tcW w:w="2240" w:type="dxa"/>
            <w:gridSpan w:val="2"/>
            <w:shd w:val="clear" w:color="auto" w:fill="auto"/>
            <w:noWrap w:val="0"/>
            <w:vAlign w:val="center"/>
          </w:tcPr>
          <w:p w14:paraId="3380C411">
            <w:pPr>
              <w:keepNext w:val="0"/>
              <w:keepLines w:val="0"/>
              <w:pageBreakBefore w:val="0"/>
              <w:widowControl w:val="0"/>
              <w:kinsoku/>
              <w:wordWrap/>
              <w:overflowPunct/>
              <w:topLinePunct w:val="0"/>
              <w:autoSpaceDE/>
              <w:autoSpaceDN/>
              <w:bidi w:val="0"/>
              <w:adjustRightInd/>
              <w:snapToGrid/>
              <w:spacing w:line="220" w:lineRule="exact"/>
              <w:ind w:firstLine="0" w:firstLineChars="0"/>
              <w:jc w:val="center"/>
              <w:textAlignment w:val="auto"/>
              <w:rPr>
                <w:rFonts w:hint="eastAsia" w:ascii="仿宋" w:hAnsi="仿宋" w:eastAsia="仿宋" w:cs="仿宋"/>
                <w:b w:val="0"/>
                <w:bCs w:val="0"/>
                <w:color w:val="auto"/>
                <w:kern w:val="0"/>
                <w:sz w:val="20"/>
                <w:szCs w:val="20"/>
                <w:lang w:val="en-US" w:eastAsia="zh-CN" w:bidi="ar-SA"/>
              </w:rPr>
            </w:pPr>
            <w:r>
              <w:rPr>
                <w:rFonts w:hint="eastAsia" w:ascii="仿宋" w:hAnsi="仿宋" w:eastAsia="仿宋" w:cs="仿宋"/>
                <w:b w:val="0"/>
                <w:bCs w:val="0"/>
                <w:color w:val="auto"/>
                <w:kern w:val="0"/>
                <w:sz w:val="20"/>
                <w:szCs w:val="20"/>
                <w:lang w:val="en-US" w:eastAsia="zh-CN"/>
              </w:rPr>
              <w:t>26.03</w:t>
            </w:r>
          </w:p>
        </w:tc>
        <w:tc>
          <w:tcPr>
            <w:tcW w:w="1832" w:type="dxa"/>
            <w:gridSpan w:val="2"/>
            <w:shd w:val="clear" w:color="auto" w:fill="auto"/>
            <w:noWrap w:val="0"/>
            <w:vAlign w:val="center"/>
          </w:tcPr>
          <w:p w14:paraId="7B577EFE">
            <w:pPr>
              <w:keepNext w:val="0"/>
              <w:keepLines w:val="0"/>
              <w:pageBreakBefore w:val="0"/>
              <w:widowControl w:val="0"/>
              <w:kinsoku/>
              <w:wordWrap/>
              <w:overflowPunct/>
              <w:topLinePunct w:val="0"/>
              <w:autoSpaceDE/>
              <w:autoSpaceDN/>
              <w:bidi w:val="0"/>
              <w:adjustRightInd/>
              <w:snapToGrid/>
              <w:spacing w:line="220" w:lineRule="exact"/>
              <w:ind w:firstLine="0" w:firstLineChars="0"/>
              <w:jc w:val="center"/>
              <w:textAlignment w:val="auto"/>
              <w:rPr>
                <w:rFonts w:hint="eastAsia" w:ascii="仿宋" w:hAnsi="仿宋" w:eastAsia="仿宋" w:cs="仿宋"/>
                <w:b w:val="0"/>
                <w:bCs w:val="0"/>
                <w:kern w:val="0"/>
                <w:sz w:val="20"/>
                <w:szCs w:val="20"/>
                <w:lang w:val="en-US" w:eastAsia="zh-CN" w:bidi="ar-SA"/>
              </w:rPr>
            </w:pPr>
          </w:p>
        </w:tc>
      </w:tr>
      <w:tr w14:paraId="61A02B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3354" w:type="dxa"/>
            <w:shd w:val="clear" w:color="auto" w:fill="auto"/>
            <w:noWrap w:val="0"/>
            <w:vAlign w:val="center"/>
          </w:tcPr>
          <w:p w14:paraId="6767869C">
            <w:pPr>
              <w:keepNext w:val="0"/>
              <w:keepLines w:val="0"/>
              <w:pageBreakBefore w:val="0"/>
              <w:widowControl/>
              <w:kinsoku/>
              <w:wordWrap/>
              <w:overflowPunct/>
              <w:topLinePunct w:val="0"/>
              <w:autoSpaceDE/>
              <w:autoSpaceDN/>
              <w:bidi w:val="0"/>
              <w:adjustRightInd/>
              <w:snapToGrid/>
              <w:spacing w:line="220" w:lineRule="exact"/>
              <w:ind w:firstLine="400" w:firstLineChars="200"/>
              <w:jc w:val="left"/>
              <w:textAlignment w:val="auto"/>
              <w:rPr>
                <w:rFonts w:hint="eastAsia" w:ascii="仿宋" w:hAnsi="仿宋" w:eastAsia="仿宋" w:cs="仿宋"/>
                <w:b w:val="0"/>
                <w:bCs w:val="0"/>
                <w:color w:val="auto"/>
                <w:kern w:val="0"/>
                <w:sz w:val="20"/>
                <w:szCs w:val="20"/>
                <w:lang w:val="en-US" w:eastAsia="zh-CN" w:bidi="ar-SA"/>
              </w:rPr>
            </w:pPr>
            <w:r>
              <w:rPr>
                <w:rFonts w:hint="eastAsia" w:ascii="仿宋" w:hAnsi="仿宋" w:eastAsia="仿宋" w:cs="仿宋"/>
                <w:b w:val="0"/>
                <w:bCs w:val="0"/>
                <w:color w:val="auto"/>
                <w:kern w:val="0"/>
                <w:sz w:val="20"/>
                <w:szCs w:val="20"/>
                <w:lang w:val="en-US" w:eastAsia="zh-CN"/>
              </w:rPr>
              <w:t>文明创建、廉政文化、LED电子屏</w:t>
            </w:r>
          </w:p>
        </w:tc>
        <w:tc>
          <w:tcPr>
            <w:tcW w:w="2038" w:type="dxa"/>
            <w:gridSpan w:val="2"/>
            <w:shd w:val="clear" w:color="auto" w:fill="auto"/>
            <w:noWrap w:val="0"/>
            <w:vAlign w:val="center"/>
          </w:tcPr>
          <w:p w14:paraId="0051FEAD">
            <w:pPr>
              <w:keepNext w:val="0"/>
              <w:keepLines w:val="0"/>
              <w:pageBreakBefore w:val="0"/>
              <w:widowControl w:val="0"/>
              <w:kinsoku/>
              <w:wordWrap/>
              <w:overflowPunct/>
              <w:topLinePunct w:val="0"/>
              <w:autoSpaceDE/>
              <w:autoSpaceDN/>
              <w:bidi w:val="0"/>
              <w:adjustRightInd/>
              <w:snapToGrid/>
              <w:spacing w:line="220" w:lineRule="exact"/>
              <w:ind w:firstLine="0" w:firstLineChars="0"/>
              <w:jc w:val="center"/>
              <w:textAlignment w:val="auto"/>
              <w:rPr>
                <w:rFonts w:hint="eastAsia" w:ascii="仿宋" w:hAnsi="仿宋" w:eastAsia="仿宋" w:cs="仿宋"/>
                <w:b w:val="0"/>
                <w:bCs w:val="0"/>
                <w:color w:val="auto"/>
                <w:kern w:val="0"/>
                <w:sz w:val="20"/>
                <w:szCs w:val="20"/>
                <w:lang w:val="en-US" w:eastAsia="zh-CN" w:bidi="ar-SA"/>
              </w:rPr>
            </w:pPr>
            <w:r>
              <w:rPr>
                <w:rFonts w:hint="eastAsia" w:ascii="仿宋" w:hAnsi="仿宋" w:eastAsia="仿宋" w:cs="仿宋"/>
                <w:b w:val="0"/>
                <w:bCs w:val="0"/>
                <w:color w:val="auto"/>
                <w:kern w:val="0"/>
                <w:sz w:val="20"/>
                <w:szCs w:val="20"/>
                <w:lang w:val="en-US" w:eastAsia="zh-CN"/>
              </w:rPr>
              <w:t>66.69</w:t>
            </w:r>
          </w:p>
        </w:tc>
        <w:tc>
          <w:tcPr>
            <w:tcW w:w="2240" w:type="dxa"/>
            <w:gridSpan w:val="2"/>
            <w:shd w:val="clear" w:color="auto" w:fill="auto"/>
            <w:noWrap w:val="0"/>
            <w:vAlign w:val="center"/>
          </w:tcPr>
          <w:p w14:paraId="7640CC5F">
            <w:pPr>
              <w:keepNext w:val="0"/>
              <w:keepLines w:val="0"/>
              <w:pageBreakBefore w:val="0"/>
              <w:widowControl w:val="0"/>
              <w:kinsoku/>
              <w:wordWrap/>
              <w:overflowPunct/>
              <w:topLinePunct w:val="0"/>
              <w:autoSpaceDE/>
              <w:autoSpaceDN/>
              <w:bidi w:val="0"/>
              <w:adjustRightInd/>
              <w:snapToGrid/>
              <w:spacing w:line="220" w:lineRule="exact"/>
              <w:ind w:firstLine="0" w:firstLineChars="0"/>
              <w:jc w:val="center"/>
              <w:textAlignment w:val="auto"/>
              <w:rPr>
                <w:rFonts w:hint="eastAsia" w:ascii="仿宋" w:hAnsi="仿宋" w:eastAsia="仿宋" w:cs="仿宋"/>
                <w:b w:val="0"/>
                <w:bCs w:val="0"/>
                <w:color w:val="auto"/>
                <w:kern w:val="0"/>
                <w:sz w:val="20"/>
                <w:szCs w:val="20"/>
                <w:lang w:val="en-US" w:eastAsia="zh-CN" w:bidi="ar-SA"/>
              </w:rPr>
            </w:pPr>
            <w:r>
              <w:rPr>
                <w:rFonts w:hint="eastAsia" w:ascii="仿宋" w:hAnsi="仿宋" w:eastAsia="仿宋" w:cs="仿宋"/>
                <w:b w:val="0"/>
                <w:bCs w:val="0"/>
                <w:color w:val="auto"/>
                <w:kern w:val="0"/>
                <w:sz w:val="20"/>
                <w:szCs w:val="20"/>
                <w:lang w:val="en-US" w:eastAsia="zh-CN"/>
              </w:rPr>
              <w:t>28.5</w:t>
            </w:r>
          </w:p>
        </w:tc>
        <w:tc>
          <w:tcPr>
            <w:tcW w:w="1832" w:type="dxa"/>
            <w:gridSpan w:val="2"/>
            <w:shd w:val="clear" w:color="auto" w:fill="auto"/>
            <w:noWrap w:val="0"/>
            <w:vAlign w:val="center"/>
          </w:tcPr>
          <w:p w14:paraId="46D95AF4">
            <w:pPr>
              <w:keepNext w:val="0"/>
              <w:keepLines w:val="0"/>
              <w:pageBreakBefore w:val="0"/>
              <w:widowControl w:val="0"/>
              <w:kinsoku/>
              <w:wordWrap/>
              <w:overflowPunct/>
              <w:topLinePunct w:val="0"/>
              <w:autoSpaceDE/>
              <w:autoSpaceDN/>
              <w:bidi w:val="0"/>
              <w:adjustRightInd/>
              <w:snapToGrid/>
              <w:spacing w:line="220" w:lineRule="exact"/>
              <w:ind w:firstLine="0" w:firstLineChars="0"/>
              <w:jc w:val="center"/>
              <w:textAlignment w:val="auto"/>
              <w:rPr>
                <w:rFonts w:hint="eastAsia" w:ascii="仿宋" w:hAnsi="仿宋" w:eastAsia="仿宋" w:cs="仿宋"/>
                <w:b w:val="0"/>
                <w:bCs w:val="0"/>
                <w:kern w:val="0"/>
                <w:sz w:val="20"/>
                <w:szCs w:val="20"/>
                <w:lang w:val="en-US" w:eastAsia="zh-CN" w:bidi="ar-SA"/>
              </w:rPr>
            </w:pPr>
          </w:p>
        </w:tc>
      </w:tr>
      <w:tr w14:paraId="125C09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3354" w:type="dxa"/>
            <w:noWrap w:val="0"/>
            <w:vAlign w:val="center"/>
          </w:tcPr>
          <w:p w14:paraId="1CE4CD39">
            <w:pPr>
              <w:keepNext w:val="0"/>
              <w:keepLines w:val="0"/>
              <w:pageBreakBefore w:val="0"/>
              <w:widowControl/>
              <w:kinsoku/>
              <w:wordWrap/>
              <w:overflowPunct/>
              <w:topLinePunct w:val="0"/>
              <w:autoSpaceDE/>
              <w:autoSpaceDN/>
              <w:bidi w:val="0"/>
              <w:adjustRightInd/>
              <w:snapToGrid/>
              <w:spacing w:line="220" w:lineRule="exact"/>
              <w:ind w:firstLine="400" w:firstLineChars="200"/>
              <w:jc w:val="left"/>
              <w:textAlignment w:val="auto"/>
              <w:rPr>
                <w:rFonts w:hint="eastAsia" w:ascii="仿宋" w:hAnsi="仿宋" w:eastAsia="仿宋" w:cs="仿宋"/>
                <w:b w:val="0"/>
                <w:bCs w:val="0"/>
                <w:kern w:val="0"/>
                <w:sz w:val="20"/>
                <w:szCs w:val="20"/>
                <w:lang w:val="en-US" w:eastAsia="zh-CN"/>
              </w:rPr>
            </w:pPr>
            <w:r>
              <w:rPr>
                <w:rFonts w:hint="eastAsia" w:ascii="仿宋" w:hAnsi="仿宋" w:eastAsia="仿宋" w:cs="仿宋"/>
                <w:b w:val="0"/>
                <w:bCs w:val="0"/>
                <w:kern w:val="0"/>
                <w:sz w:val="20"/>
                <w:szCs w:val="20"/>
                <w:lang w:val="en-US" w:eastAsia="zh-CN"/>
              </w:rPr>
              <w:t>工作服制作</w:t>
            </w:r>
          </w:p>
        </w:tc>
        <w:tc>
          <w:tcPr>
            <w:tcW w:w="2038" w:type="dxa"/>
            <w:gridSpan w:val="2"/>
            <w:noWrap w:val="0"/>
            <w:vAlign w:val="center"/>
          </w:tcPr>
          <w:p w14:paraId="38DB6A6C">
            <w:pPr>
              <w:keepNext w:val="0"/>
              <w:keepLines w:val="0"/>
              <w:pageBreakBefore w:val="0"/>
              <w:widowControl w:val="0"/>
              <w:kinsoku/>
              <w:wordWrap/>
              <w:overflowPunct/>
              <w:topLinePunct w:val="0"/>
              <w:autoSpaceDE/>
              <w:autoSpaceDN/>
              <w:bidi w:val="0"/>
              <w:adjustRightInd/>
              <w:snapToGrid/>
              <w:spacing w:line="220" w:lineRule="exact"/>
              <w:ind w:firstLine="0" w:firstLineChars="0"/>
              <w:jc w:val="center"/>
              <w:textAlignment w:val="auto"/>
              <w:rPr>
                <w:rFonts w:hint="eastAsia" w:ascii="仿宋" w:hAnsi="仿宋" w:eastAsia="仿宋" w:cs="仿宋"/>
                <w:b w:val="0"/>
                <w:bCs w:val="0"/>
                <w:kern w:val="0"/>
                <w:sz w:val="20"/>
                <w:szCs w:val="20"/>
                <w:lang w:val="en-US" w:eastAsia="zh-CN"/>
              </w:rPr>
            </w:pPr>
          </w:p>
        </w:tc>
        <w:tc>
          <w:tcPr>
            <w:tcW w:w="2240" w:type="dxa"/>
            <w:gridSpan w:val="2"/>
            <w:noWrap w:val="0"/>
            <w:vAlign w:val="center"/>
          </w:tcPr>
          <w:p w14:paraId="648EA5A7">
            <w:pPr>
              <w:keepNext w:val="0"/>
              <w:keepLines w:val="0"/>
              <w:pageBreakBefore w:val="0"/>
              <w:widowControl w:val="0"/>
              <w:kinsoku/>
              <w:wordWrap/>
              <w:overflowPunct/>
              <w:topLinePunct w:val="0"/>
              <w:autoSpaceDE/>
              <w:autoSpaceDN/>
              <w:bidi w:val="0"/>
              <w:adjustRightInd/>
              <w:snapToGrid/>
              <w:spacing w:line="220" w:lineRule="exact"/>
              <w:ind w:firstLine="0" w:firstLineChars="0"/>
              <w:jc w:val="center"/>
              <w:textAlignment w:val="auto"/>
              <w:rPr>
                <w:rFonts w:hint="eastAsia" w:ascii="仿宋" w:hAnsi="仿宋" w:eastAsia="仿宋" w:cs="仿宋"/>
                <w:b w:val="0"/>
                <w:bCs w:val="0"/>
                <w:kern w:val="0"/>
                <w:sz w:val="20"/>
                <w:szCs w:val="20"/>
                <w:lang w:val="en-US" w:eastAsia="zh-CN"/>
              </w:rPr>
            </w:pPr>
            <w:r>
              <w:rPr>
                <w:rFonts w:hint="eastAsia" w:ascii="仿宋" w:hAnsi="仿宋" w:eastAsia="仿宋" w:cs="仿宋"/>
                <w:b w:val="0"/>
                <w:bCs w:val="0"/>
                <w:kern w:val="0"/>
                <w:sz w:val="20"/>
                <w:szCs w:val="20"/>
                <w:lang w:val="en-US" w:eastAsia="zh-CN"/>
              </w:rPr>
              <w:t>9</w:t>
            </w:r>
          </w:p>
        </w:tc>
        <w:tc>
          <w:tcPr>
            <w:tcW w:w="1832" w:type="dxa"/>
            <w:gridSpan w:val="2"/>
            <w:noWrap w:val="0"/>
            <w:vAlign w:val="center"/>
          </w:tcPr>
          <w:p w14:paraId="7D68AE86">
            <w:pPr>
              <w:keepNext w:val="0"/>
              <w:keepLines w:val="0"/>
              <w:pageBreakBefore w:val="0"/>
              <w:widowControl w:val="0"/>
              <w:kinsoku/>
              <w:wordWrap/>
              <w:overflowPunct/>
              <w:topLinePunct w:val="0"/>
              <w:autoSpaceDE/>
              <w:autoSpaceDN/>
              <w:bidi w:val="0"/>
              <w:adjustRightInd/>
              <w:snapToGrid/>
              <w:spacing w:line="220" w:lineRule="exact"/>
              <w:ind w:firstLine="0" w:firstLineChars="0"/>
              <w:jc w:val="center"/>
              <w:textAlignment w:val="auto"/>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1.5</w:t>
            </w:r>
          </w:p>
        </w:tc>
      </w:tr>
      <w:tr w14:paraId="2C46BB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3354" w:type="dxa"/>
            <w:noWrap w:val="0"/>
            <w:vAlign w:val="center"/>
          </w:tcPr>
          <w:p w14:paraId="2C867586">
            <w:pPr>
              <w:keepNext w:val="0"/>
              <w:keepLines w:val="0"/>
              <w:pageBreakBefore w:val="0"/>
              <w:widowControl/>
              <w:kinsoku/>
              <w:wordWrap/>
              <w:overflowPunct/>
              <w:topLinePunct w:val="0"/>
              <w:autoSpaceDE/>
              <w:autoSpaceDN/>
              <w:bidi w:val="0"/>
              <w:adjustRightInd/>
              <w:snapToGrid/>
              <w:spacing w:line="220" w:lineRule="exact"/>
              <w:ind w:firstLine="400" w:firstLineChars="200"/>
              <w:jc w:val="left"/>
              <w:textAlignment w:val="auto"/>
              <w:rPr>
                <w:rFonts w:hint="eastAsia" w:ascii="仿宋" w:hAnsi="仿宋" w:eastAsia="仿宋" w:cs="仿宋"/>
                <w:b w:val="0"/>
                <w:bCs w:val="0"/>
                <w:kern w:val="0"/>
                <w:sz w:val="20"/>
                <w:szCs w:val="20"/>
                <w:lang w:val="en-US" w:eastAsia="zh-CN"/>
              </w:rPr>
            </w:pPr>
            <w:r>
              <w:rPr>
                <w:rFonts w:hint="eastAsia" w:ascii="仿宋" w:hAnsi="仿宋" w:eastAsia="仿宋" w:cs="仿宋"/>
                <w:b w:val="0"/>
                <w:bCs w:val="0"/>
                <w:kern w:val="0"/>
                <w:sz w:val="20"/>
                <w:szCs w:val="20"/>
                <w:lang w:val="en-US" w:eastAsia="zh-CN"/>
              </w:rPr>
              <w:t>业务直接成本</w:t>
            </w:r>
          </w:p>
        </w:tc>
        <w:tc>
          <w:tcPr>
            <w:tcW w:w="2038" w:type="dxa"/>
            <w:gridSpan w:val="2"/>
            <w:noWrap w:val="0"/>
            <w:vAlign w:val="center"/>
          </w:tcPr>
          <w:p w14:paraId="2598431F">
            <w:pPr>
              <w:keepNext w:val="0"/>
              <w:keepLines w:val="0"/>
              <w:pageBreakBefore w:val="0"/>
              <w:widowControl w:val="0"/>
              <w:kinsoku/>
              <w:wordWrap/>
              <w:overflowPunct/>
              <w:topLinePunct w:val="0"/>
              <w:autoSpaceDE/>
              <w:autoSpaceDN/>
              <w:bidi w:val="0"/>
              <w:adjustRightInd/>
              <w:snapToGrid/>
              <w:spacing w:line="220" w:lineRule="exact"/>
              <w:ind w:firstLine="0" w:firstLineChars="0"/>
              <w:jc w:val="center"/>
              <w:textAlignment w:val="auto"/>
              <w:rPr>
                <w:rFonts w:hint="eastAsia" w:ascii="仿宋" w:hAnsi="仿宋" w:eastAsia="仿宋" w:cs="仿宋"/>
                <w:b w:val="0"/>
                <w:bCs w:val="0"/>
                <w:kern w:val="0"/>
                <w:sz w:val="20"/>
                <w:szCs w:val="20"/>
                <w:lang w:val="en-US" w:eastAsia="zh-CN"/>
              </w:rPr>
            </w:pPr>
          </w:p>
        </w:tc>
        <w:tc>
          <w:tcPr>
            <w:tcW w:w="2240" w:type="dxa"/>
            <w:gridSpan w:val="2"/>
            <w:noWrap w:val="0"/>
            <w:vAlign w:val="center"/>
          </w:tcPr>
          <w:p w14:paraId="78A95508">
            <w:pPr>
              <w:keepNext w:val="0"/>
              <w:keepLines w:val="0"/>
              <w:pageBreakBefore w:val="0"/>
              <w:widowControl w:val="0"/>
              <w:kinsoku/>
              <w:wordWrap/>
              <w:overflowPunct/>
              <w:topLinePunct w:val="0"/>
              <w:autoSpaceDE/>
              <w:autoSpaceDN/>
              <w:bidi w:val="0"/>
              <w:adjustRightInd/>
              <w:snapToGrid/>
              <w:spacing w:line="220" w:lineRule="exact"/>
              <w:ind w:firstLine="0" w:firstLineChars="0"/>
              <w:jc w:val="center"/>
              <w:textAlignment w:val="auto"/>
              <w:rPr>
                <w:rFonts w:hint="eastAsia" w:ascii="仿宋" w:hAnsi="仿宋" w:eastAsia="仿宋" w:cs="仿宋"/>
                <w:b w:val="0"/>
                <w:bCs w:val="0"/>
                <w:kern w:val="0"/>
                <w:sz w:val="20"/>
                <w:szCs w:val="20"/>
                <w:lang w:val="en-US" w:eastAsia="zh-CN"/>
              </w:rPr>
            </w:pPr>
            <w:r>
              <w:rPr>
                <w:rFonts w:hint="eastAsia" w:ascii="仿宋" w:hAnsi="仿宋" w:eastAsia="仿宋" w:cs="仿宋"/>
                <w:b w:val="0"/>
                <w:bCs w:val="0"/>
                <w:kern w:val="0"/>
                <w:sz w:val="20"/>
                <w:szCs w:val="20"/>
                <w:lang w:val="en-US" w:eastAsia="zh-CN"/>
              </w:rPr>
              <w:t>25</w:t>
            </w:r>
          </w:p>
        </w:tc>
        <w:tc>
          <w:tcPr>
            <w:tcW w:w="1832" w:type="dxa"/>
            <w:gridSpan w:val="2"/>
            <w:noWrap w:val="0"/>
            <w:vAlign w:val="center"/>
          </w:tcPr>
          <w:p w14:paraId="2FF16A52">
            <w:pPr>
              <w:keepNext w:val="0"/>
              <w:keepLines w:val="0"/>
              <w:pageBreakBefore w:val="0"/>
              <w:widowControl w:val="0"/>
              <w:kinsoku/>
              <w:wordWrap/>
              <w:overflowPunct/>
              <w:topLinePunct w:val="0"/>
              <w:autoSpaceDE/>
              <w:autoSpaceDN/>
              <w:bidi w:val="0"/>
              <w:adjustRightInd/>
              <w:snapToGrid/>
              <w:spacing w:line="220" w:lineRule="exact"/>
              <w:ind w:firstLine="0" w:firstLineChars="0"/>
              <w:jc w:val="center"/>
              <w:textAlignment w:val="auto"/>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25</w:t>
            </w:r>
          </w:p>
        </w:tc>
      </w:tr>
      <w:tr w14:paraId="2053FE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3354" w:type="dxa"/>
            <w:noWrap w:val="0"/>
            <w:vAlign w:val="center"/>
          </w:tcPr>
          <w:p w14:paraId="7679A6E4">
            <w:pPr>
              <w:keepNext w:val="0"/>
              <w:keepLines w:val="0"/>
              <w:pageBreakBefore w:val="0"/>
              <w:widowControl/>
              <w:kinsoku/>
              <w:wordWrap/>
              <w:overflowPunct/>
              <w:topLinePunct w:val="0"/>
              <w:autoSpaceDE/>
              <w:autoSpaceDN/>
              <w:bidi w:val="0"/>
              <w:adjustRightInd/>
              <w:snapToGrid/>
              <w:spacing w:line="220" w:lineRule="exact"/>
              <w:ind w:firstLine="400" w:firstLineChars="200"/>
              <w:jc w:val="left"/>
              <w:textAlignment w:val="auto"/>
              <w:rPr>
                <w:rFonts w:hint="eastAsia" w:ascii="仿宋" w:hAnsi="仿宋" w:eastAsia="仿宋" w:cs="仿宋"/>
                <w:b w:val="0"/>
                <w:bCs w:val="0"/>
                <w:kern w:val="0"/>
                <w:sz w:val="20"/>
                <w:szCs w:val="20"/>
                <w:lang w:val="en-US" w:eastAsia="zh-CN"/>
              </w:rPr>
            </w:pPr>
            <w:r>
              <w:rPr>
                <w:rFonts w:hint="eastAsia" w:ascii="仿宋" w:hAnsi="仿宋" w:eastAsia="仿宋" w:cs="仿宋"/>
                <w:b w:val="0"/>
                <w:bCs w:val="0"/>
                <w:kern w:val="0"/>
                <w:sz w:val="20"/>
                <w:szCs w:val="20"/>
                <w:lang w:val="en-US" w:eastAsia="zh-CN"/>
              </w:rPr>
              <w:t>住房公积金管理中心应急发展专项</w:t>
            </w:r>
          </w:p>
        </w:tc>
        <w:tc>
          <w:tcPr>
            <w:tcW w:w="2038" w:type="dxa"/>
            <w:gridSpan w:val="2"/>
            <w:noWrap w:val="0"/>
            <w:vAlign w:val="center"/>
          </w:tcPr>
          <w:p w14:paraId="2D143E23">
            <w:pPr>
              <w:keepNext w:val="0"/>
              <w:keepLines w:val="0"/>
              <w:pageBreakBefore w:val="0"/>
              <w:widowControl w:val="0"/>
              <w:kinsoku/>
              <w:wordWrap/>
              <w:overflowPunct/>
              <w:topLinePunct w:val="0"/>
              <w:autoSpaceDE/>
              <w:autoSpaceDN/>
              <w:bidi w:val="0"/>
              <w:adjustRightInd/>
              <w:snapToGrid/>
              <w:spacing w:line="220" w:lineRule="exact"/>
              <w:ind w:firstLine="0" w:firstLineChars="0"/>
              <w:jc w:val="center"/>
              <w:textAlignment w:val="auto"/>
              <w:rPr>
                <w:rFonts w:hint="eastAsia" w:ascii="仿宋" w:hAnsi="仿宋" w:eastAsia="仿宋" w:cs="仿宋"/>
                <w:b w:val="0"/>
                <w:bCs w:val="0"/>
                <w:kern w:val="0"/>
                <w:sz w:val="20"/>
                <w:szCs w:val="20"/>
                <w:lang w:val="en-US" w:eastAsia="zh-CN"/>
              </w:rPr>
            </w:pPr>
          </w:p>
        </w:tc>
        <w:tc>
          <w:tcPr>
            <w:tcW w:w="2240" w:type="dxa"/>
            <w:gridSpan w:val="2"/>
            <w:noWrap w:val="0"/>
            <w:vAlign w:val="center"/>
          </w:tcPr>
          <w:p w14:paraId="7EC20941">
            <w:pPr>
              <w:keepNext w:val="0"/>
              <w:keepLines w:val="0"/>
              <w:pageBreakBefore w:val="0"/>
              <w:widowControl w:val="0"/>
              <w:kinsoku/>
              <w:wordWrap/>
              <w:overflowPunct/>
              <w:topLinePunct w:val="0"/>
              <w:autoSpaceDE/>
              <w:autoSpaceDN/>
              <w:bidi w:val="0"/>
              <w:adjustRightInd/>
              <w:snapToGrid/>
              <w:spacing w:line="220" w:lineRule="exact"/>
              <w:ind w:firstLine="0" w:firstLineChars="0"/>
              <w:jc w:val="center"/>
              <w:textAlignment w:val="auto"/>
              <w:rPr>
                <w:rFonts w:hint="eastAsia" w:ascii="仿宋" w:hAnsi="仿宋" w:eastAsia="仿宋" w:cs="仿宋"/>
                <w:b w:val="0"/>
                <w:bCs w:val="0"/>
                <w:kern w:val="0"/>
                <w:sz w:val="20"/>
                <w:szCs w:val="20"/>
                <w:lang w:val="en-US" w:eastAsia="zh-CN"/>
              </w:rPr>
            </w:pPr>
            <w:r>
              <w:rPr>
                <w:rFonts w:hint="eastAsia" w:ascii="仿宋" w:hAnsi="仿宋" w:eastAsia="仿宋" w:cs="仿宋"/>
                <w:b w:val="0"/>
                <w:bCs w:val="0"/>
                <w:kern w:val="0"/>
                <w:sz w:val="20"/>
                <w:szCs w:val="20"/>
                <w:lang w:val="en-US" w:eastAsia="zh-CN"/>
              </w:rPr>
              <w:t>86.80</w:t>
            </w:r>
          </w:p>
        </w:tc>
        <w:tc>
          <w:tcPr>
            <w:tcW w:w="1832" w:type="dxa"/>
            <w:gridSpan w:val="2"/>
            <w:noWrap w:val="0"/>
            <w:vAlign w:val="center"/>
          </w:tcPr>
          <w:p w14:paraId="085BA20A">
            <w:pPr>
              <w:keepNext w:val="0"/>
              <w:keepLines w:val="0"/>
              <w:pageBreakBefore w:val="0"/>
              <w:widowControl w:val="0"/>
              <w:kinsoku/>
              <w:wordWrap/>
              <w:overflowPunct/>
              <w:topLinePunct w:val="0"/>
              <w:autoSpaceDE/>
              <w:autoSpaceDN/>
              <w:bidi w:val="0"/>
              <w:adjustRightInd/>
              <w:snapToGrid/>
              <w:spacing w:line="220" w:lineRule="exact"/>
              <w:ind w:firstLine="0" w:firstLineChars="0"/>
              <w:jc w:val="center"/>
              <w:textAlignment w:val="auto"/>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83.52</w:t>
            </w:r>
          </w:p>
        </w:tc>
      </w:tr>
      <w:tr w14:paraId="1E5811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3354" w:type="dxa"/>
            <w:noWrap w:val="0"/>
            <w:vAlign w:val="center"/>
          </w:tcPr>
          <w:p w14:paraId="4A725EF7">
            <w:pPr>
              <w:keepNext w:val="0"/>
              <w:keepLines w:val="0"/>
              <w:pageBreakBefore w:val="0"/>
              <w:widowControl/>
              <w:kinsoku/>
              <w:wordWrap/>
              <w:overflowPunct/>
              <w:topLinePunct w:val="0"/>
              <w:autoSpaceDE/>
              <w:autoSpaceDN/>
              <w:bidi w:val="0"/>
              <w:adjustRightInd/>
              <w:snapToGrid/>
              <w:spacing w:line="220" w:lineRule="exact"/>
              <w:ind w:firstLine="400" w:firstLineChars="200"/>
              <w:jc w:val="left"/>
              <w:textAlignment w:val="auto"/>
              <w:rPr>
                <w:rFonts w:hint="eastAsia" w:ascii="仿宋" w:hAnsi="仿宋" w:eastAsia="仿宋" w:cs="仿宋"/>
                <w:b w:val="0"/>
                <w:bCs w:val="0"/>
                <w:kern w:val="0"/>
                <w:sz w:val="20"/>
                <w:szCs w:val="20"/>
                <w:lang w:val="en-US" w:eastAsia="zh-CN"/>
              </w:rPr>
            </w:pPr>
            <w:r>
              <w:rPr>
                <w:rFonts w:hint="eastAsia" w:ascii="仿宋" w:hAnsi="仿宋" w:eastAsia="仿宋" w:cs="仿宋"/>
                <w:b w:val="0"/>
                <w:bCs w:val="0"/>
                <w:kern w:val="0"/>
                <w:sz w:val="20"/>
                <w:szCs w:val="20"/>
                <w:lang w:val="en-US" w:eastAsia="zh-CN"/>
              </w:rPr>
              <w:t>数据治理</w:t>
            </w:r>
          </w:p>
        </w:tc>
        <w:tc>
          <w:tcPr>
            <w:tcW w:w="2038" w:type="dxa"/>
            <w:gridSpan w:val="2"/>
            <w:noWrap w:val="0"/>
            <w:vAlign w:val="center"/>
          </w:tcPr>
          <w:p w14:paraId="5DE0E18A">
            <w:pPr>
              <w:keepNext w:val="0"/>
              <w:keepLines w:val="0"/>
              <w:pageBreakBefore w:val="0"/>
              <w:widowControl w:val="0"/>
              <w:kinsoku/>
              <w:wordWrap/>
              <w:overflowPunct/>
              <w:topLinePunct w:val="0"/>
              <w:autoSpaceDE/>
              <w:autoSpaceDN/>
              <w:bidi w:val="0"/>
              <w:adjustRightInd/>
              <w:snapToGrid/>
              <w:spacing w:line="220" w:lineRule="exact"/>
              <w:ind w:firstLine="0" w:firstLineChars="0"/>
              <w:jc w:val="center"/>
              <w:textAlignment w:val="auto"/>
              <w:rPr>
                <w:rFonts w:hint="eastAsia" w:ascii="仿宋" w:hAnsi="仿宋" w:eastAsia="仿宋" w:cs="仿宋"/>
                <w:b w:val="0"/>
                <w:bCs w:val="0"/>
                <w:kern w:val="0"/>
                <w:sz w:val="20"/>
                <w:szCs w:val="20"/>
                <w:lang w:val="en-US" w:eastAsia="zh-CN"/>
              </w:rPr>
            </w:pPr>
          </w:p>
        </w:tc>
        <w:tc>
          <w:tcPr>
            <w:tcW w:w="2240" w:type="dxa"/>
            <w:gridSpan w:val="2"/>
            <w:noWrap w:val="0"/>
            <w:vAlign w:val="center"/>
          </w:tcPr>
          <w:p w14:paraId="62B8C9FB">
            <w:pPr>
              <w:keepNext w:val="0"/>
              <w:keepLines w:val="0"/>
              <w:pageBreakBefore w:val="0"/>
              <w:widowControl w:val="0"/>
              <w:kinsoku/>
              <w:wordWrap/>
              <w:overflowPunct/>
              <w:topLinePunct w:val="0"/>
              <w:autoSpaceDE/>
              <w:autoSpaceDN/>
              <w:bidi w:val="0"/>
              <w:adjustRightInd/>
              <w:snapToGrid/>
              <w:spacing w:line="220" w:lineRule="exact"/>
              <w:ind w:firstLine="0" w:firstLineChars="0"/>
              <w:jc w:val="center"/>
              <w:textAlignment w:val="auto"/>
              <w:rPr>
                <w:rFonts w:hint="eastAsia" w:ascii="仿宋" w:hAnsi="仿宋" w:eastAsia="仿宋" w:cs="仿宋"/>
                <w:b w:val="0"/>
                <w:bCs w:val="0"/>
                <w:kern w:val="0"/>
                <w:sz w:val="20"/>
                <w:szCs w:val="20"/>
                <w:lang w:val="en-US" w:eastAsia="zh-CN"/>
              </w:rPr>
            </w:pPr>
            <w:r>
              <w:rPr>
                <w:rFonts w:hint="eastAsia" w:ascii="仿宋" w:hAnsi="仿宋" w:eastAsia="仿宋" w:cs="仿宋"/>
                <w:b w:val="0"/>
                <w:bCs w:val="0"/>
                <w:kern w:val="0"/>
                <w:sz w:val="20"/>
                <w:szCs w:val="20"/>
                <w:lang w:val="en-US" w:eastAsia="zh-CN"/>
              </w:rPr>
              <w:t>180.40</w:t>
            </w:r>
          </w:p>
        </w:tc>
        <w:tc>
          <w:tcPr>
            <w:tcW w:w="1832" w:type="dxa"/>
            <w:gridSpan w:val="2"/>
            <w:noWrap w:val="0"/>
            <w:vAlign w:val="center"/>
          </w:tcPr>
          <w:p w14:paraId="496E1A98">
            <w:pPr>
              <w:keepNext w:val="0"/>
              <w:keepLines w:val="0"/>
              <w:pageBreakBefore w:val="0"/>
              <w:widowControl w:val="0"/>
              <w:kinsoku/>
              <w:wordWrap/>
              <w:overflowPunct/>
              <w:topLinePunct w:val="0"/>
              <w:autoSpaceDE/>
              <w:autoSpaceDN/>
              <w:bidi w:val="0"/>
              <w:adjustRightInd/>
              <w:snapToGrid/>
              <w:spacing w:line="220" w:lineRule="exact"/>
              <w:ind w:firstLine="0" w:firstLineChars="0"/>
              <w:jc w:val="center"/>
              <w:textAlignment w:val="auto"/>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28.53</w:t>
            </w:r>
          </w:p>
        </w:tc>
      </w:tr>
      <w:tr w14:paraId="0B48F7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3354" w:type="dxa"/>
            <w:noWrap w:val="0"/>
            <w:vAlign w:val="center"/>
          </w:tcPr>
          <w:p w14:paraId="528FC889">
            <w:pPr>
              <w:keepNext w:val="0"/>
              <w:keepLines w:val="0"/>
              <w:pageBreakBefore w:val="0"/>
              <w:widowControl/>
              <w:kinsoku/>
              <w:wordWrap/>
              <w:overflowPunct/>
              <w:topLinePunct w:val="0"/>
              <w:autoSpaceDE/>
              <w:autoSpaceDN/>
              <w:bidi w:val="0"/>
              <w:adjustRightInd/>
              <w:snapToGrid/>
              <w:spacing w:line="220" w:lineRule="exact"/>
              <w:ind w:firstLine="400" w:firstLineChars="200"/>
              <w:jc w:val="left"/>
              <w:textAlignment w:val="auto"/>
              <w:rPr>
                <w:rFonts w:hint="eastAsia" w:ascii="仿宋" w:hAnsi="仿宋" w:eastAsia="仿宋" w:cs="仿宋"/>
                <w:b w:val="0"/>
                <w:bCs w:val="0"/>
                <w:kern w:val="0"/>
                <w:sz w:val="20"/>
                <w:szCs w:val="20"/>
                <w:lang w:val="en-US" w:eastAsia="zh-CN"/>
              </w:rPr>
            </w:pPr>
            <w:r>
              <w:rPr>
                <w:rFonts w:hint="eastAsia" w:ascii="仿宋" w:hAnsi="仿宋" w:eastAsia="仿宋" w:cs="仿宋"/>
                <w:b w:val="0"/>
                <w:bCs w:val="0"/>
                <w:kern w:val="0"/>
                <w:sz w:val="20"/>
                <w:szCs w:val="20"/>
                <w:lang w:val="en-US" w:eastAsia="zh-CN"/>
              </w:rPr>
              <w:t>AK替代专项</w:t>
            </w:r>
          </w:p>
        </w:tc>
        <w:tc>
          <w:tcPr>
            <w:tcW w:w="2038" w:type="dxa"/>
            <w:gridSpan w:val="2"/>
            <w:noWrap w:val="0"/>
            <w:vAlign w:val="center"/>
          </w:tcPr>
          <w:p w14:paraId="27F92E48">
            <w:pPr>
              <w:keepNext w:val="0"/>
              <w:keepLines w:val="0"/>
              <w:pageBreakBefore w:val="0"/>
              <w:widowControl w:val="0"/>
              <w:kinsoku/>
              <w:wordWrap/>
              <w:overflowPunct/>
              <w:topLinePunct w:val="0"/>
              <w:autoSpaceDE/>
              <w:autoSpaceDN/>
              <w:bidi w:val="0"/>
              <w:adjustRightInd/>
              <w:snapToGrid/>
              <w:spacing w:line="220" w:lineRule="exact"/>
              <w:ind w:firstLine="0" w:firstLineChars="0"/>
              <w:jc w:val="center"/>
              <w:textAlignment w:val="auto"/>
              <w:rPr>
                <w:rFonts w:hint="eastAsia" w:ascii="仿宋" w:hAnsi="仿宋" w:eastAsia="仿宋" w:cs="仿宋"/>
                <w:b w:val="0"/>
                <w:bCs w:val="0"/>
                <w:kern w:val="0"/>
                <w:sz w:val="20"/>
                <w:szCs w:val="20"/>
                <w:lang w:val="en-US" w:eastAsia="zh-CN"/>
              </w:rPr>
            </w:pPr>
          </w:p>
        </w:tc>
        <w:tc>
          <w:tcPr>
            <w:tcW w:w="2240" w:type="dxa"/>
            <w:gridSpan w:val="2"/>
            <w:noWrap w:val="0"/>
            <w:vAlign w:val="center"/>
          </w:tcPr>
          <w:p w14:paraId="3E6CDA8A">
            <w:pPr>
              <w:keepNext w:val="0"/>
              <w:keepLines w:val="0"/>
              <w:pageBreakBefore w:val="0"/>
              <w:widowControl w:val="0"/>
              <w:kinsoku/>
              <w:wordWrap/>
              <w:overflowPunct/>
              <w:topLinePunct w:val="0"/>
              <w:autoSpaceDE/>
              <w:autoSpaceDN/>
              <w:bidi w:val="0"/>
              <w:adjustRightInd/>
              <w:snapToGrid/>
              <w:spacing w:line="220" w:lineRule="exact"/>
              <w:ind w:firstLine="0" w:firstLineChars="0"/>
              <w:jc w:val="center"/>
              <w:textAlignment w:val="auto"/>
              <w:rPr>
                <w:rFonts w:hint="eastAsia" w:ascii="仿宋" w:hAnsi="仿宋" w:eastAsia="仿宋" w:cs="仿宋"/>
                <w:b w:val="0"/>
                <w:bCs w:val="0"/>
                <w:kern w:val="0"/>
                <w:sz w:val="20"/>
                <w:szCs w:val="20"/>
                <w:lang w:val="en-US" w:eastAsia="zh-CN"/>
              </w:rPr>
            </w:pPr>
            <w:r>
              <w:rPr>
                <w:rFonts w:hint="eastAsia" w:ascii="仿宋" w:hAnsi="仿宋" w:eastAsia="仿宋" w:cs="仿宋"/>
                <w:b w:val="0"/>
                <w:bCs w:val="0"/>
                <w:kern w:val="0"/>
                <w:sz w:val="20"/>
                <w:szCs w:val="20"/>
                <w:lang w:val="en-US" w:eastAsia="zh-CN"/>
              </w:rPr>
              <w:t>17.6</w:t>
            </w:r>
          </w:p>
        </w:tc>
        <w:tc>
          <w:tcPr>
            <w:tcW w:w="1832" w:type="dxa"/>
            <w:gridSpan w:val="2"/>
            <w:noWrap w:val="0"/>
            <w:vAlign w:val="center"/>
          </w:tcPr>
          <w:p w14:paraId="61361563">
            <w:pPr>
              <w:keepNext w:val="0"/>
              <w:keepLines w:val="0"/>
              <w:pageBreakBefore w:val="0"/>
              <w:widowControl w:val="0"/>
              <w:kinsoku/>
              <w:wordWrap/>
              <w:overflowPunct/>
              <w:topLinePunct w:val="0"/>
              <w:autoSpaceDE/>
              <w:autoSpaceDN/>
              <w:bidi w:val="0"/>
              <w:adjustRightInd/>
              <w:snapToGrid/>
              <w:spacing w:line="220" w:lineRule="exact"/>
              <w:ind w:firstLine="0" w:firstLineChars="0"/>
              <w:jc w:val="center"/>
              <w:textAlignment w:val="auto"/>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17.6</w:t>
            </w:r>
          </w:p>
        </w:tc>
      </w:tr>
      <w:tr w14:paraId="0210F2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3354" w:type="dxa"/>
            <w:noWrap w:val="0"/>
            <w:vAlign w:val="center"/>
          </w:tcPr>
          <w:p w14:paraId="1253359D">
            <w:pPr>
              <w:keepNext w:val="0"/>
              <w:keepLines w:val="0"/>
              <w:pageBreakBefore w:val="0"/>
              <w:widowControl/>
              <w:kinsoku/>
              <w:wordWrap/>
              <w:overflowPunct/>
              <w:topLinePunct w:val="0"/>
              <w:autoSpaceDE/>
              <w:autoSpaceDN/>
              <w:bidi w:val="0"/>
              <w:adjustRightInd/>
              <w:snapToGrid/>
              <w:spacing w:line="220" w:lineRule="exact"/>
              <w:ind w:firstLine="400" w:firstLineChars="200"/>
              <w:jc w:val="left"/>
              <w:textAlignment w:val="auto"/>
              <w:rPr>
                <w:rFonts w:hint="eastAsia" w:ascii="仿宋" w:hAnsi="仿宋" w:eastAsia="仿宋" w:cs="仿宋"/>
                <w:b w:val="0"/>
                <w:bCs w:val="0"/>
                <w:kern w:val="0"/>
                <w:sz w:val="20"/>
                <w:szCs w:val="20"/>
                <w:lang w:val="en-US" w:eastAsia="zh-CN"/>
              </w:rPr>
            </w:pPr>
            <w:r>
              <w:rPr>
                <w:rFonts w:hint="eastAsia" w:ascii="仿宋" w:hAnsi="仿宋" w:eastAsia="仿宋" w:cs="仿宋"/>
                <w:b w:val="0"/>
                <w:bCs w:val="0"/>
                <w:kern w:val="0"/>
                <w:sz w:val="20"/>
                <w:szCs w:val="20"/>
                <w:lang w:eastAsia="zh-CN"/>
              </w:rPr>
              <w:t>中方办公服务大厅遗留尾款</w:t>
            </w:r>
          </w:p>
        </w:tc>
        <w:tc>
          <w:tcPr>
            <w:tcW w:w="2038" w:type="dxa"/>
            <w:gridSpan w:val="2"/>
            <w:noWrap w:val="0"/>
            <w:vAlign w:val="center"/>
          </w:tcPr>
          <w:p w14:paraId="516195E3">
            <w:pPr>
              <w:keepNext w:val="0"/>
              <w:keepLines w:val="0"/>
              <w:pageBreakBefore w:val="0"/>
              <w:widowControl w:val="0"/>
              <w:kinsoku/>
              <w:wordWrap/>
              <w:overflowPunct/>
              <w:topLinePunct w:val="0"/>
              <w:autoSpaceDE/>
              <w:autoSpaceDN/>
              <w:bidi w:val="0"/>
              <w:adjustRightInd/>
              <w:snapToGrid/>
              <w:spacing w:line="220" w:lineRule="exact"/>
              <w:ind w:firstLine="0" w:firstLineChars="0"/>
              <w:jc w:val="center"/>
              <w:textAlignment w:val="auto"/>
              <w:rPr>
                <w:rFonts w:hint="eastAsia" w:ascii="仿宋" w:hAnsi="仿宋" w:eastAsia="仿宋" w:cs="仿宋"/>
                <w:b w:val="0"/>
                <w:bCs w:val="0"/>
                <w:kern w:val="0"/>
                <w:sz w:val="20"/>
                <w:szCs w:val="20"/>
                <w:lang w:val="en-US" w:eastAsia="zh-CN"/>
              </w:rPr>
            </w:pPr>
          </w:p>
        </w:tc>
        <w:tc>
          <w:tcPr>
            <w:tcW w:w="2240" w:type="dxa"/>
            <w:gridSpan w:val="2"/>
            <w:noWrap w:val="0"/>
            <w:vAlign w:val="center"/>
          </w:tcPr>
          <w:p w14:paraId="0447CDF5">
            <w:pPr>
              <w:keepNext w:val="0"/>
              <w:keepLines w:val="0"/>
              <w:pageBreakBefore w:val="0"/>
              <w:widowControl w:val="0"/>
              <w:kinsoku/>
              <w:wordWrap/>
              <w:overflowPunct/>
              <w:topLinePunct w:val="0"/>
              <w:autoSpaceDE/>
              <w:autoSpaceDN/>
              <w:bidi w:val="0"/>
              <w:adjustRightInd/>
              <w:snapToGrid/>
              <w:spacing w:line="220" w:lineRule="exact"/>
              <w:ind w:firstLine="0" w:firstLineChars="0"/>
              <w:jc w:val="center"/>
              <w:textAlignment w:val="auto"/>
              <w:rPr>
                <w:rFonts w:hint="eastAsia" w:ascii="仿宋" w:hAnsi="仿宋" w:eastAsia="仿宋" w:cs="仿宋"/>
                <w:b w:val="0"/>
                <w:bCs w:val="0"/>
                <w:kern w:val="0"/>
                <w:sz w:val="20"/>
                <w:szCs w:val="20"/>
                <w:lang w:val="en-US" w:eastAsia="zh-CN"/>
              </w:rPr>
            </w:pPr>
            <w:r>
              <w:rPr>
                <w:rFonts w:hint="eastAsia" w:ascii="仿宋" w:hAnsi="仿宋" w:eastAsia="仿宋" w:cs="仿宋"/>
                <w:b w:val="0"/>
                <w:bCs w:val="0"/>
                <w:kern w:val="0"/>
                <w:sz w:val="20"/>
                <w:szCs w:val="20"/>
                <w:lang w:val="en-US" w:eastAsia="zh-CN"/>
              </w:rPr>
              <w:t>6.14</w:t>
            </w:r>
          </w:p>
        </w:tc>
        <w:tc>
          <w:tcPr>
            <w:tcW w:w="1832" w:type="dxa"/>
            <w:gridSpan w:val="2"/>
            <w:noWrap w:val="0"/>
            <w:vAlign w:val="center"/>
          </w:tcPr>
          <w:p w14:paraId="398ACC3F">
            <w:pPr>
              <w:keepNext w:val="0"/>
              <w:keepLines w:val="0"/>
              <w:pageBreakBefore w:val="0"/>
              <w:widowControl w:val="0"/>
              <w:kinsoku/>
              <w:wordWrap/>
              <w:overflowPunct/>
              <w:topLinePunct w:val="0"/>
              <w:autoSpaceDE/>
              <w:autoSpaceDN/>
              <w:bidi w:val="0"/>
              <w:adjustRightInd/>
              <w:snapToGrid/>
              <w:spacing w:line="220" w:lineRule="exact"/>
              <w:ind w:firstLine="0" w:firstLineChars="0"/>
              <w:jc w:val="center"/>
              <w:textAlignment w:val="auto"/>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2.46</w:t>
            </w:r>
          </w:p>
        </w:tc>
      </w:tr>
      <w:tr w14:paraId="4E3C57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3354" w:type="dxa"/>
            <w:noWrap w:val="0"/>
            <w:vAlign w:val="center"/>
          </w:tcPr>
          <w:p w14:paraId="7B716C0C">
            <w:pPr>
              <w:keepNext w:val="0"/>
              <w:keepLines w:val="0"/>
              <w:pageBreakBefore w:val="0"/>
              <w:widowControl/>
              <w:kinsoku/>
              <w:wordWrap/>
              <w:overflowPunct/>
              <w:topLinePunct w:val="0"/>
              <w:autoSpaceDE/>
              <w:autoSpaceDN/>
              <w:bidi w:val="0"/>
              <w:adjustRightInd/>
              <w:snapToGrid/>
              <w:spacing w:line="220" w:lineRule="exact"/>
              <w:ind w:firstLine="400" w:firstLineChars="200"/>
              <w:jc w:val="left"/>
              <w:textAlignment w:val="auto"/>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不动产联网</w:t>
            </w:r>
          </w:p>
        </w:tc>
        <w:tc>
          <w:tcPr>
            <w:tcW w:w="2038" w:type="dxa"/>
            <w:gridSpan w:val="2"/>
            <w:noWrap w:val="0"/>
            <w:vAlign w:val="center"/>
          </w:tcPr>
          <w:p w14:paraId="38538031">
            <w:pPr>
              <w:keepNext w:val="0"/>
              <w:keepLines w:val="0"/>
              <w:pageBreakBefore w:val="0"/>
              <w:widowControl w:val="0"/>
              <w:kinsoku/>
              <w:wordWrap/>
              <w:overflowPunct/>
              <w:topLinePunct w:val="0"/>
              <w:autoSpaceDE/>
              <w:autoSpaceDN/>
              <w:bidi w:val="0"/>
              <w:adjustRightInd/>
              <w:snapToGrid/>
              <w:spacing w:line="220" w:lineRule="exact"/>
              <w:ind w:firstLine="0" w:firstLineChars="0"/>
              <w:jc w:val="center"/>
              <w:textAlignment w:val="auto"/>
              <w:rPr>
                <w:rFonts w:hint="default" w:ascii="仿宋" w:hAnsi="仿宋" w:eastAsia="仿宋" w:cs="仿宋"/>
                <w:b w:val="0"/>
                <w:bCs w:val="0"/>
                <w:kern w:val="0"/>
                <w:sz w:val="20"/>
                <w:szCs w:val="20"/>
                <w:lang w:val="en-US" w:eastAsia="zh-CN"/>
              </w:rPr>
            </w:pPr>
            <w:r>
              <w:rPr>
                <w:rFonts w:hint="eastAsia" w:ascii="仿宋" w:hAnsi="仿宋" w:eastAsia="仿宋" w:cs="仿宋"/>
                <w:b w:val="0"/>
                <w:bCs w:val="0"/>
                <w:kern w:val="0"/>
                <w:sz w:val="20"/>
                <w:szCs w:val="20"/>
                <w:lang w:val="en-US" w:eastAsia="zh-CN"/>
              </w:rPr>
              <w:t>9</w:t>
            </w:r>
          </w:p>
        </w:tc>
        <w:tc>
          <w:tcPr>
            <w:tcW w:w="2240" w:type="dxa"/>
            <w:gridSpan w:val="2"/>
            <w:noWrap w:val="0"/>
            <w:vAlign w:val="center"/>
          </w:tcPr>
          <w:p w14:paraId="135C0718">
            <w:pPr>
              <w:keepNext w:val="0"/>
              <w:keepLines w:val="0"/>
              <w:pageBreakBefore w:val="0"/>
              <w:widowControl w:val="0"/>
              <w:kinsoku/>
              <w:wordWrap/>
              <w:overflowPunct/>
              <w:topLinePunct w:val="0"/>
              <w:autoSpaceDE/>
              <w:autoSpaceDN/>
              <w:bidi w:val="0"/>
              <w:adjustRightInd/>
              <w:snapToGrid/>
              <w:spacing w:line="220" w:lineRule="exact"/>
              <w:ind w:firstLine="0" w:firstLineChars="0"/>
              <w:jc w:val="center"/>
              <w:textAlignment w:val="auto"/>
              <w:rPr>
                <w:rFonts w:hint="eastAsia" w:ascii="仿宋" w:hAnsi="仿宋" w:eastAsia="仿宋" w:cs="仿宋"/>
                <w:b w:val="0"/>
                <w:bCs w:val="0"/>
                <w:kern w:val="0"/>
                <w:sz w:val="20"/>
                <w:szCs w:val="20"/>
              </w:rPr>
            </w:pPr>
          </w:p>
        </w:tc>
        <w:tc>
          <w:tcPr>
            <w:tcW w:w="1832" w:type="dxa"/>
            <w:gridSpan w:val="2"/>
            <w:noWrap w:val="0"/>
            <w:vAlign w:val="center"/>
          </w:tcPr>
          <w:p w14:paraId="33FF9164">
            <w:pPr>
              <w:keepNext w:val="0"/>
              <w:keepLines w:val="0"/>
              <w:pageBreakBefore w:val="0"/>
              <w:widowControl w:val="0"/>
              <w:kinsoku/>
              <w:wordWrap/>
              <w:overflowPunct/>
              <w:topLinePunct w:val="0"/>
              <w:autoSpaceDE/>
              <w:autoSpaceDN/>
              <w:bidi w:val="0"/>
              <w:adjustRightInd/>
              <w:snapToGrid/>
              <w:spacing w:line="220" w:lineRule="exact"/>
              <w:ind w:firstLine="0" w:firstLineChars="0"/>
              <w:jc w:val="center"/>
              <w:textAlignment w:val="auto"/>
              <w:rPr>
                <w:rFonts w:hint="eastAsia" w:ascii="仿宋" w:hAnsi="仿宋" w:eastAsia="仿宋" w:cs="仿宋"/>
                <w:b w:val="0"/>
                <w:bCs w:val="0"/>
                <w:kern w:val="0"/>
                <w:sz w:val="20"/>
                <w:szCs w:val="20"/>
              </w:rPr>
            </w:pPr>
          </w:p>
        </w:tc>
      </w:tr>
      <w:tr w14:paraId="252088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3354" w:type="dxa"/>
            <w:noWrap w:val="0"/>
            <w:vAlign w:val="center"/>
          </w:tcPr>
          <w:p w14:paraId="570CB042">
            <w:pPr>
              <w:keepNext w:val="0"/>
              <w:keepLines w:val="0"/>
              <w:pageBreakBefore w:val="0"/>
              <w:widowControl/>
              <w:kinsoku/>
              <w:wordWrap/>
              <w:overflowPunct/>
              <w:topLinePunct w:val="0"/>
              <w:autoSpaceDE/>
              <w:autoSpaceDN/>
              <w:bidi w:val="0"/>
              <w:adjustRightInd/>
              <w:snapToGrid/>
              <w:spacing w:line="220" w:lineRule="exact"/>
              <w:ind w:firstLine="400" w:firstLineChars="200"/>
              <w:jc w:val="left"/>
              <w:textAlignment w:val="auto"/>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机房服务器、网络等维护服务</w:t>
            </w:r>
          </w:p>
        </w:tc>
        <w:tc>
          <w:tcPr>
            <w:tcW w:w="2038" w:type="dxa"/>
            <w:gridSpan w:val="2"/>
            <w:noWrap w:val="0"/>
            <w:vAlign w:val="center"/>
          </w:tcPr>
          <w:p w14:paraId="6B2971DD">
            <w:pPr>
              <w:keepNext w:val="0"/>
              <w:keepLines w:val="0"/>
              <w:pageBreakBefore w:val="0"/>
              <w:widowControl w:val="0"/>
              <w:kinsoku/>
              <w:wordWrap/>
              <w:overflowPunct/>
              <w:topLinePunct w:val="0"/>
              <w:autoSpaceDE/>
              <w:autoSpaceDN/>
              <w:bidi w:val="0"/>
              <w:adjustRightInd/>
              <w:snapToGrid/>
              <w:spacing w:line="220" w:lineRule="exact"/>
              <w:ind w:firstLine="0" w:firstLineChars="0"/>
              <w:jc w:val="center"/>
              <w:textAlignment w:val="auto"/>
              <w:rPr>
                <w:rFonts w:hint="default" w:ascii="仿宋" w:hAnsi="仿宋" w:eastAsia="仿宋" w:cs="仿宋"/>
                <w:b w:val="0"/>
                <w:bCs w:val="0"/>
                <w:kern w:val="0"/>
                <w:sz w:val="20"/>
                <w:szCs w:val="20"/>
                <w:lang w:val="en-US" w:eastAsia="zh-CN"/>
              </w:rPr>
            </w:pPr>
            <w:r>
              <w:rPr>
                <w:rFonts w:hint="eastAsia" w:ascii="仿宋" w:hAnsi="仿宋" w:eastAsia="仿宋" w:cs="仿宋"/>
                <w:b w:val="0"/>
                <w:bCs w:val="0"/>
                <w:kern w:val="0"/>
                <w:sz w:val="20"/>
                <w:szCs w:val="20"/>
                <w:lang w:val="en-US" w:eastAsia="zh-CN"/>
              </w:rPr>
              <w:t>17.1</w:t>
            </w:r>
          </w:p>
        </w:tc>
        <w:tc>
          <w:tcPr>
            <w:tcW w:w="2240" w:type="dxa"/>
            <w:gridSpan w:val="2"/>
            <w:noWrap w:val="0"/>
            <w:vAlign w:val="center"/>
          </w:tcPr>
          <w:p w14:paraId="6BC2122B">
            <w:pPr>
              <w:keepNext w:val="0"/>
              <w:keepLines w:val="0"/>
              <w:pageBreakBefore w:val="0"/>
              <w:widowControl w:val="0"/>
              <w:kinsoku/>
              <w:wordWrap/>
              <w:overflowPunct/>
              <w:topLinePunct w:val="0"/>
              <w:autoSpaceDE/>
              <w:autoSpaceDN/>
              <w:bidi w:val="0"/>
              <w:adjustRightInd/>
              <w:snapToGrid/>
              <w:spacing w:line="220" w:lineRule="exact"/>
              <w:ind w:firstLine="0" w:firstLineChars="0"/>
              <w:jc w:val="center"/>
              <w:textAlignment w:val="auto"/>
              <w:rPr>
                <w:rFonts w:hint="eastAsia" w:ascii="仿宋" w:hAnsi="仿宋" w:eastAsia="仿宋" w:cs="仿宋"/>
                <w:b w:val="0"/>
                <w:bCs w:val="0"/>
                <w:kern w:val="0"/>
                <w:sz w:val="20"/>
                <w:szCs w:val="20"/>
              </w:rPr>
            </w:pPr>
          </w:p>
        </w:tc>
        <w:tc>
          <w:tcPr>
            <w:tcW w:w="1832" w:type="dxa"/>
            <w:gridSpan w:val="2"/>
            <w:noWrap w:val="0"/>
            <w:vAlign w:val="center"/>
          </w:tcPr>
          <w:p w14:paraId="738EB26B">
            <w:pPr>
              <w:keepNext w:val="0"/>
              <w:keepLines w:val="0"/>
              <w:pageBreakBefore w:val="0"/>
              <w:widowControl w:val="0"/>
              <w:kinsoku/>
              <w:wordWrap/>
              <w:overflowPunct/>
              <w:topLinePunct w:val="0"/>
              <w:autoSpaceDE/>
              <w:autoSpaceDN/>
              <w:bidi w:val="0"/>
              <w:adjustRightInd/>
              <w:snapToGrid/>
              <w:spacing w:line="220" w:lineRule="exact"/>
              <w:ind w:firstLine="0" w:firstLineChars="0"/>
              <w:jc w:val="center"/>
              <w:textAlignment w:val="auto"/>
              <w:rPr>
                <w:rFonts w:hint="eastAsia" w:ascii="仿宋" w:hAnsi="仿宋" w:eastAsia="仿宋" w:cs="仿宋"/>
                <w:b w:val="0"/>
                <w:bCs w:val="0"/>
                <w:kern w:val="0"/>
                <w:sz w:val="20"/>
                <w:szCs w:val="20"/>
              </w:rPr>
            </w:pPr>
          </w:p>
        </w:tc>
      </w:tr>
      <w:tr w14:paraId="6292AD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3354" w:type="dxa"/>
            <w:noWrap w:val="0"/>
            <w:vAlign w:val="center"/>
          </w:tcPr>
          <w:p w14:paraId="777430C0">
            <w:pPr>
              <w:keepNext w:val="0"/>
              <w:keepLines w:val="0"/>
              <w:pageBreakBefore w:val="0"/>
              <w:widowControl/>
              <w:kinsoku/>
              <w:wordWrap/>
              <w:overflowPunct/>
              <w:topLinePunct w:val="0"/>
              <w:autoSpaceDE/>
              <w:autoSpaceDN/>
              <w:bidi w:val="0"/>
              <w:adjustRightInd/>
              <w:snapToGrid/>
              <w:spacing w:line="220" w:lineRule="exact"/>
              <w:ind w:firstLine="400" w:firstLineChars="200"/>
              <w:jc w:val="left"/>
              <w:textAlignment w:val="auto"/>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12329热线</w:t>
            </w:r>
          </w:p>
        </w:tc>
        <w:tc>
          <w:tcPr>
            <w:tcW w:w="2038" w:type="dxa"/>
            <w:gridSpan w:val="2"/>
            <w:noWrap w:val="0"/>
            <w:vAlign w:val="center"/>
          </w:tcPr>
          <w:p w14:paraId="4DF5542C">
            <w:pPr>
              <w:keepNext w:val="0"/>
              <w:keepLines w:val="0"/>
              <w:pageBreakBefore w:val="0"/>
              <w:widowControl w:val="0"/>
              <w:kinsoku/>
              <w:wordWrap/>
              <w:overflowPunct/>
              <w:topLinePunct w:val="0"/>
              <w:autoSpaceDE/>
              <w:autoSpaceDN/>
              <w:bidi w:val="0"/>
              <w:adjustRightInd/>
              <w:snapToGrid/>
              <w:spacing w:line="220" w:lineRule="exact"/>
              <w:ind w:firstLine="0" w:firstLineChars="0"/>
              <w:jc w:val="center"/>
              <w:textAlignment w:val="auto"/>
              <w:rPr>
                <w:rFonts w:hint="eastAsia" w:ascii="仿宋" w:hAnsi="仿宋" w:eastAsia="仿宋" w:cs="仿宋"/>
                <w:b w:val="0"/>
                <w:bCs w:val="0"/>
                <w:kern w:val="0"/>
                <w:sz w:val="20"/>
                <w:szCs w:val="20"/>
                <w:lang w:val="en-US" w:eastAsia="zh-CN"/>
              </w:rPr>
            </w:pPr>
            <w:r>
              <w:rPr>
                <w:rFonts w:hint="eastAsia" w:ascii="仿宋" w:hAnsi="仿宋" w:eastAsia="仿宋" w:cs="仿宋"/>
                <w:b w:val="0"/>
                <w:bCs w:val="0"/>
                <w:kern w:val="0"/>
                <w:sz w:val="20"/>
                <w:szCs w:val="20"/>
                <w:lang w:val="en-US" w:eastAsia="zh-CN"/>
              </w:rPr>
              <w:t>65.61</w:t>
            </w:r>
          </w:p>
        </w:tc>
        <w:tc>
          <w:tcPr>
            <w:tcW w:w="2240" w:type="dxa"/>
            <w:gridSpan w:val="2"/>
            <w:noWrap w:val="0"/>
            <w:vAlign w:val="center"/>
          </w:tcPr>
          <w:p w14:paraId="3F91BFCD">
            <w:pPr>
              <w:keepNext w:val="0"/>
              <w:keepLines w:val="0"/>
              <w:pageBreakBefore w:val="0"/>
              <w:widowControl w:val="0"/>
              <w:kinsoku/>
              <w:wordWrap/>
              <w:overflowPunct/>
              <w:topLinePunct w:val="0"/>
              <w:autoSpaceDE/>
              <w:autoSpaceDN/>
              <w:bidi w:val="0"/>
              <w:adjustRightInd/>
              <w:snapToGrid/>
              <w:spacing w:line="220" w:lineRule="exact"/>
              <w:ind w:firstLine="0" w:firstLineChars="0"/>
              <w:jc w:val="center"/>
              <w:textAlignment w:val="auto"/>
              <w:rPr>
                <w:rFonts w:hint="eastAsia" w:ascii="仿宋" w:hAnsi="仿宋" w:eastAsia="仿宋" w:cs="仿宋"/>
                <w:b w:val="0"/>
                <w:bCs w:val="0"/>
                <w:kern w:val="0"/>
                <w:sz w:val="20"/>
                <w:szCs w:val="20"/>
              </w:rPr>
            </w:pPr>
          </w:p>
        </w:tc>
        <w:tc>
          <w:tcPr>
            <w:tcW w:w="1832" w:type="dxa"/>
            <w:gridSpan w:val="2"/>
            <w:noWrap w:val="0"/>
            <w:vAlign w:val="center"/>
          </w:tcPr>
          <w:p w14:paraId="24285FD5">
            <w:pPr>
              <w:keepNext w:val="0"/>
              <w:keepLines w:val="0"/>
              <w:pageBreakBefore w:val="0"/>
              <w:widowControl w:val="0"/>
              <w:kinsoku/>
              <w:wordWrap/>
              <w:overflowPunct/>
              <w:topLinePunct w:val="0"/>
              <w:autoSpaceDE/>
              <w:autoSpaceDN/>
              <w:bidi w:val="0"/>
              <w:adjustRightInd/>
              <w:snapToGrid/>
              <w:spacing w:line="220" w:lineRule="exact"/>
              <w:ind w:firstLine="0" w:firstLineChars="0"/>
              <w:jc w:val="center"/>
              <w:textAlignment w:val="auto"/>
              <w:rPr>
                <w:rFonts w:hint="eastAsia" w:ascii="仿宋" w:hAnsi="仿宋" w:eastAsia="仿宋" w:cs="仿宋"/>
                <w:b w:val="0"/>
                <w:bCs w:val="0"/>
                <w:kern w:val="0"/>
                <w:sz w:val="20"/>
                <w:szCs w:val="20"/>
              </w:rPr>
            </w:pPr>
          </w:p>
        </w:tc>
      </w:tr>
      <w:tr w14:paraId="339FAC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3354" w:type="dxa"/>
            <w:noWrap w:val="0"/>
            <w:vAlign w:val="center"/>
          </w:tcPr>
          <w:p w14:paraId="4F85479D">
            <w:pPr>
              <w:keepNext w:val="0"/>
              <w:keepLines w:val="0"/>
              <w:pageBreakBefore w:val="0"/>
              <w:widowControl/>
              <w:kinsoku/>
              <w:wordWrap/>
              <w:overflowPunct/>
              <w:topLinePunct w:val="0"/>
              <w:autoSpaceDE/>
              <w:autoSpaceDN/>
              <w:bidi w:val="0"/>
              <w:adjustRightInd/>
              <w:snapToGrid/>
              <w:spacing w:line="220" w:lineRule="exact"/>
              <w:ind w:firstLine="400" w:firstLineChars="200"/>
              <w:jc w:val="left"/>
              <w:textAlignment w:val="auto"/>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三级等保测评费</w:t>
            </w:r>
          </w:p>
        </w:tc>
        <w:tc>
          <w:tcPr>
            <w:tcW w:w="2038" w:type="dxa"/>
            <w:gridSpan w:val="2"/>
            <w:noWrap w:val="0"/>
            <w:vAlign w:val="center"/>
          </w:tcPr>
          <w:p w14:paraId="58E565BA">
            <w:pPr>
              <w:keepNext w:val="0"/>
              <w:keepLines w:val="0"/>
              <w:pageBreakBefore w:val="0"/>
              <w:widowControl w:val="0"/>
              <w:kinsoku/>
              <w:wordWrap/>
              <w:overflowPunct/>
              <w:topLinePunct w:val="0"/>
              <w:autoSpaceDE/>
              <w:autoSpaceDN/>
              <w:bidi w:val="0"/>
              <w:adjustRightInd/>
              <w:snapToGrid/>
              <w:spacing w:line="220" w:lineRule="exact"/>
              <w:ind w:firstLine="0" w:firstLineChars="0"/>
              <w:jc w:val="center"/>
              <w:textAlignment w:val="auto"/>
              <w:rPr>
                <w:rFonts w:hint="default" w:ascii="仿宋" w:hAnsi="仿宋" w:eastAsia="仿宋" w:cs="仿宋"/>
                <w:b w:val="0"/>
                <w:bCs w:val="0"/>
                <w:kern w:val="0"/>
                <w:sz w:val="20"/>
                <w:szCs w:val="20"/>
                <w:lang w:val="en-US" w:eastAsia="zh-CN"/>
              </w:rPr>
            </w:pPr>
            <w:r>
              <w:rPr>
                <w:rFonts w:hint="eastAsia" w:ascii="仿宋" w:hAnsi="仿宋" w:eastAsia="仿宋" w:cs="仿宋"/>
                <w:b w:val="0"/>
                <w:bCs w:val="0"/>
                <w:kern w:val="0"/>
                <w:sz w:val="20"/>
                <w:szCs w:val="20"/>
                <w:lang w:val="en-US" w:eastAsia="zh-CN"/>
              </w:rPr>
              <w:t>3.85</w:t>
            </w:r>
          </w:p>
        </w:tc>
        <w:tc>
          <w:tcPr>
            <w:tcW w:w="2240" w:type="dxa"/>
            <w:gridSpan w:val="2"/>
            <w:noWrap w:val="0"/>
            <w:vAlign w:val="center"/>
          </w:tcPr>
          <w:p w14:paraId="662F77B7">
            <w:pPr>
              <w:keepNext w:val="0"/>
              <w:keepLines w:val="0"/>
              <w:pageBreakBefore w:val="0"/>
              <w:widowControl w:val="0"/>
              <w:kinsoku/>
              <w:wordWrap/>
              <w:overflowPunct/>
              <w:topLinePunct w:val="0"/>
              <w:autoSpaceDE/>
              <w:autoSpaceDN/>
              <w:bidi w:val="0"/>
              <w:adjustRightInd/>
              <w:snapToGrid/>
              <w:spacing w:line="220" w:lineRule="exact"/>
              <w:ind w:firstLine="0" w:firstLineChars="0"/>
              <w:jc w:val="center"/>
              <w:textAlignment w:val="auto"/>
              <w:rPr>
                <w:rFonts w:hint="eastAsia" w:ascii="仿宋" w:hAnsi="仿宋" w:eastAsia="仿宋" w:cs="仿宋"/>
                <w:b w:val="0"/>
                <w:bCs w:val="0"/>
                <w:kern w:val="0"/>
                <w:sz w:val="20"/>
                <w:szCs w:val="20"/>
              </w:rPr>
            </w:pPr>
          </w:p>
        </w:tc>
        <w:tc>
          <w:tcPr>
            <w:tcW w:w="1832" w:type="dxa"/>
            <w:gridSpan w:val="2"/>
            <w:noWrap w:val="0"/>
            <w:vAlign w:val="center"/>
          </w:tcPr>
          <w:p w14:paraId="1B6C3A90">
            <w:pPr>
              <w:keepNext w:val="0"/>
              <w:keepLines w:val="0"/>
              <w:pageBreakBefore w:val="0"/>
              <w:widowControl w:val="0"/>
              <w:kinsoku/>
              <w:wordWrap/>
              <w:overflowPunct/>
              <w:topLinePunct w:val="0"/>
              <w:autoSpaceDE/>
              <w:autoSpaceDN/>
              <w:bidi w:val="0"/>
              <w:adjustRightInd/>
              <w:snapToGrid/>
              <w:spacing w:line="220" w:lineRule="exact"/>
              <w:ind w:firstLine="0" w:firstLineChars="0"/>
              <w:jc w:val="center"/>
              <w:textAlignment w:val="auto"/>
              <w:rPr>
                <w:rFonts w:hint="eastAsia" w:ascii="仿宋" w:hAnsi="仿宋" w:eastAsia="仿宋" w:cs="仿宋"/>
                <w:b w:val="0"/>
                <w:bCs w:val="0"/>
                <w:kern w:val="0"/>
                <w:sz w:val="20"/>
                <w:szCs w:val="20"/>
              </w:rPr>
            </w:pPr>
          </w:p>
        </w:tc>
      </w:tr>
      <w:tr w14:paraId="3CBDCB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3354" w:type="dxa"/>
            <w:noWrap w:val="0"/>
            <w:vAlign w:val="center"/>
          </w:tcPr>
          <w:p w14:paraId="7AB3277F">
            <w:pPr>
              <w:keepNext w:val="0"/>
              <w:keepLines w:val="0"/>
              <w:pageBreakBefore w:val="0"/>
              <w:widowControl/>
              <w:kinsoku/>
              <w:wordWrap/>
              <w:overflowPunct/>
              <w:topLinePunct w:val="0"/>
              <w:autoSpaceDE/>
              <w:autoSpaceDN/>
              <w:bidi w:val="0"/>
              <w:adjustRightInd/>
              <w:snapToGrid/>
              <w:spacing w:line="220" w:lineRule="exact"/>
              <w:ind w:firstLine="400" w:firstLineChars="200"/>
              <w:jc w:val="left"/>
              <w:textAlignment w:val="auto"/>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各管理部服务大厅门头翻修工程</w:t>
            </w:r>
          </w:p>
        </w:tc>
        <w:tc>
          <w:tcPr>
            <w:tcW w:w="2038" w:type="dxa"/>
            <w:gridSpan w:val="2"/>
            <w:noWrap w:val="0"/>
            <w:vAlign w:val="center"/>
          </w:tcPr>
          <w:p w14:paraId="7E5D85FE">
            <w:pPr>
              <w:keepNext w:val="0"/>
              <w:keepLines w:val="0"/>
              <w:pageBreakBefore w:val="0"/>
              <w:widowControl w:val="0"/>
              <w:kinsoku/>
              <w:wordWrap/>
              <w:overflowPunct/>
              <w:topLinePunct w:val="0"/>
              <w:autoSpaceDE/>
              <w:autoSpaceDN/>
              <w:bidi w:val="0"/>
              <w:adjustRightInd/>
              <w:snapToGrid/>
              <w:spacing w:line="220" w:lineRule="exact"/>
              <w:ind w:firstLine="0" w:firstLineChars="0"/>
              <w:jc w:val="center"/>
              <w:textAlignment w:val="auto"/>
              <w:rPr>
                <w:rFonts w:hint="default" w:ascii="仿宋" w:hAnsi="仿宋" w:eastAsia="仿宋" w:cs="仿宋"/>
                <w:b w:val="0"/>
                <w:bCs w:val="0"/>
                <w:kern w:val="0"/>
                <w:sz w:val="20"/>
                <w:szCs w:val="20"/>
                <w:lang w:val="en-US" w:eastAsia="zh-CN"/>
              </w:rPr>
            </w:pPr>
            <w:r>
              <w:rPr>
                <w:rFonts w:hint="eastAsia" w:ascii="仿宋" w:hAnsi="仿宋" w:eastAsia="仿宋" w:cs="仿宋"/>
                <w:b w:val="0"/>
                <w:bCs w:val="0"/>
                <w:kern w:val="0"/>
                <w:sz w:val="20"/>
                <w:szCs w:val="20"/>
                <w:lang w:val="en-US" w:eastAsia="zh-CN"/>
              </w:rPr>
              <w:t>17.9</w:t>
            </w:r>
          </w:p>
        </w:tc>
        <w:tc>
          <w:tcPr>
            <w:tcW w:w="2240" w:type="dxa"/>
            <w:gridSpan w:val="2"/>
            <w:noWrap w:val="0"/>
            <w:vAlign w:val="center"/>
          </w:tcPr>
          <w:p w14:paraId="47C0DAC4">
            <w:pPr>
              <w:keepNext w:val="0"/>
              <w:keepLines w:val="0"/>
              <w:pageBreakBefore w:val="0"/>
              <w:widowControl w:val="0"/>
              <w:kinsoku/>
              <w:wordWrap/>
              <w:overflowPunct/>
              <w:topLinePunct w:val="0"/>
              <w:autoSpaceDE/>
              <w:autoSpaceDN/>
              <w:bidi w:val="0"/>
              <w:adjustRightInd/>
              <w:snapToGrid/>
              <w:spacing w:line="220" w:lineRule="exact"/>
              <w:ind w:firstLine="0" w:firstLineChars="0"/>
              <w:jc w:val="center"/>
              <w:textAlignment w:val="auto"/>
              <w:rPr>
                <w:rFonts w:hint="eastAsia" w:ascii="仿宋" w:hAnsi="仿宋" w:eastAsia="仿宋" w:cs="仿宋"/>
                <w:b w:val="0"/>
                <w:bCs w:val="0"/>
                <w:kern w:val="0"/>
                <w:sz w:val="20"/>
                <w:szCs w:val="20"/>
              </w:rPr>
            </w:pPr>
          </w:p>
        </w:tc>
        <w:tc>
          <w:tcPr>
            <w:tcW w:w="1832" w:type="dxa"/>
            <w:gridSpan w:val="2"/>
            <w:noWrap w:val="0"/>
            <w:vAlign w:val="center"/>
          </w:tcPr>
          <w:p w14:paraId="455112D9">
            <w:pPr>
              <w:keepNext w:val="0"/>
              <w:keepLines w:val="0"/>
              <w:pageBreakBefore w:val="0"/>
              <w:widowControl w:val="0"/>
              <w:kinsoku/>
              <w:wordWrap/>
              <w:overflowPunct/>
              <w:topLinePunct w:val="0"/>
              <w:autoSpaceDE/>
              <w:autoSpaceDN/>
              <w:bidi w:val="0"/>
              <w:adjustRightInd/>
              <w:snapToGrid/>
              <w:spacing w:line="220" w:lineRule="exact"/>
              <w:ind w:firstLine="0" w:firstLineChars="0"/>
              <w:jc w:val="center"/>
              <w:textAlignment w:val="auto"/>
              <w:rPr>
                <w:rFonts w:hint="eastAsia" w:ascii="仿宋" w:hAnsi="仿宋" w:eastAsia="仿宋" w:cs="仿宋"/>
                <w:b w:val="0"/>
                <w:bCs w:val="0"/>
                <w:kern w:val="0"/>
                <w:sz w:val="20"/>
                <w:szCs w:val="20"/>
              </w:rPr>
            </w:pPr>
          </w:p>
        </w:tc>
      </w:tr>
      <w:tr w14:paraId="5AFE22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3354" w:type="dxa"/>
            <w:noWrap w:val="0"/>
            <w:vAlign w:val="center"/>
          </w:tcPr>
          <w:p w14:paraId="552B2133">
            <w:pPr>
              <w:keepNext w:val="0"/>
              <w:keepLines w:val="0"/>
              <w:pageBreakBefore w:val="0"/>
              <w:widowControl/>
              <w:kinsoku/>
              <w:wordWrap/>
              <w:overflowPunct/>
              <w:topLinePunct w:val="0"/>
              <w:autoSpaceDE/>
              <w:autoSpaceDN/>
              <w:bidi w:val="0"/>
              <w:adjustRightInd/>
              <w:snapToGrid/>
              <w:spacing w:line="220" w:lineRule="exact"/>
              <w:ind w:firstLine="400" w:firstLineChars="200"/>
              <w:jc w:val="left"/>
              <w:textAlignment w:val="auto"/>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电子化检测工具维护费</w:t>
            </w:r>
          </w:p>
        </w:tc>
        <w:tc>
          <w:tcPr>
            <w:tcW w:w="2038" w:type="dxa"/>
            <w:gridSpan w:val="2"/>
            <w:noWrap w:val="0"/>
            <w:vAlign w:val="center"/>
          </w:tcPr>
          <w:p w14:paraId="1AFF661A">
            <w:pPr>
              <w:keepNext w:val="0"/>
              <w:keepLines w:val="0"/>
              <w:pageBreakBefore w:val="0"/>
              <w:widowControl w:val="0"/>
              <w:kinsoku/>
              <w:wordWrap/>
              <w:overflowPunct/>
              <w:topLinePunct w:val="0"/>
              <w:autoSpaceDE/>
              <w:autoSpaceDN/>
              <w:bidi w:val="0"/>
              <w:adjustRightInd/>
              <w:snapToGrid/>
              <w:spacing w:line="220" w:lineRule="exact"/>
              <w:ind w:firstLine="0" w:firstLineChars="0"/>
              <w:jc w:val="center"/>
              <w:textAlignment w:val="auto"/>
              <w:rPr>
                <w:rFonts w:hint="default" w:ascii="仿宋" w:hAnsi="仿宋" w:eastAsia="仿宋" w:cs="仿宋"/>
                <w:b w:val="0"/>
                <w:bCs w:val="0"/>
                <w:kern w:val="0"/>
                <w:sz w:val="20"/>
                <w:szCs w:val="20"/>
                <w:lang w:val="en-US" w:eastAsia="zh-CN"/>
              </w:rPr>
            </w:pPr>
            <w:r>
              <w:rPr>
                <w:rFonts w:hint="eastAsia" w:ascii="仿宋" w:hAnsi="仿宋" w:eastAsia="仿宋" w:cs="仿宋"/>
                <w:b w:val="0"/>
                <w:bCs w:val="0"/>
                <w:kern w:val="0"/>
                <w:sz w:val="20"/>
                <w:szCs w:val="20"/>
                <w:lang w:val="en-US" w:eastAsia="zh-CN"/>
              </w:rPr>
              <w:t>4.6</w:t>
            </w:r>
          </w:p>
        </w:tc>
        <w:tc>
          <w:tcPr>
            <w:tcW w:w="2240" w:type="dxa"/>
            <w:gridSpan w:val="2"/>
            <w:noWrap w:val="0"/>
            <w:vAlign w:val="center"/>
          </w:tcPr>
          <w:p w14:paraId="4FBBAA7C">
            <w:pPr>
              <w:keepNext w:val="0"/>
              <w:keepLines w:val="0"/>
              <w:pageBreakBefore w:val="0"/>
              <w:widowControl w:val="0"/>
              <w:kinsoku/>
              <w:wordWrap/>
              <w:overflowPunct/>
              <w:topLinePunct w:val="0"/>
              <w:autoSpaceDE/>
              <w:autoSpaceDN/>
              <w:bidi w:val="0"/>
              <w:adjustRightInd/>
              <w:snapToGrid/>
              <w:spacing w:line="220" w:lineRule="exact"/>
              <w:ind w:firstLine="0" w:firstLineChars="0"/>
              <w:jc w:val="center"/>
              <w:textAlignment w:val="auto"/>
              <w:rPr>
                <w:rFonts w:hint="eastAsia" w:ascii="仿宋" w:hAnsi="仿宋" w:eastAsia="仿宋" w:cs="仿宋"/>
                <w:b w:val="0"/>
                <w:bCs w:val="0"/>
                <w:kern w:val="0"/>
                <w:sz w:val="20"/>
                <w:szCs w:val="20"/>
              </w:rPr>
            </w:pPr>
          </w:p>
        </w:tc>
        <w:tc>
          <w:tcPr>
            <w:tcW w:w="1832" w:type="dxa"/>
            <w:gridSpan w:val="2"/>
            <w:noWrap w:val="0"/>
            <w:vAlign w:val="center"/>
          </w:tcPr>
          <w:p w14:paraId="251A9752">
            <w:pPr>
              <w:keepNext w:val="0"/>
              <w:keepLines w:val="0"/>
              <w:pageBreakBefore w:val="0"/>
              <w:widowControl w:val="0"/>
              <w:kinsoku/>
              <w:wordWrap/>
              <w:overflowPunct/>
              <w:topLinePunct w:val="0"/>
              <w:autoSpaceDE/>
              <w:autoSpaceDN/>
              <w:bidi w:val="0"/>
              <w:adjustRightInd/>
              <w:snapToGrid/>
              <w:spacing w:line="220" w:lineRule="exact"/>
              <w:ind w:firstLine="0" w:firstLineChars="0"/>
              <w:jc w:val="center"/>
              <w:textAlignment w:val="auto"/>
              <w:rPr>
                <w:rFonts w:hint="eastAsia" w:ascii="仿宋" w:hAnsi="仿宋" w:eastAsia="仿宋" w:cs="仿宋"/>
                <w:b w:val="0"/>
                <w:bCs w:val="0"/>
                <w:kern w:val="0"/>
                <w:sz w:val="20"/>
                <w:szCs w:val="20"/>
              </w:rPr>
            </w:pPr>
          </w:p>
        </w:tc>
      </w:tr>
      <w:tr w14:paraId="660F94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3354" w:type="dxa"/>
            <w:noWrap w:val="0"/>
            <w:vAlign w:val="center"/>
          </w:tcPr>
          <w:p w14:paraId="2DB12FC9">
            <w:pPr>
              <w:keepNext w:val="0"/>
              <w:keepLines w:val="0"/>
              <w:pageBreakBefore w:val="0"/>
              <w:widowControl/>
              <w:kinsoku/>
              <w:wordWrap/>
              <w:overflowPunct/>
              <w:topLinePunct w:val="0"/>
              <w:autoSpaceDE/>
              <w:autoSpaceDN/>
              <w:bidi w:val="0"/>
              <w:adjustRightInd/>
              <w:snapToGrid/>
              <w:spacing w:line="220" w:lineRule="exact"/>
              <w:ind w:firstLine="400" w:firstLineChars="200"/>
              <w:jc w:val="left"/>
              <w:textAlignment w:val="auto"/>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住建部征信共享总对总接入</w:t>
            </w:r>
          </w:p>
        </w:tc>
        <w:tc>
          <w:tcPr>
            <w:tcW w:w="2038" w:type="dxa"/>
            <w:gridSpan w:val="2"/>
            <w:noWrap w:val="0"/>
            <w:vAlign w:val="center"/>
          </w:tcPr>
          <w:p w14:paraId="4361C68D">
            <w:pPr>
              <w:keepNext w:val="0"/>
              <w:keepLines w:val="0"/>
              <w:pageBreakBefore w:val="0"/>
              <w:widowControl w:val="0"/>
              <w:kinsoku/>
              <w:wordWrap/>
              <w:overflowPunct/>
              <w:topLinePunct w:val="0"/>
              <w:autoSpaceDE/>
              <w:autoSpaceDN/>
              <w:bidi w:val="0"/>
              <w:adjustRightInd/>
              <w:snapToGrid/>
              <w:spacing w:line="220" w:lineRule="exact"/>
              <w:ind w:firstLine="0" w:firstLineChars="0"/>
              <w:jc w:val="center"/>
              <w:textAlignment w:val="auto"/>
              <w:rPr>
                <w:rFonts w:hint="default" w:ascii="仿宋" w:hAnsi="仿宋" w:eastAsia="仿宋" w:cs="仿宋"/>
                <w:b w:val="0"/>
                <w:bCs w:val="0"/>
                <w:kern w:val="0"/>
                <w:sz w:val="20"/>
                <w:szCs w:val="20"/>
                <w:lang w:val="en-US" w:eastAsia="zh-CN"/>
              </w:rPr>
            </w:pPr>
            <w:r>
              <w:rPr>
                <w:rFonts w:hint="eastAsia" w:ascii="仿宋" w:hAnsi="仿宋" w:eastAsia="仿宋" w:cs="仿宋"/>
                <w:b w:val="0"/>
                <w:bCs w:val="0"/>
                <w:kern w:val="0"/>
                <w:sz w:val="20"/>
                <w:szCs w:val="20"/>
                <w:lang w:val="en-US" w:eastAsia="zh-CN"/>
              </w:rPr>
              <w:t>1.94</w:t>
            </w:r>
          </w:p>
        </w:tc>
        <w:tc>
          <w:tcPr>
            <w:tcW w:w="2240" w:type="dxa"/>
            <w:gridSpan w:val="2"/>
            <w:noWrap w:val="0"/>
            <w:vAlign w:val="center"/>
          </w:tcPr>
          <w:p w14:paraId="73DC06B7">
            <w:pPr>
              <w:keepNext w:val="0"/>
              <w:keepLines w:val="0"/>
              <w:pageBreakBefore w:val="0"/>
              <w:widowControl w:val="0"/>
              <w:kinsoku/>
              <w:wordWrap/>
              <w:overflowPunct/>
              <w:topLinePunct w:val="0"/>
              <w:autoSpaceDE/>
              <w:autoSpaceDN/>
              <w:bidi w:val="0"/>
              <w:adjustRightInd/>
              <w:snapToGrid/>
              <w:spacing w:line="220" w:lineRule="exact"/>
              <w:ind w:firstLine="0" w:firstLineChars="0"/>
              <w:jc w:val="center"/>
              <w:textAlignment w:val="auto"/>
              <w:rPr>
                <w:rFonts w:hint="eastAsia" w:ascii="仿宋" w:hAnsi="仿宋" w:eastAsia="仿宋" w:cs="仿宋"/>
                <w:b w:val="0"/>
                <w:bCs w:val="0"/>
                <w:kern w:val="0"/>
                <w:sz w:val="20"/>
                <w:szCs w:val="20"/>
              </w:rPr>
            </w:pPr>
          </w:p>
        </w:tc>
        <w:tc>
          <w:tcPr>
            <w:tcW w:w="1832" w:type="dxa"/>
            <w:gridSpan w:val="2"/>
            <w:noWrap w:val="0"/>
            <w:vAlign w:val="center"/>
          </w:tcPr>
          <w:p w14:paraId="018BEADE">
            <w:pPr>
              <w:keepNext w:val="0"/>
              <w:keepLines w:val="0"/>
              <w:pageBreakBefore w:val="0"/>
              <w:widowControl w:val="0"/>
              <w:kinsoku/>
              <w:wordWrap/>
              <w:overflowPunct/>
              <w:topLinePunct w:val="0"/>
              <w:autoSpaceDE/>
              <w:autoSpaceDN/>
              <w:bidi w:val="0"/>
              <w:adjustRightInd/>
              <w:snapToGrid/>
              <w:spacing w:line="220" w:lineRule="exact"/>
              <w:ind w:firstLine="0" w:firstLineChars="0"/>
              <w:jc w:val="center"/>
              <w:textAlignment w:val="auto"/>
              <w:rPr>
                <w:rFonts w:hint="eastAsia" w:ascii="仿宋" w:hAnsi="仿宋" w:eastAsia="仿宋" w:cs="仿宋"/>
                <w:b w:val="0"/>
                <w:bCs w:val="0"/>
                <w:kern w:val="0"/>
                <w:sz w:val="20"/>
                <w:szCs w:val="20"/>
              </w:rPr>
            </w:pPr>
          </w:p>
        </w:tc>
      </w:tr>
      <w:tr w14:paraId="38084C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3354" w:type="dxa"/>
            <w:noWrap w:val="0"/>
            <w:vAlign w:val="center"/>
          </w:tcPr>
          <w:p w14:paraId="53CD4886">
            <w:pPr>
              <w:keepNext w:val="0"/>
              <w:keepLines w:val="0"/>
              <w:pageBreakBefore w:val="0"/>
              <w:widowControl/>
              <w:kinsoku/>
              <w:wordWrap/>
              <w:overflowPunct/>
              <w:topLinePunct w:val="0"/>
              <w:autoSpaceDE/>
              <w:autoSpaceDN/>
              <w:bidi w:val="0"/>
              <w:adjustRightInd/>
              <w:snapToGrid/>
              <w:spacing w:line="220" w:lineRule="exact"/>
              <w:ind w:firstLine="400" w:firstLineChars="200"/>
              <w:jc w:val="left"/>
              <w:textAlignment w:val="auto"/>
              <w:rPr>
                <w:rFonts w:hint="eastAsia" w:ascii="仿宋" w:hAnsi="仿宋" w:eastAsia="仿宋" w:cs="仿宋"/>
                <w:b w:val="0"/>
                <w:bCs w:val="0"/>
                <w:color w:val="auto"/>
                <w:kern w:val="0"/>
                <w:sz w:val="20"/>
                <w:szCs w:val="20"/>
              </w:rPr>
            </w:pPr>
            <w:r>
              <w:rPr>
                <w:rFonts w:hint="eastAsia" w:ascii="仿宋" w:hAnsi="仿宋" w:eastAsia="仿宋" w:cs="仿宋"/>
                <w:b w:val="0"/>
                <w:bCs w:val="0"/>
                <w:color w:val="auto"/>
                <w:kern w:val="0"/>
                <w:sz w:val="20"/>
                <w:szCs w:val="20"/>
                <w:lang w:val="en-US" w:eastAsia="zh-CN"/>
              </w:rPr>
              <w:t>安全加固</w:t>
            </w:r>
          </w:p>
        </w:tc>
        <w:tc>
          <w:tcPr>
            <w:tcW w:w="2038" w:type="dxa"/>
            <w:gridSpan w:val="2"/>
            <w:noWrap w:val="0"/>
            <w:vAlign w:val="center"/>
          </w:tcPr>
          <w:p w14:paraId="79EAE3AB">
            <w:pPr>
              <w:keepNext w:val="0"/>
              <w:keepLines w:val="0"/>
              <w:pageBreakBefore w:val="0"/>
              <w:widowControl w:val="0"/>
              <w:kinsoku/>
              <w:wordWrap/>
              <w:overflowPunct/>
              <w:topLinePunct w:val="0"/>
              <w:autoSpaceDE/>
              <w:autoSpaceDN/>
              <w:bidi w:val="0"/>
              <w:adjustRightInd/>
              <w:snapToGrid/>
              <w:spacing w:line="220" w:lineRule="exact"/>
              <w:ind w:firstLine="0" w:firstLineChars="0"/>
              <w:jc w:val="center"/>
              <w:textAlignment w:val="auto"/>
              <w:rPr>
                <w:rFonts w:hint="default" w:ascii="仿宋" w:hAnsi="仿宋" w:eastAsia="仿宋" w:cs="仿宋"/>
                <w:b w:val="0"/>
                <w:bCs w:val="0"/>
                <w:color w:val="auto"/>
                <w:kern w:val="0"/>
                <w:sz w:val="20"/>
                <w:szCs w:val="20"/>
                <w:lang w:val="en-US" w:eastAsia="zh-CN"/>
              </w:rPr>
            </w:pPr>
            <w:r>
              <w:rPr>
                <w:rFonts w:hint="eastAsia" w:ascii="仿宋" w:hAnsi="仿宋" w:eastAsia="仿宋" w:cs="仿宋"/>
                <w:b w:val="0"/>
                <w:bCs w:val="0"/>
                <w:color w:val="auto"/>
                <w:kern w:val="0"/>
                <w:sz w:val="20"/>
                <w:szCs w:val="20"/>
                <w:lang w:val="en-US" w:eastAsia="zh-CN"/>
              </w:rPr>
              <w:t>30.82</w:t>
            </w:r>
          </w:p>
        </w:tc>
        <w:tc>
          <w:tcPr>
            <w:tcW w:w="2240" w:type="dxa"/>
            <w:gridSpan w:val="2"/>
            <w:noWrap w:val="0"/>
            <w:vAlign w:val="center"/>
          </w:tcPr>
          <w:p w14:paraId="382A8DBF">
            <w:pPr>
              <w:keepNext w:val="0"/>
              <w:keepLines w:val="0"/>
              <w:pageBreakBefore w:val="0"/>
              <w:widowControl w:val="0"/>
              <w:kinsoku/>
              <w:wordWrap/>
              <w:overflowPunct/>
              <w:topLinePunct w:val="0"/>
              <w:autoSpaceDE/>
              <w:autoSpaceDN/>
              <w:bidi w:val="0"/>
              <w:adjustRightInd/>
              <w:snapToGrid/>
              <w:spacing w:line="220" w:lineRule="exact"/>
              <w:ind w:firstLine="0" w:firstLineChars="0"/>
              <w:jc w:val="center"/>
              <w:textAlignment w:val="auto"/>
              <w:rPr>
                <w:rFonts w:hint="eastAsia" w:ascii="仿宋" w:hAnsi="仿宋" w:eastAsia="仿宋" w:cs="仿宋"/>
                <w:b w:val="0"/>
                <w:bCs w:val="0"/>
                <w:color w:val="auto"/>
                <w:kern w:val="0"/>
                <w:sz w:val="20"/>
                <w:szCs w:val="20"/>
              </w:rPr>
            </w:pPr>
          </w:p>
        </w:tc>
        <w:tc>
          <w:tcPr>
            <w:tcW w:w="1832" w:type="dxa"/>
            <w:gridSpan w:val="2"/>
            <w:noWrap w:val="0"/>
            <w:vAlign w:val="center"/>
          </w:tcPr>
          <w:p w14:paraId="454ED70C">
            <w:pPr>
              <w:keepNext w:val="0"/>
              <w:keepLines w:val="0"/>
              <w:pageBreakBefore w:val="0"/>
              <w:widowControl w:val="0"/>
              <w:kinsoku/>
              <w:wordWrap/>
              <w:overflowPunct/>
              <w:topLinePunct w:val="0"/>
              <w:autoSpaceDE/>
              <w:autoSpaceDN/>
              <w:bidi w:val="0"/>
              <w:adjustRightInd/>
              <w:snapToGrid/>
              <w:spacing w:line="220" w:lineRule="exact"/>
              <w:ind w:firstLine="0" w:firstLineChars="0"/>
              <w:jc w:val="center"/>
              <w:textAlignment w:val="auto"/>
              <w:rPr>
                <w:rFonts w:hint="eastAsia" w:ascii="仿宋" w:hAnsi="仿宋" w:eastAsia="仿宋" w:cs="仿宋"/>
                <w:b w:val="0"/>
                <w:bCs w:val="0"/>
                <w:kern w:val="0"/>
                <w:sz w:val="20"/>
                <w:szCs w:val="20"/>
              </w:rPr>
            </w:pPr>
          </w:p>
        </w:tc>
      </w:tr>
      <w:tr w14:paraId="360608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3354" w:type="dxa"/>
            <w:noWrap w:val="0"/>
            <w:vAlign w:val="center"/>
          </w:tcPr>
          <w:p w14:paraId="3DE45922">
            <w:pPr>
              <w:keepNext w:val="0"/>
              <w:keepLines w:val="0"/>
              <w:pageBreakBefore w:val="0"/>
              <w:widowControl/>
              <w:kinsoku/>
              <w:wordWrap/>
              <w:overflowPunct/>
              <w:topLinePunct w:val="0"/>
              <w:autoSpaceDE/>
              <w:autoSpaceDN/>
              <w:bidi w:val="0"/>
              <w:adjustRightInd/>
              <w:snapToGrid/>
              <w:spacing w:line="220" w:lineRule="exact"/>
              <w:ind w:firstLine="400" w:firstLineChars="200"/>
              <w:jc w:val="left"/>
              <w:textAlignment w:val="auto"/>
              <w:rPr>
                <w:rFonts w:hint="eastAsia" w:ascii="仿宋" w:hAnsi="仿宋" w:eastAsia="仿宋" w:cs="仿宋"/>
                <w:b w:val="0"/>
                <w:bCs w:val="0"/>
                <w:color w:val="auto"/>
                <w:kern w:val="0"/>
                <w:sz w:val="20"/>
                <w:szCs w:val="20"/>
              </w:rPr>
            </w:pPr>
            <w:r>
              <w:rPr>
                <w:rFonts w:hint="eastAsia" w:ascii="仿宋" w:hAnsi="仿宋" w:eastAsia="仿宋" w:cs="仿宋"/>
                <w:b w:val="0"/>
                <w:bCs w:val="0"/>
                <w:color w:val="auto"/>
                <w:kern w:val="0"/>
                <w:sz w:val="20"/>
                <w:szCs w:val="20"/>
                <w:lang w:val="en-US" w:eastAsia="zh-CN"/>
              </w:rPr>
              <w:t>“惠民公积金，服务暖人心”服务能力提升专项行动经费</w:t>
            </w:r>
          </w:p>
        </w:tc>
        <w:tc>
          <w:tcPr>
            <w:tcW w:w="2038" w:type="dxa"/>
            <w:gridSpan w:val="2"/>
            <w:noWrap w:val="0"/>
            <w:vAlign w:val="center"/>
          </w:tcPr>
          <w:p w14:paraId="126BE24C">
            <w:pPr>
              <w:keepNext w:val="0"/>
              <w:keepLines w:val="0"/>
              <w:pageBreakBefore w:val="0"/>
              <w:widowControl w:val="0"/>
              <w:kinsoku/>
              <w:wordWrap/>
              <w:overflowPunct/>
              <w:topLinePunct w:val="0"/>
              <w:autoSpaceDE/>
              <w:autoSpaceDN/>
              <w:bidi w:val="0"/>
              <w:adjustRightInd/>
              <w:snapToGrid/>
              <w:spacing w:line="220" w:lineRule="exact"/>
              <w:ind w:firstLine="0" w:firstLineChars="0"/>
              <w:jc w:val="center"/>
              <w:textAlignment w:val="auto"/>
              <w:rPr>
                <w:rFonts w:hint="default" w:ascii="仿宋" w:hAnsi="仿宋" w:eastAsia="仿宋" w:cs="仿宋"/>
                <w:b w:val="0"/>
                <w:bCs w:val="0"/>
                <w:color w:val="auto"/>
                <w:kern w:val="0"/>
                <w:sz w:val="20"/>
                <w:szCs w:val="20"/>
                <w:lang w:val="en-US" w:eastAsia="zh-CN"/>
              </w:rPr>
            </w:pPr>
            <w:r>
              <w:rPr>
                <w:rFonts w:hint="eastAsia" w:ascii="仿宋" w:hAnsi="仿宋" w:eastAsia="仿宋" w:cs="仿宋"/>
                <w:b w:val="0"/>
                <w:bCs w:val="0"/>
                <w:color w:val="auto"/>
                <w:kern w:val="0"/>
                <w:sz w:val="20"/>
                <w:szCs w:val="20"/>
                <w:lang w:val="en-US" w:eastAsia="zh-CN"/>
              </w:rPr>
              <w:t>20</w:t>
            </w:r>
          </w:p>
        </w:tc>
        <w:tc>
          <w:tcPr>
            <w:tcW w:w="2240" w:type="dxa"/>
            <w:gridSpan w:val="2"/>
            <w:noWrap w:val="0"/>
            <w:vAlign w:val="center"/>
          </w:tcPr>
          <w:p w14:paraId="4C7F1865">
            <w:pPr>
              <w:keepNext w:val="0"/>
              <w:keepLines w:val="0"/>
              <w:pageBreakBefore w:val="0"/>
              <w:widowControl w:val="0"/>
              <w:kinsoku/>
              <w:wordWrap/>
              <w:overflowPunct/>
              <w:topLinePunct w:val="0"/>
              <w:autoSpaceDE/>
              <w:autoSpaceDN/>
              <w:bidi w:val="0"/>
              <w:adjustRightInd/>
              <w:snapToGrid/>
              <w:spacing w:line="220" w:lineRule="exact"/>
              <w:ind w:firstLine="0" w:firstLineChars="0"/>
              <w:jc w:val="center"/>
              <w:textAlignment w:val="auto"/>
              <w:rPr>
                <w:rFonts w:hint="eastAsia" w:ascii="仿宋" w:hAnsi="仿宋" w:eastAsia="仿宋" w:cs="仿宋"/>
                <w:b w:val="0"/>
                <w:bCs w:val="0"/>
                <w:color w:val="auto"/>
                <w:kern w:val="0"/>
                <w:sz w:val="20"/>
                <w:szCs w:val="20"/>
              </w:rPr>
            </w:pPr>
          </w:p>
        </w:tc>
        <w:tc>
          <w:tcPr>
            <w:tcW w:w="1832" w:type="dxa"/>
            <w:gridSpan w:val="2"/>
            <w:noWrap w:val="0"/>
            <w:vAlign w:val="center"/>
          </w:tcPr>
          <w:p w14:paraId="0CB22CC7">
            <w:pPr>
              <w:keepNext w:val="0"/>
              <w:keepLines w:val="0"/>
              <w:pageBreakBefore w:val="0"/>
              <w:widowControl w:val="0"/>
              <w:kinsoku/>
              <w:wordWrap/>
              <w:overflowPunct/>
              <w:topLinePunct w:val="0"/>
              <w:autoSpaceDE/>
              <w:autoSpaceDN/>
              <w:bidi w:val="0"/>
              <w:adjustRightInd/>
              <w:snapToGrid/>
              <w:spacing w:line="220" w:lineRule="exact"/>
              <w:ind w:firstLine="0" w:firstLineChars="0"/>
              <w:jc w:val="center"/>
              <w:textAlignment w:val="auto"/>
              <w:rPr>
                <w:rFonts w:hint="eastAsia" w:ascii="仿宋" w:hAnsi="仿宋" w:eastAsia="仿宋" w:cs="仿宋"/>
                <w:b w:val="0"/>
                <w:bCs w:val="0"/>
                <w:kern w:val="0"/>
                <w:sz w:val="20"/>
                <w:szCs w:val="20"/>
              </w:rPr>
            </w:pPr>
          </w:p>
        </w:tc>
      </w:tr>
      <w:tr w14:paraId="0CE398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3354" w:type="dxa"/>
            <w:noWrap w:val="0"/>
            <w:vAlign w:val="center"/>
          </w:tcPr>
          <w:p w14:paraId="2B042F8D">
            <w:pPr>
              <w:keepNext w:val="0"/>
              <w:keepLines w:val="0"/>
              <w:pageBreakBefore w:val="0"/>
              <w:widowControl/>
              <w:kinsoku/>
              <w:wordWrap/>
              <w:overflowPunct/>
              <w:topLinePunct w:val="0"/>
              <w:autoSpaceDE/>
              <w:autoSpaceDN/>
              <w:bidi w:val="0"/>
              <w:adjustRightInd/>
              <w:snapToGrid/>
              <w:spacing w:line="220" w:lineRule="exact"/>
              <w:ind w:firstLine="400" w:firstLineChars="200"/>
              <w:jc w:val="left"/>
              <w:textAlignment w:val="auto"/>
              <w:rPr>
                <w:rFonts w:hint="eastAsia" w:ascii="仿宋" w:hAnsi="仿宋" w:eastAsia="仿宋" w:cs="仿宋"/>
                <w:b w:val="0"/>
                <w:bCs w:val="0"/>
                <w:color w:val="auto"/>
                <w:kern w:val="0"/>
                <w:sz w:val="20"/>
                <w:szCs w:val="20"/>
              </w:rPr>
            </w:pPr>
            <w:r>
              <w:rPr>
                <w:rFonts w:hint="eastAsia" w:ascii="仿宋" w:hAnsi="仿宋" w:eastAsia="仿宋" w:cs="仿宋"/>
                <w:b w:val="0"/>
                <w:bCs w:val="0"/>
                <w:color w:val="auto"/>
                <w:kern w:val="0"/>
                <w:sz w:val="20"/>
                <w:szCs w:val="20"/>
                <w:lang w:val="en-US" w:eastAsia="zh-CN"/>
              </w:rPr>
              <w:t>“湘易办”超级移动终端</w:t>
            </w:r>
          </w:p>
        </w:tc>
        <w:tc>
          <w:tcPr>
            <w:tcW w:w="2038" w:type="dxa"/>
            <w:gridSpan w:val="2"/>
            <w:noWrap w:val="0"/>
            <w:vAlign w:val="center"/>
          </w:tcPr>
          <w:p w14:paraId="31E5CF00">
            <w:pPr>
              <w:keepNext w:val="0"/>
              <w:keepLines w:val="0"/>
              <w:pageBreakBefore w:val="0"/>
              <w:widowControl w:val="0"/>
              <w:kinsoku/>
              <w:wordWrap/>
              <w:overflowPunct/>
              <w:topLinePunct w:val="0"/>
              <w:autoSpaceDE/>
              <w:autoSpaceDN/>
              <w:bidi w:val="0"/>
              <w:adjustRightInd/>
              <w:snapToGrid/>
              <w:spacing w:line="220" w:lineRule="exact"/>
              <w:ind w:firstLine="0" w:firstLineChars="0"/>
              <w:jc w:val="center"/>
              <w:textAlignment w:val="auto"/>
              <w:rPr>
                <w:rFonts w:hint="default" w:ascii="仿宋" w:hAnsi="仿宋" w:eastAsia="仿宋" w:cs="仿宋"/>
                <w:b w:val="0"/>
                <w:bCs w:val="0"/>
                <w:color w:val="auto"/>
                <w:kern w:val="0"/>
                <w:sz w:val="20"/>
                <w:szCs w:val="20"/>
                <w:lang w:val="en-US" w:eastAsia="zh-CN"/>
              </w:rPr>
            </w:pPr>
            <w:r>
              <w:rPr>
                <w:rFonts w:hint="eastAsia" w:ascii="仿宋" w:hAnsi="仿宋" w:eastAsia="仿宋" w:cs="仿宋"/>
                <w:b w:val="0"/>
                <w:bCs w:val="0"/>
                <w:color w:val="auto"/>
                <w:kern w:val="0"/>
                <w:sz w:val="20"/>
                <w:szCs w:val="20"/>
                <w:lang w:val="en-US" w:eastAsia="zh-CN"/>
              </w:rPr>
              <w:t>19.9</w:t>
            </w:r>
          </w:p>
        </w:tc>
        <w:tc>
          <w:tcPr>
            <w:tcW w:w="2240" w:type="dxa"/>
            <w:gridSpan w:val="2"/>
            <w:noWrap w:val="0"/>
            <w:vAlign w:val="center"/>
          </w:tcPr>
          <w:p w14:paraId="4ADF1BE4">
            <w:pPr>
              <w:keepNext w:val="0"/>
              <w:keepLines w:val="0"/>
              <w:pageBreakBefore w:val="0"/>
              <w:widowControl w:val="0"/>
              <w:kinsoku/>
              <w:wordWrap/>
              <w:overflowPunct/>
              <w:topLinePunct w:val="0"/>
              <w:autoSpaceDE/>
              <w:autoSpaceDN/>
              <w:bidi w:val="0"/>
              <w:adjustRightInd/>
              <w:snapToGrid/>
              <w:spacing w:line="220" w:lineRule="exact"/>
              <w:ind w:firstLine="0" w:firstLineChars="0"/>
              <w:jc w:val="center"/>
              <w:textAlignment w:val="auto"/>
              <w:rPr>
                <w:rFonts w:hint="eastAsia" w:ascii="仿宋" w:hAnsi="仿宋" w:eastAsia="仿宋" w:cs="仿宋"/>
                <w:b w:val="0"/>
                <w:bCs w:val="0"/>
                <w:color w:val="auto"/>
                <w:kern w:val="0"/>
                <w:sz w:val="20"/>
                <w:szCs w:val="20"/>
              </w:rPr>
            </w:pPr>
          </w:p>
        </w:tc>
        <w:tc>
          <w:tcPr>
            <w:tcW w:w="1832" w:type="dxa"/>
            <w:gridSpan w:val="2"/>
            <w:noWrap w:val="0"/>
            <w:vAlign w:val="center"/>
          </w:tcPr>
          <w:p w14:paraId="5958C42D">
            <w:pPr>
              <w:keepNext w:val="0"/>
              <w:keepLines w:val="0"/>
              <w:pageBreakBefore w:val="0"/>
              <w:widowControl w:val="0"/>
              <w:kinsoku/>
              <w:wordWrap/>
              <w:overflowPunct/>
              <w:topLinePunct w:val="0"/>
              <w:autoSpaceDE/>
              <w:autoSpaceDN/>
              <w:bidi w:val="0"/>
              <w:adjustRightInd/>
              <w:snapToGrid/>
              <w:spacing w:line="220" w:lineRule="exact"/>
              <w:ind w:firstLine="0" w:firstLineChars="0"/>
              <w:jc w:val="center"/>
              <w:textAlignment w:val="auto"/>
              <w:rPr>
                <w:rFonts w:hint="eastAsia" w:ascii="仿宋" w:hAnsi="仿宋" w:eastAsia="仿宋" w:cs="仿宋"/>
                <w:b w:val="0"/>
                <w:bCs w:val="0"/>
                <w:kern w:val="0"/>
                <w:sz w:val="20"/>
                <w:szCs w:val="20"/>
              </w:rPr>
            </w:pPr>
          </w:p>
        </w:tc>
      </w:tr>
      <w:tr w14:paraId="4D5BC9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3354" w:type="dxa"/>
            <w:noWrap w:val="0"/>
            <w:vAlign w:val="center"/>
          </w:tcPr>
          <w:p w14:paraId="2A832A87">
            <w:pPr>
              <w:keepNext w:val="0"/>
              <w:keepLines w:val="0"/>
              <w:pageBreakBefore w:val="0"/>
              <w:widowControl/>
              <w:kinsoku/>
              <w:wordWrap/>
              <w:overflowPunct/>
              <w:topLinePunct w:val="0"/>
              <w:autoSpaceDE/>
              <w:autoSpaceDN/>
              <w:bidi w:val="0"/>
              <w:adjustRightInd/>
              <w:snapToGrid/>
              <w:spacing w:line="220" w:lineRule="exact"/>
              <w:ind w:firstLine="400" w:firstLineChars="200"/>
              <w:jc w:val="left"/>
              <w:textAlignment w:val="auto"/>
              <w:rPr>
                <w:rFonts w:hint="eastAsia" w:ascii="仿宋" w:hAnsi="仿宋" w:eastAsia="仿宋" w:cs="仿宋"/>
                <w:b w:val="0"/>
                <w:bCs w:val="0"/>
                <w:color w:val="auto"/>
                <w:kern w:val="0"/>
                <w:sz w:val="20"/>
                <w:szCs w:val="20"/>
              </w:rPr>
            </w:pPr>
            <w:r>
              <w:rPr>
                <w:rFonts w:hint="eastAsia" w:ascii="仿宋" w:hAnsi="仿宋" w:eastAsia="仿宋" w:cs="仿宋"/>
                <w:b w:val="0"/>
                <w:bCs w:val="0"/>
                <w:color w:val="auto"/>
                <w:kern w:val="0"/>
                <w:sz w:val="20"/>
                <w:szCs w:val="20"/>
                <w:lang w:val="en-US" w:eastAsia="zh-CN"/>
              </w:rPr>
              <w:t>中心机房设备更换升级</w:t>
            </w:r>
          </w:p>
        </w:tc>
        <w:tc>
          <w:tcPr>
            <w:tcW w:w="2038" w:type="dxa"/>
            <w:gridSpan w:val="2"/>
            <w:noWrap w:val="0"/>
            <w:vAlign w:val="center"/>
          </w:tcPr>
          <w:p w14:paraId="1CF0B0D0">
            <w:pPr>
              <w:keepNext w:val="0"/>
              <w:keepLines w:val="0"/>
              <w:pageBreakBefore w:val="0"/>
              <w:widowControl w:val="0"/>
              <w:kinsoku/>
              <w:wordWrap/>
              <w:overflowPunct/>
              <w:topLinePunct w:val="0"/>
              <w:autoSpaceDE/>
              <w:autoSpaceDN/>
              <w:bidi w:val="0"/>
              <w:adjustRightInd/>
              <w:snapToGrid/>
              <w:spacing w:line="220" w:lineRule="exact"/>
              <w:ind w:firstLine="0" w:firstLineChars="0"/>
              <w:jc w:val="center"/>
              <w:textAlignment w:val="auto"/>
              <w:rPr>
                <w:rFonts w:hint="default" w:ascii="仿宋" w:hAnsi="仿宋" w:eastAsia="仿宋" w:cs="仿宋"/>
                <w:b w:val="0"/>
                <w:bCs w:val="0"/>
                <w:color w:val="auto"/>
                <w:kern w:val="0"/>
                <w:sz w:val="20"/>
                <w:szCs w:val="20"/>
                <w:lang w:val="en-US" w:eastAsia="zh-CN"/>
              </w:rPr>
            </w:pPr>
            <w:r>
              <w:rPr>
                <w:rFonts w:hint="eastAsia" w:ascii="仿宋" w:hAnsi="仿宋" w:eastAsia="仿宋" w:cs="仿宋"/>
                <w:b w:val="0"/>
                <w:bCs w:val="0"/>
                <w:color w:val="auto"/>
                <w:kern w:val="0"/>
                <w:sz w:val="20"/>
                <w:szCs w:val="20"/>
                <w:lang w:val="en-US" w:eastAsia="zh-CN"/>
              </w:rPr>
              <w:t>30</w:t>
            </w:r>
          </w:p>
        </w:tc>
        <w:tc>
          <w:tcPr>
            <w:tcW w:w="2240" w:type="dxa"/>
            <w:gridSpan w:val="2"/>
            <w:noWrap w:val="0"/>
            <w:vAlign w:val="center"/>
          </w:tcPr>
          <w:p w14:paraId="640D43AC">
            <w:pPr>
              <w:keepNext w:val="0"/>
              <w:keepLines w:val="0"/>
              <w:pageBreakBefore w:val="0"/>
              <w:widowControl w:val="0"/>
              <w:kinsoku/>
              <w:wordWrap/>
              <w:overflowPunct/>
              <w:topLinePunct w:val="0"/>
              <w:autoSpaceDE/>
              <w:autoSpaceDN/>
              <w:bidi w:val="0"/>
              <w:adjustRightInd/>
              <w:snapToGrid/>
              <w:spacing w:line="220" w:lineRule="exact"/>
              <w:ind w:firstLine="0" w:firstLineChars="0"/>
              <w:jc w:val="center"/>
              <w:textAlignment w:val="auto"/>
              <w:rPr>
                <w:rFonts w:hint="eastAsia" w:ascii="仿宋" w:hAnsi="仿宋" w:eastAsia="仿宋" w:cs="仿宋"/>
                <w:b w:val="0"/>
                <w:bCs w:val="0"/>
                <w:color w:val="auto"/>
                <w:kern w:val="0"/>
                <w:sz w:val="20"/>
                <w:szCs w:val="20"/>
              </w:rPr>
            </w:pPr>
          </w:p>
        </w:tc>
        <w:tc>
          <w:tcPr>
            <w:tcW w:w="1832" w:type="dxa"/>
            <w:gridSpan w:val="2"/>
            <w:noWrap w:val="0"/>
            <w:vAlign w:val="center"/>
          </w:tcPr>
          <w:p w14:paraId="6061298D">
            <w:pPr>
              <w:keepNext w:val="0"/>
              <w:keepLines w:val="0"/>
              <w:pageBreakBefore w:val="0"/>
              <w:widowControl w:val="0"/>
              <w:kinsoku/>
              <w:wordWrap/>
              <w:overflowPunct/>
              <w:topLinePunct w:val="0"/>
              <w:autoSpaceDE/>
              <w:autoSpaceDN/>
              <w:bidi w:val="0"/>
              <w:adjustRightInd/>
              <w:snapToGrid/>
              <w:spacing w:line="220" w:lineRule="exact"/>
              <w:ind w:firstLine="0" w:firstLineChars="0"/>
              <w:jc w:val="center"/>
              <w:textAlignment w:val="auto"/>
              <w:rPr>
                <w:rFonts w:hint="eastAsia" w:ascii="仿宋" w:hAnsi="仿宋" w:eastAsia="仿宋" w:cs="仿宋"/>
                <w:b w:val="0"/>
                <w:bCs w:val="0"/>
                <w:kern w:val="0"/>
                <w:sz w:val="20"/>
                <w:szCs w:val="20"/>
              </w:rPr>
            </w:pPr>
          </w:p>
        </w:tc>
      </w:tr>
      <w:tr w14:paraId="3FF0E6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3354" w:type="dxa"/>
            <w:noWrap w:val="0"/>
            <w:vAlign w:val="center"/>
          </w:tcPr>
          <w:p w14:paraId="65314078">
            <w:pPr>
              <w:keepNext w:val="0"/>
              <w:keepLines w:val="0"/>
              <w:pageBreakBefore w:val="0"/>
              <w:widowControl/>
              <w:kinsoku/>
              <w:wordWrap/>
              <w:overflowPunct/>
              <w:topLinePunct w:val="0"/>
              <w:autoSpaceDE/>
              <w:autoSpaceDN/>
              <w:bidi w:val="0"/>
              <w:adjustRightInd/>
              <w:snapToGrid/>
              <w:spacing w:line="220" w:lineRule="exact"/>
              <w:ind w:firstLine="400" w:firstLineChars="200"/>
              <w:jc w:val="left"/>
              <w:textAlignment w:val="auto"/>
              <w:rPr>
                <w:rFonts w:hint="eastAsia" w:ascii="仿宋" w:hAnsi="仿宋" w:eastAsia="仿宋" w:cs="仿宋"/>
                <w:b w:val="0"/>
                <w:bCs w:val="0"/>
                <w:color w:val="auto"/>
                <w:kern w:val="0"/>
                <w:sz w:val="20"/>
                <w:szCs w:val="20"/>
              </w:rPr>
            </w:pPr>
            <w:r>
              <w:rPr>
                <w:rFonts w:hint="eastAsia" w:ascii="仿宋" w:hAnsi="仿宋" w:eastAsia="仿宋" w:cs="仿宋"/>
                <w:b w:val="0"/>
                <w:bCs w:val="0"/>
                <w:color w:val="auto"/>
                <w:kern w:val="0"/>
                <w:sz w:val="20"/>
                <w:szCs w:val="20"/>
                <w:lang w:val="en-US" w:eastAsia="zh-CN"/>
              </w:rPr>
              <w:t>好差评系统改造</w:t>
            </w:r>
          </w:p>
        </w:tc>
        <w:tc>
          <w:tcPr>
            <w:tcW w:w="2038" w:type="dxa"/>
            <w:gridSpan w:val="2"/>
            <w:noWrap w:val="0"/>
            <w:vAlign w:val="center"/>
          </w:tcPr>
          <w:p w14:paraId="45BCA8C0">
            <w:pPr>
              <w:keepNext w:val="0"/>
              <w:keepLines w:val="0"/>
              <w:pageBreakBefore w:val="0"/>
              <w:widowControl w:val="0"/>
              <w:kinsoku/>
              <w:wordWrap/>
              <w:overflowPunct/>
              <w:topLinePunct w:val="0"/>
              <w:autoSpaceDE/>
              <w:autoSpaceDN/>
              <w:bidi w:val="0"/>
              <w:adjustRightInd/>
              <w:snapToGrid/>
              <w:spacing w:line="220" w:lineRule="exact"/>
              <w:ind w:firstLine="0" w:firstLineChars="0"/>
              <w:jc w:val="center"/>
              <w:textAlignment w:val="auto"/>
              <w:rPr>
                <w:rFonts w:hint="default" w:ascii="仿宋" w:hAnsi="仿宋" w:eastAsia="仿宋" w:cs="仿宋"/>
                <w:b w:val="0"/>
                <w:bCs w:val="0"/>
                <w:color w:val="auto"/>
                <w:kern w:val="0"/>
                <w:sz w:val="20"/>
                <w:szCs w:val="20"/>
                <w:lang w:val="en-US" w:eastAsia="zh-CN"/>
              </w:rPr>
            </w:pPr>
            <w:r>
              <w:rPr>
                <w:rFonts w:hint="eastAsia" w:ascii="仿宋" w:hAnsi="仿宋" w:eastAsia="仿宋" w:cs="仿宋"/>
                <w:b w:val="0"/>
                <w:bCs w:val="0"/>
                <w:color w:val="auto"/>
                <w:kern w:val="0"/>
                <w:sz w:val="20"/>
                <w:szCs w:val="20"/>
                <w:lang w:val="en-US" w:eastAsia="zh-CN"/>
              </w:rPr>
              <w:t>33.1</w:t>
            </w:r>
          </w:p>
        </w:tc>
        <w:tc>
          <w:tcPr>
            <w:tcW w:w="2240" w:type="dxa"/>
            <w:gridSpan w:val="2"/>
            <w:noWrap w:val="0"/>
            <w:vAlign w:val="center"/>
          </w:tcPr>
          <w:p w14:paraId="7BD334A7">
            <w:pPr>
              <w:keepNext w:val="0"/>
              <w:keepLines w:val="0"/>
              <w:pageBreakBefore w:val="0"/>
              <w:widowControl w:val="0"/>
              <w:kinsoku/>
              <w:wordWrap/>
              <w:overflowPunct/>
              <w:topLinePunct w:val="0"/>
              <w:autoSpaceDE/>
              <w:autoSpaceDN/>
              <w:bidi w:val="0"/>
              <w:adjustRightInd/>
              <w:snapToGrid/>
              <w:spacing w:line="220" w:lineRule="exact"/>
              <w:ind w:firstLine="0" w:firstLineChars="0"/>
              <w:jc w:val="center"/>
              <w:textAlignment w:val="auto"/>
              <w:rPr>
                <w:rFonts w:hint="eastAsia" w:ascii="仿宋" w:hAnsi="仿宋" w:eastAsia="仿宋" w:cs="仿宋"/>
                <w:b w:val="0"/>
                <w:bCs w:val="0"/>
                <w:color w:val="auto"/>
                <w:kern w:val="0"/>
                <w:sz w:val="20"/>
                <w:szCs w:val="20"/>
              </w:rPr>
            </w:pPr>
          </w:p>
        </w:tc>
        <w:tc>
          <w:tcPr>
            <w:tcW w:w="1832" w:type="dxa"/>
            <w:gridSpan w:val="2"/>
            <w:noWrap w:val="0"/>
            <w:vAlign w:val="center"/>
          </w:tcPr>
          <w:p w14:paraId="3FE070D5">
            <w:pPr>
              <w:keepNext w:val="0"/>
              <w:keepLines w:val="0"/>
              <w:pageBreakBefore w:val="0"/>
              <w:widowControl w:val="0"/>
              <w:kinsoku/>
              <w:wordWrap/>
              <w:overflowPunct/>
              <w:topLinePunct w:val="0"/>
              <w:autoSpaceDE/>
              <w:autoSpaceDN/>
              <w:bidi w:val="0"/>
              <w:adjustRightInd/>
              <w:snapToGrid/>
              <w:spacing w:line="220" w:lineRule="exact"/>
              <w:ind w:firstLine="0" w:firstLineChars="0"/>
              <w:jc w:val="center"/>
              <w:textAlignment w:val="auto"/>
              <w:rPr>
                <w:rFonts w:hint="eastAsia" w:ascii="仿宋" w:hAnsi="仿宋" w:eastAsia="仿宋" w:cs="仿宋"/>
                <w:b w:val="0"/>
                <w:bCs w:val="0"/>
                <w:kern w:val="0"/>
                <w:sz w:val="20"/>
                <w:szCs w:val="20"/>
              </w:rPr>
            </w:pPr>
          </w:p>
        </w:tc>
      </w:tr>
      <w:tr w14:paraId="52C76B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jc w:val="center"/>
        </w:trPr>
        <w:tc>
          <w:tcPr>
            <w:tcW w:w="3354" w:type="dxa"/>
            <w:noWrap w:val="0"/>
            <w:vAlign w:val="center"/>
          </w:tcPr>
          <w:p w14:paraId="4E9ADCF8">
            <w:pPr>
              <w:keepNext w:val="0"/>
              <w:keepLines w:val="0"/>
              <w:pageBreakBefore w:val="0"/>
              <w:widowControl/>
              <w:kinsoku/>
              <w:wordWrap/>
              <w:overflowPunct/>
              <w:topLinePunct w:val="0"/>
              <w:autoSpaceDE/>
              <w:autoSpaceDN/>
              <w:bidi w:val="0"/>
              <w:adjustRightInd/>
              <w:snapToGrid/>
              <w:spacing w:line="220" w:lineRule="exact"/>
              <w:ind w:firstLine="400" w:firstLineChars="200"/>
              <w:jc w:val="left"/>
              <w:textAlignment w:val="auto"/>
              <w:rPr>
                <w:rFonts w:hint="eastAsia" w:ascii="仿宋" w:hAnsi="仿宋" w:eastAsia="仿宋" w:cs="仿宋"/>
                <w:b w:val="0"/>
                <w:bCs w:val="0"/>
                <w:color w:val="auto"/>
                <w:kern w:val="0"/>
                <w:sz w:val="20"/>
                <w:szCs w:val="20"/>
              </w:rPr>
            </w:pPr>
            <w:r>
              <w:rPr>
                <w:rFonts w:hint="eastAsia" w:ascii="仿宋" w:hAnsi="仿宋" w:eastAsia="仿宋" w:cs="仿宋"/>
                <w:b w:val="0"/>
                <w:bCs w:val="0"/>
                <w:color w:val="auto"/>
                <w:kern w:val="0"/>
                <w:sz w:val="20"/>
                <w:szCs w:val="20"/>
                <w:lang w:val="en-US" w:eastAsia="zh-CN"/>
              </w:rPr>
              <w:t>全国异地公积金贷款还款（报账模式）业务对接</w:t>
            </w:r>
          </w:p>
        </w:tc>
        <w:tc>
          <w:tcPr>
            <w:tcW w:w="2038" w:type="dxa"/>
            <w:gridSpan w:val="2"/>
            <w:noWrap w:val="0"/>
            <w:vAlign w:val="center"/>
          </w:tcPr>
          <w:p w14:paraId="3308A624">
            <w:pPr>
              <w:keepNext w:val="0"/>
              <w:keepLines w:val="0"/>
              <w:pageBreakBefore w:val="0"/>
              <w:widowControl w:val="0"/>
              <w:kinsoku/>
              <w:wordWrap/>
              <w:overflowPunct/>
              <w:topLinePunct w:val="0"/>
              <w:autoSpaceDE/>
              <w:autoSpaceDN/>
              <w:bidi w:val="0"/>
              <w:adjustRightInd/>
              <w:snapToGrid/>
              <w:spacing w:line="220" w:lineRule="exact"/>
              <w:ind w:firstLine="0" w:firstLineChars="0"/>
              <w:jc w:val="center"/>
              <w:textAlignment w:val="auto"/>
              <w:rPr>
                <w:rFonts w:hint="default" w:ascii="仿宋" w:hAnsi="仿宋" w:eastAsia="仿宋" w:cs="仿宋"/>
                <w:b w:val="0"/>
                <w:bCs w:val="0"/>
                <w:color w:val="auto"/>
                <w:kern w:val="0"/>
                <w:sz w:val="20"/>
                <w:szCs w:val="20"/>
                <w:lang w:val="en-US" w:eastAsia="zh-CN"/>
              </w:rPr>
            </w:pPr>
            <w:r>
              <w:rPr>
                <w:rFonts w:hint="eastAsia" w:ascii="仿宋" w:hAnsi="仿宋" w:eastAsia="仿宋" w:cs="仿宋"/>
                <w:b w:val="0"/>
                <w:bCs w:val="0"/>
                <w:color w:val="auto"/>
                <w:kern w:val="0"/>
                <w:sz w:val="20"/>
                <w:szCs w:val="20"/>
                <w:lang w:val="en-US" w:eastAsia="zh-CN"/>
              </w:rPr>
              <w:t>23.6</w:t>
            </w:r>
          </w:p>
        </w:tc>
        <w:tc>
          <w:tcPr>
            <w:tcW w:w="2240" w:type="dxa"/>
            <w:gridSpan w:val="2"/>
            <w:noWrap w:val="0"/>
            <w:vAlign w:val="center"/>
          </w:tcPr>
          <w:p w14:paraId="0BCB4F53">
            <w:pPr>
              <w:keepNext w:val="0"/>
              <w:keepLines w:val="0"/>
              <w:pageBreakBefore w:val="0"/>
              <w:widowControl w:val="0"/>
              <w:kinsoku/>
              <w:wordWrap/>
              <w:overflowPunct/>
              <w:topLinePunct w:val="0"/>
              <w:autoSpaceDE/>
              <w:autoSpaceDN/>
              <w:bidi w:val="0"/>
              <w:adjustRightInd/>
              <w:snapToGrid/>
              <w:spacing w:line="220" w:lineRule="exact"/>
              <w:ind w:firstLine="0" w:firstLineChars="0"/>
              <w:jc w:val="center"/>
              <w:textAlignment w:val="auto"/>
              <w:rPr>
                <w:rFonts w:hint="eastAsia" w:ascii="仿宋" w:hAnsi="仿宋" w:eastAsia="仿宋" w:cs="仿宋"/>
                <w:b w:val="0"/>
                <w:bCs w:val="0"/>
                <w:color w:val="auto"/>
                <w:kern w:val="0"/>
                <w:sz w:val="20"/>
                <w:szCs w:val="20"/>
              </w:rPr>
            </w:pPr>
          </w:p>
        </w:tc>
        <w:tc>
          <w:tcPr>
            <w:tcW w:w="1832" w:type="dxa"/>
            <w:gridSpan w:val="2"/>
            <w:noWrap w:val="0"/>
            <w:vAlign w:val="center"/>
          </w:tcPr>
          <w:p w14:paraId="4DE74663">
            <w:pPr>
              <w:keepNext w:val="0"/>
              <w:keepLines w:val="0"/>
              <w:pageBreakBefore w:val="0"/>
              <w:widowControl w:val="0"/>
              <w:kinsoku/>
              <w:wordWrap/>
              <w:overflowPunct/>
              <w:topLinePunct w:val="0"/>
              <w:autoSpaceDE/>
              <w:autoSpaceDN/>
              <w:bidi w:val="0"/>
              <w:adjustRightInd/>
              <w:snapToGrid/>
              <w:spacing w:line="220" w:lineRule="exact"/>
              <w:ind w:firstLine="0" w:firstLineChars="0"/>
              <w:jc w:val="center"/>
              <w:textAlignment w:val="auto"/>
              <w:rPr>
                <w:rFonts w:hint="eastAsia" w:ascii="仿宋" w:hAnsi="仿宋" w:eastAsia="仿宋" w:cs="仿宋"/>
                <w:b w:val="0"/>
                <w:bCs w:val="0"/>
                <w:kern w:val="0"/>
                <w:sz w:val="20"/>
                <w:szCs w:val="20"/>
              </w:rPr>
            </w:pPr>
          </w:p>
        </w:tc>
      </w:tr>
      <w:tr w14:paraId="5DF53C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3354" w:type="dxa"/>
            <w:noWrap w:val="0"/>
            <w:vAlign w:val="center"/>
          </w:tcPr>
          <w:p w14:paraId="555CE2C7">
            <w:pPr>
              <w:keepNext w:val="0"/>
              <w:keepLines w:val="0"/>
              <w:pageBreakBefore w:val="0"/>
              <w:widowControl/>
              <w:kinsoku/>
              <w:wordWrap/>
              <w:overflowPunct/>
              <w:topLinePunct w:val="0"/>
              <w:autoSpaceDE/>
              <w:autoSpaceDN/>
              <w:bidi w:val="0"/>
              <w:adjustRightInd/>
              <w:snapToGrid/>
              <w:spacing w:line="220" w:lineRule="exact"/>
              <w:ind w:firstLine="400" w:firstLineChars="200"/>
              <w:jc w:val="left"/>
              <w:textAlignment w:val="auto"/>
              <w:rPr>
                <w:rFonts w:hint="eastAsia" w:ascii="仿宋" w:hAnsi="仿宋" w:eastAsia="仿宋" w:cs="仿宋"/>
                <w:b w:val="0"/>
                <w:bCs w:val="0"/>
                <w:kern w:val="0"/>
                <w:sz w:val="20"/>
                <w:szCs w:val="20"/>
                <w:lang w:val="en-US" w:eastAsia="zh-CN"/>
              </w:rPr>
            </w:pPr>
            <w:r>
              <w:rPr>
                <w:rFonts w:hint="eastAsia" w:ascii="仿宋" w:hAnsi="仿宋" w:eastAsia="仿宋" w:cs="仿宋"/>
                <w:b w:val="0"/>
                <w:bCs w:val="0"/>
                <w:kern w:val="0"/>
                <w:sz w:val="20"/>
                <w:szCs w:val="20"/>
                <w:lang w:val="en-US" w:eastAsia="zh-CN"/>
              </w:rPr>
              <w:t>准入系统</w:t>
            </w:r>
          </w:p>
        </w:tc>
        <w:tc>
          <w:tcPr>
            <w:tcW w:w="2038" w:type="dxa"/>
            <w:gridSpan w:val="2"/>
            <w:noWrap w:val="0"/>
            <w:vAlign w:val="center"/>
          </w:tcPr>
          <w:p w14:paraId="5A47B0FC">
            <w:pPr>
              <w:keepNext w:val="0"/>
              <w:keepLines w:val="0"/>
              <w:pageBreakBefore w:val="0"/>
              <w:widowControl w:val="0"/>
              <w:kinsoku/>
              <w:wordWrap/>
              <w:overflowPunct/>
              <w:topLinePunct w:val="0"/>
              <w:autoSpaceDE/>
              <w:autoSpaceDN/>
              <w:bidi w:val="0"/>
              <w:adjustRightInd/>
              <w:snapToGrid/>
              <w:spacing w:line="220" w:lineRule="exact"/>
              <w:ind w:firstLine="0" w:firstLineChars="0"/>
              <w:jc w:val="center"/>
              <w:textAlignment w:val="auto"/>
              <w:rPr>
                <w:rFonts w:hint="eastAsia" w:ascii="仿宋" w:hAnsi="仿宋" w:eastAsia="仿宋" w:cs="仿宋"/>
                <w:b w:val="0"/>
                <w:bCs w:val="0"/>
                <w:kern w:val="0"/>
                <w:sz w:val="20"/>
                <w:szCs w:val="20"/>
                <w:lang w:val="en-US" w:eastAsia="zh-CN"/>
              </w:rPr>
            </w:pPr>
          </w:p>
        </w:tc>
        <w:tc>
          <w:tcPr>
            <w:tcW w:w="2240" w:type="dxa"/>
            <w:gridSpan w:val="2"/>
            <w:noWrap w:val="0"/>
            <w:vAlign w:val="center"/>
          </w:tcPr>
          <w:p w14:paraId="73E7DFBB">
            <w:pPr>
              <w:keepNext w:val="0"/>
              <w:keepLines w:val="0"/>
              <w:pageBreakBefore w:val="0"/>
              <w:widowControl w:val="0"/>
              <w:kinsoku/>
              <w:wordWrap/>
              <w:overflowPunct/>
              <w:topLinePunct w:val="0"/>
              <w:autoSpaceDE/>
              <w:autoSpaceDN/>
              <w:bidi w:val="0"/>
              <w:adjustRightInd/>
              <w:snapToGrid/>
              <w:spacing w:line="220" w:lineRule="exact"/>
              <w:ind w:firstLine="0" w:firstLineChars="0"/>
              <w:jc w:val="center"/>
              <w:textAlignment w:val="auto"/>
              <w:rPr>
                <w:rFonts w:hint="default" w:ascii="仿宋" w:hAnsi="仿宋" w:eastAsia="仿宋" w:cs="仿宋"/>
                <w:b w:val="0"/>
                <w:bCs w:val="0"/>
                <w:kern w:val="0"/>
                <w:sz w:val="20"/>
                <w:szCs w:val="20"/>
                <w:lang w:val="en-US" w:eastAsia="zh-CN"/>
              </w:rPr>
            </w:pPr>
            <w:r>
              <w:rPr>
                <w:rFonts w:hint="eastAsia" w:ascii="仿宋" w:hAnsi="仿宋" w:eastAsia="仿宋" w:cs="仿宋"/>
                <w:b w:val="0"/>
                <w:bCs w:val="0"/>
                <w:kern w:val="0"/>
                <w:sz w:val="20"/>
                <w:szCs w:val="20"/>
                <w:lang w:val="en-US" w:eastAsia="zh-CN"/>
              </w:rPr>
              <w:t>19</w:t>
            </w:r>
          </w:p>
        </w:tc>
        <w:tc>
          <w:tcPr>
            <w:tcW w:w="1832" w:type="dxa"/>
            <w:gridSpan w:val="2"/>
            <w:noWrap w:val="0"/>
            <w:vAlign w:val="center"/>
          </w:tcPr>
          <w:p w14:paraId="47152474">
            <w:pPr>
              <w:keepNext w:val="0"/>
              <w:keepLines w:val="0"/>
              <w:pageBreakBefore w:val="0"/>
              <w:widowControl w:val="0"/>
              <w:kinsoku/>
              <w:wordWrap/>
              <w:overflowPunct/>
              <w:topLinePunct w:val="0"/>
              <w:autoSpaceDE/>
              <w:autoSpaceDN/>
              <w:bidi w:val="0"/>
              <w:adjustRightInd/>
              <w:snapToGrid/>
              <w:spacing w:line="220" w:lineRule="exact"/>
              <w:ind w:firstLine="0" w:firstLineChars="0"/>
              <w:jc w:val="center"/>
              <w:textAlignment w:val="auto"/>
              <w:rPr>
                <w:rFonts w:hint="eastAsia" w:ascii="仿宋" w:hAnsi="仿宋" w:eastAsia="仿宋" w:cs="仿宋"/>
                <w:b w:val="0"/>
                <w:bCs w:val="0"/>
                <w:kern w:val="0"/>
                <w:sz w:val="20"/>
                <w:szCs w:val="20"/>
              </w:rPr>
            </w:pPr>
          </w:p>
        </w:tc>
      </w:tr>
      <w:tr w14:paraId="1F0BCF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3354" w:type="dxa"/>
            <w:noWrap w:val="0"/>
            <w:vAlign w:val="center"/>
          </w:tcPr>
          <w:p w14:paraId="41115C25">
            <w:pPr>
              <w:keepNext w:val="0"/>
              <w:keepLines w:val="0"/>
              <w:pageBreakBefore w:val="0"/>
              <w:widowControl/>
              <w:kinsoku/>
              <w:wordWrap/>
              <w:overflowPunct/>
              <w:topLinePunct w:val="0"/>
              <w:autoSpaceDE/>
              <w:autoSpaceDN/>
              <w:bidi w:val="0"/>
              <w:adjustRightInd/>
              <w:snapToGrid/>
              <w:spacing w:line="220" w:lineRule="exact"/>
              <w:ind w:firstLine="400" w:firstLineChars="200"/>
              <w:jc w:val="left"/>
              <w:textAlignment w:val="auto"/>
              <w:rPr>
                <w:rFonts w:hint="eastAsia" w:ascii="仿宋" w:hAnsi="仿宋" w:eastAsia="仿宋" w:cs="仿宋"/>
                <w:b w:val="0"/>
                <w:bCs w:val="0"/>
                <w:kern w:val="0"/>
                <w:sz w:val="20"/>
                <w:szCs w:val="20"/>
                <w:lang w:val="en-US" w:eastAsia="zh-CN"/>
              </w:rPr>
            </w:pPr>
            <w:r>
              <w:rPr>
                <w:rFonts w:hint="eastAsia" w:ascii="仿宋" w:hAnsi="仿宋" w:eastAsia="仿宋" w:cs="仿宋"/>
                <w:b w:val="0"/>
                <w:bCs w:val="0"/>
                <w:kern w:val="0"/>
                <w:sz w:val="20"/>
                <w:szCs w:val="20"/>
                <w:lang w:val="en-US" w:eastAsia="zh-CN"/>
              </w:rPr>
              <w:t>信息化适配升级和运维</w:t>
            </w:r>
          </w:p>
        </w:tc>
        <w:tc>
          <w:tcPr>
            <w:tcW w:w="2038" w:type="dxa"/>
            <w:gridSpan w:val="2"/>
            <w:noWrap w:val="0"/>
            <w:vAlign w:val="center"/>
          </w:tcPr>
          <w:p w14:paraId="32C5273B">
            <w:pPr>
              <w:keepNext w:val="0"/>
              <w:keepLines w:val="0"/>
              <w:pageBreakBefore w:val="0"/>
              <w:widowControl w:val="0"/>
              <w:kinsoku/>
              <w:wordWrap/>
              <w:overflowPunct/>
              <w:topLinePunct w:val="0"/>
              <w:autoSpaceDE/>
              <w:autoSpaceDN/>
              <w:bidi w:val="0"/>
              <w:adjustRightInd/>
              <w:snapToGrid/>
              <w:spacing w:line="220" w:lineRule="exact"/>
              <w:ind w:firstLine="0" w:firstLineChars="0"/>
              <w:jc w:val="center"/>
              <w:textAlignment w:val="auto"/>
              <w:rPr>
                <w:rFonts w:hint="eastAsia" w:ascii="仿宋" w:hAnsi="仿宋" w:eastAsia="仿宋" w:cs="仿宋"/>
                <w:b w:val="0"/>
                <w:bCs w:val="0"/>
                <w:kern w:val="0"/>
                <w:sz w:val="20"/>
                <w:szCs w:val="20"/>
                <w:lang w:val="en-US" w:eastAsia="zh-CN"/>
              </w:rPr>
            </w:pPr>
          </w:p>
        </w:tc>
        <w:tc>
          <w:tcPr>
            <w:tcW w:w="2240" w:type="dxa"/>
            <w:gridSpan w:val="2"/>
            <w:noWrap w:val="0"/>
            <w:vAlign w:val="center"/>
          </w:tcPr>
          <w:p w14:paraId="5431E9DF">
            <w:pPr>
              <w:keepNext w:val="0"/>
              <w:keepLines w:val="0"/>
              <w:pageBreakBefore w:val="0"/>
              <w:widowControl w:val="0"/>
              <w:kinsoku/>
              <w:wordWrap/>
              <w:overflowPunct/>
              <w:topLinePunct w:val="0"/>
              <w:autoSpaceDE/>
              <w:autoSpaceDN/>
              <w:bidi w:val="0"/>
              <w:adjustRightInd/>
              <w:snapToGrid/>
              <w:spacing w:line="220" w:lineRule="exact"/>
              <w:ind w:firstLine="0" w:firstLineChars="0"/>
              <w:jc w:val="center"/>
              <w:textAlignment w:val="auto"/>
              <w:rPr>
                <w:rFonts w:hint="default" w:ascii="仿宋" w:hAnsi="仿宋" w:eastAsia="仿宋" w:cs="仿宋"/>
                <w:b w:val="0"/>
                <w:bCs w:val="0"/>
                <w:kern w:val="0"/>
                <w:sz w:val="20"/>
                <w:szCs w:val="20"/>
                <w:lang w:val="en-US" w:eastAsia="zh-CN"/>
              </w:rPr>
            </w:pPr>
            <w:r>
              <w:rPr>
                <w:rFonts w:hint="eastAsia" w:ascii="仿宋" w:hAnsi="仿宋" w:eastAsia="仿宋" w:cs="仿宋"/>
                <w:b w:val="0"/>
                <w:bCs w:val="0"/>
                <w:kern w:val="0"/>
                <w:sz w:val="20"/>
                <w:szCs w:val="20"/>
                <w:lang w:val="en-US" w:eastAsia="zh-CN"/>
              </w:rPr>
              <w:t>54.01</w:t>
            </w:r>
          </w:p>
        </w:tc>
        <w:tc>
          <w:tcPr>
            <w:tcW w:w="1832" w:type="dxa"/>
            <w:gridSpan w:val="2"/>
            <w:noWrap w:val="0"/>
            <w:vAlign w:val="center"/>
          </w:tcPr>
          <w:p w14:paraId="54CAD984">
            <w:pPr>
              <w:keepNext w:val="0"/>
              <w:keepLines w:val="0"/>
              <w:pageBreakBefore w:val="0"/>
              <w:widowControl w:val="0"/>
              <w:kinsoku/>
              <w:wordWrap/>
              <w:overflowPunct/>
              <w:topLinePunct w:val="0"/>
              <w:autoSpaceDE/>
              <w:autoSpaceDN/>
              <w:bidi w:val="0"/>
              <w:adjustRightInd/>
              <w:snapToGrid/>
              <w:spacing w:line="220" w:lineRule="exact"/>
              <w:ind w:firstLine="0" w:firstLineChars="0"/>
              <w:jc w:val="center"/>
              <w:textAlignment w:val="auto"/>
              <w:rPr>
                <w:rFonts w:hint="eastAsia" w:ascii="仿宋" w:hAnsi="仿宋" w:eastAsia="仿宋" w:cs="仿宋"/>
                <w:b w:val="0"/>
                <w:bCs w:val="0"/>
                <w:kern w:val="0"/>
                <w:sz w:val="20"/>
                <w:szCs w:val="20"/>
              </w:rPr>
            </w:pPr>
          </w:p>
        </w:tc>
      </w:tr>
      <w:tr w14:paraId="3A8FD5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3354" w:type="dxa"/>
            <w:noWrap w:val="0"/>
            <w:vAlign w:val="center"/>
          </w:tcPr>
          <w:p w14:paraId="6CFCF4B0">
            <w:pPr>
              <w:keepNext w:val="0"/>
              <w:keepLines w:val="0"/>
              <w:pageBreakBefore w:val="0"/>
              <w:widowControl/>
              <w:kinsoku/>
              <w:wordWrap/>
              <w:overflowPunct/>
              <w:topLinePunct w:val="0"/>
              <w:autoSpaceDE/>
              <w:autoSpaceDN/>
              <w:bidi w:val="0"/>
              <w:adjustRightInd/>
              <w:snapToGrid/>
              <w:spacing w:line="220" w:lineRule="exact"/>
              <w:ind w:firstLine="400" w:firstLineChars="200"/>
              <w:jc w:val="left"/>
              <w:textAlignment w:val="auto"/>
              <w:rPr>
                <w:rFonts w:hint="eastAsia" w:ascii="仿宋" w:hAnsi="仿宋" w:eastAsia="仿宋" w:cs="仿宋"/>
                <w:b w:val="0"/>
                <w:bCs w:val="0"/>
                <w:kern w:val="0"/>
                <w:sz w:val="20"/>
                <w:szCs w:val="20"/>
                <w:lang w:val="en-US" w:eastAsia="zh-CN"/>
              </w:rPr>
            </w:pPr>
            <w:r>
              <w:rPr>
                <w:rFonts w:hint="eastAsia" w:ascii="仿宋" w:hAnsi="仿宋" w:eastAsia="仿宋" w:cs="仿宋"/>
                <w:b w:val="0"/>
                <w:bCs w:val="0"/>
                <w:kern w:val="0"/>
                <w:sz w:val="20"/>
                <w:szCs w:val="20"/>
                <w:lang w:val="en-US" w:eastAsia="zh-CN"/>
              </w:rPr>
              <w:t>12329热线接入12345平台建设费</w:t>
            </w:r>
          </w:p>
        </w:tc>
        <w:tc>
          <w:tcPr>
            <w:tcW w:w="2038" w:type="dxa"/>
            <w:gridSpan w:val="2"/>
            <w:noWrap w:val="0"/>
            <w:vAlign w:val="center"/>
          </w:tcPr>
          <w:p w14:paraId="574DE3D3">
            <w:pPr>
              <w:keepNext w:val="0"/>
              <w:keepLines w:val="0"/>
              <w:pageBreakBefore w:val="0"/>
              <w:widowControl w:val="0"/>
              <w:kinsoku/>
              <w:wordWrap/>
              <w:overflowPunct/>
              <w:topLinePunct w:val="0"/>
              <w:autoSpaceDE/>
              <w:autoSpaceDN/>
              <w:bidi w:val="0"/>
              <w:adjustRightInd/>
              <w:snapToGrid/>
              <w:spacing w:line="220" w:lineRule="exact"/>
              <w:ind w:firstLine="0" w:firstLineChars="0"/>
              <w:jc w:val="center"/>
              <w:textAlignment w:val="auto"/>
              <w:rPr>
                <w:rFonts w:hint="eastAsia" w:ascii="仿宋" w:hAnsi="仿宋" w:eastAsia="仿宋" w:cs="仿宋"/>
                <w:b w:val="0"/>
                <w:bCs w:val="0"/>
                <w:kern w:val="0"/>
                <w:sz w:val="20"/>
                <w:szCs w:val="20"/>
                <w:lang w:val="en-US" w:eastAsia="zh-CN"/>
              </w:rPr>
            </w:pPr>
          </w:p>
        </w:tc>
        <w:tc>
          <w:tcPr>
            <w:tcW w:w="2240" w:type="dxa"/>
            <w:gridSpan w:val="2"/>
            <w:noWrap w:val="0"/>
            <w:vAlign w:val="center"/>
          </w:tcPr>
          <w:p w14:paraId="531FF373">
            <w:pPr>
              <w:keepNext w:val="0"/>
              <w:keepLines w:val="0"/>
              <w:pageBreakBefore w:val="0"/>
              <w:widowControl w:val="0"/>
              <w:kinsoku/>
              <w:wordWrap/>
              <w:overflowPunct/>
              <w:topLinePunct w:val="0"/>
              <w:autoSpaceDE/>
              <w:autoSpaceDN/>
              <w:bidi w:val="0"/>
              <w:adjustRightInd/>
              <w:snapToGrid/>
              <w:spacing w:line="220" w:lineRule="exact"/>
              <w:ind w:firstLine="0" w:firstLineChars="0"/>
              <w:jc w:val="center"/>
              <w:textAlignment w:val="auto"/>
              <w:rPr>
                <w:rFonts w:hint="default" w:ascii="仿宋" w:hAnsi="仿宋" w:eastAsia="仿宋" w:cs="仿宋"/>
                <w:b w:val="0"/>
                <w:bCs w:val="0"/>
                <w:kern w:val="0"/>
                <w:sz w:val="20"/>
                <w:szCs w:val="20"/>
                <w:lang w:val="en-US" w:eastAsia="zh-CN"/>
              </w:rPr>
            </w:pPr>
            <w:r>
              <w:rPr>
                <w:rFonts w:hint="eastAsia" w:ascii="仿宋" w:hAnsi="仿宋" w:eastAsia="仿宋" w:cs="仿宋"/>
                <w:b w:val="0"/>
                <w:bCs w:val="0"/>
                <w:kern w:val="0"/>
                <w:sz w:val="20"/>
                <w:szCs w:val="20"/>
                <w:lang w:val="en-US" w:eastAsia="zh-CN"/>
              </w:rPr>
              <w:t>11</w:t>
            </w:r>
          </w:p>
        </w:tc>
        <w:tc>
          <w:tcPr>
            <w:tcW w:w="1832" w:type="dxa"/>
            <w:gridSpan w:val="2"/>
            <w:noWrap w:val="0"/>
            <w:vAlign w:val="center"/>
          </w:tcPr>
          <w:p w14:paraId="680E8B23">
            <w:pPr>
              <w:keepNext w:val="0"/>
              <w:keepLines w:val="0"/>
              <w:pageBreakBefore w:val="0"/>
              <w:widowControl w:val="0"/>
              <w:kinsoku/>
              <w:wordWrap/>
              <w:overflowPunct/>
              <w:topLinePunct w:val="0"/>
              <w:autoSpaceDE/>
              <w:autoSpaceDN/>
              <w:bidi w:val="0"/>
              <w:adjustRightInd/>
              <w:snapToGrid/>
              <w:spacing w:line="220" w:lineRule="exact"/>
              <w:ind w:firstLine="0" w:firstLineChars="0"/>
              <w:jc w:val="center"/>
              <w:textAlignment w:val="auto"/>
              <w:rPr>
                <w:rFonts w:hint="eastAsia" w:ascii="仿宋" w:hAnsi="仿宋" w:eastAsia="仿宋" w:cs="仿宋"/>
                <w:b w:val="0"/>
                <w:bCs w:val="0"/>
                <w:kern w:val="0"/>
                <w:sz w:val="20"/>
                <w:szCs w:val="20"/>
              </w:rPr>
            </w:pPr>
          </w:p>
        </w:tc>
      </w:tr>
      <w:tr w14:paraId="687CCB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3354" w:type="dxa"/>
            <w:noWrap w:val="0"/>
            <w:vAlign w:val="center"/>
          </w:tcPr>
          <w:p w14:paraId="5E441B23">
            <w:pPr>
              <w:keepNext w:val="0"/>
              <w:keepLines w:val="0"/>
              <w:pageBreakBefore w:val="0"/>
              <w:widowControl/>
              <w:kinsoku/>
              <w:wordWrap/>
              <w:overflowPunct/>
              <w:topLinePunct w:val="0"/>
              <w:autoSpaceDE/>
              <w:autoSpaceDN/>
              <w:bidi w:val="0"/>
              <w:adjustRightInd/>
              <w:snapToGrid/>
              <w:spacing w:line="220" w:lineRule="exact"/>
              <w:ind w:firstLine="400" w:firstLineChars="200"/>
              <w:jc w:val="left"/>
              <w:textAlignment w:val="auto"/>
              <w:rPr>
                <w:rFonts w:hint="eastAsia" w:ascii="仿宋" w:hAnsi="仿宋" w:eastAsia="仿宋" w:cs="仿宋"/>
                <w:b w:val="0"/>
                <w:bCs w:val="0"/>
                <w:kern w:val="0"/>
                <w:sz w:val="20"/>
                <w:szCs w:val="20"/>
                <w:lang w:val="en-US" w:eastAsia="zh-CN"/>
              </w:rPr>
            </w:pPr>
            <w:r>
              <w:rPr>
                <w:rFonts w:hint="eastAsia" w:ascii="仿宋" w:hAnsi="仿宋" w:eastAsia="仿宋" w:cs="仿宋"/>
                <w:b w:val="0"/>
                <w:bCs w:val="0"/>
                <w:kern w:val="0"/>
                <w:sz w:val="20"/>
                <w:szCs w:val="20"/>
                <w:lang w:val="en-US" w:eastAsia="zh-CN"/>
              </w:rPr>
              <w:t>干部人事档案数字化建设</w:t>
            </w:r>
          </w:p>
        </w:tc>
        <w:tc>
          <w:tcPr>
            <w:tcW w:w="2038" w:type="dxa"/>
            <w:gridSpan w:val="2"/>
            <w:noWrap w:val="0"/>
            <w:vAlign w:val="center"/>
          </w:tcPr>
          <w:p w14:paraId="46C88532">
            <w:pPr>
              <w:keepNext w:val="0"/>
              <w:keepLines w:val="0"/>
              <w:pageBreakBefore w:val="0"/>
              <w:widowControl w:val="0"/>
              <w:kinsoku/>
              <w:wordWrap/>
              <w:overflowPunct/>
              <w:topLinePunct w:val="0"/>
              <w:autoSpaceDE/>
              <w:autoSpaceDN/>
              <w:bidi w:val="0"/>
              <w:adjustRightInd/>
              <w:snapToGrid/>
              <w:spacing w:line="220" w:lineRule="exact"/>
              <w:ind w:firstLine="0" w:firstLineChars="0"/>
              <w:jc w:val="center"/>
              <w:textAlignment w:val="auto"/>
              <w:rPr>
                <w:rFonts w:hint="eastAsia" w:ascii="仿宋" w:hAnsi="仿宋" w:eastAsia="仿宋" w:cs="仿宋"/>
                <w:b w:val="0"/>
                <w:bCs w:val="0"/>
                <w:kern w:val="0"/>
                <w:sz w:val="20"/>
                <w:szCs w:val="20"/>
                <w:lang w:val="en-US" w:eastAsia="zh-CN"/>
              </w:rPr>
            </w:pPr>
          </w:p>
        </w:tc>
        <w:tc>
          <w:tcPr>
            <w:tcW w:w="2240" w:type="dxa"/>
            <w:gridSpan w:val="2"/>
            <w:noWrap w:val="0"/>
            <w:vAlign w:val="center"/>
          </w:tcPr>
          <w:p w14:paraId="63B48D22">
            <w:pPr>
              <w:keepNext w:val="0"/>
              <w:keepLines w:val="0"/>
              <w:pageBreakBefore w:val="0"/>
              <w:widowControl w:val="0"/>
              <w:kinsoku/>
              <w:wordWrap/>
              <w:overflowPunct/>
              <w:topLinePunct w:val="0"/>
              <w:autoSpaceDE/>
              <w:autoSpaceDN/>
              <w:bidi w:val="0"/>
              <w:adjustRightInd/>
              <w:snapToGrid/>
              <w:spacing w:line="220" w:lineRule="exact"/>
              <w:ind w:firstLine="0" w:firstLineChars="0"/>
              <w:jc w:val="center"/>
              <w:textAlignment w:val="auto"/>
              <w:rPr>
                <w:rFonts w:hint="default" w:ascii="仿宋" w:hAnsi="仿宋" w:eastAsia="仿宋" w:cs="仿宋"/>
                <w:b w:val="0"/>
                <w:bCs w:val="0"/>
                <w:kern w:val="0"/>
                <w:sz w:val="20"/>
                <w:szCs w:val="20"/>
                <w:lang w:val="en-US" w:eastAsia="zh-CN"/>
              </w:rPr>
            </w:pPr>
            <w:r>
              <w:rPr>
                <w:rFonts w:hint="eastAsia" w:ascii="仿宋" w:hAnsi="仿宋" w:eastAsia="仿宋" w:cs="仿宋"/>
                <w:b w:val="0"/>
                <w:bCs w:val="0"/>
                <w:kern w:val="0"/>
                <w:sz w:val="20"/>
                <w:szCs w:val="20"/>
                <w:lang w:val="en-US" w:eastAsia="zh-CN"/>
              </w:rPr>
              <w:t>8.38</w:t>
            </w:r>
          </w:p>
        </w:tc>
        <w:tc>
          <w:tcPr>
            <w:tcW w:w="1832" w:type="dxa"/>
            <w:gridSpan w:val="2"/>
            <w:noWrap w:val="0"/>
            <w:vAlign w:val="center"/>
          </w:tcPr>
          <w:p w14:paraId="70228578">
            <w:pPr>
              <w:keepNext w:val="0"/>
              <w:keepLines w:val="0"/>
              <w:pageBreakBefore w:val="0"/>
              <w:widowControl w:val="0"/>
              <w:kinsoku/>
              <w:wordWrap/>
              <w:overflowPunct/>
              <w:topLinePunct w:val="0"/>
              <w:autoSpaceDE/>
              <w:autoSpaceDN/>
              <w:bidi w:val="0"/>
              <w:adjustRightInd/>
              <w:snapToGrid/>
              <w:spacing w:line="220" w:lineRule="exact"/>
              <w:ind w:firstLine="0" w:firstLineChars="0"/>
              <w:jc w:val="center"/>
              <w:textAlignment w:val="auto"/>
              <w:rPr>
                <w:rFonts w:hint="eastAsia" w:ascii="仿宋" w:hAnsi="仿宋" w:eastAsia="仿宋" w:cs="仿宋"/>
                <w:b w:val="0"/>
                <w:bCs w:val="0"/>
                <w:kern w:val="0"/>
                <w:sz w:val="20"/>
                <w:szCs w:val="20"/>
              </w:rPr>
            </w:pPr>
          </w:p>
        </w:tc>
      </w:tr>
      <w:tr w14:paraId="126ADD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66886809">
            <w:pPr>
              <w:keepNext w:val="0"/>
              <w:keepLines w:val="0"/>
              <w:pageBreakBefore w:val="0"/>
              <w:widowControl/>
              <w:kinsoku/>
              <w:wordWrap/>
              <w:overflowPunct/>
              <w:topLinePunct w:val="0"/>
              <w:autoSpaceDE/>
              <w:autoSpaceDN/>
              <w:bidi w:val="0"/>
              <w:adjustRightInd/>
              <w:snapToGrid/>
              <w:spacing w:line="220" w:lineRule="exact"/>
              <w:ind w:firstLine="400" w:firstLineChars="200"/>
              <w:jc w:val="left"/>
              <w:textAlignment w:val="auto"/>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4、其他事业类发展资金</w:t>
            </w:r>
          </w:p>
        </w:tc>
        <w:tc>
          <w:tcPr>
            <w:tcW w:w="2038" w:type="dxa"/>
            <w:gridSpan w:val="2"/>
            <w:noWrap w:val="0"/>
            <w:vAlign w:val="center"/>
          </w:tcPr>
          <w:p w14:paraId="2CE08B31">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w:t>
            </w:r>
          </w:p>
        </w:tc>
        <w:tc>
          <w:tcPr>
            <w:tcW w:w="2240" w:type="dxa"/>
            <w:gridSpan w:val="2"/>
            <w:noWrap w:val="0"/>
            <w:vAlign w:val="center"/>
          </w:tcPr>
          <w:p w14:paraId="28A3ACA9">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w:t>
            </w:r>
          </w:p>
        </w:tc>
        <w:tc>
          <w:tcPr>
            <w:tcW w:w="1832" w:type="dxa"/>
            <w:gridSpan w:val="2"/>
            <w:noWrap w:val="0"/>
            <w:vAlign w:val="center"/>
          </w:tcPr>
          <w:p w14:paraId="5EDC8EE0">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w:t>
            </w:r>
          </w:p>
        </w:tc>
      </w:tr>
      <w:tr w14:paraId="7043C5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jc w:val="center"/>
        </w:trPr>
        <w:tc>
          <w:tcPr>
            <w:tcW w:w="3354" w:type="dxa"/>
            <w:noWrap w:val="0"/>
            <w:vAlign w:val="center"/>
          </w:tcPr>
          <w:p w14:paraId="4FE6F7C9">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w:t>
            </w:r>
          </w:p>
        </w:tc>
        <w:tc>
          <w:tcPr>
            <w:tcW w:w="2038" w:type="dxa"/>
            <w:gridSpan w:val="2"/>
            <w:noWrap w:val="0"/>
            <w:vAlign w:val="center"/>
          </w:tcPr>
          <w:p w14:paraId="251C297F">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b w:val="0"/>
                <w:bCs w:val="0"/>
                <w:kern w:val="0"/>
                <w:sz w:val="20"/>
                <w:szCs w:val="20"/>
              </w:rPr>
            </w:pPr>
          </w:p>
        </w:tc>
        <w:tc>
          <w:tcPr>
            <w:tcW w:w="2240" w:type="dxa"/>
            <w:gridSpan w:val="2"/>
            <w:noWrap w:val="0"/>
            <w:vAlign w:val="center"/>
          </w:tcPr>
          <w:p w14:paraId="4813B1B9">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b w:val="0"/>
                <w:bCs w:val="0"/>
                <w:kern w:val="0"/>
                <w:sz w:val="20"/>
                <w:szCs w:val="20"/>
              </w:rPr>
            </w:pPr>
          </w:p>
        </w:tc>
        <w:tc>
          <w:tcPr>
            <w:tcW w:w="1832" w:type="dxa"/>
            <w:gridSpan w:val="2"/>
            <w:noWrap w:val="0"/>
            <w:vAlign w:val="center"/>
          </w:tcPr>
          <w:p w14:paraId="46E43EA3">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b w:val="0"/>
                <w:bCs w:val="0"/>
                <w:kern w:val="0"/>
                <w:sz w:val="20"/>
                <w:szCs w:val="20"/>
              </w:rPr>
            </w:pPr>
          </w:p>
        </w:tc>
      </w:tr>
      <w:tr w14:paraId="3901C8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296C5723">
            <w:pPr>
              <w:keepNext w:val="0"/>
              <w:keepLines w:val="0"/>
              <w:pageBreakBefore w:val="0"/>
              <w:widowControl/>
              <w:kinsoku/>
              <w:wordWrap/>
              <w:overflowPunct/>
              <w:topLinePunct w:val="0"/>
              <w:autoSpaceDE/>
              <w:autoSpaceDN/>
              <w:bidi w:val="0"/>
              <w:adjustRightInd/>
              <w:snapToGrid/>
              <w:spacing w:line="220" w:lineRule="exact"/>
              <w:jc w:val="left"/>
              <w:textAlignment w:val="auto"/>
              <w:rPr>
                <w:rFonts w:hint="default" w:ascii="仿宋" w:hAnsi="仿宋" w:eastAsia="仿宋" w:cs="仿宋"/>
                <w:b w:val="0"/>
                <w:bCs w:val="0"/>
                <w:kern w:val="0"/>
                <w:sz w:val="20"/>
                <w:szCs w:val="20"/>
                <w:lang w:val="en-US" w:eastAsia="zh-CN"/>
              </w:rPr>
            </w:pPr>
            <w:r>
              <w:rPr>
                <w:rFonts w:hint="eastAsia" w:ascii="仿宋" w:hAnsi="仿宋" w:eastAsia="仿宋" w:cs="仿宋"/>
                <w:b w:val="0"/>
                <w:bCs w:val="0"/>
                <w:kern w:val="0"/>
                <w:sz w:val="20"/>
                <w:szCs w:val="20"/>
                <w:lang w:val="en-US" w:eastAsia="zh-CN"/>
              </w:rPr>
              <w:t>公用经费</w:t>
            </w:r>
          </w:p>
        </w:tc>
        <w:tc>
          <w:tcPr>
            <w:tcW w:w="2038" w:type="dxa"/>
            <w:gridSpan w:val="2"/>
            <w:noWrap w:val="0"/>
            <w:vAlign w:val="center"/>
          </w:tcPr>
          <w:p w14:paraId="20C79228">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b w:val="0"/>
                <w:bCs w:val="0"/>
                <w:kern w:val="0"/>
                <w:sz w:val="20"/>
                <w:szCs w:val="20"/>
              </w:rPr>
            </w:pPr>
            <w:r>
              <w:rPr>
                <w:rFonts w:hint="eastAsia" w:ascii="仿宋" w:hAnsi="仿宋" w:eastAsia="仿宋" w:cs="仿宋"/>
                <w:kern w:val="0"/>
                <w:sz w:val="20"/>
                <w:szCs w:val="20"/>
              </w:rPr>
              <w:t>273.90　</w:t>
            </w:r>
          </w:p>
        </w:tc>
        <w:tc>
          <w:tcPr>
            <w:tcW w:w="2240" w:type="dxa"/>
            <w:gridSpan w:val="2"/>
            <w:noWrap w:val="0"/>
            <w:vAlign w:val="center"/>
          </w:tcPr>
          <w:p w14:paraId="102828A1">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622.39</w:t>
            </w:r>
            <w:r>
              <w:rPr>
                <w:rFonts w:hint="eastAsia" w:ascii="仿宋" w:hAnsi="仿宋" w:eastAsia="仿宋" w:cs="仿宋"/>
                <w:b w:val="0"/>
                <w:bCs w:val="0"/>
                <w:kern w:val="0"/>
                <w:sz w:val="20"/>
                <w:szCs w:val="20"/>
              </w:rPr>
              <w:t>　</w:t>
            </w:r>
          </w:p>
        </w:tc>
        <w:tc>
          <w:tcPr>
            <w:tcW w:w="1832" w:type="dxa"/>
            <w:gridSpan w:val="2"/>
            <w:noWrap w:val="0"/>
            <w:vAlign w:val="center"/>
          </w:tcPr>
          <w:p w14:paraId="6F675DD0">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w:t>
            </w:r>
          </w:p>
        </w:tc>
      </w:tr>
      <w:tr w14:paraId="73EABA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2D947BA1">
            <w:pPr>
              <w:keepNext w:val="0"/>
              <w:keepLines w:val="0"/>
              <w:pageBreakBefore w:val="0"/>
              <w:widowControl/>
              <w:kinsoku/>
              <w:wordWrap/>
              <w:overflowPunct/>
              <w:topLinePunct w:val="0"/>
              <w:autoSpaceDE/>
              <w:autoSpaceDN/>
              <w:bidi w:val="0"/>
              <w:adjustRightInd/>
              <w:snapToGrid/>
              <w:spacing w:line="220" w:lineRule="exact"/>
              <w:jc w:val="left"/>
              <w:textAlignment w:val="auto"/>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xml:space="preserve">    其中：办公费</w:t>
            </w:r>
          </w:p>
        </w:tc>
        <w:tc>
          <w:tcPr>
            <w:tcW w:w="2038" w:type="dxa"/>
            <w:gridSpan w:val="2"/>
            <w:noWrap w:val="0"/>
            <w:vAlign w:val="center"/>
          </w:tcPr>
          <w:p w14:paraId="0B620EDC">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b w:val="0"/>
                <w:bCs w:val="0"/>
                <w:color w:val="FF0000"/>
                <w:kern w:val="0"/>
                <w:sz w:val="20"/>
                <w:szCs w:val="20"/>
              </w:rPr>
            </w:pPr>
            <w:r>
              <w:rPr>
                <w:rFonts w:hint="eastAsia" w:ascii="仿宋" w:hAnsi="仿宋" w:eastAsia="仿宋" w:cs="仿宋"/>
                <w:kern w:val="0"/>
                <w:sz w:val="20"/>
                <w:szCs w:val="20"/>
              </w:rPr>
              <w:t>54.06</w:t>
            </w:r>
          </w:p>
        </w:tc>
        <w:tc>
          <w:tcPr>
            <w:tcW w:w="2240" w:type="dxa"/>
            <w:gridSpan w:val="2"/>
            <w:noWrap w:val="0"/>
            <w:vAlign w:val="center"/>
          </w:tcPr>
          <w:p w14:paraId="4ACED147">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b w:val="0"/>
                <w:bCs w:val="0"/>
                <w:color w:val="auto"/>
                <w:kern w:val="0"/>
                <w:sz w:val="20"/>
                <w:szCs w:val="20"/>
              </w:rPr>
            </w:pPr>
            <w:r>
              <w:rPr>
                <w:rFonts w:hint="eastAsia" w:ascii="仿宋" w:hAnsi="仿宋" w:eastAsia="仿宋" w:cs="仿宋"/>
                <w:b w:val="0"/>
                <w:bCs w:val="0"/>
                <w:color w:val="auto"/>
                <w:kern w:val="0"/>
                <w:sz w:val="20"/>
                <w:szCs w:val="20"/>
                <w:lang w:val="en-US" w:eastAsia="zh-CN"/>
              </w:rPr>
              <w:t>63.58</w:t>
            </w:r>
            <w:r>
              <w:rPr>
                <w:rFonts w:hint="eastAsia" w:ascii="仿宋" w:hAnsi="仿宋" w:eastAsia="仿宋" w:cs="仿宋"/>
                <w:b w:val="0"/>
                <w:bCs w:val="0"/>
                <w:color w:val="auto"/>
                <w:kern w:val="0"/>
                <w:sz w:val="20"/>
                <w:szCs w:val="20"/>
              </w:rPr>
              <w:t>　</w:t>
            </w:r>
          </w:p>
        </w:tc>
        <w:tc>
          <w:tcPr>
            <w:tcW w:w="1832" w:type="dxa"/>
            <w:gridSpan w:val="2"/>
            <w:noWrap w:val="0"/>
            <w:vAlign w:val="center"/>
          </w:tcPr>
          <w:p w14:paraId="06F4A58F">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b w:val="0"/>
                <w:bCs w:val="0"/>
                <w:color w:val="auto"/>
                <w:kern w:val="0"/>
                <w:sz w:val="20"/>
                <w:szCs w:val="20"/>
              </w:rPr>
            </w:pPr>
            <w:r>
              <w:rPr>
                <w:rFonts w:hint="eastAsia" w:ascii="仿宋" w:hAnsi="仿宋" w:eastAsia="仿宋" w:cs="仿宋"/>
                <w:b w:val="0"/>
                <w:bCs w:val="0"/>
                <w:color w:val="auto"/>
                <w:kern w:val="0"/>
                <w:sz w:val="20"/>
                <w:szCs w:val="20"/>
                <w:lang w:val="en-US" w:eastAsia="zh-CN"/>
              </w:rPr>
              <w:t>35.43</w:t>
            </w:r>
            <w:r>
              <w:rPr>
                <w:rFonts w:hint="eastAsia" w:ascii="仿宋" w:hAnsi="仿宋" w:eastAsia="仿宋" w:cs="仿宋"/>
                <w:b w:val="0"/>
                <w:bCs w:val="0"/>
                <w:color w:val="auto"/>
                <w:kern w:val="0"/>
                <w:sz w:val="20"/>
                <w:szCs w:val="20"/>
              </w:rPr>
              <w:t>　</w:t>
            </w:r>
          </w:p>
        </w:tc>
      </w:tr>
      <w:tr w14:paraId="0B18D6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651C46CA">
            <w:pPr>
              <w:keepNext w:val="0"/>
              <w:keepLines w:val="0"/>
              <w:pageBreakBefore w:val="0"/>
              <w:widowControl/>
              <w:kinsoku/>
              <w:wordWrap/>
              <w:overflowPunct/>
              <w:topLinePunct w:val="0"/>
              <w:autoSpaceDE/>
              <w:autoSpaceDN/>
              <w:bidi w:val="0"/>
              <w:adjustRightInd/>
              <w:snapToGrid/>
              <w:spacing w:line="220" w:lineRule="exact"/>
              <w:jc w:val="left"/>
              <w:textAlignment w:val="auto"/>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xml:space="preserve">          水费、电费、差旅费</w:t>
            </w:r>
          </w:p>
        </w:tc>
        <w:tc>
          <w:tcPr>
            <w:tcW w:w="2038" w:type="dxa"/>
            <w:gridSpan w:val="2"/>
            <w:noWrap w:val="0"/>
            <w:vAlign w:val="center"/>
          </w:tcPr>
          <w:p w14:paraId="25F28B2E">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b w:val="0"/>
                <w:bCs w:val="0"/>
                <w:color w:val="FF0000"/>
                <w:kern w:val="0"/>
                <w:sz w:val="20"/>
                <w:szCs w:val="20"/>
              </w:rPr>
            </w:pPr>
            <w:r>
              <w:rPr>
                <w:rFonts w:hint="eastAsia" w:ascii="仿宋" w:hAnsi="仿宋" w:eastAsia="仿宋" w:cs="仿宋"/>
                <w:kern w:val="0"/>
                <w:sz w:val="20"/>
                <w:szCs w:val="20"/>
              </w:rPr>
              <w:t>47.79　</w:t>
            </w:r>
          </w:p>
        </w:tc>
        <w:tc>
          <w:tcPr>
            <w:tcW w:w="2240" w:type="dxa"/>
            <w:gridSpan w:val="2"/>
            <w:noWrap w:val="0"/>
            <w:vAlign w:val="center"/>
          </w:tcPr>
          <w:p w14:paraId="2891DCEA">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default" w:ascii="仿宋" w:hAnsi="仿宋" w:eastAsia="仿宋" w:cs="仿宋"/>
                <w:b w:val="0"/>
                <w:bCs w:val="0"/>
                <w:color w:val="auto"/>
                <w:kern w:val="0"/>
                <w:sz w:val="20"/>
                <w:szCs w:val="20"/>
                <w:lang w:val="en-US" w:eastAsia="zh-CN"/>
              </w:rPr>
            </w:pPr>
            <w:r>
              <w:rPr>
                <w:rFonts w:hint="eastAsia" w:ascii="仿宋" w:hAnsi="仿宋" w:eastAsia="仿宋" w:cs="仿宋"/>
                <w:b w:val="0"/>
                <w:bCs w:val="0"/>
                <w:color w:val="auto"/>
                <w:kern w:val="0"/>
                <w:sz w:val="20"/>
                <w:szCs w:val="20"/>
              </w:rPr>
              <w:t>　</w:t>
            </w:r>
            <w:r>
              <w:rPr>
                <w:rFonts w:hint="eastAsia" w:ascii="仿宋" w:hAnsi="仿宋" w:eastAsia="仿宋" w:cs="仿宋"/>
                <w:b w:val="0"/>
                <w:bCs w:val="0"/>
                <w:color w:val="auto"/>
                <w:kern w:val="0"/>
                <w:sz w:val="20"/>
                <w:szCs w:val="20"/>
                <w:lang w:val="en-US" w:eastAsia="zh-CN"/>
              </w:rPr>
              <w:t>48</w:t>
            </w:r>
          </w:p>
        </w:tc>
        <w:tc>
          <w:tcPr>
            <w:tcW w:w="1832" w:type="dxa"/>
            <w:gridSpan w:val="2"/>
            <w:noWrap w:val="0"/>
            <w:vAlign w:val="center"/>
          </w:tcPr>
          <w:p w14:paraId="7622164D">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b w:val="0"/>
                <w:bCs w:val="0"/>
                <w:color w:val="auto"/>
                <w:kern w:val="0"/>
                <w:sz w:val="20"/>
                <w:szCs w:val="20"/>
              </w:rPr>
            </w:pPr>
            <w:r>
              <w:rPr>
                <w:rFonts w:hint="eastAsia" w:ascii="仿宋" w:hAnsi="仿宋" w:eastAsia="仿宋" w:cs="仿宋"/>
                <w:b w:val="0"/>
                <w:bCs w:val="0"/>
                <w:color w:val="auto"/>
                <w:kern w:val="0"/>
                <w:sz w:val="20"/>
                <w:szCs w:val="20"/>
                <w:lang w:val="en-US" w:eastAsia="zh-CN"/>
              </w:rPr>
              <w:t>40.15</w:t>
            </w:r>
            <w:r>
              <w:rPr>
                <w:rFonts w:hint="eastAsia" w:ascii="仿宋" w:hAnsi="仿宋" w:eastAsia="仿宋" w:cs="仿宋"/>
                <w:b w:val="0"/>
                <w:bCs w:val="0"/>
                <w:color w:val="auto"/>
                <w:kern w:val="0"/>
                <w:sz w:val="20"/>
                <w:szCs w:val="20"/>
              </w:rPr>
              <w:t>　</w:t>
            </w:r>
          </w:p>
        </w:tc>
      </w:tr>
      <w:tr w14:paraId="73ED7B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2" w:hRule="atLeast"/>
          <w:jc w:val="center"/>
        </w:trPr>
        <w:tc>
          <w:tcPr>
            <w:tcW w:w="3354" w:type="dxa"/>
            <w:noWrap w:val="0"/>
            <w:vAlign w:val="center"/>
          </w:tcPr>
          <w:p w14:paraId="0511FA55">
            <w:pPr>
              <w:keepNext w:val="0"/>
              <w:keepLines w:val="0"/>
              <w:pageBreakBefore w:val="0"/>
              <w:widowControl/>
              <w:kinsoku/>
              <w:wordWrap/>
              <w:overflowPunct/>
              <w:topLinePunct w:val="0"/>
              <w:autoSpaceDE/>
              <w:autoSpaceDN/>
              <w:bidi w:val="0"/>
              <w:adjustRightInd/>
              <w:snapToGrid/>
              <w:spacing w:line="220" w:lineRule="exact"/>
              <w:jc w:val="left"/>
              <w:textAlignment w:val="auto"/>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xml:space="preserve">          会议费、培训费</w:t>
            </w:r>
          </w:p>
        </w:tc>
        <w:tc>
          <w:tcPr>
            <w:tcW w:w="2038" w:type="dxa"/>
            <w:gridSpan w:val="2"/>
            <w:noWrap w:val="0"/>
            <w:vAlign w:val="center"/>
          </w:tcPr>
          <w:p w14:paraId="317307B9">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b w:val="0"/>
                <w:bCs w:val="0"/>
                <w:color w:val="FF0000"/>
                <w:kern w:val="0"/>
                <w:sz w:val="20"/>
                <w:szCs w:val="20"/>
              </w:rPr>
            </w:pPr>
            <w:r>
              <w:rPr>
                <w:rFonts w:hint="eastAsia" w:ascii="仿宋" w:hAnsi="仿宋" w:eastAsia="仿宋" w:cs="仿宋"/>
                <w:kern w:val="0"/>
                <w:sz w:val="20"/>
                <w:szCs w:val="20"/>
              </w:rPr>
              <w:t>3.01　</w:t>
            </w:r>
          </w:p>
        </w:tc>
        <w:tc>
          <w:tcPr>
            <w:tcW w:w="2240" w:type="dxa"/>
            <w:gridSpan w:val="2"/>
            <w:noWrap w:val="0"/>
            <w:vAlign w:val="center"/>
          </w:tcPr>
          <w:p w14:paraId="18A83968">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b w:val="0"/>
                <w:bCs w:val="0"/>
                <w:color w:val="auto"/>
                <w:kern w:val="0"/>
                <w:sz w:val="20"/>
                <w:szCs w:val="20"/>
              </w:rPr>
            </w:pPr>
            <w:r>
              <w:rPr>
                <w:rFonts w:hint="eastAsia" w:ascii="仿宋" w:hAnsi="仿宋" w:eastAsia="仿宋" w:cs="仿宋"/>
                <w:b w:val="0"/>
                <w:bCs w:val="0"/>
                <w:color w:val="auto"/>
                <w:kern w:val="0"/>
                <w:sz w:val="20"/>
                <w:szCs w:val="20"/>
                <w:lang w:val="en-US" w:eastAsia="zh-CN"/>
              </w:rPr>
              <w:t>5</w:t>
            </w:r>
            <w:r>
              <w:rPr>
                <w:rFonts w:hint="eastAsia" w:ascii="仿宋" w:hAnsi="仿宋" w:eastAsia="仿宋" w:cs="仿宋"/>
                <w:b w:val="0"/>
                <w:bCs w:val="0"/>
                <w:color w:val="auto"/>
                <w:kern w:val="0"/>
                <w:sz w:val="20"/>
                <w:szCs w:val="20"/>
              </w:rPr>
              <w:t>　</w:t>
            </w:r>
          </w:p>
        </w:tc>
        <w:tc>
          <w:tcPr>
            <w:tcW w:w="1832" w:type="dxa"/>
            <w:gridSpan w:val="2"/>
            <w:noWrap w:val="0"/>
            <w:vAlign w:val="center"/>
          </w:tcPr>
          <w:p w14:paraId="3206C23A">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b w:val="0"/>
                <w:bCs w:val="0"/>
                <w:color w:val="auto"/>
                <w:kern w:val="0"/>
                <w:sz w:val="20"/>
                <w:szCs w:val="20"/>
              </w:rPr>
            </w:pPr>
            <w:r>
              <w:rPr>
                <w:rFonts w:hint="eastAsia" w:ascii="仿宋" w:hAnsi="仿宋" w:eastAsia="仿宋" w:cs="仿宋"/>
                <w:b w:val="0"/>
                <w:bCs w:val="0"/>
                <w:color w:val="auto"/>
                <w:kern w:val="0"/>
                <w:sz w:val="20"/>
                <w:szCs w:val="20"/>
                <w:lang w:val="en-US" w:eastAsia="zh-CN"/>
              </w:rPr>
              <w:t>2</w:t>
            </w:r>
            <w:r>
              <w:rPr>
                <w:rFonts w:hint="eastAsia" w:ascii="仿宋" w:hAnsi="仿宋" w:eastAsia="仿宋" w:cs="仿宋"/>
                <w:b w:val="0"/>
                <w:bCs w:val="0"/>
                <w:color w:val="auto"/>
                <w:kern w:val="0"/>
                <w:sz w:val="20"/>
                <w:szCs w:val="20"/>
              </w:rPr>
              <w:t>　</w:t>
            </w:r>
          </w:p>
        </w:tc>
      </w:tr>
      <w:tr w14:paraId="2AE60D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4AF5BA98">
            <w:pPr>
              <w:keepNext w:val="0"/>
              <w:keepLines w:val="0"/>
              <w:pageBreakBefore w:val="0"/>
              <w:widowControl/>
              <w:kinsoku/>
              <w:wordWrap/>
              <w:overflowPunct/>
              <w:topLinePunct w:val="0"/>
              <w:autoSpaceDE/>
              <w:autoSpaceDN/>
              <w:bidi w:val="0"/>
              <w:adjustRightInd/>
              <w:snapToGrid/>
              <w:spacing w:line="220" w:lineRule="exact"/>
              <w:jc w:val="left"/>
              <w:textAlignment w:val="auto"/>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政府采购金额</w:t>
            </w:r>
          </w:p>
        </w:tc>
        <w:tc>
          <w:tcPr>
            <w:tcW w:w="2038" w:type="dxa"/>
            <w:gridSpan w:val="2"/>
            <w:noWrap w:val="0"/>
            <w:vAlign w:val="center"/>
          </w:tcPr>
          <w:p w14:paraId="6B399178">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b w:val="0"/>
                <w:bCs w:val="0"/>
                <w:kern w:val="0"/>
                <w:sz w:val="20"/>
                <w:szCs w:val="20"/>
              </w:rPr>
            </w:pPr>
            <w:r>
              <w:rPr>
                <w:rFonts w:hint="eastAsia" w:ascii="仿宋" w:hAnsi="仿宋" w:eastAsia="仿宋" w:cs="仿宋"/>
                <w:kern w:val="0"/>
                <w:sz w:val="20"/>
                <w:szCs w:val="20"/>
              </w:rPr>
              <w:t>807.95　</w:t>
            </w:r>
          </w:p>
        </w:tc>
        <w:tc>
          <w:tcPr>
            <w:tcW w:w="2240" w:type="dxa"/>
            <w:gridSpan w:val="2"/>
            <w:noWrap w:val="0"/>
            <w:vAlign w:val="center"/>
          </w:tcPr>
          <w:p w14:paraId="4ED0C37B">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b w:val="0"/>
                <w:bCs w:val="0"/>
                <w:color w:val="auto"/>
                <w:kern w:val="0"/>
                <w:sz w:val="20"/>
                <w:szCs w:val="20"/>
              </w:rPr>
            </w:pPr>
            <w:r>
              <w:rPr>
                <w:rFonts w:hint="eastAsia" w:ascii="仿宋" w:hAnsi="仿宋" w:eastAsia="仿宋" w:cs="仿宋"/>
                <w:b w:val="0"/>
                <w:bCs w:val="0"/>
                <w:color w:val="auto"/>
                <w:kern w:val="0"/>
                <w:sz w:val="20"/>
                <w:szCs w:val="20"/>
                <w:lang w:val="en-US" w:eastAsia="zh-CN"/>
              </w:rPr>
              <w:t>1186.24</w:t>
            </w:r>
            <w:r>
              <w:rPr>
                <w:rFonts w:hint="eastAsia" w:ascii="仿宋" w:hAnsi="仿宋" w:eastAsia="仿宋" w:cs="仿宋"/>
                <w:b w:val="0"/>
                <w:bCs w:val="0"/>
                <w:color w:val="auto"/>
                <w:kern w:val="0"/>
                <w:sz w:val="20"/>
                <w:szCs w:val="20"/>
              </w:rPr>
              <w:t>　</w:t>
            </w:r>
          </w:p>
        </w:tc>
        <w:tc>
          <w:tcPr>
            <w:tcW w:w="1832" w:type="dxa"/>
            <w:gridSpan w:val="2"/>
            <w:noWrap w:val="0"/>
            <w:vAlign w:val="center"/>
          </w:tcPr>
          <w:p w14:paraId="785F6FFF">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default" w:ascii="仿宋" w:hAnsi="仿宋" w:eastAsia="仿宋" w:cs="仿宋"/>
                <w:b w:val="0"/>
                <w:bCs w:val="0"/>
                <w:color w:val="auto"/>
                <w:kern w:val="0"/>
                <w:sz w:val="20"/>
                <w:szCs w:val="20"/>
                <w:lang w:val="en-US" w:eastAsia="zh-CN"/>
              </w:rPr>
            </w:pPr>
            <w:r>
              <w:rPr>
                <w:rFonts w:hint="eastAsia" w:ascii="仿宋" w:hAnsi="仿宋" w:eastAsia="仿宋" w:cs="仿宋"/>
                <w:b w:val="0"/>
                <w:bCs w:val="0"/>
                <w:color w:val="auto"/>
                <w:kern w:val="0"/>
                <w:sz w:val="20"/>
                <w:szCs w:val="20"/>
              </w:rPr>
              <w:t>　</w:t>
            </w:r>
            <w:r>
              <w:rPr>
                <w:rFonts w:hint="eastAsia" w:ascii="仿宋" w:hAnsi="仿宋" w:eastAsia="仿宋" w:cs="仿宋"/>
                <w:b w:val="0"/>
                <w:bCs w:val="0"/>
                <w:color w:val="auto"/>
                <w:kern w:val="0"/>
                <w:sz w:val="20"/>
                <w:szCs w:val="20"/>
                <w:lang w:val="en-US" w:eastAsia="zh-CN"/>
              </w:rPr>
              <w:t>645.13</w:t>
            </w:r>
          </w:p>
        </w:tc>
      </w:tr>
      <w:tr w14:paraId="6CF378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0DBB2E83">
            <w:pPr>
              <w:keepNext w:val="0"/>
              <w:keepLines w:val="0"/>
              <w:pageBreakBefore w:val="0"/>
              <w:widowControl/>
              <w:kinsoku/>
              <w:wordWrap/>
              <w:overflowPunct/>
              <w:topLinePunct w:val="0"/>
              <w:autoSpaceDE/>
              <w:autoSpaceDN/>
              <w:bidi w:val="0"/>
              <w:adjustRightInd/>
              <w:snapToGrid/>
              <w:spacing w:line="220" w:lineRule="exact"/>
              <w:jc w:val="left"/>
              <w:textAlignment w:val="auto"/>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xml:space="preserve">部门基本支出预算调整 </w:t>
            </w:r>
          </w:p>
        </w:tc>
        <w:tc>
          <w:tcPr>
            <w:tcW w:w="2038" w:type="dxa"/>
            <w:gridSpan w:val="2"/>
            <w:noWrap w:val="0"/>
            <w:vAlign w:val="center"/>
          </w:tcPr>
          <w:p w14:paraId="2F97EA2D">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b w:val="0"/>
                <w:bCs w:val="0"/>
                <w:kern w:val="0"/>
                <w:sz w:val="20"/>
                <w:szCs w:val="20"/>
              </w:rPr>
            </w:pPr>
            <w:r>
              <w:rPr>
                <w:rFonts w:hint="eastAsia" w:ascii="仿宋" w:hAnsi="仿宋" w:eastAsia="仿宋" w:cs="仿宋"/>
                <w:kern w:val="0"/>
                <w:sz w:val="20"/>
                <w:szCs w:val="20"/>
              </w:rPr>
              <w:t>1743.92　</w:t>
            </w:r>
          </w:p>
        </w:tc>
        <w:tc>
          <w:tcPr>
            <w:tcW w:w="2240" w:type="dxa"/>
            <w:gridSpan w:val="2"/>
            <w:noWrap w:val="0"/>
            <w:vAlign w:val="center"/>
          </w:tcPr>
          <w:p w14:paraId="3CD31B24">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1983.04</w:t>
            </w:r>
            <w:r>
              <w:rPr>
                <w:rFonts w:hint="eastAsia" w:ascii="仿宋" w:hAnsi="仿宋" w:eastAsia="仿宋" w:cs="仿宋"/>
                <w:b w:val="0"/>
                <w:bCs w:val="0"/>
                <w:kern w:val="0"/>
                <w:sz w:val="20"/>
                <w:szCs w:val="20"/>
              </w:rPr>
              <w:t>　</w:t>
            </w:r>
          </w:p>
        </w:tc>
        <w:tc>
          <w:tcPr>
            <w:tcW w:w="1832" w:type="dxa"/>
            <w:gridSpan w:val="2"/>
            <w:noWrap w:val="0"/>
            <w:vAlign w:val="center"/>
          </w:tcPr>
          <w:p w14:paraId="57359801">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1979.60</w:t>
            </w:r>
            <w:r>
              <w:rPr>
                <w:rFonts w:hint="eastAsia" w:ascii="仿宋" w:hAnsi="仿宋" w:eastAsia="仿宋" w:cs="仿宋"/>
                <w:b w:val="0"/>
                <w:bCs w:val="0"/>
                <w:kern w:val="0"/>
                <w:sz w:val="20"/>
                <w:szCs w:val="20"/>
              </w:rPr>
              <w:t>　</w:t>
            </w:r>
          </w:p>
        </w:tc>
      </w:tr>
      <w:tr w14:paraId="2F908E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7" w:hRule="atLeast"/>
          <w:jc w:val="center"/>
        </w:trPr>
        <w:tc>
          <w:tcPr>
            <w:tcW w:w="3354" w:type="dxa"/>
            <w:vMerge w:val="restart"/>
            <w:noWrap w:val="0"/>
            <w:vAlign w:val="center"/>
          </w:tcPr>
          <w:p w14:paraId="7020F75F">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b w:val="0"/>
                <w:bCs w:val="0"/>
                <w:kern w:val="0"/>
                <w:sz w:val="20"/>
                <w:szCs w:val="20"/>
                <w:lang w:eastAsia="zh-CN"/>
              </w:rPr>
            </w:pPr>
            <w:r>
              <w:rPr>
                <w:rFonts w:hint="eastAsia" w:ascii="仿宋" w:hAnsi="仿宋" w:eastAsia="仿宋" w:cs="仿宋"/>
                <w:b w:val="0"/>
                <w:bCs w:val="0"/>
                <w:kern w:val="0"/>
                <w:sz w:val="20"/>
                <w:szCs w:val="20"/>
              </w:rPr>
              <w:t>楼堂馆所控制情况</w:t>
            </w:r>
            <w:r>
              <w:rPr>
                <w:rFonts w:hint="eastAsia" w:ascii="仿宋" w:hAnsi="仿宋" w:eastAsia="仿宋" w:cs="仿宋"/>
                <w:b w:val="0"/>
                <w:bCs w:val="0"/>
                <w:kern w:val="0"/>
                <w:sz w:val="20"/>
                <w:szCs w:val="20"/>
              </w:rPr>
              <w:br w:type="textWrapping"/>
            </w:r>
            <w:r>
              <w:rPr>
                <w:rFonts w:hint="eastAsia" w:ascii="仿宋" w:hAnsi="仿宋" w:eastAsia="仿宋" w:cs="仿宋"/>
                <w:b w:val="0"/>
                <w:bCs w:val="0"/>
                <w:kern w:val="0"/>
                <w:sz w:val="20"/>
                <w:szCs w:val="20"/>
                <w:lang w:eastAsia="zh-CN"/>
              </w:rPr>
              <w:t>（</w:t>
            </w:r>
            <w:r>
              <w:rPr>
                <w:rFonts w:hint="eastAsia" w:ascii="仿宋" w:hAnsi="仿宋" w:eastAsia="仿宋" w:cs="仿宋"/>
                <w:b w:val="0"/>
                <w:bCs w:val="0"/>
                <w:kern w:val="0"/>
                <w:sz w:val="20"/>
                <w:szCs w:val="20"/>
                <w:lang w:val="en-US" w:eastAsia="zh-CN"/>
              </w:rPr>
              <w:t>2025年完工情况</w:t>
            </w:r>
            <w:r>
              <w:rPr>
                <w:rFonts w:hint="eastAsia" w:ascii="仿宋" w:hAnsi="仿宋" w:eastAsia="仿宋" w:cs="仿宋"/>
                <w:b w:val="0"/>
                <w:bCs w:val="0"/>
                <w:kern w:val="0"/>
                <w:sz w:val="20"/>
                <w:szCs w:val="20"/>
                <w:lang w:eastAsia="zh-CN"/>
              </w:rPr>
              <w:t>）</w:t>
            </w:r>
          </w:p>
        </w:tc>
        <w:tc>
          <w:tcPr>
            <w:tcW w:w="1189" w:type="dxa"/>
            <w:noWrap w:val="0"/>
            <w:vAlign w:val="center"/>
          </w:tcPr>
          <w:p w14:paraId="528C6882">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批复规模</w:t>
            </w:r>
            <w:r>
              <w:rPr>
                <w:rFonts w:hint="eastAsia" w:ascii="仿宋" w:hAnsi="仿宋" w:eastAsia="仿宋" w:cs="仿宋"/>
                <w:b w:val="0"/>
                <w:bCs w:val="0"/>
                <w:kern w:val="0"/>
                <w:sz w:val="20"/>
                <w:szCs w:val="20"/>
              </w:rPr>
              <w:br w:type="textWrapping"/>
            </w:r>
            <w:r>
              <w:rPr>
                <w:rFonts w:hint="eastAsia" w:ascii="仿宋" w:hAnsi="仿宋" w:eastAsia="仿宋" w:cs="仿宋"/>
                <w:b w:val="0"/>
                <w:bCs w:val="0"/>
                <w:kern w:val="0"/>
                <w:sz w:val="20"/>
                <w:szCs w:val="20"/>
              </w:rPr>
              <w:t>（㎡）</w:t>
            </w:r>
          </w:p>
        </w:tc>
        <w:tc>
          <w:tcPr>
            <w:tcW w:w="849" w:type="dxa"/>
            <w:noWrap w:val="0"/>
            <w:vAlign w:val="center"/>
          </w:tcPr>
          <w:p w14:paraId="32D21B92">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实际规模（㎡）</w:t>
            </w:r>
          </w:p>
        </w:tc>
        <w:tc>
          <w:tcPr>
            <w:tcW w:w="1129" w:type="dxa"/>
            <w:noWrap w:val="0"/>
            <w:vAlign w:val="center"/>
          </w:tcPr>
          <w:p w14:paraId="59676884">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规模控制率</w:t>
            </w:r>
          </w:p>
        </w:tc>
        <w:tc>
          <w:tcPr>
            <w:tcW w:w="1111" w:type="dxa"/>
            <w:noWrap w:val="0"/>
            <w:vAlign w:val="center"/>
          </w:tcPr>
          <w:p w14:paraId="5E5E4E2A">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预算投资（万元）</w:t>
            </w:r>
          </w:p>
        </w:tc>
        <w:tc>
          <w:tcPr>
            <w:tcW w:w="969" w:type="dxa"/>
            <w:noWrap w:val="0"/>
            <w:vAlign w:val="center"/>
          </w:tcPr>
          <w:p w14:paraId="6977746F">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实际投资（万元）</w:t>
            </w:r>
          </w:p>
        </w:tc>
        <w:tc>
          <w:tcPr>
            <w:tcW w:w="863" w:type="dxa"/>
            <w:noWrap w:val="0"/>
            <w:vAlign w:val="center"/>
          </w:tcPr>
          <w:p w14:paraId="07C7079D">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投资概算控制率</w:t>
            </w:r>
          </w:p>
        </w:tc>
      </w:tr>
      <w:tr w14:paraId="2C72FB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3354" w:type="dxa"/>
            <w:vMerge w:val="continue"/>
            <w:noWrap w:val="0"/>
            <w:vAlign w:val="center"/>
          </w:tcPr>
          <w:p w14:paraId="14413BF4">
            <w:pPr>
              <w:keepNext w:val="0"/>
              <w:keepLines w:val="0"/>
              <w:pageBreakBefore w:val="0"/>
              <w:widowControl/>
              <w:kinsoku/>
              <w:wordWrap/>
              <w:overflowPunct/>
              <w:topLinePunct w:val="0"/>
              <w:autoSpaceDE/>
              <w:autoSpaceDN/>
              <w:bidi w:val="0"/>
              <w:adjustRightInd/>
              <w:snapToGrid/>
              <w:spacing w:line="220" w:lineRule="exact"/>
              <w:jc w:val="left"/>
              <w:textAlignment w:val="auto"/>
              <w:rPr>
                <w:rFonts w:hint="eastAsia" w:ascii="仿宋" w:hAnsi="仿宋" w:eastAsia="仿宋" w:cs="仿宋"/>
                <w:b w:val="0"/>
                <w:bCs w:val="0"/>
                <w:kern w:val="0"/>
                <w:sz w:val="20"/>
                <w:szCs w:val="20"/>
              </w:rPr>
            </w:pPr>
          </w:p>
        </w:tc>
        <w:tc>
          <w:tcPr>
            <w:tcW w:w="1189" w:type="dxa"/>
            <w:noWrap w:val="0"/>
            <w:vAlign w:val="center"/>
          </w:tcPr>
          <w:p w14:paraId="745CE46A">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b w:val="0"/>
                <w:bCs w:val="0"/>
                <w:kern w:val="0"/>
                <w:sz w:val="20"/>
                <w:szCs w:val="20"/>
                <w:lang w:val="en-US" w:eastAsia="zh-CN"/>
              </w:rPr>
            </w:pPr>
            <w:r>
              <w:rPr>
                <w:rFonts w:hint="eastAsia" w:ascii="仿宋" w:hAnsi="仿宋" w:eastAsia="仿宋" w:cs="仿宋"/>
                <w:b w:val="0"/>
                <w:bCs w:val="0"/>
                <w:kern w:val="0"/>
                <w:sz w:val="20"/>
                <w:szCs w:val="20"/>
              </w:rPr>
              <w:t>　</w:t>
            </w:r>
            <w:r>
              <w:rPr>
                <w:rFonts w:hint="eastAsia" w:ascii="仿宋" w:hAnsi="仿宋" w:eastAsia="仿宋" w:cs="仿宋"/>
                <w:b w:val="0"/>
                <w:bCs w:val="0"/>
                <w:kern w:val="0"/>
                <w:sz w:val="20"/>
                <w:szCs w:val="20"/>
                <w:lang w:eastAsia="zh-CN"/>
              </w:rPr>
              <w:t>无</w:t>
            </w:r>
          </w:p>
        </w:tc>
        <w:tc>
          <w:tcPr>
            <w:tcW w:w="849" w:type="dxa"/>
            <w:noWrap w:val="0"/>
            <w:vAlign w:val="center"/>
          </w:tcPr>
          <w:p w14:paraId="1B100B4D">
            <w:pPr>
              <w:keepNext w:val="0"/>
              <w:keepLines w:val="0"/>
              <w:pageBreakBefore w:val="0"/>
              <w:widowControl/>
              <w:kinsoku/>
              <w:wordWrap/>
              <w:overflowPunct/>
              <w:topLinePunct w:val="0"/>
              <w:autoSpaceDE/>
              <w:autoSpaceDN/>
              <w:bidi w:val="0"/>
              <w:adjustRightInd/>
              <w:snapToGrid/>
              <w:spacing w:line="220" w:lineRule="exact"/>
              <w:jc w:val="left"/>
              <w:textAlignment w:val="auto"/>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w:t>
            </w:r>
          </w:p>
        </w:tc>
        <w:tc>
          <w:tcPr>
            <w:tcW w:w="1129" w:type="dxa"/>
            <w:noWrap w:val="0"/>
            <w:vAlign w:val="center"/>
          </w:tcPr>
          <w:p w14:paraId="7F8628FE">
            <w:pPr>
              <w:keepNext w:val="0"/>
              <w:keepLines w:val="0"/>
              <w:pageBreakBefore w:val="0"/>
              <w:widowControl/>
              <w:kinsoku/>
              <w:wordWrap/>
              <w:overflowPunct/>
              <w:topLinePunct w:val="0"/>
              <w:autoSpaceDE/>
              <w:autoSpaceDN/>
              <w:bidi w:val="0"/>
              <w:adjustRightInd/>
              <w:snapToGrid/>
              <w:spacing w:line="220" w:lineRule="exact"/>
              <w:jc w:val="left"/>
              <w:textAlignment w:val="auto"/>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w:t>
            </w:r>
          </w:p>
        </w:tc>
        <w:tc>
          <w:tcPr>
            <w:tcW w:w="1111" w:type="dxa"/>
            <w:noWrap w:val="0"/>
            <w:vAlign w:val="center"/>
          </w:tcPr>
          <w:p w14:paraId="0EBDDCAF">
            <w:pPr>
              <w:keepNext w:val="0"/>
              <w:keepLines w:val="0"/>
              <w:pageBreakBefore w:val="0"/>
              <w:widowControl/>
              <w:kinsoku/>
              <w:wordWrap/>
              <w:overflowPunct/>
              <w:topLinePunct w:val="0"/>
              <w:autoSpaceDE/>
              <w:autoSpaceDN/>
              <w:bidi w:val="0"/>
              <w:adjustRightInd/>
              <w:snapToGrid/>
              <w:spacing w:line="220" w:lineRule="exact"/>
              <w:jc w:val="left"/>
              <w:textAlignment w:val="auto"/>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w:t>
            </w:r>
          </w:p>
        </w:tc>
        <w:tc>
          <w:tcPr>
            <w:tcW w:w="969" w:type="dxa"/>
            <w:noWrap w:val="0"/>
            <w:vAlign w:val="center"/>
          </w:tcPr>
          <w:p w14:paraId="090CB1AB">
            <w:pPr>
              <w:keepNext w:val="0"/>
              <w:keepLines w:val="0"/>
              <w:pageBreakBefore w:val="0"/>
              <w:widowControl/>
              <w:kinsoku/>
              <w:wordWrap/>
              <w:overflowPunct/>
              <w:topLinePunct w:val="0"/>
              <w:autoSpaceDE/>
              <w:autoSpaceDN/>
              <w:bidi w:val="0"/>
              <w:adjustRightInd/>
              <w:snapToGrid/>
              <w:spacing w:line="220" w:lineRule="exact"/>
              <w:jc w:val="left"/>
              <w:textAlignment w:val="auto"/>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w:t>
            </w:r>
          </w:p>
        </w:tc>
        <w:tc>
          <w:tcPr>
            <w:tcW w:w="863" w:type="dxa"/>
            <w:noWrap w:val="0"/>
            <w:vAlign w:val="center"/>
          </w:tcPr>
          <w:p w14:paraId="67F15FFA">
            <w:pPr>
              <w:keepNext w:val="0"/>
              <w:keepLines w:val="0"/>
              <w:pageBreakBefore w:val="0"/>
              <w:widowControl/>
              <w:kinsoku/>
              <w:wordWrap/>
              <w:overflowPunct/>
              <w:topLinePunct w:val="0"/>
              <w:autoSpaceDE/>
              <w:autoSpaceDN/>
              <w:bidi w:val="0"/>
              <w:adjustRightInd/>
              <w:snapToGrid/>
              <w:spacing w:line="220" w:lineRule="exact"/>
              <w:jc w:val="left"/>
              <w:textAlignment w:val="auto"/>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w:t>
            </w:r>
          </w:p>
        </w:tc>
      </w:tr>
      <w:tr w14:paraId="6B50E7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3354" w:type="dxa"/>
            <w:noWrap w:val="0"/>
            <w:vAlign w:val="center"/>
          </w:tcPr>
          <w:p w14:paraId="24A3C26F">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厉行节约保障措施</w:t>
            </w:r>
          </w:p>
        </w:tc>
        <w:tc>
          <w:tcPr>
            <w:tcW w:w="6110" w:type="dxa"/>
            <w:gridSpan w:val="6"/>
            <w:noWrap w:val="0"/>
            <w:vAlign w:val="center"/>
          </w:tcPr>
          <w:p w14:paraId="4847C392">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202</w:t>
            </w:r>
            <w:r>
              <w:rPr>
                <w:rFonts w:hint="eastAsia" w:ascii="仿宋" w:hAnsi="仿宋" w:eastAsia="仿宋" w:cs="仿宋"/>
                <w:b w:val="0"/>
                <w:bCs w:val="0"/>
                <w:kern w:val="0"/>
                <w:sz w:val="20"/>
                <w:szCs w:val="20"/>
                <w:lang w:val="en-US" w:eastAsia="zh-CN"/>
              </w:rPr>
              <w:t>5</w:t>
            </w:r>
            <w:r>
              <w:rPr>
                <w:rFonts w:hint="eastAsia" w:ascii="仿宋" w:hAnsi="仿宋" w:eastAsia="仿宋" w:cs="仿宋"/>
                <w:b w:val="0"/>
                <w:bCs w:val="0"/>
                <w:kern w:val="0"/>
                <w:sz w:val="20"/>
                <w:szCs w:val="20"/>
              </w:rPr>
              <w:t>年中心更为严格控制一般性支出，压减不必要的开支。从细节处落实厉行节约措施，加强对中心的货物、服务采购事前审批管理；严明公务接待纪律，实施公务接待互联网+监督公开，确保“过紧日子”要求落在实处。　</w:t>
            </w:r>
          </w:p>
        </w:tc>
      </w:tr>
    </w:tbl>
    <w:p w14:paraId="00F6D30B">
      <w:pPr>
        <w:pStyle w:val="21"/>
        <w:keepNext/>
        <w:keepLines/>
        <w:pageBreakBefore w:val="0"/>
        <w:widowControl w:val="0"/>
        <w:kinsoku/>
        <w:wordWrap/>
        <w:overflowPunct/>
        <w:topLinePunct w:val="0"/>
        <w:autoSpaceDE/>
        <w:autoSpaceDN/>
        <w:bidi w:val="0"/>
        <w:adjustRightInd/>
        <w:snapToGrid/>
        <w:spacing w:line="280" w:lineRule="exact"/>
        <w:textAlignment w:val="auto"/>
        <w:rPr>
          <w:rFonts w:hint="eastAsia"/>
          <w:lang w:val="en-US" w:eastAsia="zh-CN"/>
        </w:rPr>
      </w:pPr>
      <w:r>
        <w:rPr>
          <w:rFonts w:eastAsia="仿宋_GB2312"/>
          <w:kern w:val="0"/>
          <w:sz w:val="22"/>
        </w:rPr>
        <w:t>说明：“项目支出”需要填报基本支出以外的所有项目支出情况，“公用经费”填报基本支出中的一般商品和服务支出。</w:t>
      </w:r>
    </w:p>
    <w:p w14:paraId="4E00B4E1">
      <w:pPr>
        <w:keepNext w:val="0"/>
        <w:keepLines w:val="0"/>
        <w:pageBreakBefore w:val="0"/>
        <w:widowControl w:val="0"/>
        <w:kinsoku/>
        <w:wordWrap/>
        <w:overflowPunct/>
        <w:topLinePunct w:val="0"/>
        <w:autoSpaceDE/>
        <w:autoSpaceDN/>
        <w:bidi w:val="0"/>
        <w:adjustRightInd/>
        <w:snapToGrid/>
        <w:spacing w:line="540" w:lineRule="exact"/>
        <w:jc w:val="left"/>
        <w:textAlignment w:val="auto"/>
        <w:rPr>
          <w:rFonts w:hint="default" w:ascii="方正小标宋_GBK" w:hAnsi="方正小标宋_GBK" w:eastAsia="方正小标宋_GBK" w:cs="方正小标宋_GBK"/>
          <w:i w:val="0"/>
          <w:iCs w:val="0"/>
          <w:caps w:val="0"/>
          <w:color w:val="000000"/>
          <w:spacing w:val="0"/>
          <w:sz w:val="32"/>
          <w:szCs w:val="32"/>
          <w:shd w:val="clear" w:fill="FFFFFF"/>
          <w:lang w:val="en-US" w:eastAsia="zh-CN"/>
        </w:rPr>
      </w:pPr>
      <w:r>
        <w:rPr>
          <w:rFonts w:hint="default" w:ascii="Times New Roman" w:hAnsi="Times New Roman" w:eastAsia="仿宋_GB2312" w:cs="Times New Roman"/>
          <w:snapToGrid/>
          <w:color w:val="000000"/>
          <w:kern w:val="0"/>
          <w:sz w:val="24"/>
          <w:szCs w:val="24"/>
          <w:lang w:val="en-US" w:eastAsia="zh-CN" w:bidi="ar-SA"/>
        </w:rPr>
        <w:t>填表人：</w:t>
      </w:r>
      <w:r>
        <w:rPr>
          <w:rFonts w:hint="eastAsia" w:ascii="Times New Roman" w:hAnsi="Times New Roman" w:eastAsia="仿宋_GB2312" w:cs="Times New Roman"/>
          <w:snapToGrid/>
          <w:color w:val="000000"/>
          <w:kern w:val="0"/>
          <w:sz w:val="24"/>
          <w:szCs w:val="24"/>
          <w:lang w:val="en-US" w:eastAsia="zh-CN" w:bidi="ar-SA"/>
        </w:rPr>
        <w:t xml:space="preserve">肖安培      </w:t>
      </w:r>
      <w:r>
        <w:rPr>
          <w:rFonts w:hint="default" w:ascii="Times New Roman" w:hAnsi="Times New Roman" w:eastAsia="仿宋_GB2312" w:cs="Times New Roman"/>
          <w:snapToGrid/>
          <w:color w:val="000000"/>
          <w:kern w:val="0"/>
          <w:sz w:val="24"/>
          <w:szCs w:val="24"/>
          <w:lang w:val="en-US" w:eastAsia="zh-CN" w:bidi="ar-SA"/>
        </w:rPr>
        <w:t xml:space="preserve">  填报日期：</w:t>
      </w:r>
      <w:r>
        <w:rPr>
          <w:rFonts w:hint="eastAsia" w:ascii="Times New Roman" w:hAnsi="Times New Roman" w:eastAsia="仿宋_GB2312" w:cs="Times New Roman"/>
          <w:snapToGrid/>
          <w:color w:val="000000"/>
          <w:kern w:val="0"/>
          <w:sz w:val="24"/>
          <w:szCs w:val="24"/>
          <w:lang w:val="en-US" w:eastAsia="zh-CN" w:bidi="ar-SA"/>
        </w:rPr>
        <w:t xml:space="preserve">2026年6月15日   </w:t>
      </w:r>
      <w:r>
        <w:rPr>
          <w:rFonts w:hint="default" w:ascii="Times New Roman" w:hAnsi="Times New Roman" w:eastAsia="仿宋_GB2312" w:cs="Times New Roman"/>
          <w:snapToGrid/>
          <w:color w:val="000000"/>
          <w:kern w:val="0"/>
          <w:sz w:val="24"/>
          <w:szCs w:val="24"/>
          <w:lang w:val="en-US" w:eastAsia="zh-CN" w:bidi="ar-SA"/>
        </w:rPr>
        <w:t>联系电话：</w:t>
      </w:r>
      <w:r>
        <w:rPr>
          <w:rFonts w:hint="eastAsia" w:ascii="Times New Roman" w:hAnsi="Times New Roman" w:eastAsia="仿宋_GB2312" w:cs="Times New Roman"/>
          <w:snapToGrid/>
          <w:color w:val="000000"/>
          <w:kern w:val="0"/>
          <w:sz w:val="24"/>
          <w:szCs w:val="24"/>
          <w:lang w:val="en-US" w:eastAsia="zh-CN" w:bidi="ar-SA"/>
        </w:rPr>
        <w:t>0745-2278616</w:t>
      </w:r>
    </w:p>
    <w:p w14:paraId="78799063">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default" w:ascii="方正小标宋_GBK" w:hAnsi="方正小标宋_GBK" w:eastAsia="方正小标宋_GBK" w:cs="方正小标宋_GBK"/>
          <w:i w:val="0"/>
          <w:iCs w:val="0"/>
          <w:caps w:val="0"/>
          <w:color w:val="000000"/>
          <w:spacing w:val="0"/>
          <w:sz w:val="24"/>
          <w:szCs w:val="24"/>
          <w:shd w:val="clear" w:fill="FFFFFF"/>
          <w:lang w:val="en-US" w:eastAsia="zh-CN"/>
        </w:rPr>
      </w:pPr>
    </w:p>
    <w:p w14:paraId="0796D891">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p>
    <w:p w14:paraId="09888C20">
      <w:pPr>
        <w:rPr>
          <w:rFonts w:eastAsia="仿宋_GB2312"/>
          <w:color w:val="000000"/>
          <w:kern w:val="0"/>
          <w:sz w:val="32"/>
          <w:szCs w:val="32"/>
        </w:rPr>
        <w:sectPr>
          <w:pgSz w:w="11906" w:h="16838"/>
          <w:pgMar w:top="1247" w:right="1800" w:bottom="1247" w:left="1800" w:header="851" w:footer="992" w:gutter="0"/>
          <w:pgNumType w:fmt="decimal"/>
          <w:cols w:space="0" w:num="1"/>
          <w:rtlGutter w:val="0"/>
          <w:docGrid w:type="lines" w:linePitch="312" w:charSpace="0"/>
        </w:sectPr>
      </w:pPr>
    </w:p>
    <w:p w14:paraId="34E0E853">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default" w:ascii="方正小标宋_GBK" w:hAnsi="方正小标宋_GBK" w:eastAsia="方正小标宋_GBK" w:cs="方正小标宋_GBK"/>
          <w:i w:val="0"/>
          <w:iCs w:val="0"/>
          <w:caps w:val="0"/>
          <w:color w:val="000000"/>
          <w:spacing w:val="0"/>
          <w:sz w:val="24"/>
          <w:szCs w:val="24"/>
          <w:shd w:val="clear" w:fill="FFFFFF"/>
          <w:lang w:val="en-US" w:eastAsia="zh-CN"/>
        </w:rPr>
      </w:pPr>
      <w:r>
        <w:rPr>
          <w:rFonts w:hint="default" w:ascii="方正小标宋_GBK" w:hAnsi="方正小标宋_GBK" w:eastAsia="方正小标宋_GBK" w:cs="方正小标宋_GBK"/>
          <w:i w:val="0"/>
          <w:iCs w:val="0"/>
          <w:caps w:val="0"/>
          <w:color w:val="000000"/>
          <w:spacing w:val="0"/>
          <w:sz w:val="24"/>
          <w:szCs w:val="24"/>
          <w:shd w:val="clear" w:fill="FFFFFF"/>
          <w:lang w:val="en-US" w:eastAsia="zh-CN"/>
        </w:rPr>
        <w:t>附件2</w:t>
      </w:r>
    </w:p>
    <w:p w14:paraId="6AD95C55">
      <w:pPr>
        <w:keepNext w:val="0"/>
        <w:keepLines w:val="0"/>
        <w:pageBreakBefore w:val="0"/>
        <w:widowControl/>
        <w:tabs>
          <w:tab w:val="left" w:pos="2555"/>
          <w:tab w:val="left" w:pos="3611"/>
          <w:tab w:val="center" w:pos="4365"/>
          <w:tab w:val="left" w:pos="4791"/>
          <w:tab w:val="left" w:pos="5951"/>
          <w:tab w:val="left" w:pos="7071"/>
          <w:tab w:val="left" w:pos="8191"/>
          <w:tab w:val="left" w:pos="9311"/>
        </w:tabs>
        <w:kinsoku/>
        <w:wordWrap/>
        <w:overflowPunct/>
        <w:topLinePunct w:val="0"/>
        <w:autoSpaceDE/>
        <w:autoSpaceDN/>
        <w:bidi w:val="0"/>
        <w:adjustRightInd/>
        <w:snapToGrid/>
        <w:spacing w:line="480" w:lineRule="exact"/>
        <w:ind w:left="91"/>
        <w:jc w:val="left"/>
        <w:textAlignment w:val="auto"/>
        <w:rPr>
          <w:rFonts w:hint="eastAsia" w:ascii="方正小标宋简体" w:hAnsi="方正小标宋简体" w:eastAsia="方正小标宋简体" w:cs="方正小标宋简体"/>
          <w:color w:val="000000"/>
          <w:kern w:val="0"/>
          <w:sz w:val="36"/>
          <w:szCs w:val="36"/>
          <w:lang w:val="en-US" w:eastAsia="zh-CN"/>
        </w:rPr>
      </w:pPr>
      <w:r>
        <w:rPr>
          <w:rFonts w:hint="eastAsia" w:ascii="方正小标宋简体" w:hAnsi="方正小标宋简体" w:eastAsia="方正小标宋简体" w:cs="方正小标宋简体"/>
          <w:color w:val="000000"/>
          <w:kern w:val="0"/>
          <w:sz w:val="36"/>
          <w:szCs w:val="36"/>
          <w:lang w:val="en-US" w:eastAsia="zh-CN"/>
        </w:rPr>
        <w:tab/>
      </w:r>
      <w:r>
        <w:rPr>
          <w:rFonts w:hint="eastAsia" w:ascii="方正小标宋简体" w:hAnsi="方正小标宋简体" w:eastAsia="方正小标宋简体" w:cs="方正小标宋简体"/>
          <w:color w:val="000000"/>
          <w:kern w:val="0"/>
          <w:sz w:val="36"/>
          <w:szCs w:val="36"/>
          <w:lang w:val="en-US" w:eastAsia="zh-CN"/>
        </w:rPr>
        <w:t>部门整体支出绩效自评表</w:t>
      </w:r>
    </w:p>
    <w:tbl>
      <w:tblPr>
        <w:tblStyle w:val="10"/>
        <w:tblW w:w="98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09"/>
        <w:gridCol w:w="1112"/>
        <w:gridCol w:w="1052"/>
        <w:gridCol w:w="989"/>
        <w:gridCol w:w="639"/>
        <w:gridCol w:w="615"/>
        <w:gridCol w:w="554"/>
        <w:gridCol w:w="1111"/>
        <w:gridCol w:w="688"/>
        <w:gridCol w:w="816"/>
        <w:gridCol w:w="1187"/>
      </w:tblGrid>
      <w:tr w14:paraId="4C9EED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1109" w:type="dxa"/>
            <w:noWrap w:val="0"/>
            <w:vAlign w:val="center"/>
          </w:tcPr>
          <w:p w14:paraId="4AF32673">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预算</w:t>
            </w:r>
            <w:r>
              <w:rPr>
                <w:rFonts w:hint="eastAsia" w:ascii="仿宋" w:hAnsi="仿宋" w:eastAsia="仿宋" w:cs="仿宋"/>
                <w:color w:val="000000"/>
                <w:kern w:val="0"/>
                <w:sz w:val="20"/>
                <w:szCs w:val="20"/>
                <w:lang w:eastAsia="zh-CN"/>
              </w:rPr>
              <w:t>部门</w:t>
            </w:r>
            <w:r>
              <w:rPr>
                <w:rFonts w:hint="eastAsia" w:ascii="仿宋" w:hAnsi="仿宋" w:eastAsia="仿宋" w:cs="仿宋"/>
                <w:color w:val="000000"/>
                <w:kern w:val="0"/>
                <w:sz w:val="20"/>
                <w:szCs w:val="20"/>
              </w:rPr>
              <w:t>名称</w:t>
            </w:r>
          </w:p>
        </w:tc>
        <w:tc>
          <w:tcPr>
            <w:tcW w:w="8763" w:type="dxa"/>
            <w:gridSpan w:val="10"/>
            <w:noWrap w:val="0"/>
            <w:vAlign w:val="center"/>
          </w:tcPr>
          <w:p w14:paraId="7D2D625B">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eastAsia="zh-CN"/>
              </w:rPr>
              <w:t>怀化市住房公积金管理中心</w:t>
            </w:r>
            <w:r>
              <w:rPr>
                <w:rFonts w:hint="eastAsia" w:ascii="仿宋" w:hAnsi="仿宋" w:eastAsia="仿宋" w:cs="仿宋"/>
                <w:color w:val="000000"/>
                <w:kern w:val="0"/>
                <w:sz w:val="20"/>
                <w:szCs w:val="20"/>
              </w:rPr>
              <w:t>　</w:t>
            </w:r>
          </w:p>
        </w:tc>
      </w:tr>
      <w:tr w14:paraId="55A71E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jc w:val="center"/>
        </w:trPr>
        <w:tc>
          <w:tcPr>
            <w:tcW w:w="1109" w:type="dxa"/>
            <w:vMerge w:val="restart"/>
            <w:noWrap w:val="0"/>
            <w:vAlign w:val="center"/>
          </w:tcPr>
          <w:p w14:paraId="6F37F9D7">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年度预</w:t>
            </w:r>
          </w:p>
          <w:p w14:paraId="23137C90">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算申请</w:t>
            </w:r>
            <w:r>
              <w:rPr>
                <w:rFonts w:hint="eastAsia" w:ascii="仿宋" w:hAnsi="仿宋" w:eastAsia="仿宋" w:cs="仿宋"/>
                <w:color w:val="000000"/>
                <w:kern w:val="0"/>
                <w:sz w:val="20"/>
                <w:szCs w:val="20"/>
              </w:rPr>
              <w:br w:type="textWrapping"/>
            </w:r>
            <w:r>
              <w:rPr>
                <w:rFonts w:hint="eastAsia" w:ascii="仿宋" w:hAnsi="仿宋" w:eastAsia="仿宋" w:cs="仿宋"/>
                <w:color w:val="000000"/>
                <w:kern w:val="0"/>
                <w:sz w:val="20"/>
                <w:szCs w:val="20"/>
              </w:rPr>
              <w:t>（万元）</w:t>
            </w:r>
          </w:p>
        </w:tc>
        <w:tc>
          <w:tcPr>
            <w:tcW w:w="2164" w:type="dxa"/>
            <w:gridSpan w:val="2"/>
            <w:noWrap w:val="0"/>
            <w:vAlign w:val="center"/>
          </w:tcPr>
          <w:p w14:paraId="63983689">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sz w:val="20"/>
                <w:szCs w:val="20"/>
              </w:rPr>
            </w:pPr>
          </w:p>
        </w:tc>
        <w:tc>
          <w:tcPr>
            <w:tcW w:w="989" w:type="dxa"/>
            <w:noWrap w:val="0"/>
            <w:vAlign w:val="center"/>
          </w:tcPr>
          <w:p w14:paraId="68E18965">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年初</w:t>
            </w:r>
          </w:p>
          <w:p w14:paraId="5DAC3C19">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预算数</w:t>
            </w:r>
          </w:p>
        </w:tc>
        <w:tc>
          <w:tcPr>
            <w:tcW w:w="1254" w:type="dxa"/>
            <w:gridSpan w:val="2"/>
            <w:noWrap w:val="0"/>
            <w:vAlign w:val="center"/>
          </w:tcPr>
          <w:p w14:paraId="7A2F225B">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全年预算数</w:t>
            </w:r>
          </w:p>
        </w:tc>
        <w:tc>
          <w:tcPr>
            <w:tcW w:w="1665" w:type="dxa"/>
            <w:gridSpan w:val="2"/>
            <w:noWrap w:val="0"/>
            <w:vAlign w:val="center"/>
          </w:tcPr>
          <w:p w14:paraId="2F8CA431">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全年</w:t>
            </w:r>
          </w:p>
          <w:p w14:paraId="179EC1D3">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执行数</w:t>
            </w:r>
          </w:p>
        </w:tc>
        <w:tc>
          <w:tcPr>
            <w:tcW w:w="688" w:type="dxa"/>
            <w:noWrap w:val="0"/>
            <w:vAlign w:val="center"/>
          </w:tcPr>
          <w:p w14:paraId="5A57A91B">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分值</w:t>
            </w:r>
          </w:p>
        </w:tc>
        <w:tc>
          <w:tcPr>
            <w:tcW w:w="816" w:type="dxa"/>
            <w:noWrap w:val="0"/>
            <w:vAlign w:val="center"/>
          </w:tcPr>
          <w:p w14:paraId="0FFEEAFC">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执行率</w:t>
            </w:r>
          </w:p>
        </w:tc>
        <w:tc>
          <w:tcPr>
            <w:tcW w:w="1187" w:type="dxa"/>
            <w:noWrap w:val="0"/>
            <w:vAlign w:val="center"/>
          </w:tcPr>
          <w:p w14:paraId="01D8F204">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得分</w:t>
            </w:r>
          </w:p>
        </w:tc>
      </w:tr>
      <w:tr w14:paraId="426C01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09" w:type="dxa"/>
            <w:vMerge w:val="continue"/>
            <w:noWrap w:val="0"/>
            <w:vAlign w:val="center"/>
          </w:tcPr>
          <w:p w14:paraId="3B76A474">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000000"/>
                <w:kern w:val="0"/>
                <w:sz w:val="20"/>
                <w:szCs w:val="20"/>
              </w:rPr>
            </w:pPr>
          </w:p>
        </w:tc>
        <w:tc>
          <w:tcPr>
            <w:tcW w:w="2164" w:type="dxa"/>
            <w:gridSpan w:val="2"/>
            <w:noWrap w:val="0"/>
            <w:vAlign w:val="center"/>
          </w:tcPr>
          <w:p w14:paraId="28F130B1">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sz w:val="20"/>
                <w:szCs w:val="20"/>
              </w:rPr>
            </w:pPr>
            <w:r>
              <w:rPr>
                <w:rFonts w:hint="eastAsia" w:ascii="仿宋" w:hAnsi="仿宋" w:eastAsia="仿宋" w:cs="仿宋"/>
                <w:color w:val="000000"/>
                <w:kern w:val="0"/>
                <w:sz w:val="20"/>
                <w:szCs w:val="20"/>
              </w:rPr>
              <w:t>年度资金总额</w:t>
            </w:r>
          </w:p>
        </w:tc>
        <w:tc>
          <w:tcPr>
            <w:tcW w:w="989" w:type="dxa"/>
            <w:noWrap w:val="0"/>
            <w:vAlign w:val="center"/>
          </w:tcPr>
          <w:p w14:paraId="5F7A8733">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sz w:val="20"/>
                <w:szCs w:val="20"/>
                <w:lang w:val="en-US" w:eastAsia="zh-CN"/>
              </w:rPr>
            </w:pPr>
            <w:r>
              <w:rPr>
                <w:rFonts w:hint="eastAsia" w:ascii="仿宋" w:hAnsi="仿宋" w:eastAsia="仿宋" w:cs="仿宋"/>
                <w:sz w:val="20"/>
                <w:szCs w:val="20"/>
                <w:lang w:val="en-US" w:eastAsia="zh-CN"/>
              </w:rPr>
              <w:t>3194.18</w:t>
            </w:r>
          </w:p>
        </w:tc>
        <w:tc>
          <w:tcPr>
            <w:tcW w:w="1254" w:type="dxa"/>
            <w:gridSpan w:val="2"/>
            <w:noWrap w:val="0"/>
            <w:vAlign w:val="center"/>
          </w:tcPr>
          <w:p w14:paraId="69692945">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sz w:val="20"/>
                <w:szCs w:val="20"/>
                <w:lang w:val="en-US" w:eastAsia="zh-CN"/>
              </w:rPr>
            </w:pPr>
            <w:r>
              <w:rPr>
                <w:rFonts w:hint="eastAsia" w:ascii="仿宋" w:hAnsi="仿宋" w:eastAsia="仿宋" w:cs="仿宋"/>
                <w:sz w:val="20"/>
                <w:szCs w:val="20"/>
                <w:lang w:val="en-US" w:eastAsia="zh-CN"/>
              </w:rPr>
              <w:t>2994.01</w:t>
            </w:r>
          </w:p>
        </w:tc>
        <w:tc>
          <w:tcPr>
            <w:tcW w:w="1665" w:type="dxa"/>
            <w:gridSpan w:val="2"/>
            <w:noWrap w:val="0"/>
            <w:vAlign w:val="center"/>
          </w:tcPr>
          <w:p w14:paraId="59E32D5A">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sz w:val="20"/>
                <w:szCs w:val="20"/>
                <w:lang w:val="en-US" w:eastAsia="zh-CN"/>
              </w:rPr>
            </w:pPr>
            <w:r>
              <w:rPr>
                <w:rFonts w:hint="eastAsia" w:ascii="仿宋" w:hAnsi="仿宋" w:eastAsia="仿宋" w:cs="仿宋"/>
                <w:sz w:val="20"/>
                <w:szCs w:val="20"/>
                <w:lang w:val="en-US" w:eastAsia="zh-CN"/>
              </w:rPr>
              <w:t>2624.73</w:t>
            </w:r>
          </w:p>
        </w:tc>
        <w:tc>
          <w:tcPr>
            <w:tcW w:w="688" w:type="dxa"/>
            <w:noWrap w:val="0"/>
            <w:vAlign w:val="center"/>
          </w:tcPr>
          <w:p w14:paraId="2DBE7285">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10</w:t>
            </w:r>
          </w:p>
        </w:tc>
        <w:tc>
          <w:tcPr>
            <w:tcW w:w="816" w:type="dxa"/>
            <w:noWrap w:val="0"/>
            <w:vAlign w:val="center"/>
          </w:tcPr>
          <w:p w14:paraId="5794DFFF">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sz w:val="20"/>
                <w:szCs w:val="20"/>
                <w:lang w:val="en-US" w:eastAsia="zh-CN"/>
              </w:rPr>
            </w:pPr>
            <w:r>
              <w:rPr>
                <w:rFonts w:hint="eastAsia" w:ascii="仿宋" w:hAnsi="仿宋" w:eastAsia="仿宋" w:cs="仿宋"/>
                <w:sz w:val="20"/>
                <w:szCs w:val="20"/>
                <w:lang w:val="en-US" w:eastAsia="zh-CN"/>
              </w:rPr>
              <w:t>87.67%</w:t>
            </w:r>
          </w:p>
        </w:tc>
        <w:tc>
          <w:tcPr>
            <w:tcW w:w="1187" w:type="dxa"/>
            <w:noWrap w:val="0"/>
            <w:vAlign w:val="center"/>
          </w:tcPr>
          <w:p w14:paraId="60ACBCAA">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sz w:val="20"/>
                <w:szCs w:val="20"/>
                <w:lang w:val="en-US" w:eastAsia="zh-CN"/>
              </w:rPr>
            </w:pPr>
            <w:r>
              <w:rPr>
                <w:rFonts w:hint="eastAsia" w:ascii="仿宋" w:hAnsi="仿宋" w:eastAsia="仿宋" w:cs="仿宋"/>
                <w:sz w:val="20"/>
                <w:szCs w:val="20"/>
                <w:lang w:val="en-US" w:eastAsia="zh-CN"/>
              </w:rPr>
              <w:t>8.77</w:t>
            </w:r>
          </w:p>
        </w:tc>
      </w:tr>
      <w:tr w14:paraId="69B938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09" w:type="dxa"/>
            <w:vMerge w:val="continue"/>
            <w:noWrap w:val="0"/>
            <w:vAlign w:val="center"/>
          </w:tcPr>
          <w:p w14:paraId="05F2D8F2">
            <w:pPr>
              <w:keepNext w:val="0"/>
              <w:keepLines w:val="0"/>
              <w:pageBreakBefore w:val="0"/>
              <w:widowControl/>
              <w:kinsoku/>
              <w:wordWrap/>
              <w:overflowPunct/>
              <w:topLinePunct w:val="0"/>
              <w:autoSpaceDE/>
              <w:autoSpaceDN/>
              <w:bidi w:val="0"/>
              <w:adjustRightInd/>
              <w:snapToGrid/>
              <w:spacing w:line="220" w:lineRule="exact"/>
              <w:jc w:val="left"/>
              <w:textAlignment w:val="auto"/>
              <w:rPr>
                <w:rFonts w:hint="eastAsia" w:ascii="仿宋" w:hAnsi="仿宋" w:eastAsia="仿宋" w:cs="仿宋"/>
                <w:color w:val="000000"/>
                <w:kern w:val="0"/>
                <w:sz w:val="20"/>
                <w:szCs w:val="20"/>
              </w:rPr>
            </w:pPr>
          </w:p>
        </w:tc>
        <w:tc>
          <w:tcPr>
            <w:tcW w:w="4407" w:type="dxa"/>
            <w:gridSpan w:val="5"/>
            <w:noWrap w:val="0"/>
            <w:vAlign w:val="center"/>
          </w:tcPr>
          <w:p w14:paraId="7760E991">
            <w:pPr>
              <w:keepNext w:val="0"/>
              <w:keepLines w:val="0"/>
              <w:pageBreakBefore w:val="0"/>
              <w:widowControl/>
              <w:kinsoku/>
              <w:wordWrap/>
              <w:overflowPunct/>
              <w:topLinePunct w:val="0"/>
              <w:autoSpaceDE/>
              <w:autoSpaceDN/>
              <w:bidi w:val="0"/>
              <w:adjustRightInd/>
              <w:snapToGrid/>
              <w:spacing w:line="22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按收入性质分：</w:t>
            </w:r>
          </w:p>
        </w:tc>
        <w:tc>
          <w:tcPr>
            <w:tcW w:w="4356" w:type="dxa"/>
            <w:gridSpan w:val="5"/>
            <w:noWrap w:val="0"/>
            <w:vAlign w:val="center"/>
          </w:tcPr>
          <w:p w14:paraId="33A5F864">
            <w:pPr>
              <w:keepNext w:val="0"/>
              <w:keepLines w:val="0"/>
              <w:pageBreakBefore w:val="0"/>
              <w:widowControl/>
              <w:kinsoku/>
              <w:wordWrap/>
              <w:overflowPunct/>
              <w:topLinePunct w:val="0"/>
              <w:autoSpaceDE/>
              <w:autoSpaceDN/>
              <w:bidi w:val="0"/>
              <w:adjustRightInd/>
              <w:snapToGrid/>
              <w:spacing w:line="22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按支出性质分：</w:t>
            </w:r>
          </w:p>
        </w:tc>
      </w:tr>
      <w:tr w14:paraId="273FF9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09" w:type="dxa"/>
            <w:vMerge w:val="continue"/>
            <w:noWrap w:val="0"/>
            <w:vAlign w:val="center"/>
          </w:tcPr>
          <w:p w14:paraId="3612840E">
            <w:pPr>
              <w:keepNext w:val="0"/>
              <w:keepLines w:val="0"/>
              <w:pageBreakBefore w:val="0"/>
              <w:widowControl/>
              <w:kinsoku/>
              <w:wordWrap/>
              <w:overflowPunct/>
              <w:topLinePunct w:val="0"/>
              <w:autoSpaceDE/>
              <w:autoSpaceDN/>
              <w:bidi w:val="0"/>
              <w:adjustRightInd/>
              <w:snapToGrid/>
              <w:spacing w:line="220" w:lineRule="exact"/>
              <w:jc w:val="left"/>
              <w:textAlignment w:val="auto"/>
              <w:rPr>
                <w:rFonts w:hint="eastAsia" w:ascii="仿宋" w:hAnsi="仿宋" w:eastAsia="仿宋" w:cs="仿宋"/>
                <w:color w:val="000000"/>
                <w:kern w:val="0"/>
                <w:sz w:val="20"/>
                <w:szCs w:val="20"/>
              </w:rPr>
            </w:pPr>
          </w:p>
        </w:tc>
        <w:tc>
          <w:tcPr>
            <w:tcW w:w="4407" w:type="dxa"/>
            <w:gridSpan w:val="5"/>
            <w:noWrap w:val="0"/>
            <w:vAlign w:val="center"/>
          </w:tcPr>
          <w:p w14:paraId="7EA8BC03">
            <w:pPr>
              <w:keepNext w:val="0"/>
              <w:keepLines w:val="0"/>
              <w:pageBreakBefore w:val="0"/>
              <w:widowControl/>
              <w:kinsoku/>
              <w:wordWrap/>
              <w:overflowPunct/>
              <w:topLinePunct w:val="0"/>
              <w:autoSpaceDE/>
              <w:autoSpaceDN/>
              <w:bidi w:val="0"/>
              <w:adjustRightInd/>
              <w:snapToGrid/>
              <w:spacing w:line="22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xml:space="preserve">  其中：  一般公共预算：</w:t>
            </w:r>
            <w:r>
              <w:rPr>
                <w:rFonts w:hint="eastAsia" w:ascii="仿宋" w:hAnsi="仿宋" w:eastAsia="仿宋" w:cs="仿宋"/>
                <w:color w:val="000000"/>
                <w:kern w:val="0"/>
                <w:sz w:val="20"/>
                <w:szCs w:val="20"/>
                <w:lang w:val="en-US" w:eastAsia="zh-CN"/>
              </w:rPr>
              <w:t>2994.01</w:t>
            </w:r>
          </w:p>
        </w:tc>
        <w:tc>
          <w:tcPr>
            <w:tcW w:w="4356" w:type="dxa"/>
            <w:gridSpan w:val="5"/>
            <w:noWrap w:val="0"/>
            <w:vAlign w:val="center"/>
          </w:tcPr>
          <w:p w14:paraId="2C87C9BA">
            <w:pPr>
              <w:keepNext w:val="0"/>
              <w:keepLines w:val="0"/>
              <w:pageBreakBefore w:val="0"/>
              <w:widowControl/>
              <w:kinsoku/>
              <w:wordWrap/>
              <w:overflowPunct/>
              <w:topLinePunct w:val="0"/>
              <w:autoSpaceDE/>
              <w:autoSpaceDN/>
              <w:bidi w:val="0"/>
              <w:adjustRightInd/>
              <w:snapToGrid/>
              <w:spacing w:line="22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其中：基本支出：</w:t>
            </w:r>
            <w:r>
              <w:rPr>
                <w:rFonts w:hint="eastAsia" w:ascii="仿宋" w:hAnsi="仿宋" w:eastAsia="仿宋" w:cs="仿宋"/>
                <w:color w:val="000000"/>
                <w:kern w:val="0"/>
                <w:sz w:val="20"/>
                <w:szCs w:val="20"/>
                <w:lang w:val="en-US" w:eastAsia="zh-CN"/>
              </w:rPr>
              <w:t>1979.60</w:t>
            </w:r>
          </w:p>
        </w:tc>
      </w:tr>
      <w:tr w14:paraId="36B46B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09" w:type="dxa"/>
            <w:vMerge w:val="continue"/>
            <w:noWrap w:val="0"/>
            <w:vAlign w:val="center"/>
          </w:tcPr>
          <w:p w14:paraId="788AE933">
            <w:pPr>
              <w:keepNext w:val="0"/>
              <w:keepLines w:val="0"/>
              <w:pageBreakBefore w:val="0"/>
              <w:widowControl/>
              <w:kinsoku/>
              <w:wordWrap/>
              <w:overflowPunct/>
              <w:topLinePunct w:val="0"/>
              <w:autoSpaceDE/>
              <w:autoSpaceDN/>
              <w:bidi w:val="0"/>
              <w:adjustRightInd/>
              <w:snapToGrid/>
              <w:spacing w:line="220" w:lineRule="exact"/>
              <w:jc w:val="left"/>
              <w:textAlignment w:val="auto"/>
              <w:rPr>
                <w:rFonts w:hint="eastAsia" w:ascii="仿宋" w:hAnsi="仿宋" w:eastAsia="仿宋" w:cs="仿宋"/>
                <w:color w:val="000000"/>
                <w:kern w:val="0"/>
                <w:sz w:val="20"/>
                <w:szCs w:val="20"/>
              </w:rPr>
            </w:pPr>
          </w:p>
        </w:tc>
        <w:tc>
          <w:tcPr>
            <w:tcW w:w="4407" w:type="dxa"/>
            <w:gridSpan w:val="5"/>
            <w:noWrap w:val="0"/>
            <w:vAlign w:val="center"/>
          </w:tcPr>
          <w:p w14:paraId="41B70A55">
            <w:pPr>
              <w:keepNext w:val="0"/>
              <w:keepLines w:val="0"/>
              <w:pageBreakBefore w:val="0"/>
              <w:widowControl/>
              <w:kinsoku/>
              <w:wordWrap/>
              <w:overflowPunct/>
              <w:topLinePunct w:val="0"/>
              <w:autoSpaceDE/>
              <w:autoSpaceDN/>
              <w:bidi w:val="0"/>
              <w:adjustRightInd/>
              <w:snapToGrid/>
              <w:spacing w:line="220" w:lineRule="exact"/>
              <w:ind w:firstLine="800" w:firstLineChars="40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政府性基金拨款：</w:t>
            </w:r>
          </w:p>
        </w:tc>
        <w:tc>
          <w:tcPr>
            <w:tcW w:w="4356" w:type="dxa"/>
            <w:gridSpan w:val="5"/>
            <w:noWrap w:val="0"/>
            <w:vAlign w:val="center"/>
          </w:tcPr>
          <w:p w14:paraId="5F090397">
            <w:pPr>
              <w:keepNext w:val="0"/>
              <w:keepLines w:val="0"/>
              <w:pageBreakBefore w:val="0"/>
              <w:widowControl/>
              <w:kinsoku/>
              <w:wordWrap/>
              <w:overflowPunct/>
              <w:topLinePunct w:val="0"/>
              <w:autoSpaceDE/>
              <w:autoSpaceDN/>
              <w:bidi w:val="0"/>
              <w:adjustRightInd/>
              <w:snapToGrid/>
              <w:spacing w:line="220" w:lineRule="exact"/>
              <w:ind w:firstLine="600" w:firstLineChars="300"/>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项目支出：</w:t>
            </w:r>
            <w:r>
              <w:rPr>
                <w:rFonts w:hint="eastAsia" w:ascii="仿宋" w:hAnsi="仿宋" w:eastAsia="仿宋" w:cs="仿宋"/>
                <w:color w:val="000000"/>
                <w:kern w:val="0"/>
                <w:sz w:val="20"/>
                <w:szCs w:val="20"/>
                <w:lang w:val="en-US" w:eastAsia="zh-CN"/>
              </w:rPr>
              <w:t>645.13</w:t>
            </w:r>
          </w:p>
        </w:tc>
      </w:tr>
      <w:tr w14:paraId="674DDB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09" w:type="dxa"/>
            <w:vMerge w:val="continue"/>
            <w:noWrap w:val="0"/>
            <w:vAlign w:val="center"/>
          </w:tcPr>
          <w:p w14:paraId="2900FE25">
            <w:pPr>
              <w:keepNext w:val="0"/>
              <w:keepLines w:val="0"/>
              <w:pageBreakBefore w:val="0"/>
              <w:widowControl/>
              <w:kinsoku/>
              <w:wordWrap/>
              <w:overflowPunct/>
              <w:topLinePunct w:val="0"/>
              <w:autoSpaceDE/>
              <w:autoSpaceDN/>
              <w:bidi w:val="0"/>
              <w:adjustRightInd/>
              <w:snapToGrid/>
              <w:spacing w:line="220" w:lineRule="exact"/>
              <w:jc w:val="left"/>
              <w:textAlignment w:val="auto"/>
              <w:rPr>
                <w:rFonts w:hint="eastAsia" w:ascii="仿宋" w:hAnsi="仿宋" w:eastAsia="仿宋" w:cs="仿宋"/>
                <w:color w:val="000000"/>
                <w:kern w:val="0"/>
                <w:sz w:val="20"/>
                <w:szCs w:val="20"/>
              </w:rPr>
            </w:pPr>
          </w:p>
        </w:tc>
        <w:tc>
          <w:tcPr>
            <w:tcW w:w="4407" w:type="dxa"/>
            <w:gridSpan w:val="5"/>
            <w:noWrap w:val="0"/>
            <w:vAlign w:val="center"/>
          </w:tcPr>
          <w:p w14:paraId="5BB15DF7">
            <w:pPr>
              <w:keepNext w:val="0"/>
              <w:keepLines w:val="0"/>
              <w:pageBreakBefore w:val="0"/>
              <w:widowControl/>
              <w:kinsoku/>
              <w:wordWrap/>
              <w:overflowPunct/>
              <w:topLinePunct w:val="0"/>
              <w:autoSpaceDE/>
              <w:autoSpaceDN/>
              <w:bidi w:val="0"/>
              <w:adjustRightInd/>
              <w:snapToGrid/>
              <w:spacing w:line="22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纳入专户管理的非税收入拨款：</w:t>
            </w:r>
          </w:p>
        </w:tc>
        <w:tc>
          <w:tcPr>
            <w:tcW w:w="4356" w:type="dxa"/>
            <w:gridSpan w:val="5"/>
            <w:noWrap w:val="0"/>
            <w:vAlign w:val="center"/>
          </w:tcPr>
          <w:p w14:paraId="7AC1EF01">
            <w:pPr>
              <w:keepNext w:val="0"/>
              <w:keepLines w:val="0"/>
              <w:pageBreakBefore w:val="0"/>
              <w:widowControl/>
              <w:kinsoku/>
              <w:wordWrap/>
              <w:overflowPunct/>
              <w:topLinePunct w:val="0"/>
              <w:autoSpaceDE/>
              <w:autoSpaceDN/>
              <w:bidi w:val="0"/>
              <w:adjustRightInd/>
              <w:snapToGrid/>
              <w:spacing w:line="220" w:lineRule="exact"/>
              <w:jc w:val="left"/>
              <w:textAlignment w:val="auto"/>
              <w:rPr>
                <w:rFonts w:hint="eastAsia" w:ascii="仿宋" w:hAnsi="仿宋" w:eastAsia="仿宋" w:cs="仿宋"/>
                <w:color w:val="000000"/>
                <w:kern w:val="0"/>
                <w:sz w:val="20"/>
                <w:szCs w:val="20"/>
              </w:rPr>
            </w:pPr>
          </w:p>
        </w:tc>
      </w:tr>
      <w:tr w14:paraId="7FF555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109" w:type="dxa"/>
            <w:vMerge w:val="continue"/>
            <w:noWrap w:val="0"/>
            <w:vAlign w:val="center"/>
          </w:tcPr>
          <w:p w14:paraId="73F9EBE7">
            <w:pPr>
              <w:keepNext w:val="0"/>
              <w:keepLines w:val="0"/>
              <w:pageBreakBefore w:val="0"/>
              <w:widowControl/>
              <w:kinsoku/>
              <w:wordWrap/>
              <w:overflowPunct/>
              <w:topLinePunct w:val="0"/>
              <w:autoSpaceDE/>
              <w:autoSpaceDN/>
              <w:bidi w:val="0"/>
              <w:adjustRightInd/>
              <w:snapToGrid/>
              <w:spacing w:line="220" w:lineRule="exact"/>
              <w:jc w:val="left"/>
              <w:textAlignment w:val="auto"/>
              <w:rPr>
                <w:rFonts w:hint="eastAsia" w:ascii="仿宋" w:hAnsi="仿宋" w:eastAsia="仿宋" w:cs="仿宋"/>
                <w:color w:val="000000"/>
                <w:kern w:val="0"/>
                <w:sz w:val="20"/>
                <w:szCs w:val="20"/>
              </w:rPr>
            </w:pPr>
          </w:p>
        </w:tc>
        <w:tc>
          <w:tcPr>
            <w:tcW w:w="4407" w:type="dxa"/>
            <w:gridSpan w:val="5"/>
            <w:noWrap w:val="0"/>
            <w:vAlign w:val="center"/>
          </w:tcPr>
          <w:p w14:paraId="1344DA6F">
            <w:pPr>
              <w:keepNext w:val="0"/>
              <w:keepLines w:val="0"/>
              <w:pageBreakBefore w:val="0"/>
              <w:widowControl/>
              <w:kinsoku/>
              <w:wordWrap/>
              <w:overflowPunct/>
              <w:topLinePunct w:val="0"/>
              <w:autoSpaceDE/>
              <w:autoSpaceDN/>
              <w:bidi w:val="0"/>
              <w:adjustRightInd/>
              <w:snapToGrid/>
              <w:spacing w:line="220" w:lineRule="exact"/>
              <w:ind w:firstLine="1400" w:firstLineChars="70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其他资金：</w:t>
            </w:r>
          </w:p>
        </w:tc>
        <w:tc>
          <w:tcPr>
            <w:tcW w:w="4356" w:type="dxa"/>
            <w:gridSpan w:val="5"/>
            <w:noWrap w:val="0"/>
            <w:vAlign w:val="center"/>
          </w:tcPr>
          <w:p w14:paraId="0CA9A5BB">
            <w:pPr>
              <w:keepNext w:val="0"/>
              <w:keepLines w:val="0"/>
              <w:pageBreakBefore w:val="0"/>
              <w:widowControl/>
              <w:kinsoku/>
              <w:wordWrap/>
              <w:overflowPunct/>
              <w:topLinePunct w:val="0"/>
              <w:autoSpaceDE/>
              <w:autoSpaceDN/>
              <w:bidi w:val="0"/>
              <w:adjustRightInd/>
              <w:snapToGrid/>
              <w:spacing w:line="220" w:lineRule="exact"/>
              <w:jc w:val="left"/>
              <w:textAlignment w:val="auto"/>
              <w:rPr>
                <w:rFonts w:hint="eastAsia" w:ascii="仿宋" w:hAnsi="仿宋" w:eastAsia="仿宋" w:cs="仿宋"/>
                <w:color w:val="000000"/>
                <w:kern w:val="0"/>
                <w:sz w:val="20"/>
                <w:szCs w:val="20"/>
              </w:rPr>
            </w:pPr>
          </w:p>
        </w:tc>
      </w:tr>
      <w:tr w14:paraId="255315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 w:hRule="atLeast"/>
          <w:jc w:val="center"/>
        </w:trPr>
        <w:tc>
          <w:tcPr>
            <w:tcW w:w="1109" w:type="dxa"/>
            <w:vMerge w:val="restart"/>
            <w:noWrap w:val="0"/>
            <w:vAlign w:val="center"/>
          </w:tcPr>
          <w:p w14:paraId="026F21F1">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年度总体目标</w:t>
            </w:r>
          </w:p>
        </w:tc>
        <w:tc>
          <w:tcPr>
            <w:tcW w:w="4407" w:type="dxa"/>
            <w:gridSpan w:val="5"/>
            <w:noWrap w:val="0"/>
            <w:vAlign w:val="center"/>
          </w:tcPr>
          <w:p w14:paraId="1D70960D">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预期目标</w:t>
            </w:r>
          </w:p>
        </w:tc>
        <w:tc>
          <w:tcPr>
            <w:tcW w:w="4356" w:type="dxa"/>
            <w:gridSpan w:val="5"/>
            <w:noWrap w:val="0"/>
            <w:vAlign w:val="center"/>
          </w:tcPr>
          <w:p w14:paraId="3C5DBD32">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实际完成情况　</w:t>
            </w:r>
          </w:p>
        </w:tc>
      </w:tr>
      <w:tr w14:paraId="74959D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 w:hRule="atLeast"/>
          <w:jc w:val="center"/>
        </w:trPr>
        <w:tc>
          <w:tcPr>
            <w:tcW w:w="1109" w:type="dxa"/>
            <w:vMerge w:val="continue"/>
            <w:noWrap w:val="0"/>
            <w:vAlign w:val="center"/>
          </w:tcPr>
          <w:p w14:paraId="60C4FA65">
            <w:pPr>
              <w:keepNext w:val="0"/>
              <w:keepLines w:val="0"/>
              <w:pageBreakBefore w:val="0"/>
              <w:widowControl/>
              <w:kinsoku/>
              <w:wordWrap/>
              <w:overflowPunct/>
              <w:topLinePunct w:val="0"/>
              <w:autoSpaceDE/>
              <w:autoSpaceDN/>
              <w:bidi w:val="0"/>
              <w:adjustRightInd/>
              <w:snapToGrid/>
              <w:spacing w:line="220" w:lineRule="exact"/>
              <w:jc w:val="left"/>
              <w:textAlignment w:val="auto"/>
              <w:rPr>
                <w:rFonts w:hint="eastAsia" w:ascii="仿宋" w:hAnsi="仿宋" w:eastAsia="仿宋" w:cs="仿宋"/>
                <w:color w:val="000000"/>
                <w:kern w:val="0"/>
                <w:sz w:val="20"/>
                <w:szCs w:val="20"/>
              </w:rPr>
            </w:pPr>
          </w:p>
        </w:tc>
        <w:tc>
          <w:tcPr>
            <w:tcW w:w="4407" w:type="dxa"/>
            <w:gridSpan w:val="5"/>
            <w:noWrap w:val="0"/>
            <w:vAlign w:val="center"/>
          </w:tcPr>
          <w:p w14:paraId="548EEEE3">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进一步完善资金管理制度,规范资金分配、使用程序,实时跟进财政资金的支出进度,严格执行年度工作计划,重点加强绩效目标的管理,开展对部门专项绩效自评工作</w:t>
            </w:r>
            <w:r>
              <w:rPr>
                <w:rFonts w:hint="eastAsia" w:ascii="仿宋" w:hAnsi="仿宋" w:eastAsia="仿宋" w:cs="仿宋"/>
                <w:color w:val="000000"/>
                <w:kern w:val="0"/>
                <w:sz w:val="20"/>
                <w:szCs w:val="20"/>
                <w:lang w:eastAsia="zh-CN"/>
              </w:rPr>
              <w:t>。</w:t>
            </w:r>
            <w:r>
              <w:rPr>
                <w:rFonts w:hint="eastAsia" w:ascii="仿宋" w:hAnsi="仿宋" w:eastAsia="仿宋" w:cs="仿宋"/>
                <w:color w:val="000000"/>
                <w:kern w:val="0"/>
                <w:sz w:val="20"/>
                <w:szCs w:val="20"/>
              </w:rPr>
              <w:t>　　</w:t>
            </w:r>
          </w:p>
        </w:tc>
        <w:tc>
          <w:tcPr>
            <w:tcW w:w="4356" w:type="dxa"/>
            <w:gridSpan w:val="5"/>
            <w:noWrap w:val="0"/>
            <w:vAlign w:val="center"/>
          </w:tcPr>
          <w:p w14:paraId="46375DFE">
            <w:pPr>
              <w:keepNext w:val="0"/>
              <w:keepLines w:val="0"/>
              <w:pageBreakBefore w:val="0"/>
              <w:widowControl/>
              <w:kinsoku/>
              <w:wordWrap/>
              <w:overflowPunct/>
              <w:topLinePunct w:val="0"/>
              <w:autoSpaceDE/>
              <w:autoSpaceDN/>
              <w:bidi w:val="0"/>
              <w:adjustRightInd/>
              <w:snapToGrid/>
              <w:spacing w:line="220" w:lineRule="exact"/>
              <w:jc w:val="left"/>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eastAsia="zh-CN"/>
              </w:rPr>
              <w:t>本年度完善资金管理内控制度，规范资金分配、使用全流程；按月跟踪财政资金支出进度，对照年度工作计划统筹资金执行；落实全流程绩效目标管控，按期完成全部门专项绩效自评工作，预算资金规范有序使用，各项管理任务均按计划落地实施。</w:t>
            </w:r>
          </w:p>
        </w:tc>
      </w:tr>
      <w:tr w14:paraId="36E3BB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1109" w:type="dxa"/>
            <w:vMerge w:val="restart"/>
            <w:noWrap w:val="0"/>
            <w:vAlign w:val="center"/>
          </w:tcPr>
          <w:p w14:paraId="6167EB96">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绩</w:t>
            </w:r>
          </w:p>
          <w:p w14:paraId="2BF52DF0">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w:t>
            </w:r>
          </w:p>
          <w:p w14:paraId="12AC008A">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w:t>
            </w:r>
          </w:p>
          <w:p w14:paraId="200DD4C1">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标</w:t>
            </w:r>
          </w:p>
        </w:tc>
        <w:tc>
          <w:tcPr>
            <w:tcW w:w="1112" w:type="dxa"/>
            <w:noWrap w:val="0"/>
            <w:vAlign w:val="center"/>
          </w:tcPr>
          <w:p w14:paraId="7BA60B19">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一级指标</w:t>
            </w:r>
          </w:p>
        </w:tc>
        <w:tc>
          <w:tcPr>
            <w:tcW w:w="1052" w:type="dxa"/>
            <w:noWrap w:val="0"/>
            <w:vAlign w:val="center"/>
          </w:tcPr>
          <w:p w14:paraId="35092E78">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二级指标</w:t>
            </w:r>
          </w:p>
        </w:tc>
        <w:tc>
          <w:tcPr>
            <w:tcW w:w="1628" w:type="dxa"/>
            <w:gridSpan w:val="2"/>
            <w:noWrap w:val="0"/>
            <w:vAlign w:val="center"/>
          </w:tcPr>
          <w:p w14:paraId="3EC0153C">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三级指标</w:t>
            </w:r>
          </w:p>
        </w:tc>
        <w:tc>
          <w:tcPr>
            <w:tcW w:w="1169" w:type="dxa"/>
            <w:gridSpan w:val="2"/>
            <w:noWrap w:val="0"/>
            <w:vAlign w:val="center"/>
          </w:tcPr>
          <w:p w14:paraId="3E35C2F9">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年度</w:t>
            </w:r>
          </w:p>
          <w:p w14:paraId="0FD4F3B1">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指标值</w:t>
            </w:r>
          </w:p>
        </w:tc>
        <w:tc>
          <w:tcPr>
            <w:tcW w:w="1111" w:type="dxa"/>
            <w:noWrap w:val="0"/>
            <w:vAlign w:val="center"/>
          </w:tcPr>
          <w:p w14:paraId="4033554A">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实际</w:t>
            </w:r>
          </w:p>
          <w:p w14:paraId="5BF42FDD">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完成值</w:t>
            </w:r>
          </w:p>
        </w:tc>
        <w:tc>
          <w:tcPr>
            <w:tcW w:w="688" w:type="dxa"/>
            <w:noWrap w:val="0"/>
            <w:vAlign w:val="center"/>
          </w:tcPr>
          <w:p w14:paraId="245C1E6D">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分值</w:t>
            </w:r>
          </w:p>
        </w:tc>
        <w:tc>
          <w:tcPr>
            <w:tcW w:w="816" w:type="dxa"/>
            <w:noWrap w:val="0"/>
            <w:vAlign w:val="center"/>
          </w:tcPr>
          <w:p w14:paraId="02613C6E">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得分</w:t>
            </w:r>
          </w:p>
        </w:tc>
        <w:tc>
          <w:tcPr>
            <w:tcW w:w="1187" w:type="dxa"/>
            <w:noWrap w:val="0"/>
            <w:vAlign w:val="top"/>
          </w:tcPr>
          <w:p w14:paraId="34CFC1E6">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偏差原因</w:t>
            </w:r>
          </w:p>
          <w:p w14:paraId="2762E74F">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分析及</w:t>
            </w:r>
          </w:p>
          <w:p w14:paraId="2421149A">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改进措施</w:t>
            </w:r>
          </w:p>
        </w:tc>
      </w:tr>
      <w:tr w14:paraId="248B67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9" w:hRule="atLeast"/>
          <w:jc w:val="center"/>
        </w:trPr>
        <w:tc>
          <w:tcPr>
            <w:tcW w:w="1109" w:type="dxa"/>
            <w:vMerge w:val="continue"/>
            <w:noWrap w:val="0"/>
            <w:vAlign w:val="center"/>
          </w:tcPr>
          <w:p w14:paraId="51EC64E7">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000000"/>
                <w:kern w:val="0"/>
                <w:sz w:val="20"/>
                <w:szCs w:val="20"/>
              </w:rPr>
            </w:pPr>
          </w:p>
        </w:tc>
        <w:tc>
          <w:tcPr>
            <w:tcW w:w="1112" w:type="dxa"/>
            <w:vMerge w:val="restart"/>
            <w:noWrap w:val="0"/>
            <w:vAlign w:val="center"/>
          </w:tcPr>
          <w:p w14:paraId="398D669E">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i w:val="0"/>
                <w:iCs w:val="0"/>
                <w:color w:val="000000"/>
                <w:kern w:val="0"/>
                <w:sz w:val="20"/>
                <w:szCs w:val="20"/>
                <w:u w:val="none"/>
                <w:lang w:val="en-US" w:eastAsia="zh-CN" w:bidi="ar"/>
              </w:rPr>
              <w:t>成本指标</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（20分）</w:t>
            </w:r>
          </w:p>
        </w:tc>
        <w:tc>
          <w:tcPr>
            <w:tcW w:w="1052" w:type="dxa"/>
            <w:noWrap w:val="0"/>
            <w:vAlign w:val="center"/>
          </w:tcPr>
          <w:p w14:paraId="36612943">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i w:val="0"/>
                <w:iCs w:val="0"/>
                <w:color w:val="000000"/>
                <w:kern w:val="0"/>
                <w:sz w:val="20"/>
                <w:szCs w:val="20"/>
                <w:u w:val="none"/>
                <w:lang w:val="en-US" w:eastAsia="zh-CN" w:bidi="ar"/>
              </w:rPr>
              <w:t>经济效益指标</w:t>
            </w:r>
          </w:p>
        </w:tc>
        <w:tc>
          <w:tcPr>
            <w:tcW w:w="1628" w:type="dxa"/>
            <w:gridSpan w:val="2"/>
            <w:noWrap w:val="0"/>
            <w:vAlign w:val="center"/>
          </w:tcPr>
          <w:p w14:paraId="5691F243">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i w:val="0"/>
                <w:iCs w:val="0"/>
                <w:color w:val="000000"/>
                <w:kern w:val="0"/>
                <w:sz w:val="20"/>
                <w:szCs w:val="20"/>
                <w:u w:val="none"/>
                <w:lang w:val="en-US" w:eastAsia="zh-CN" w:bidi="ar"/>
              </w:rPr>
              <w:t>部门整体支出成本</w:t>
            </w:r>
          </w:p>
        </w:tc>
        <w:tc>
          <w:tcPr>
            <w:tcW w:w="1169" w:type="dxa"/>
            <w:gridSpan w:val="2"/>
            <w:noWrap w:val="0"/>
            <w:vAlign w:val="center"/>
          </w:tcPr>
          <w:p w14:paraId="62F7CBEF">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i w:val="0"/>
                <w:iCs w:val="0"/>
                <w:color w:val="000000"/>
                <w:kern w:val="0"/>
                <w:sz w:val="20"/>
                <w:szCs w:val="20"/>
                <w:u w:val="none"/>
                <w:lang w:val="en-US" w:eastAsia="zh-CN" w:bidi="ar"/>
              </w:rPr>
              <w:t>3194.18</w:t>
            </w:r>
          </w:p>
        </w:tc>
        <w:tc>
          <w:tcPr>
            <w:tcW w:w="1111" w:type="dxa"/>
            <w:noWrap w:val="0"/>
            <w:vAlign w:val="center"/>
          </w:tcPr>
          <w:p w14:paraId="28F8C4BF">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2624.73</w:t>
            </w:r>
          </w:p>
        </w:tc>
        <w:tc>
          <w:tcPr>
            <w:tcW w:w="688" w:type="dxa"/>
            <w:noWrap w:val="0"/>
            <w:vAlign w:val="center"/>
          </w:tcPr>
          <w:p w14:paraId="422067C5">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c>
          <w:tcPr>
            <w:tcW w:w="816" w:type="dxa"/>
            <w:noWrap w:val="0"/>
            <w:vAlign w:val="center"/>
          </w:tcPr>
          <w:p w14:paraId="60587CC4">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c>
          <w:tcPr>
            <w:tcW w:w="1187" w:type="dxa"/>
            <w:noWrap w:val="0"/>
            <w:vAlign w:val="center"/>
          </w:tcPr>
          <w:p w14:paraId="16E880AF">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000000"/>
                <w:kern w:val="0"/>
                <w:sz w:val="20"/>
                <w:szCs w:val="20"/>
              </w:rPr>
            </w:pPr>
          </w:p>
        </w:tc>
      </w:tr>
      <w:tr w14:paraId="4FE5FC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1109" w:type="dxa"/>
            <w:vMerge w:val="continue"/>
            <w:noWrap w:val="0"/>
            <w:vAlign w:val="center"/>
          </w:tcPr>
          <w:p w14:paraId="05E736CA">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000000"/>
                <w:kern w:val="0"/>
                <w:sz w:val="20"/>
                <w:szCs w:val="20"/>
              </w:rPr>
            </w:pPr>
          </w:p>
        </w:tc>
        <w:tc>
          <w:tcPr>
            <w:tcW w:w="1112" w:type="dxa"/>
            <w:vMerge w:val="continue"/>
            <w:noWrap w:val="0"/>
            <w:vAlign w:val="center"/>
          </w:tcPr>
          <w:p w14:paraId="4C9184E7">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000000"/>
                <w:kern w:val="0"/>
                <w:sz w:val="20"/>
                <w:szCs w:val="20"/>
              </w:rPr>
            </w:pPr>
          </w:p>
        </w:tc>
        <w:tc>
          <w:tcPr>
            <w:tcW w:w="1052" w:type="dxa"/>
            <w:noWrap w:val="0"/>
            <w:vAlign w:val="center"/>
          </w:tcPr>
          <w:p w14:paraId="3DA55705">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i w:val="0"/>
                <w:iCs w:val="0"/>
                <w:color w:val="000000"/>
                <w:kern w:val="0"/>
                <w:sz w:val="20"/>
                <w:szCs w:val="20"/>
                <w:u w:val="none"/>
                <w:lang w:val="en-US" w:eastAsia="zh-CN" w:bidi="ar"/>
              </w:rPr>
              <w:t>社会成本指标</w:t>
            </w:r>
          </w:p>
        </w:tc>
        <w:tc>
          <w:tcPr>
            <w:tcW w:w="1628" w:type="dxa"/>
            <w:gridSpan w:val="2"/>
            <w:noWrap w:val="0"/>
            <w:vAlign w:val="center"/>
          </w:tcPr>
          <w:p w14:paraId="33326E14">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i w:val="0"/>
                <w:iCs w:val="0"/>
                <w:color w:val="000000"/>
                <w:kern w:val="0"/>
                <w:sz w:val="20"/>
                <w:szCs w:val="20"/>
                <w:u w:val="none"/>
                <w:lang w:val="en-US" w:eastAsia="zh-CN" w:bidi="ar"/>
              </w:rPr>
              <w:t>社会成本节约率</w:t>
            </w:r>
          </w:p>
        </w:tc>
        <w:tc>
          <w:tcPr>
            <w:tcW w:w="1169" w:type="dxa"/>
            <w:gridSpan w:val="2"/>
            <w:noWrap w:val="0"/>
            <w:vAlign w:val="center"/>
          </w:tcPr>
          <w:p w14:paraId="3B5C1B71">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i w:val="0"/>
                <w:iCs w:val="0"/>
                <w:color w:val="000000"/>
                <w:kern w:val="0"/>
                <w:sz w:val="20"/>
                <w:szCs w:val="20"/>
                <w:u w:val="none"/>
                <w:lang w:val="en-US" w:eastAsia="zh-CN" w:bidi="ar"/>
              </w:rPr>
              <w:t>0</w:t>
            </w:r>
          </w:p>
        </w:tc>
        <w:tc>
          <w:tcPr>
            <w:tcW w:w="1111" w:type="dxa"/>
            <w:noWrap w:val="0"/>
            <w:vAlign w:val="center"/>
          </w:tcPr>
          <w:p w14:paraId="30EF7D09">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0</w:t>
            </w:r>
          </w:p>
        </w:tc>
        <w:tc>
          <w:tcPr>
            <w:tcW w:w="688" w:type="dxa"/>
            <w:noWrap w:val="0"/>
            <w:vAlign w:val="center"/>
          </w:tcPr>
          <w:p w14:paraId="290C7463">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816" w:type="dxa"/>
            <w:noWrap w:val="0"/>
            <w:vAlign w:val="center"/>
          </w:tcPr>
          <w:p w14:paraId="196FF3AA">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1187" w:type="dxa"/>
            <w:noWrap w:val="0"/>
            <w:vAlign w:val="center"/>
          </w:tcPr>
          <w:p w14:paraId="57B0E535">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000000"/>
                <w:kern w:val="0"/>
                <w:sz w:val="20"/>
                <w:szCs w:val="20"/>
              </w:rPr>
            </w:pPr>
          </w:p>
        </w:tc>
      </w:tr>
      <w:tr w14:paraId="5CAC53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 w:hRule="atLeast"/>
          <w:jc w:val="center"/>
        </w:trPr>
        <w:tc>
          <w:tcPr>
            <w:tcW w:w="1109" w:type="dxa"/>
            <w:vMerge w:val="continue"/>
            <w:noWrap w:val="0"/>
            <w:vAlign w:val="center"/>
          </w:tcPr>
          <w:p w14:paraId="75683632">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000000"/>
                <w:kern w:val="0"/>
                <w:sz w:val="20"/>
                <w:szCs w:val="20"/>
              </w:rPr>
            </w:pPr>
          </w:p>
        </w:tc>
        <w:tc>
          <w:tcPr>
            <w:tcW w:w="1112" w:type="dxa"/>
            <w:vMerge w:val="continue"/>
            <w:noWrap w:val="0"/>
            <w:vAlign w:val="center"/>
          </w:tcPr>
          <w:p w14:paraId="07D2D440">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000000"/>
                <w:kern w:val="0"/>
                <w:sz w:val="20"/>
                <w:szCs w:val="20"/>
              </w:rPr>
            </w:pPr>
          </w:p>
        </w:tc>
        <w:tc>
          <w:tcPr>
            <w:tcW w:w="1052" w:type="dxa"/>
            <w:noWrap w:val="0"/>
            <w:vAlign w:val="center"/>
          </w:tcPr>
          <w:p w14:paraId="624E3190">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i w:val="0"/>
                <w:iCs w:val="0"/>
                <w:color w:val="000000"/>
                <w:kern w:val="0"/>
                <w:sz w:val="20"/>
                <w:szCs w:val="20"/>
                <w:u w:val="none"/>
                <w:lang w:val="en-US" w:eastAsia="zh-CN" w:bidi="ar"/>
              </w:rPr>
              <w:t>生态环境成本指标</w:t>
            </w:r>
          </w:p>
        </w:tc>
        <w:tc>
          <w:tcPr>
            <w:tcW w:w="1628" w:type="dxa"/>
            <w:gridSpan w:val="2"/>
            <w:noWrap w:val="0"/>
            <w:vAlign w:val="center"/>
          </w:tcPr>
          <w:p w14:paraId="3FEA769C">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i w:val="0"/>
                <w:iCs w:val="0"/>
                <w:color w:val="000000"/>
                <w:kern w:val="0"/>
                <w:sz w:val="20"/>
                <w:szCs w:val="20"/>
                <w:u w:val="none"/>
                <w:lang w:val="en-US" w:eastAsia="zh-CN" w:bidi="ar"/>
              </w:rPr>
              <w:t>生态环境成本节约率</w:t>
            </w:r>
          </w:p>
        </w:tc>
        <w:tc>
          <w:tcPr>
            <w:tcW w:w="1169" w:type="dxa"/>
            <w:gridSpan w:val="2"/>
            <w:noWrap w:val="0"/>
            <w:vAlign w:val="center"/>
          </w:tcPr>
          <w:p w14:paraId="1A0AEC9D">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i w:val="0"/>
                <w:iCs w:val="0"/>
                <w:color w:val="000000"/>
                <w:kern w:val="0"/>
                <w:sz w:val="20"/>
                <w:szCs w:val="20"/>
                <w:u w:val="none"/>
                <w:lang w:val="en-US" w:eastAsia="zh-CN" w:bidi="ar"/>
              </w:rPr>
              <w:t>0</w:t>
            </w:r>
          </w:p>
        </w:tc>
        <w:tc>
          <w:tcPr>
            <w:tcW w:w="1111" w:type="dxa"/>
            <w:noWrap w:val="0"/>
            <w:vAlign w:val="center"/>
          </w:tcPr>
          <w:p w14:paraId="7ADF2542">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0</w:t>
            </w:r>
          </w:p>
        </w:tc>
        <w:tc>
          <w:tcPr>
            <w:tcW w:w="688" w:type="dxa"/>
            <w:noWrap w:val="0"/>
            <w:vAlign w:val="center"/>
          </w:tcPr>
          <w:p w14:paraId="3FC9F07B">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816" w:type="dxa"/>
            <w:noWrap w:val="0"/>
            <w:vAlign w:val="center"/>
          </w:tcPr>
          <w:p w14:paraId="6A5C9490">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1187" w:type="dxa"/>
            <w:noWrap w:val="0"/>
            <w:vAlign w:val="center"/>
          </w:tcPr>
          <w:p w14:paraId="26F23B48">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000000"/>
                <w:kern w:val="0"/>
                <w:sz w:val="20"/>
                <w:szCs w:val="20"/>
              </w:rPr>
            </w:pPr>
          </w:p>
        </w:tc>
      </w:tr>
      <w:tr w14:paraId="446E4B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1109" w:type="dxa"/>
            <w:vMerge w:val="continue"/>
            <w:noWrap w:val="0"/>
            <w:vAlign w:val="center"/>
          </w:tcPr>
          <w:p w14:paraId="1BAAC517">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000000"/>
                <w:kern w:val="0"/>
                <w:sz w:val="20"/>
                <w:szCs w:val="20"/>
              </w:rPr>
            </w:pPr>
          </w:p>
        </w:tc>
        <w:tc>
          <w:tcPr>
            <w:tcW w:w="1112" w:type="dxa"/>
            <w:vMerge w:val="restart"/>
            <w:noWrap w:val="0"/>
            <w:vAlign w:val="center"/>
          </w:tcPr>
          <w:p w14:paraId="12294595">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i w:val="0"/>
                <w:iCs w:val="0"/>
                <w:color w:val="000000"/>
                <w:kern w:val="0"/>
                <w:sz w:val="20"/>
                <w:szCs w:val="20"/>
                <w:u w:val="none"/>
                <w:lang w:val="en-US" w:eastAsia="zh-CN" w:bidi="ar"/>
              </w:rPr>
              <w:t>产出指标</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（30分）</w:t>
            </w:r>
          </w:p>
        </w:tc>
        <w:tc>
          <w:tcPr>
            <w:tcW w:w="1052" w:type="dxa"/>
            <w:vMerge w:val="restart"/>
            <w:noWrap w:val="0"/>
            <w:vAlign w:val="center"/>
          </w:tcPr>
          <w:p w14:paraId="17DC251D">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i w:val="0"/>
                <w:iCs w:val="0"/>
                <w:color w:val="000000"/>
                <w:kern w:val="0"/>
                <w:sz w:val="20"/>
                <w:szCs w:val="20"/>
                <w:u w:val="none"/>
                <w:lang w:val="en-US" w:eastAsia="zh-CN" w:bidi="ar"/>
              </w:rPr>
              <w:t>数量指标</w:t>
            </w:r>
          </w:p>
        </w:tc>
        <w:tc>
          <w:tcPr>
            <w:tcW w:w="1628" w:type="dxa"/>
            <w:gridSpan w:val="2"/>
            <w:noWrap w:val="0"/>
            <w:vAlign w:val="center"/>
          </w:tcPr>
          <w:p w14:paraId="4E30E6BE">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i w:val="0"/>
                <w:iCs w:val="0"/>
                <w:color w:val="000000"/>
                <w:kern w:val="0"/>
                <w:sz w:val="20"/>
                <w:szCs w:val="20"/>
                <w:u w:val="none"/>
                <w:lang w:val="en-US" w:eastAsia="zh-CN" w:bidi="ar"/>
              </w:rPr>
              <w:t>发放个人住房贷款金额</w:t>
            </w:r>
          </w:p>
        </w:tc>
        <w:tc>
          <w:tcPr>
            <w:tcW w:w="1169" w:type="dxa"/>
            <w:gridSpan w:val="2"/>
            <w:noWrap w:val="0"/>
            <w:vAlign w:val="center"/>
          </w:tcPr>
          <w:p w14:paraId="47C028A4">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i w:val="0"/>
                <w:iCs w:val="0"/>
                <w:color w:val="000000"/>
                <w:kern w:val="0"/>
                <w:sz w:val="20"/>
                <w:szCs w:val="20"/>
                <w:u w:val="none"/>
                <w:lang w:val="en-US" w:eastAsia="zh-CN" w:bidi="ar"/>
              </w:rPr>
              <w:t>6.9</w:t>
            </w:r>
          </w:p>
        </w:tc>
        <w:tc>
          <w:tcPr>
            <w:tcW w:w="1111" w:type="dxa"/>
            <w:noWrap w:val="0"/>
            <w:vAlign w:val="center"/>
          </w:tcPr>
          <w:p w14:paraId="3918D53F">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7.56</w:t>
            </w:r>
          </w:p>
        </w:tc>
        <w:tc>
          <w:tcPr>
            <w:tcW w:w="688" w:type="dxa"/>
            <w:noWrap w:val="0"/>
            <w:vAlign w:val="center"/>
          </w:tcPr>
          <w:p w14:paraId="14DD9253">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4</w:t>
            </w:r>
          </w:p>
        </w:tc>
        <w:tc>
          <w:tcPr>
            <w:tcW w:w="816" w:type="dxa"/>
            <w:noWrap w:val="0"/>
            <w:vAlign w:val="center"/>
          </w:tcPr>
          <w:p w14:paraId="4C953AB3">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4</w:t>
            </w:r>
          </w:p>
        </w:tc>
        <w:tc>
          <w:tcPr>
            <w:tcW w:w="1187" w:type="dxa"/>
            <w:noWrap w:val="0"/>
            <w:vAlign w:val="center"/>
          </w:tcPr>
          <w:p w14:paraId="63C88FBB">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000000"/>
                <w:kern w:val="0"/>
                <w:sz w:val="20"/>
                <w:szCs w:val="20"/>
              </w:rPr>
            </w:pPr>
          </w:p>
        </w:tc>
      </w:tr>
      <w:tr w14:paraId="0588DA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 w:hRule="atLeast"/>
          <w:jc w:val="center"/>
        </w:trPr>
        <w:tc>
          <w:tcPr>
            <w:tcW w:w="1109" w:type="dxa"/>
            <w:vMerge w:val="continue"/>
            <w:noWrap w:val="0"/>
            <w:vAlign w:val="center"/>
          </w:tcPr>
          <w:p w14:paraId="4D8D0EF1">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000000"/>
                <w:kern w:val="0"/>
                <w:sz w:val="20"/>
                <w:szCs w:val="20"/>
              </w:rPr>
            </w:pPr>
          </w:p>
        </w:tc>
        <w:tc>
          <w:tcPr>
            <w:tcW w:w="1112" w:type="dxa"/>
            <w:vMerge w:val="continue"/>
            <w:noWrap w:val="0"/>
            <w:vAlign w:val="center"/>
          </w:tcPr>
          <w:p w14:paraId="58F74635">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000000"/>
                <w:kern w:val="0"/>
                <w:sz w:val="20"/>
                <w:szCs w:val="20"/>
              </w:rPr>
            </w:pPr>
          </w:p>
        </w:tc>
        <w:tc>
          <w:tcPr>
            <w:tcW w:w="1052" w:type="dxa"/>
            <w:vMerge w:val="continue"/>
            <w:noWrap w:val="0"/>
            <w:vAlign w:val="center"/>
          </w:tcPr>
          <w:p w14:paraId="62117502">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000000"/>
                <w:kern w:val="0"/>
                <w:sz w:val="20"/>
                <w:szCs w:val="20"/>
                <w:lang w:eastAsia="zh-CN"/>
              </w:rPr>
            </w:pPr>
          </w:p>
        </w:tc>
        <w:tc>
          <w:tcPr>
            <w:tcW w:w="1628" w:type="dxa"/>
            <w:gridSpan w:val="2"/>
            <w:noWrap w:val="0"/>
            <w:vAlign w:val="center"/>
          </w:tcPr>
          <w:p w14:paraId="1FC6630C">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i w:val="0"/>
                <w:iCs w:val="0"/>
                <w:color w:val="000000"/>
                <w:kern w:val="0"/>
                <w:sz w:val="20"/>
                <w:szCs w:val="20"/>
                <w:u w:val="none"/>
                <w:lang w:val="en-US" w:eastAsia="zh-CN" w:bidi="ar"/>
              </w:rPr>
              <w:t>开展稽核次数</w:t>
            </w:r>
          </w:p>
        </w:tc>
        <w:tc>
          <w:tcPr>
            <w:tcW w:w="1169" w:type="dxa"/>
            <w:gridSpan w:val="2"/>
            <w:noWrap w:val="0"/>
            <w:vAlign w:val="center"/>
          </w:tcPr>
          <w:p w14:paraId="5A4E9F42">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i w:val="0"/>
                <w:iCs w:val="0"/>
                <w:color w:val="000000"/>
                <w:kern w:val="0"/>
                <w:sz w:val="20"/>
                <w:szCs w:val="20"/>
                <w:u w:val="none"/>
                <w:lang w:val="en-US" w:eastAsia="zh-CN" w:bidi="ar"/>
              </w:rPr>
              <w:t>30</w:t>
            </w:r>
          </w:p>
        </w:tc>
        <w:tc>
          <w:tcPr>
            <w:tcW w:w="1111" w:type="dxa"/>
            <w:noWrap w:val="0"/>
            <w:vAlign w:val="center"/>
          </w:tcPr>
          <w:p w14:paraId="6A5BFDFB">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30</w:t>
            </w:r>
          </w:p>
        </w:tc>
        <w:tc>
          <w:tcPr>
            <w:tcW w:w="688" w:type="dxa"/>
            <w:noWrap w:val="0"/>
            <w:vAlign w:val="center"/>
          </w:tcPr>
          <w:p w14:paraId="66D4440E">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4</w:t>
            </w:r>
          </w:p>
        </w:tc>
        <w:tc>
          <w:tcPr>
            <w:tcW w:w="816" w:type="dxa"/>
            <w:noWrap w:val="0"/>
            <w:vAlign w:val="center"/>
          </w:tcPr>
          <w:p w14:paraId="434BBD3C">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4</w:t>
            </w:r>
          </w:p>
        </w:tc>
        <w:tc>
          <w:tcPr>
            <w:tcW w:w="1187" w:type="dxa"/>
            <w:noWrap w:val="0"/>
            <w:vAlign w:val="center"/>
          </w:tcPr>
          <w:p w14:paraId="577BF93D">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000000"/>
                <w:kern w:val="0"/>
                <w:sz w:val="20"/>
                <w:szCs w:val="20"/>
              </w:rPr>
            </w:pPr>
          </w:p>
        </w:tc>
      </w:tr>
      <w:tr w14:paraId="016DD7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0" w:hRule="atLeast"/>
          <w:jc w:val="center"/>
        </w:trPr>
        <w:tc>
          <w:tcPr>
            <w:tcW w:w="1109" w:type="dxa"/>
            <w:vMerge w:val="continue"/>
            <w:noWrap w:val="0"/>
            <w:vAlign w:val="center"/>
          </w:tcPr>
          <w:p w14:paraId="0E750D66">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000000"/>
                <w:kern w:val="0"/>
                <w:sz w:val="20"/>
                <w:szCs w:val="20"/>
              </w:rPr>
            </w:pPr>
          </w:p>
        </w:tc>
        <w:tc>
          <w:tcPr>
            <w:tcW w:w="1112" w:type="dxa"/>
            <w:vMerge w:val="continue"/>
            <w:noWrap w:val="0"/>
            <w:vAlign w:val="center"/>
          </w:tcPr>
          <w:p w14:paraId="7E08B734">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000000"/>
                <w:kern w:val="0"/>
                <w:sz w:val="20"/>
                <w:szCs w:val="20"/>
              </w:rPr>
            </w:pPr>
          </w:p>
        </w:tc>
        <w:tc>
          <w:tcPr>
            <w:tcW w:w="1052" w:type="dxa"/>
            <w:vMerge w:val="restart"/>
            <w:noWrap w:val="0"/>
            <w:vAlign w:val="center"/>
          </w:tcPr>
          <w:p w14:paraId="4322C833">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i w:val="0"/>
                <w:iCs w:val="0"/>
                <w:color w:val="000000"/>
                <w:kern w:val="0"/>
                <w:sz w:val="20"/>
                <w:szCs w:val="20"/>
                <w:u w:val="none"/>
                <w:lang w:val="en-US" w:eastAsia="zh-CN" w:bidi="ar"/>
              </w:rPr>
              <w:t>质量指标</w:t>
            </w:r>
          </w:p>
        </w:tc>
        <w:tc>
          <w:tcPr>
            <w:tcW w:w="1628" w:type="dxa"/>
            <w:gridSpan w:val="2"/>
            <w:noWrap w:val="0"/>
            <w:vAlign w:val="center"/>
          </w:tcPr>
          <w:p w14:paraId="36B1CFF4">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auto"/>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每日办结业务</w:t>
            </w:r>
          </w:p>
          <w:p w14:paraId="050C502F">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i w:val="0"/>
                <w:iCs w:val="0"/>
                <w:color w:val="000000"/>
                <w:kern w:val="0"/>
                <w:sz w:val="20"/>
                <w:szCs w:val="20"/>
                <w:u w:val="none"/>
                <w:lang w:val="en-US" w:eastAsia="zh-CN" w:bidi="ar"/>
              </w:rPr>
              <w:t>及时率</w:t>
            </w:r>
          </w:p>
        </w:tc>
        <w:tc>
          <w:tcPr>
            <w:tcW w:w="1169" w:type="dxa"/>
            <w:gridSpan w:val="2"/>
            <w:noWrap w:val="0"/>
            <w:vAlign w:val="center"/>
          </w:tcPr>
          <w:p w14:paraId="46DAA160">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i w:val="0"/>
                <w:iCs w:val="0"/>
                <w:color w:val="000000"/>
                <w:kern w:val="0"/>
                <w:sz w:val="20"/>
                <w:szCs w:val="20"/>
                <w:u w:val="none"/>
                <w:lang w:val="en-US" w:eastAsia="zh-CN" w:bidi="ar"/>
              </w:rPr>
              <w:t>100</w:t>
            </w:r>
          </w:p>
        </w:tc>
        <w:tc>
          <w:tcPr>
            <w:tcW w:w="1111" w:type="dxa"/>
            <w:noWrap w:val="0"/>
            <w:vAlign w:val="center"/>
          </w:tcPr>
          <w:p w14:paraId="06D8C7C6">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100</w:t>
            </w:r>
          </w:p>
        </w:tc>
        <w:tc>
          <w:tcPr>
            <w:tcW w:w="688" w:type="dxa"/>
            <w:noWrap w:val="0"/>
            <w:vAlign w:val="center"/>
          </w:tcPr>
          <w:p w14:paraId="27C9ACAA">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4</w:t>
            </w:r>
          </w:p>
        </w:tc>
        <w:tc>
          <w:tcPr>
            <w:tcW w:w="816" w:type="dxa"/>
            <w:noWrap w:val="0"/>
            <w:vAlign w:val="center"/>
          </w:tcPr>
          <w:p w14:paraId="29D4C28A">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4</w:t>
            </w:r>
          </w:p>
        </w:tc>
        <w:tc>
          <w:tcPr>
            <w:tcW w:w="1187" w:type="dxa"/>
            <w:noWrap w:val="0"/>
            <w:vAlign w:val="center"/>
          </w:tcPr>
          <w:p w14:paraId="70248612">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000000"/>
                <w:kern w:val="0"/>
                <w:sz w:val="20"/>
                <w:szCs w:val="20"/>
              </w:rPr>
            </w:pPr>
          </w:p>
        </w:tc>
      </w:tr>
      <w:tr w14:paraId="553F43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4" w:hRule="atLeast"/>
          <w:jc w:val="center"/>
        </w:trPr>
        <w:tc>
          <w:tcPr>
            <w:tcW w:w="1109" w:type="dxa"/>
            <w:vMerge w:val="continue"/>
            <w:noWrap w:val="0"/>
            <w:vAlign w:val="center"/>
          </w:tcPr>
          <w:p w14:paraId="53A6A131">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000000"/>
                <w:kern w:val="0"/>
                <w:sz w:val="20"/>
                <w:szCs w:val="20"/>
              </w:rPr>
            </w:pPr>
          </w:p>
        </w:tc>
        <w:tc>
          <w:tcPr>
            <w:tcW w:w="1112" w:type="dxa"/>
            <w:vMerge w:val="continue"/>
            <w:noWrap w:val="0"/>
            <w:vAlign w:val="center"/>
          </w:tcPr>
          <w:p w14:paraId="609611C7">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000000"/>
                <w:kern w:val="0"/>
                <w:sz w:val="20"/>
                <w:szCs w:val="20"/>
              </w:rPr>
            </w:pPr>
          </w:p>
        </w:tc>
        <w:tc>
          <w:tcPr>
            <w:tcW w:w="1052" w:type="dxa"/>
            <w:vMerge w:val="continue"/>
            <w:noWrap w:val="0"/>
            <w:vAlign w:val="center"/>
          </w:tcPr>
          <w:p w14:paraId="47577BDE">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000000"/>
                <w:kern w:val="0"/>
                <w:sz w:val="20"/>
                <w:szCs w:val="20"/>
              </w:rPr>
            </w:pPr>
          </w:p>
        </w:tc>
        <w:tc>
          <w:tcPr>
            <w:tcW w:w="1628" w:type="dxa"/>
            <w:gridSpan w:val="2"/>
            <w:noWrap w:val="0"/>
            <w:vAlign w:val="center"/>
          </w:tcPr>
          <w:p w14:paraId="744ADCF4">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i w:val="0"/>
                <w:iCs w:val="0"/>
                <w:color w:val="000000"/>
                <w:kern w:val="0"/>
                <w:sz w:val="20"/>
                <w:szCs w:val="20"/>
                <w:u w:val="none"/>
                <w:lang w:val="en-US" w:eastAsia="zh-CN" w:bidi="ar"/>
              </w:rPr>
              <w:t>贷款逾期率</w:t>
            </w:r>
          </w:p>
        </w:tc>
        <w:tc>
          <w:tcPr>
            <w:tcW w:w="1169" w:type="dxa"/>
            <w:gridSpan w:val="2"/>
            <w:noWrap w:val="0"/>
            <w:vAlign w:val="center"/>
          </w:tcPr>
          <w:p w14:paraId="2C25F4DE">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i w:val="0"/>
                <w:iCs w:val="0"/>
                <w:color w:val="000000"/>
                <w:kern w:val="0"/>
                <w:sz w:val="20"/>
                <w:szCs w:val="20"/>
                <w:u w:val="none"/>
                <w:lang w:val="en-US" w:eastAsia="zh-CN" w:bidi="ar"/>
              </w:rPr>
              <w:t>0.03</w:t>
            </w:r>
          </w:p>
        </w:tc>
        <w:tc>
          <w:tcPr>
            <w:tcW w:w="1111" w:type="dxa"/>
            <w:noWrap w:val="0"/>
            <w:vAlign w:val="center"/>
          </w:tcPr>
          <w:p w14:paraId="3B76A672">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0.0284%</w:t>
            </w:r>
          </w:p>
        </w:tc>
        <w:tc>
          <w:tcPr>
            <w:tcW w:w="688" w:type="dxa"/>
            <w:noWrap w:val="0"/>
            <w:vAlign w:val="center"/>
          </w:tcPr>
          <w:p w14:paraId="74446011">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4</w:t>
            </w:r>
          </w:p>
        </w:tc>
        <w:tc>
          <w:tcPr>
            <w:tcW w:w="816" w:type="dxa"/>
            <w:noWrap w:val="0"/>
            <w:vAlign w:val="center"/>
          </w:tcPr>
          <w:p w14:paraId="6F4174AD">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4</w:t>
            </w:r>
          </w:p>
        </w:tc>
        <w:tc>
          <w:tcPr>
            <w:tcW w:w="1187" w:type="dxa"/>
            <w:noWrap w:val="0"/>
            <w:vAlign w:val="center"/>
          </w:tcPr>
          <w:p w14:paraId="00BD912F">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000000"/>
                <w:kern w:val="0"/>
                <w:sz w:val="20"/>
                <w:szCs w:val="20"/>
              </w:rPr>
            </w:pPr>
          </w:p>
        </w:tc>
      </w:tr>
      <w:tr w14:paraId="49CDBA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109" w:type="dxa"/>
            <w:vMerge w:val="continue"/>
            <w:noWrap w:val="0"/>
            <w:vAlign w:val="center"/>
          </w:tcPr>
          <w:p w14:paraId="5BCEB53A">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000000"/>
                <w:kern w:val="0"/>
                <w:sz w:val="20"/>
                <w:szCs w:val="20"/>
              </w:rPr>
            </w:pPr>
          </w:p>
        </w:tc>
        <w:tc>
          <w:tcPr>
            <w:tcW w:w="1112" w:type="dxa"/>
            <w:vMerge w:val="continue"/>
            <w:noWrap w:val="0"/>
            <w:vAlign w:val="center"/>
          </w:tcPr>
          <w:p w14:paraId="709A6E5F">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000000"/>
                <w:kern w:val="0"/>
                <w:sz w:val="20"/>
                <w:szCs w:val="20"/>
              </w:rPr>
            </w:pPr>
          </w:p>
        </w:tc>
        <w:tc>
          <w:tcPr>
            <w:tcW w:w="1052" w:type="dxa"/>
            <w:vMerge w:val="continue"/>
            <w:noWrap w:val="0"/>
            <w:vAlign w:val="center"/>
          </w:tcPr>
          <w:p w14:paraId="02F563A6">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000000"/>
                <w:kern w:val="0"/>
                <w:sz w:val="20"/>
                <w:szCs w:val="20"/>
              </w:rPr>
            </w:pPr>
          </w:p>
        </w:tc>
        <w:tc>
          <w:tcPr>
            <w:tcW w:w="1628" w:type="dxa"/>
            <w:gridSpan w:val="2"/>
            <w:noWrap w:val="0"/>
            <w:vAlign w:val="center"/>
          </w:tcPr>
          <w:p w14:paraId="02FEAFD3">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i w:val="0"/>
                <w:iCs w:val="0"/>
                <w:color w:val="000000"/>
                <w:kern w:val="0"/>
                <w:sz w:val="20"/>
                <w:szCs w:val="20"/>
                <w:u w:val="none"/>
                <w:lang w:val="en-US" w:eastAsia="zh-CN" w:bidi="ar"/>
              </w:rPr>
              <w:t>基础业务网办率</w:t>
            </w:r>
          </w:p>
        </w:tc>
        <w:tc>
          <w:tcPr>
            <w:tcW w:w="1169" w:type="dxa"/>
            <w:gridSpan w:val="2"/>
            <w:noWrap w:val="0"/>
            <w:vAlign w:val="center"/>
          </w:tcPr>
          <w:p w14:paraId="1E3CC6DE">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i w:val="0"/>
                <w:iCs w:val="0"/>
                <w:color w:val="000000"/>
                <w:kern w:val="0"/>
                <w:sz w:val="20"/>
                <w:szCs w:val="20"/>
                <w:u w:val="none"/>
                <w:lang w:val="en-US" w:eastAsia="zh-CN" w:bidi="ar"/>
              </w:rPr>
              <w:t>95</w:t>
            </w:r>
          </w:p>
        </w:tc>
        <w:tc>
          <w:tcPr>
            <w:tcW w:w="1111" w:type="dxa"/>
            <w:noWrap w:val="0"/>
            <w:vAlign w:val="center"/>
          </w:tcPr>
          <w:p w14:paraId="4CE8E1B5">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95</w:t>
            </w:r>
          </w:p>
        </w:tc>
        <w:tc>
          <w:tcPr>
            <w:tcW w:w="688" w:type="dxa"/>
            <w:noWrap w:val="0"/>
            <w:vAlign w:val="center"/>
          </w:tcPr>
          <w:p w14:paraId="07D308B1">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4</w:t>
            </w:r>
          </w:p>
        </w:tc>
        <w:tc>
          <w:tcPr>
            <w:tcW w:w="816" w:type="dxa"/>
            <w:noWrap w:val="0"/>
            <w:vAlign w:val="center"/>
          </w:tcPr>
          <w:p w14:paraId="54C4DB6B">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4</w:t>
            </w:r>
          </w:p>
        </w:tc>
        <w:tc>
          <w:tcPr>
            <w:tcW w:w="1187" w:type="dxa"/>
            <w:noWrap w:val="0"/>
            <w:vAlign w:val="center"/>
          </w:tcPr>
          <w:p w14:paraId="55B2D48E">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000000"/>
                <w:kern w:val="0"/>
                <w:sz w:val="20"/>
                <w:szCs w:val="20"/>
              </w:rPr>
            </w:pPr>
          </w:p>
        </w:tc>
      </w:tr>
      <w:tr w14:paraId="721488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 w:hRule="atLeast"/>
          <w:jc w:val="center"/>
        </w:trPr>
        <w:tc>
          <w:tcPr>
            <w:tcW w:w="1109" w:type="dxa"/>
            <w:vMerge w:val="continue"/>
            <w:noWrap w:val="0"/>
            <w:vAlign w:val="center"/>
          </w:tcPr>
          <w:p w14:paraId="5D4A7E12">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000000"/>
                <w:kern w:val="0"/>
                <w:sz w:val="20"/>
                <w:szCs w:val="20"/>
              </w:rPr>
            </w:pPr>
          </w:p>
        </w:tc>
        <w:tc>
          <w:tcPr>
            <w:tcW w:w="1112" w:type="dxa"/>
            <w:vMerge w:val="continue"/>
            <w:noWrap w:val="0"/>
            <w:vAlign w:val="center"/>
          </w:tcPr>
          <w:p w14:paraId="6EFD0761">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000000"/>
                <w:kern w:val="0"/>
                <w:sz w:val="20"/>
                <w:szCs w:val="20"/>
              </w:rPr>
            </w:pPr>
          </w:p>
        </w:tc>
        <w:tc>
          <w:tcPr>
            <w:tcW w:w="1052" w:type="dxa"/>
            <w:vMerge w:val="continue"/>
            <w:noWrap w:val="0"/>
            <w:vAlign w:val="center"/>
          </w:tcPr>
          <w:p w14:paraId="7FA0FE58">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000000"/>
                <w:kern w:val="0"/>
                <w:sz w:val="20"/>
                <w:szCs w:val="20"/>
              </w:rPr>
            </w:pPr>
          </w:p>
        </w:tc>
        <w:tc>
          <w:tcPr>
            <w:tcW w:w="1628" w:type="dxa"/>
            <w:gridSpan w:val="2"/>
            <w:noWrap w:val="0"/>
            <w:vAlign w:val="center"/>
          </w:tcPr>
          <w:p w14:paraId="52450E56">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i w:val="0"/>
                <w:iCs w:val="0"/>
                <w:color w:val="000000"/>
                <w:kern w:val="0"/>
                <w:sz w:val="20"/>
                <w:szCs w:val="20"/>
                <w:u w:val="none"/>
                <w:lang w:val="en-US" w:eastAsia="zh-CN" w:bidi="ar"/>
              </w:rPr>
              <w:t>中心业务“好差评”好评率</w:t>
            </w:r>
          </w:p>
        </w:tc>
        <w:tc>
          <w:tcPr>
            <w:tcW w:w="1169" w:type="dxa"/>
            <w:gridSpan w:val="2"/>
            <w:noWrap w:val="0"/>
            <w:vAlign w:val="center"/>
          </w:tcPr>
          <w:p w14:paraId="1C90FC52">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i w:val="0"/>
                <w:iCs w:val="0"/>
                <w:color w:val="000000"/>
                <w:kern w:val="0"/>
                <w:sz w:val="20"/>
                <w:szCs w:val="20"/>
                <w:u w:val="none"/>
                <w:lang w:val="en-US" w:eastAsia="zh-CN" w:bidi="ar"/>
              </w:rPr>
              <w:t>100</w:t>
            </w:r>
          </w:p>
        </w:tc>
        <w:tc>
          <w:tcPr>
            <w:tcW w:w="1111" w:type="dxa"/>
            <w:noWrap w:val="0"/>
            <w:vAlign w:val="center"/>
          </w:tcPr>
          <w:p w14:paraId="5407A5AA">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100</w:t>
            </w:r>
          </w:p>
        </w:tc>
        <w:tc>
          <w:tcPr>
            <w:tcW w:w="688" w:type="dxa"/>
            <w:noWrap w:val="0"/>
            <w:vAlign w:val="center"/>
          </w:tcPr>
          <w:p w14:paraId="7C223ABA">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4</w:t>
            </w:r>
          </w:p>
        </w:tc>
        <w:tc>
          <w:tcPr>
            <w:tcW w:w="816" w:type="dxa"/>
            <w:noWrap w:val="0"/>
            <w:vAlign w:val="center"/>
          </w:tcPr>
          <w:p w14:paraId="6008E07A">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4</w:t>
            </w:r>
          </w:p>
        </w:tc>
        <w:tc>
          <w:tcPr>
            <w:tcW w:w="1187" w:type="dxa"/>
            <w:noWrap w:val="0"/>
            <w:vAlign w:val="center"/>
          </w:tcPr>
          <w:p w14:paraId="6A90A676">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000000"/>
                <w:kern w:val="0"/>
                <w:sz w:val="20"/>
                <w:szCs w:val="20"/>
              </w:rPr>
            </w:pPr>
          </w:p>
        </w:tc>
      </w:tr>
      <w:tr w14:paraId="198670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1" w:hRule="atLeast"/>
          <w:jc w:val="center"/>
        </w:trPr>
        <w:tc>
          <w:tcPr>
            <w:tcW w:w="1109" w:type="dxa"/>
            <w:vMerge w:val="continue"/>
            <w:noWrap w:val="0"/>
            <w:vAlign w:val="center"/>
          </w:tcPr>
          <w:p w14:paraId="6212B3CE">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000000"/>
                <w:kern w:val="0"/>
                <w:sz w:val="20"/>
                <w:szCs w:val="20"/>
              </w:rPr>
            </w:pPr>
          </w:p>
        </w:tc>
        <w:tc>
          <w:tcPr>
            <w:tcW w:w="1112" w:type="dxa"/>
            <w:vMerge w:val="continue"/>
            <w:noWrap w:val="0"/>
            <w:vAlign w:val="center"/>
          </w:tcPr>
          <w:p w14:paraId="74BE87CB">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000000"/>
                <w:kern w:val="0"/>
                <w:sz w:val="20"/>
                <w:szCs w:val="20"/>
              </w:rPr>
            </w:pPr>
          </w:p>
        </w:tc>
        <w:tc>
          <w:tcPr>
            <w:tcW w:w="1052" w:type="dxa"/>
            <w:noWrap w:val="0"/>
            <w:vAlign w:val="center"/>
          </w:tcPr>
          <w:p w14:paraId="58668B47">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i w:val="0"/>
                <w:iCs w:val="0"/>
                <w:color w:val="000000"/>
                <w:kern w:val="0"/>
                <w:sz w:val="20"/>
                <w:szCs w:val="20"/>
                <w:u w:val="none"/>
                <w:lang w:val="en-US" w:eastAsia="zh-CN" w:bidi="ar"/>
              </w:rPr>
              <w:t>时效指标</w:t>
            </w:r>
          </w:p>
        </w:tc>
        <w:tc>
          <w:tcPr>
            <w:tcW w:w="1628" w:type="dxa"/>
            <w:gridSpan w:val="2"/>
            <w:noWrap w:val="0"/>
            <w:vAlign w:val="center"/>
          </w:tcPr>
          <w:p w14:paraId="46A4A465">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i w:val="0"/>
                <w:iCs w:val="0"/>
                <w:color w:val="000000"/>
                <w:kern w:val="0"/>
                <w:sz w:val="20"/>
                <w:szCs w:val="20"/>
                <w:u w:val="none"/>
                <w:lang w:val="en-US" w:eastAsia="zh-CN" w:bidi="ar"/>
              </w:rPr>
              <w:t>工作完成时间</w:t>
            </w:r>
          </w:p>
        </w:tc>
        <w:tc>
          <w:tcPr>
            <w:tcW w:w="1169" w:type="dxa"/>
            <w:gridSpan w:val="2"/>
            <w:noWrap w:val="0"/>
            <w:vAlign w:val="center"/>
          </w:tcPr>
          <w:p w14:paraId="017075D8">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i w:val="0"/>
                <w:iCs w:val="0"/>
                <w:color w:val="000000"/>
                <w:kern w:val="0"/>
                <w:sz w:val="20"/>
                <w:szCs w:val="20"/>
                <w:u w:val="none"/>
                <w:lang w:val="en-US" w:eastAsia="zh-CN" w:bidi="ar"/>
              </w:rPr>
              <w:t>2025年12月31日前</w:t>
            </w:r>
          </w:p>
        </w:tc>
        <w:tc>
          <w:tcPr>
            <w:tcW w:w="1111" w:type="dxa"/>
            <w:noWrap w:val="0"/>
            <w:vAlign w:val="center"/>
          </w:tcPr>
          <w:p w14:paraId="40A4D796">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i w:val="0"/>
                <w:iCs w:val="0"/>
                <w:color w:val="000000"/>
                <w:kern w:val="0"/>
                <w:sz w:val="20"/>
                <w:szCs w:val="20"/>
                <w:u w:val="none"/>
                <w:lang w:val="en-US" w:eastAsia="zh-CN" w:bidi="ar"/>
              </w:rPr>
              <w:t>2025年12月31日前</w:t>
            </w:r>
          </w:p>
        </w:tc>
        <w:tc>
          <w:tcPr>
            <w:tcW w:w="688" w:type="dxa"/>
            <w:noWrap w:val="0"/>
            <w:vAlign w:val="center"/>
          </w:tcPr>
          <w:p w14:paraId="0F7E1E93">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6</w:t>
            </w:r>
          </w:p>
        </w:tc>
        <w:tc>
          <w:tcPr>
            <w:tcW w:w="816" w:type="dxa"/>
            <w:noWrap w:val="0"/>
            <w:vAlign w:val="center"/>
          </w:tcPr>
          <w:p w14:paraId="5F831334">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6</w:t>
            </w:r>
          </w:p>
        </w:tc>
        <w:tc>
          <w:tcPr>
            <w:tcW w:w="1187" w:type="dxa"/>
            <w:noWrap w:val="0"/>
            <w:vAlign w:val="center"/>
          </w:tcPr>
          <w:p w14:paraId="25F89CCD">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000000"/>
                <w:kern w:val="0"/>
                <w:sz w:val="20"/>
                <w:szCs w:val="20"/>
              </w:rPr>
            </w:pPr>
          </w:p>
        </w:tc>
      </w:tr>
      <w:tr w14:paraId="57F8EA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 w:hRule="atLeast"/>
          <w:jc w:val="center"/>
        </w:trPr>
        <w:tc>
          <w:tcPr>
            <w:tcW w:w="1109" w:type="dxa"/>
            <w:vMerge w:val="continue"/>
            <w:noWrap w:val="0"/>
            <w:vAlign w:val="center"/>
          </w:tcPr>
          <w:p w14:paraId="0228B13A">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000000"/>
                <w:kern w:val="0"/>
                <w:sz w:val="20"/>
                <w:szCs w:val="20"/>
              </w:rPr>
            </w:pPr>
          </w:p>
        </w:tc>
        <w:tc>
          <w:tcPr>
            <w:tcW w:w="1112" w:type="dxa"/>
            <w:vMerge w:val="restart"/>
            <w:noWrap w:val="0"/>
            <w:vAlign w:val="center"/>
          </w:tcPr>
          <w:p w14:paraId="37DA1C90">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i w:val="0"/>
                <w:iCs w:val="0"/>
                <w:color w:val="000000"/>
                <w:kern w:val="0"/>
                <w:sz w:val="20"/>
                <w:szCs w:val="20"/>
                <w:u w:val="none"/>
                <w:lang w:val="en-US" w:eastAsia="zh-CN" w:bidi="ar"/>
              </w:rPr>
              <w:t>效益指标</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（30分）</w:t>
            </w:r>
          </w:p>
        </w:tc>
        <w:tc>
          <w:tcPr>
            <w:tcW w:w="1052" w:type="dxa"/>
            <w:noWrap w:val="0"/>
            <w:vAlign w:val="center"/>
          </w:tcPr>
          <w:p w14:paraId="48E2AC4D">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i w:val="0"/>
                <w:iCs w:val="0"/>
                <w:color w:val="000000"/>
                <w:kern w:val="0"/>
                <w:sz w:val="20"/>
                <w:szCs w:val="20"/>
                <w:u w:val="none"/>
                <w:lang w:val="en-US" w:eastAsia="zh-CN" w:bidi="ar"/>
              </w:rPr>
              <w:t>经济效益指标</w:t>
            </w:r>
          </w:p>
        </w:tc>
        <w:tc>
          <w:tcPr>
            <w:tcW w:w="1628" w:type="dxa"/>
            <w:gridSpan w:val="2"/>
            <w:noWrap w:val="0"/>
            <w:vAlign w:val="center"/>
          </w:tcPr>
          <w:p w14:paraId="1DEE16FA">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i w:val="0"/>
                <w:iCs w:val="0"/>
                <w:color w:val="000000"/>
                <w:kern w:val="0"/>
                <w:sz w:val="20"/>
                <w:szCs w:val="20"/>
                <w:u w:val="none"/>
                <w:lang w:val="en-US" w:eastAsia="zh-CN" w:bidi="ar"/>
              </w:rPr>
              <w:t>服务经济发展</w:t>
            </w:r>
          </w:p>
        </w:tc>
        <w:tc>
          <w:tcPr>
            <w:tcW w:w="1169" w:type="dxa"/>
            <w:gridSpan w:val="2"/>
            <w:noWrap w:val="0"/>
            <w:vAlign w:val="center"/>
          </w:tcPr>
          <w:p w14:paraId="601A68A7">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i w:val="0"/>
                <w:iCs w:val="0"/>
                <w:color w:val="000000"/>
                <w:kern w:val="0"/>
                <w:sz w:val="20"/>
                <w:szCs w:val="20"/>
                <w:u w:val="none"/>
                <w:lang w:val="en-US" w:eastAsia="zh-CN" w:bidi="ar"/>
              </w:rPr>
              <w:t>效果明显</w:t>
            </w:r>
          </w:p>
        </w:tc>
        <w:tc>
          <w:tcPr>
            <w:tcW w:w="1111" w:type="dxa"/>
            <w:noWrap w:val="0"/>
            <w:vAlign w:val="center"/>
          </w:tcPr>
          <w:p w14:paraId="578190CA">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i w:val="0"/>
                <w:iCs w:val="0"/>
                <w:color w:val="000000"/>
                <w:kern w:val="0"/>
                <w:sz w:val="20"/>
                <w:szCs w:val="20"/>
                <w:u w:val="none"/>
                <w:lang w:val="en-US" w:eastAsia="zh-CN" w:bidi="ar"/>
              </w:rPr>
              <w:t>效果明显</w:t>
            </w:r>
          </w:p>
        </w:tc>
        <w:tc>
          <w:tcPr>
            <w:tcW w:w="688" w:type="dxa"/>
            <w:noWrap w:val="0"/>
            <w:vAlign w:val="center"/>
          </w:tcPr>
          <w:p w14:paraId="1B48F0F2">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816" w:type="dxa"/>
            <w:noWrap w:val="0"/>
            <w:vAlign w:val="center"/>
          </w:tcPr>
          <w:p w14:paraId="68A29AC1">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1187" w:type="dxa"/>
            <w:noWrap w:val="0"/>
            <w:vAlign w:val="center"/>
          </w:tcPr>
          <w:p w14:paraId="375C51E8">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000000"/>
                <w:kern w:val="0"/>
                <w:sz w:val="20"/>
                <w:szCs w:val="20"/>
              </w:rPr>
            </w:pPr>
          </w:p>
        </w:tc>
      </w:tr>
      <w:tr w14:paraId="3EC275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8" w:hRule="atLeast"/>
          <w:jc w:val="center"/>
        </w:trPr>
        <w:tc>
          <w:tcPr>
            <w:tcW w:w="1109" w:type="dxa"/>
            <w:vMerge w:val="continue"/>
            <w:noWrap w:val="0"/>
            <w:vAlign w:val="center"/>
          </w:tcPr>
          <w:p w14:paraId="0A3A4810">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000000"/>
                <w:kern w:val="0"/>
                <w:sz w:val="20"/>
                <w:szCs w:val="20"/>
              </w:rPr>
            </w:pPr>
          </w:p>
        </w:tc>
        <w:tc>
          <w:tcPr>
            <w:tcW w:w="1112" w:type="dxa"/>
            <w:vMerge w:val="continue"/>
            <w:noWrap w:val="0"/>
            <w:vAlign w:val="center"/>
          </w:tcPr>
          <w:p w14:paraId="14EFB1AE">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000000"/>
                <w:kern w:val="0"/>
                <w:sz w:val="20"/>
                <w:szCs w:val="20"/>
              </w:rPr>
            </w:pPr>
          </w:p>
        </w:tc>
        <w:tc>
          <w:tcPr>
            <w:tcW w:w="1052" w:type="dxa"/>
            <w:noWrap w:val="0"/>
            <w:vAlign w:val="center"/>
          </w:tcPr>
          <w:p w14:paraId="1A60BD13">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i w:val="0"/>
                <w:iCs w:val="0"/>
                <w:color w:val="000000"/>
                <w:kern w:val="0"/>
                <w:sz w:val="20"/>
                <w:szCs w:val="20"/>
                <w:u w:val="none"/>
                <w:lang w:val="en-US" w:eastAsia="zh-CN" w:bidi="ar"/>
              </w:rPr>
              <w:t>社会效益指标</w:t>
            </w:r>
          </w:p>
        </w:tc>
        <w:tc>
          <w:tcPr>
            <w:tcW w:w="1628" w:type="dxa"/>
            <w:gridSpan w:val="2"/>
            <w:noWrap w:val="0"/>
            <w:vAlign w:val="center"/>
          </w:tcPr>
          <w:p w14:paraId="2CF426A7">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i w:val="0"/>
                <w:iCs w:val="0"/>
                <w:color w:val="000000"/>
                <w:spacing w:val="-11"/>
                <w:kern w:val="0"/>
                <w:sz w:val="20"/>
                <w:szCs w:val="20"/>
                <w:u w:val="none"/>
                <w:lang w:val="en-US" w:eastAsia="zh-CN" w:bidi="ar"/>
              </w:rPr>
              <w:t>提高公积金贷款风险防范，提升公积金相关法规、政策的社会覆盖面</w:t>
            </w:r>
          </w:p>
        </w:tc>
        <w:tc>
          <w:tcPr>
            <w:tcW w:w="1169" w:type="dxa"/>
            <w:gridSpan w:val="2"/>
            <w:noWrap w:val="0"/>
            <w:vAlign w:val="center"/>
          </w:tcPr>
          <w:p w14:paraId="47156933">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i w:val="0"/>
                <w:iCs w:val="0"/>
                <w:color w:val="000000"/>
                <w:kern w:val="0"/>
                <w:sz w:val="20"/>
                <w:szCs w:val="20"/>
                <w:u w:val="none"/>
                <w:lang w:val="en-US" w:eastAsia="zh-CN" w:bidi="ar"/>
              </w:rPr>
              <w:t>效果明显</w:t>
            </w:r>
          </w:p>
        </w:tc>
        <w:tc>
          <w:tcPr>
            <w:tcW w:w="1111" w:type="dxa"/>
            <w:noWrap w:val="0"/>
            <w:vAlign w:val="center"/>
          </w:tcPr>
          <w:p w14:paraId="427570CB">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i w:val="0"/>
                <w:iCs w:val="0"/>
                <w:color w:val="000000"/>
                <w:kern w:val="0"/>
                <w:sz w:val="20"/>
                <w:szCs w:val="20"/>
                <w:u w:val="none"/>
                <w:lang w:val="en-US" w:eastAsia="zh-CN" w:bidi="ar"/>
              </w:rPr>
              <w:t>效果明显</w:t>
            </w:r>
          </w:p>
        </w:tc>
        <w:tc>
          <w:tcPr>
            <w:tcW w:w="688" w:type="dxa"/>
            <w:noWrap w:val="0"/>
            <w:vAlign w:val="center"/>
          </w:tcPr>
          <w:p w14:paraId="0B8BBE2F">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c>
          <w:tcPr>
            <w:tcW w:w="816" w:type="dxa"/>
            <w:noWrap w:val="0"/>
            <w:vAlign w:val="center"/>
          </w:tcPr>
          <w:p w14:paraId="0AE62371">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w:t>
            </w:r>
          </w:p>
        </w:tc>
        <w:tc>
          <w:tcPr>
            <w:tcW w:w="1187" w:type="dxa"/>
            <w:noWrap w:val="0"/>
            <w:vAlign w:val="center"/>
          </w:tcPr>
          <w:p w14:paraId="57B61C05">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000000"/>
                <w:kern w:val="0"/>
                <w:sz w:val="20"/>
                <w:szCs w:val="20"/>
              </w:rPr>
            </w:pPr>
          </w:p>
        </w:tc>
      </w:tr>
      <w:tr w14:paraId="37BE01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7" w:hRule="atLeast"/>
          <w:jc w:val="center"/>
        </w:trPr>
        <w:tc>
          <w:tcPr>
            <w:tcW w:w="1109" w:type="dxa"/>
            <w:vMerge w:val="continue"/>
            <w:noWrap w:val="0"/>
            <w:vAlign w:val="center"/>
          </w:tcPr>
          <w:p w14:paraId="0F136A06">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000000"/>
                <w:kern w:val="0"/>
                <w:sz w:val="20"/>
                <w:szCs w:val="20"/>
              </w:rPr>
            </w:pPr>
          </w:p>
        </w:tc>
        <w:tc>
          <w:tcPr>
            <w:tcW w:w="1112" w:type="dxa"/>
            <w:vMerge w:val="continue"/>
            <w:noWrap w:val="0"/>
            <w:vAlign w:val="center"/>
          </w:tcPr>
          <w:p w14:paraId="73DD7854">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000000"/>
                <w:kern w:val="0"/>
                <w:sz w:val="20"/>
                <w:szCs w:val="20"/>
              </w:rPr>
            </w:pPr>
          </w:p>
        </w:tc>
        <w:tc>
          <w:tcPr>
            <w:tcW w:w="1052" w:type="dxa"/>
            <w:noWrap w:val="0"/>
            <w:vAlign w:val="center"/>
          </w:tcPr>
          <w:p w14:paraId="49177252">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i w:val="0"/>
                <w:iCs w:val="0"/>
                <w:color w:val="000000"/>
                <w:kern w:val="0"/>
                <w:sz w:val="20"/>
                <w:szCs w:val="20"/>
                <w:u w:val="none"/>
                <w:lang w:val="en-US" w:eastAsia="zh-CN" w:bidi="ar"/>
              </w:rPr>
              <w:t>生态效益指标</w:t>
            </w:r>
          </w:p>
        </w:tc>
        <w:tc>
          <w:tcPr>
            <w:tcW w:w="1628" w:type="dxa"/>
            <w:gridSpan w:val="2"/>
            <w:noWrap w:val="0"/>
            <w:vAlign w:val="center"/>
          </w:tcPr>
          <w:p w14:paraId="5581AEDC">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i w:val="0"/>
                <w:iCs w:val="0"/>
                <w:color w:val="000000"/>
                <w:kern w:val="0"/>
                <w:sz w:val="20"/>
                <w:szCs w:val="20"/>
                <w:u w:val="none"/>
                <w:lang w:val="en-US" w:eastAsia="zh-CN" w:bidi="ar"/>
              </w:rPr>
              <w:t>生态效益情况</w:t>
            </w:r>
          </w:p>
        </w:tc>
        <w:tc>
          <w:tcPr>
            <w:tcW w:w="1169" w:type="dxa"/>
            <w:gridSpan w:val="2"/>
            <w:noWrap w:val="0"/>
            <w:vAlign w:val="center"/>
          </w:tcPr>
          <w:p w14:paraId="3994303C">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i w:val="0"/>
                <w:iCs w:val="0"/>
                <w:color w:val="000000"/>
                <w:kern w:val="0"/>
                <w:sz w:val="20"/>
                <w:szCs w:val="20"/>
                <w:u w:val="none"/>
                <w:lang w:val="en-US" w:eastAsia="zh-CN" w:bidi="ar"/>
              </w:rPr>
              <w:t>效果明显</w:t>
            </w:r>
          </w:p>
        </w:tc>
        <w:tc>
          <w:tcPr>
            <w:tcW w:w="1111" w:type="dxa"/>
            <w:noWrap w:val="0"/>
            <w:vAlign w:val="center"/>
          </w:tcPr>
          <w:p w14:paraId="4154BC79">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i w:val="0"/>
                <w:iCs w:val="0"/>
                <w:color w:val="000000"/>
                <w:kern w:val="0"/>
                <w:sz w:val="20"/>
                <w:szCs w:val="20"/>
                <w:u w:val="none"/>
                <w:lang w:val="en-US" w:eastAsia="zh-CN" w:bidi="ar"/>
              </w:rPr>
              <w:t>效果明显</w:t>
            </w:r>
          </w:p>
        </w:tc>
        <w:tc>
          <w:tcPr>
            <w:tcW w:w="688" w:type="dxa"/>
            <w:noWrap w:val="0"/>
            <w:vAlign w:val="center"/>
          </w:tcPr>
          <w:p w14:paraId="5182F7E2">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816" w:type="dxa"/>
            <w:noWrap w:val="0"/>
            <w:vAlign w:val="center"/>
          </w:tcPr>
          <w:p w14:paraId="1634DEC2">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1187" w:type="dxa"/>
            <w:noWrap w:val="0"/>
            <w:vAlign w:val="center"/>
          </w:tcPr>
          <w:p w14:paraId="32B45F85">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000000"/>
                <w:kern w:val="0"/>
                <w:sz w:val="20"/>
                <w:szCs w:val="20"/>
              </w:rPr>
            </w:pPr>
          </w:p>
        </w:tc>
      </w:tr>
      <w:tr w14:paraId="4E65CE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 w:hRule="atLeast"/>
          <w:jc w:val="center"/>
        </w:trPr>
        <w:tc>
          <w:tcPr>
            <w:tcW w:w="1109" w:type="dxa"/>
            <w:vMerge w:val="continue"/>
            <w:noWrap w:val="0"/>
            <w:vAlign w:val="center"/>
          </w:tcPr>
          <w:p w14:paraId="02643150">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000000"/>
                <w:kern w:val="0"/>
                <w:sz w:val="20"/>
                <w:szCs w:val="20"/>
              </w:rPr>
            </w:pPr>
          </w:p>
        </w:tc>
        <w:tc>
          <w:tcPr>
            <w:tcW w:w="1112" w:type="dxa"/>
            <w:vMerge w:val="continue"/>
            <w:noWrap w:val="0"/>
            <w:vAlign w:val="center"/>
          </w:tcPr>
          <w:p w14:paraId="7887E90F">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000000"/>
                <w:kern w:val="0"/>
                <w:sz w:val="20"/>
                <w:szCs w:val="20"/>
              </w:rPr>
            </w:pPr>
          </w:p>
        </w:tc>
        <w:tc>
          <w:tcPr>
            <w:tcW w:w="1052" w:type="dxa"/>
            <w:noWrap w:val="0"/>
            <w:vAlign w:val="center"/>
          </w:tcPr>
          <w:p w14:paraId="5D61DCDC">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i w:val="0"/>
                <w:iCs w:val="0"/>
                <w:color w:val="000000"/>
                <w:kern w:val="0"/>
                <w:sz w:val="20"/>
                <w:szCs w:val="20"/>
                <w:u w:val="none"/>
                <w:lang w:val="en-US" w:eastAsia="zh-CN" w:bidi="ar"/>
              </w:rPr>
              <w:t>可持续影响指标</w:t>
            </w:r>
          </w:p>
        </w:tc>
        <w:tc>
          <w:tcPr>
            <w:tcW w:w="1628" w:type="dxa"/>
            <w:gridSpan w:val="2"/>
            <w:noWrap w:val="0"/>
            <w:vAlign w:val="center"/>
          </w:tcPr>
          <w:p w14:paraId="7279E01C">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i w:val="0"/>
                <w:iCs w:val="0"/>
                <w:color w:val="000000"/>
                <w:kern w:val="0"/>
                <w:sz w:val="20"/>
                <w:szCs w:val="20"/>
                <w:u w:val="none"/>
                <w:lang w:val="en-US" w:eastAsia="zh-CN" w:bidi="ar"/>
              </w:rPr>
              <w:t>提高住房公积金管理水平</w:t>
            </w:r>
          </w:p>
        </w:tc>
        <w:tc>
          <w:tcPr>
            <w:tcW w:w="1169" w:type="dxa"/>
            <w:gridSpan w:val="2"/>
            <w:noWrap w:val="0"/>
            <w:vAlign w:val="center"/>
          </w:tcPr>
          <w:p w14:paraId="6C1426DE">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i w:val="0"/>
                <w:iCs w:val="0"/>
                <w:color w:val="000000"/>
                <w:kern w:val="0"/>
                <w:sz w:val="20"/>
                <w:szCs w:val="20"/>
                <w:u w:val="none"/>
                <w:lang w:val="en-US" w:eastAsia="zh-CN" w:bidi="ar"/>
              </w:rPr>
              <w:t>效果明显</w:t>
            </w:r>
          </w:p>
        </w:tc>
        <w:tc>
          <w:tcPr>
            <w:tcW w:w="1111" w:type="dxa"/>
            <w:noWrap w:val="0"/>
            <w:vAlign w:val="center"/>
          </w:tcPr>
          <w:p w14:paraId="01AE247B">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i w:val="0"/>
                <w:iCs w:val="0"/>
                <w:color w:val="000000"/>
                <w:kern w:val="0"/>
                <w:sz w:val="20"/>
                <w:szCs w:val="20"/>
                <w:u w:val="none"/>
                <w:lang w:val="en-US" w:eastAsia="zh-CN" w:bidi="ar"/>
              </w:rPr>
              <w:t>效果明显</w:t>
            </w:r>
          </w:p>
        </w:tc>
        <w:tc>
          <w:tcPr>
            <w:tcW w:w="688" w:type="dxa"/>
            <w:noWrap w:val="0"/>
            <w:vAlign w:val="center"/>
          </w:tcPr>
          <w:p w14:paraId="3FB56A30">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c>
          <w:tcPr>
            <w:tcW w:w="816" w:type="dxa"/>
            <w:noWrap w:val="0"/>
            <w:vAlign w:val="center"/>
          </w:tcPr>
          <w:p w14:paraId="12768EA6">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w:t>
            </w:r>
          </w:p>
        </w:tc>
        <w:tc>
          <w:tcPr>
            <w:tcW w:w="1187" w:type="dxa"/>
            <w:noWrap w:val="0"/>
            <w:vAlign w:val="center"/>
          </w:tcPr>
          <w:p w14:paraId="6A2A335D">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000000"/>
                <w:kern w:val="0"/>
                <w:sz w:val="20"/>
                <w:szCs w:val="20"/>
              </w:rPr>
            </w:pPr>
          </w:p>
        </w:tc>
      </w:tr>
      <w:tr w14:paraId="0ACE42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 w:hRule="atLeast"/>
          <w:jc w:val="center"/>
        </w:trPr>
        <w:tc>
          <w:tcPr>
            <w:tcW w:w="1109" w:type="dxa"/>
            <w:vMerge w:val="continue"/>
            <w:noWrap w:val="0"/>
            <w:vAlign w:val="center"/>
          </w:tcPr>
          <w:p w14:paraId="66649309">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000000"/>
                <w:kern w:val="0"/>
                <w:sz w:val="20"/>
                <w:szCs w:val="20"/>
              </w:rPr>
            </w:pPr>
          </w:p>
        </w:tc>
        <w:tc>
          <w:tcPr>
            <w:tcW w:w="1112" w:type="dxa"/>
            <w:noWrap w:val="0"/>
            <w:vAlign w:val="center"/>
          </w:tcPr>
          <w:p w14:paraId="672C9C85">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auto"/>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满意度</w:t>
            </w:r>
          </w:p>
          <w:p w14:paraId="166FCA6C">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i w:val="0"/>
                <w:iCs w:val="0"/>
                <w:color w:val="000000"/>
                <w:kern w:val="0"/>
                <w:sz w:val="20"/>
                <w:szCs w:val="20"/>
                <w:u w:val="none"/>
                <w:lang w:val="en-US" w:eastAsia="zh-CN" w:bidi="ar"/>
              </w:rPr>
              <w:t>指标</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（10分）</w:t>
            </w:r>
          </w:p>
        </w:tc>
        <w:tc>
          <w:tcPr>
            <w:tcW w:w="1052" w:type="dxa"/>
            <w:noWrap w:val="0"/>
            <w:vAlign w:val="center"/>
          </w:tcPr>
          <w:p w14:paraId="39BBCFF1">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i w:val="0"/>
                <w:iCs w:val="0"/>
                <w:color w:val="000000"/>
                <w:kern w:val="0"/>
                <w:sz w:val="20"/>
                <w:szCs w:val="20"/>
                <w:u w:val="none"/>
                <w:lang w:val="en-US" w:eastAsia="zh-CN" w:bidi="ar"/>
              </w:rPr>
              <w:t>服务对象满意度指标</w:t>
            </w:r>
          </w:p>
        </w:tc>
        <w:tc>
          <w:tcPr>
            <w:tcW w:w="1628" w:type="dxa"/>
            <w:gridSpan w:val="2"/>
            <w:noWrap w:val="0"/>
            <w:vAlign w:val="center"/>
          </w:tcPr>
          <w:p w14:paraId="2119A296">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i w:val="0"/>
                <w:iCs w:val="0"/>
                <w:color w:val="000000"/>
                <w:kern w:val="0"/>
                <w:sz w:val="20"/>
                <w:szCs w:val="20"/>
                <w:u w:val="none"/>
                <w:lang w:val="en-US" w:eastAsia="zh-CN" w:bidi="ar"/>
              </w:rPr>
              <w:t>服务对象满意度</w:t>
            </w:r>
          </w:p>
        </w:tc>
        <w:tc>
          <w:tcPr>
            <w:tcW w:w="1169" w:type="dxa"/>
            <w:gridSpan w:val="2"/>
            <w:noWrap w:val="0"/>
            <w:vAlign w:val="center"/>
          </w:tcPr>
          <w:p w14:paraId="1018B80A">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i w:val="0"/>
                <w:iCs w:val="0"/>
                <w:color w:val="000000"/>
                <w:kern w:val="0"/>
                <w:sz w:val="20"/>
                <w:szCs w:val="20"/>
                <w:u w:val="none"/>
                <w:lang w:val="en-US" w:eastAsia="zh-CN" w:bidi="ar"/>
              </w:rPr>
              <w:t>95</w:t>
            </w:r>
          </w:p>
        </w:tc>
        <w:tc>
          <w:tcPr>
            <w:tcW w:w="1111" w:type="dxa"/>
            <w:noWrap w:val="0"/>
            <w:vAlign w:val="center"/>
          </w:tcPr>
          <w:p w14:paraId="1B7A6AC0">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95</w:t>
            </w:r>
          </w:p>
        </w:tc>
        <w:tc>
          <w:tcPr>
            <w:tcW w:w="688" w:type="dxa"/>
            <w:noWrap w:val="0"/>
            <w:vAlign w:val="center"/>
          </w:tcPr>
          <w:p w14:paraId="5C2FA4D9">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c>
          <w:tcPr>
            <w:tcW w:w="816" w:type="dxa"/>
            <w:noWrap w:val="0"/>
            <w:vAlign w:val="center"/>
          </w:tcPr>
          <w:p w14:paraId="570CD6ED">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c>
          <w:tcPr>
            <w:tcW w:w="1187" w:type="dxa"/>
            <w:noWrap w:val="0"/>
            <w:vAlign w:val="center"/>
          </w:tcPr>
          <w:p w14:paraId="04F1D4C0">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000000"/>
                <w:kern w:val="0"/>
                <w:sz w:val="20"/>
                <w:szCs w:val="20"/>
              </w:rPr>
            </w:pPr>
          </w:p>
        </w:tc>
      </w:tr>
      <w:tr w14:paraId="77803E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181" w:type="dxa"/>
            <w:gridSpan w:val="8"/>
            <w:noWrap w:val="0"/>
            <w:vAlign w:val="center"/>
          </w:tcPr>
          <w:p w14:paraId="00A4F3BE">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总分</w:t>
            </w:r>
          </w:p>
        </w:tc>
        <w:tc>
          <w:tcPr>
            <w:tcW w:w="688" w:type="dxa"/>
            <w:noWrap w:val="0"/>
            <w:vAlign w:val="center"/>
          </w:tcPr>
          <w:p w14:paraId="62CFD9B7">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100</w:t>
            </w:r>
          </w:p>
        </w:tc>
        <w:tc>
          <w:tcPr>
            <w:tcW w:w="816" w:type="dxa"/>
            <w:noWrap w:val="0"/>
            <w:vAlign w:val="center"/>
          </w:tcPr>
          <w:p w14:paraId="3AFF3073">
            <w:pPr>
              <w:keepNext w:val="0"/>
              <w:keepLines w:val="0"/>
              <w:pageBreakBefore w:val="0"/>
              <w:widowControl/>
              <w:kinsoku/>
              <w:wordWrap/>
              <w:overflowPunct/>
              <w:topLinePunct w:val="0"/>
              <w:autoSpaceDE/>
              <w:autoSpaceDN/>
              <w:bidi w:val="0"/>
              <w:adjustRightInd/>
              <w:snapToGrid/>
              <w:spacing w:line="22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98.77</w:t>
            </w:r>
          </w:p>
        </w:tc>
        <w:tc>
          <w:tcPr>
            <w:tcW w:w="1187" w:type="dxa"/>
            <w:noWrap w:val="0"/>
            <w:vAlign w:val="center"/>
          </w:tcPr>
          <w:p w14:paraId="45E937A9">
            <w:pPr>
              <w:keepNext w:val="0"/>
              <w:keepLines w:val="0"/>
              <w:pageBreakBefore w:val="0"/>
              <w:widowControl/>
              <w:kinsoku/>
              <w:wordWrap/>
              <w:overflowPunct/>
              <w:topLinePunct w:val="0"/>
              <w:autoSpaceDE/>
              <w:autoSpaceDN/>
              <w:bidi w:val="0"/>
              <w:adjustRightInd/>
              <w:snapToGrid/>
              <w:spacing w:line="22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bl>
    <w:p w14:paraId="240FC435">
      <w:pPr>
        <w:widowControl w:val="0"/>
        <w:kinsoku/>
        <w:autoSpaceDE/>
        <w:autoSpaceDN/>
        <w:adjustRightInd/>
        <w:snapToGrid/>
        <w:spacing w:line="600" w:lineRule="exact"/>
        <w:jc w:val="both"/>
        <w:textAlignment w:val="auto"/>
        <w:rPr>
          <w:rFonts w:hint="default" w:eastAsia="仿宋_GB2312"/>
          <w:color w:val="000000"/>
          <w:kern w:val="0"/>
          <w:sz w:val="32"/>
          <w:szCs w:val="32"/>
          <w:lang w:val="en-US"/>
        </w:rPr>
        <w:sectPr>
          <w:pgSz w:w="11906" w:h="16838"/>
          <w:pgMar w:top="1134" w:right="1134" w:bottom="1134" w:left="1134" w:header="851" w:footer="992" w:gutter="0"/>
          <w:pgNumType w:fmt="decimal"/>
          <w:cols w:space="0" w:num="1"/>
          <w:rtlGutter w:val="0"/>
          <w:docGrid w:type="lines" w:linePitch="312" w:charSpace="0"/>
        </w:sectPr>
      </w:pPr>
      <w:r>
        <w:rPr>
          <w:rFonts w:hint="default" w:ascii="Times New Roman" w:hAnsi="Times New Roman" w:eastAsia="仿宋_GB2312" w:cs="Times New Roman"/>
          <w:snapToGrid/>
          <w:color w:val="000000"/>
          <w:kern w:val="0"/>
          <w:sz w:val="24"/>
          <w:szCs w:val="24"/>
          <w:lang w:val="en-US" w:eastAsia="zh-CN" w:bidi="ar-SA"/>
        </w:rPr>
        <w:t>填表人：</w:t>
      </w:r>
      <w:r>
        <w:rPr>
          <w:rFonts w:hint="eastAsia" w:ascii="Times New Roman" w:hAnsi="Times New Roman" w:eastAsia="仿宋_GB2312" w:cs="Times New Roman"/>
          <w:snapToGrid/>
          <w:color w:val="000000"/>
          <w:kern w:val="0"/>
          <w:sz w:val="24"/>
          <w:szCs w:val="24"/>
          <w:lang w:val="en-US" w:eastAsia="zh-CN" w:bidi="ar-SA"/>
        </w:rPr>
        <w:t xml:space="preserve">肖安培    </w:t>
      </w:r>
      <w:r>
        <w:rPr>
          <w:rFonts w:hint="default" w:ascii="Times New Roman" w:hAnsi="Times New Roman" w:eastAsia="仿宋_GB2312" w:cs="Times New Roman"/>
          <w:snapToGrid/>
          <w:color w:val="000000"/>
          <w:kern w:val="0"/>
          <w:sz w:val="24"/>
          <w:szCs w:val="24"/>
          <w:lang w:val="en-US" w:eastAsia="zh-CN" w:bidi="ar-SA"/>
        </w:rPr>
        <w:t xml:space="preserve">  填报日期：</w:t>
      </w:r>
      <w:r>
        <w:rPr>
          <w:rFonts w:hint="eastAsia" w:ascii="Times New Roman" w:hAnsi="Times New Roman" w:eastAsia="仿宋_GB2312" w:cs="Times New Roman"/>
          <w:snapToGrid/>
          <w:color w:val="000000"/>
          <w:kern w:val="0"/>
          <w:sz w:val="24"/>
          <w:szCs w:val="24"/>
          <w:lang w:val="en-US" w:eastAsia="zh-CN" w:bidi="ar-SA"/>
        </w:rPr>
        <w:t xml:space="preserve">2026年6月15日 </w:t>
      </w:r>
      <w:r>
        <w:rPr>
          <w:rFonts w:hint="default" w:ascii="Times New Roman" w:hAnsi="Times New Roman" w:eastAsia="仿宋_GB2312" w:cs="Times New Roman"/>
          <w:snapToGrid/>
          <w:color w:val="000000"/>
          <w:kern w:val="0"/>
          <w:sz w:val="24"/>
          <w:szCs w:val="24"/>
          <w:lang w:val="en-US" w:eastAsia="zh-CN" w:bidi="ar-SA"/>
        </w:rPr>
        <w:t xml:space="preserve"> </w:t>
      </w:r>
      <w:r>
        <w:rPr>
          <w:rFonts w:hint="eastAsia" w:ascii="Times New Roman" w:hAnsi="Times New Roman" w:eastAsia="仿宋_GB2312" w:cs="Times New Roman"/>
          <w:snapToGrid/>
          <w:color w:val="000000"/>
          <w:kern w:val="0"/>
          <w:sz w:val="24"/>
          <w:szCs w:val="24"/>
          <w:lang w:val="en-US" w:eastAsia="zh-CN" w:bidi="ar-SA"/>
        </w:rPr>
        <w:t xml:space="preserve">   </w:t>
      </w:r>
      <w:r>
        <w:rPr>
          <w:rFonts w:hint="default" w:ascii="Times New Roman" w:hAnsi="Times New Roman" w:eastAsia="仿宋_GB2312" w:cs="Times New Roman"/>
          <w:snapToGrid/>
          <w:color w:val="000000"/>
          <w:kern w:val="0"/>
          <w:sz w:val="24"/>
          <w:szCs w:val="24"/>
          <w:lang w:val="en-US" w:eastAsia="zh-CN" w:bidi="ar-SA"/>
        </w:rPr>
        <w:t xml:space="preserve"> 联系电话：</w:t>
      </w:r>
      <w:r>
        <w:rPr>
          <w:rFonts w:hint="eastAsia" w:ascii="Times New Roman" w:hAnsi="Times New Roman" w:eastAsia="仿宋_GB2312" w:cs="Times New Roman"/>
          <w:snapToGrid/>
          <w:color w:val="000000"/>
          <w:kern w:val="0"/>
          <w:sz w:val="24"/>
          <w:szCs w:val="24"/>
          <w:lang w:val="en-US" w:eastAsia="zh-CN" w:bidi="ar-SA"/>
        </w:rPr>
        <w:t>0745-2278616</w:t>
      </w:r>
    </w:p>
    <w:p w14:paraId="5954BAA2">
      <w:pPr>
        <w:pStyle w:val="14"/>
        <w:spacing w:line="600" w:lineRule="exact"/>
        <w:rPr>
          <w:rFonts w:ascii="Times New Roman" w:hAnsi="Times New Roman" w:eastAsia="仿宋_GB2312" w:cs="Times New Roman"/>
          <w:sz w:val="32"/>
          <w:szCs w:val="32"/>
        </w:rPr>
      </w:pPr>
    </w:p>
    <w:p w14:paraId="5D3F2AD0">
      <w:pPr>
        <w:pStyle w:val="14"/>
        <w:jc w:val="center"/>
        <w:rPr>
          <w:rFonts w:ascii="Times New Roman" w:hAnsi="Times New Roman" w:cs="Times New Roman"/>
          <w:sz w:val="72"/>
          <w:szCs w:val="72"/>
        </w:rPr>
      </w:pPr>
    </w:p>
    <w:p w14:paraId="699AE689">
      <w:pPr>
        <w:pStyle w:val="14"/>
        <w:jc w:val="center"/>
        <w:rPr>
          <w:rFonts w:ascii="Times New Roman" w:hAnsi="Times New Roman" w:cs="Times New Roman"/>
          <w:sz w:val="72"/>
          <w:szCs w:val="72"/>
        </w:rPr>
      </w:pPr>
    </w:p>
    <w:p w14:paraId="24103BB2">
      <w:pPr>
        <w:jc w:val="left"/>
        <w:rPr>
          <w:rFonts w:ascii="Times New Roman" w:hAnsi="Times New Roman" w:cs="Times New Roman"/>
          <w:color w:val="000000"/>
          <w:kern w:val="0"/>
          <w:sz w:val="32"/>
          <w:szCs w:val="32"/>
        </w:rPr>
      </w:pPr>
    </w:p>
    <w:sectPr>
      <w:pgSz w:w="11906" w:h="16838"/>
      <w:pgMar w:top="1417" w:right="1588" w:bottom="1417" w:left="1588"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auto"/>
    <w:pitch w:val="default"/>
    <w:sig w:usb0="E00002FF" w:usb1="400004FF" w:usb2="00000000" w:usb3="00000000" w:csb0="2000019F" w:csb1="00000000"/>
  </w:font>
  <w:font w:name="方正小标宋简体">
    <w:altName w:val="黑体"/>
    <w:panose1 w:val="02010601030101010101"/>
    <w:charset w:val="86"/>
    <w:family w:val="auto"/>
    <w:pitch w:val="default"/>
    <w:sig w:usb0="00000000" w:usb1="00000000" w:usb2="00000000" w:usb3="00000000" w:csb0="00040000" w:csb1="00000000"/>
  </w:font>
  <w:font w:name="方正小标宋_GBK">
    <w:altName w:val="微软雅黑"/>
    <w:panose1 w:val="02000000000000000000"/>
    <w:charset w:val="86"/>
    <w:family w:val="script"/>
    <w:pitch w:val="default"/>
    <w:sig w:usb0="00000000" w:usb1="00000000" w:usb2="00082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华文中宋">
    <w:altName w:val="宋体"/>
    <w:panose1 w:val="02010600040101010101"/>
    <w:charset w:val="86"/>
    <w:family w:val="auto"/>
    <w:pitch w:val="default"/>
    <w:sig w:usb0="00000000" w:usb1="00000000" w:usb2="00000000" w:usb3="00000000" w:csb0="0004009F" w:csb1="DFD7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 w:name="Times New Roman Regular">
    <w:altName w:val="Times New Roman"/>
    <w:panose1 w:val="02020603050405020304"/>
    <w:charset w:val="00"/>
    <w:family w:val="auto"/>
    <w:pitch w:val="default"/>
    <w:sig w:usb0="00000000" w:usb1="00000000" w:usb2="00000009" w:usb3="00000000" w:csb0="400001FF" w:csb1="FFFF0000"/>
  </w:font>
  <w:font w:name="微软雅黑">
    <w:panose1 w:val="020B0503020204020204"/>
    <w:charset w:val="86"/>
    <w:family w:val="auto"/>
    <w:pitch w:val="default"/>
    <w:sig w:usb0="80000287" w:usb1="280F3C52" w:usb2="00000016" w:usb3="00000000" w:csb0="0004001F" w:csb1="00000000"/>
  </w:font>
  <w:font w:name="仿宋_GB2312">
    <w:altName w:val="仿宋"/>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7C3412">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153494">
    <w:pPr>
      <w:pStyle w:val="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4E2DDD">
    <w:pPr>
      <w:pStyle w:val="6"/>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B7D0C4">
    <w:pPr>
      <w:pStyle w:val="6"/>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753C7E6">
                          <w:pPr>
                            <w:pStyle w:val="6"/>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7753C7E6">
                    <w:pPr>
                      <w:pStyle w:val="6"/>
                    </w:pPr>
                    <w:r>
                      <w:fldChar w:fldCharType="begin"/>
                    </w:r>
                    <w:r>
                      <w:instrText xml:space="preserve"> PAGE  \* MERGEFORMAT </w:instrText>
                    </w:r>
                    <w:r>
                      <w:fldChar w:fldCharType="separate"/>
                    </w:r>
                    <w:r>
                      <w:t>20</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0B1046">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38" name="文本框 13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B2515D5">
                          <w:pPr>
                            <w:pStyle w:val="6"/>
                            <w:rPr>
                              <w:rFonts w:hint="eastAsia" w:eastAsia="宋体"/>
                              <w:sz w:val="28"/>
                              <w:szCs w:val="28"/>
                              <w:lang w:eastAsia="zh-CN"/>
                            </w:rPr>
                          </w:pPr>
                          <w:r>
                            <w:rPr>
                              <w:rFonts w:hint="eastAsia"/>
                              <w:sz w:val="28"/>
                              <w:szCs w:val="28"/>
                              <w:lang w:eastAsia="zh-CN"/>
                            </w:rPr>
                            <w:t>—</w:t>
                          </w:r>
                          <w:r>
                            <w:rPr>
                              <w:rFonts w:hint="eastAsia"/>
                              <w:sz w:val="28"/>
                              <w:szCs w:val="28"/>
                              <w:lang w:val="en-US" w:eastAsia="zh-CN"/>
                            </w:rP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rPr>
                            <w:t>2</w:t>
                          </w:r>
                          <w:r>
                            <w:rPr>
                              <w:sz w:val="28"/>
                              <w:szCs w:val="28"/>
                            </w:rPr>
                            <w:fldChar w:fldCharType="end"/>
                          </w:r>
                          <w:r>
                            <w:rPr>
                              <w:rFonts w:hint="eastAsia"/>
                              <w:sz w:val="28"/>
                              <w:szCs w:val="28"/>
                              <w:lang w:val="en-US" w:eastAsia="zh-CN"/>
                            </w:rPr>
                            <w:t xml:space="preserve"> </w:t>
                          </w:r>
                          <w:r>
                            <w:rPr>
                              <w:rFonts w:hint="eastAsia"/>
                              <w:sz w:val="28"/>
                              <w:szCs w:val="28"/>
                              <w:lang w:eastAsia="zh-CN"/>
                            </w:rP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99rAQzAgAAZQ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A99rAQzAgAAZQQAAA4AAAAAAAAAAQAgAAAAHwEAAGRycy9lMm9Eb2MueG1sUEsF&#10;BgAAAAAGAAYAWQEAAMQFAAAAAA==&#10;">
              <v:fill on="f" focussize="0,0"/>
              <v:stroke on="f" weight="0.5pt"/>
              <v:imagedata o:title=""/>
              <o:lock v:ext="edit" aspectratio="f"/>
              <v:textbox inset="0mm,0mm,0mm,0mm" style="mso-fit-shape-to-text:t;">
                <w:txbxContent>
                  <w:p w14:paraId="6B2515D5">
                    <w:pPr>
                      <w:pStyle w:val="6"/>
                      <w:rPr>
                        <w:rFonts w:hint="eastAsia" w:eastAsia="宋体"/>
                        <w:sz w:val="28"/>
                        <w:szCs w:val="28"/>
                        <w:lang w:eastAsia="zh-CN"/>
                      </w:rPr>
                    </w:pPr>
                    <w:r>
                      <w:rPr>
                        <w:rFonts w:hint="eastAsia"/>
                        <w:sz w:val="28"/>
                        <w:szCs w:val="28"/>
                        <w:lang w:eastAsia="zh-CN"/>
                      </w:rPr>
                      <w:t>—</w:t>
                    </w:r>
                    <w:r>
                      <w:rPr>
                        <w:rFonts w:hint="eastAsia"/>
                        <w:sz w:val="28"/>
                        <w:szCs w:val="28"/>
                        <w:lang w:val="en-US" w:eastAsia="zh-CN"/>
                      </w:rP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rPr>
                      <w:t>2</w:t>
                    </w:r>
                    <w:r>
                      <w:rPr>
                        <w:sz w:val="28"/>
                        <w:szCs w:val="28"/>
                      </w:rPr>
                      <w:fldChar w:fldCharType="end"/>
                    </w:r>
                    <w:r>
                      <w:rPr>
                        <w:rFonts w:hint="eastAsia"/>
                        <w:sz w:val="28"/>
                        <w:szCs w:val="28"/>
                        <w:lang w:val="en-US" w:eastAsia="zh-CN"/>
                      </w:rPr>
                      <w:t xml:space="preserve"> </w:t>
                    </w:r>
                    <w:r>
                      <w:rPr>
                        <w:rFonts w:hint="eastAsia"/>
                        <w:sz w:val="28"/>
                        <w:szCs w:val="28"/>
                        <w:lang w:eastAsia="zh-CN"/>
                      </w:rPr>
                      <w:t>—</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38C84E2"/>
    <w:multiLevelType w:val="singleLevel"/>
    <w:tmpl w:val="F38C84E2"/>
    <w:lvl w:ilvl="0" w:tentative="0">
      <w:start w:val="3"/>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GMwNWZkYzk1MDhlN2IyYjkwNjljMWJlM2MyNWM4YzcifQ=="/>
  </w:docVars>
  <w:rsids>
    <w:rsidRoot w:val="004506F9"/>
    <w:rsid w:val="0000001A"/>
    <w:rsid w:val="0002229B"/>
    <w:rsid w:val="000273BD"/>
    <w:rsid w:val="0003620C"/>
    <w:rsid w:val="00040CBC"/>
    <w:rsid w:val="000415B7"/>
    <w:rsid w:val="00041E3F"/>
    <w:rsid w:val="00055DAA"/>
    <w:rsid w:val="00061F7B"/>
    <w:rsid w:val="000658A3"/>
    <w:rsid w:val="00074155"/>
    <w:rsid w:val="00080785"/>
    <w:rsid w:val="000A3F69"/>
    <w:rsid w:val="000B20F1"/>
    <w:rsid w:val="000C5742"/>
    <w:rsid w:val="00103957"/>
    <w:rsid w:val="00152C6D"/>
    <w:rsid w:val="00162D39"/>
    <w:rsid w:val="001678BD"/>
    <w:rsid w:val="00182373"/>
    <w:rsid w:val="001A67DB"/>
    <w:rsid w:val="001B67D1"/>
    <w:rsid w:val="001C3C29"/>
    <w:rsid w:val="001D2B79"/>
    <w:rsid w:val="001D51E5"/>
    <w:rsid w:val="001E080D"/>
    <w:rsid w:val="001E53D0"/>
    <w:rsid w:val="001F0C3B"/>
    <w:rsid w:val="00202C82"/>
    <w:rsid w:val="00214427"/>
    <w:rsid w:val="00220689"/>
    <w:rsid w:val="00221AFD"/>
    <w:rsid w:val="00226CB7"/>
    <w:rsid w:val="00252450"/>
    <w:rsid w:val="00264552"/>
    <w:rsid w:val="00264EF9"/>
    <w:rsid w:val="00265724"/>
    <w:rsid w:val="0027426B"/>
    <w:rsid w:val="00296D60"/>
    <w:rsid w:val="002E0A30"/>
    <w:rsid w:val="0030077D"/>
    <w:rsid w:val="003130C4"/>
    <w:rsid w:val="00316C4B"/>
    <w:rsid w:val="0032192B"/>
    <w:rsid w:val="0033283E"/>
    <w:rsid w:val="003479BD"/>
    <w:rsid w:val="0037197D"/>
    <w:rsid w:val="003768D5"/>
    <w:rsid w:val="003926B9"/>
    <w:rsid w:val="003C2E17"/>
    <w:rsid w:val="003C47E6"/>
    <w:rsid w:val="003C4FC2"/>
    <w:rsid w:val="00401F9A"/>
    <w:rsid w:val="00416E61"/>
    <w:rsid w:val="0042790C"/>
    <w:rsid w:val="004506F9"/>
    <w:rsid w:val="00462315"/>
    <w:rsid w:val="004717A2"/>
    <w:rsid w:val="00473DF3"/>
    <w:rsid w:val="00487911"/>
    <w:rsid w:val="00490F48"/>
    <w:rsid w:val="00491741"/>
    <w:rsid w:val="004B0CEE"/>
    <w:rsid w:val="004C2A0A"/>
    <w:rsid w:val="004F5EFB"/>
    <w:rsid w:val="00500E5F"/>
    <w:rsid w:val="005122EF"/>
    <w:rsid w:val="0051441A"/>
    <w:rsid w:val="00517C33"/>
    <w:rsid w:val="00517D5F"/>
    <w:rsid w:val="00523644"/>
    <w:rsid w:val="0054069E"/>
    <w:rsid w:val="00544866"/>
    <w:rsid w:val="00552A3D"/>
    <w:rsid w:val="00574CC8"/>
    <w:rsid w:val="005767CC"/>
    <w:rsid w:val="00590D9F"/>
    <w:rsid w:val="00595D26"/>
    <w:rsid w:val="005A74E6"/>
    <w:rsid w:val="005B404E"/>
    <w:rsid w:val="005D4D55"/>
    <w:rsid w:val="005E0E6C"/>
    <w:rsid w:val="005E2CFB"/>
    <w:rsid w:val="005F2103"/>
    <w:rsid w:val="005F3D1C"/>
    <w:rsid w:val="005F4189"/>
    <w:rsid w:val="006171EE"/>
    <w:rsid w:val="0062378F"/>
    <w:rsid w:val="00641842"/>
    <w:rsid w:val="00651EEC"/>
    <w:rsid w:val="00686673"/>
    <w:rsid w:val="00691E8C"/>
    <w:rsid w:val="006A22C4"/>
    <w:rsid w:val="006A351B"/>
    <w:rsid w:val="006B0422"/>
    <w:rsid w:val="006C1B53"/>
    <w:rsid w:val="006D7730"/>
    <w:rsid w:val="006E5284"/>
    <w:rsid w:val="006F3EB5"/>
    <w:rsid w:val="006F56C8"/>
    <w:rsid w:val="00702E34"/>
    <w:rsid w:val="00704395"/>
    <w:rsid w:val="00710FE7"/>
    <w:rsid w:val="00717621"/>
    <w:rsid w:val="00720FF1"/>
    <w:rsid w:val="00727A53"/>
    <w:rsid w:val="007502DE"/>
    <w:rsid w:val="00787B42"/>
    <w:rsid w:val="007C4539"/>
    <w:rsid w:val="007F3657"/>
    <w:rsid w:val="00810F0C"/>
    <w:rsid w:val="00811AA2"/>
    <w:rsid w:val="00812ED5"/>
    <w:rsid w:val="008277D9"/>
    <w:rsid w:val="0084478C"/>
    <w:rsid w:val="0086638C"/>
    <w:rsid w:val="008764FA"/>
    <w:rsid w:val="008A1079"/>
    <w:rsid w:val="008A3E8D"/>
    <w:rsid w:val="008A5055"/>
    <w:rsid w:val="008D17F4"/>
    <w:rsid w:val="009237C4"/>
    <w:rsid w:val="00944C48"/>
    <w:rsid w:val="00950252"/>
    <w:rsid w:val="00967F5D"/>
    <w:rsid w:val="009A0F95"/>
    <w:rsid w:val="009B3ADF"/>
    <w:rsid w:val="009C31C5"/>
    <w:rsid w:val="009C3B52"/>
    <w:rsid w:val="009E6817"/>
    <w:rsid w:val="009E6E9A"/>
    <w:rsid w:val="00A01D2B"/>
    <w:rsid w:val="00A1392A"/>
    <w:rsid w:val="00A42218"/>
    <w:rsid w:val="00A70249"/>
    <w:rsid w:val="00A70B02"/>
    <w:rsid w:val="00A71D9F"/>
    <w:rsid w:val="00A92E9F"/>
    <w:rsid w:val="00AB18FF"/>
    <w:rsid w:val="00B26269"/>
    <w:rsid w:val="00B33BEA"/>
    <w:rsid w:val="00B57C9F"/>
    <w:rsid w:val="00B63572"/>
    <w:rsid w:val="00B845B3"/>
    <w:rsid w:val="00B85D8B"/>
    <w:rsid w:val="00BB4A40"/>
    <w:rsid w:val="00BD6022"/>
    <w:rsid w:val="00BD6C3E"/>
    <w:rsid w:val="00BE3674"/>
    <w:rsid w:val="00C10681"/>
    <w:rsid w:val="00C10822"/>
    <w:rsid w:val="00C15C89"/>
    <w:rsid w:val="00C27C0D"/>
    <w:rsid w:val="00C3049A"/>
    <w:rsid w:val="00C31B1E"/>
    <w:rsid w:val="00C32F2E"/>
    <w:rsid w:val="00C73888"/>
    <w:rsid w:val="00C77645"/>
    <w:rsid w:val="00CE04C3"/>
    <w:rsid w:val="00CE34BE"/>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F74360"/>
    <w:rsid w:val="00FB462F"/>
    <w:rsid w:val="00FE16FA"/>
    <w:rsid w:val="00FE328A"/>
    <w:rsid w:val="00FE6269"/>
    <w:rsid w:val="00FF5CD6"/>
    <w:rsid w:val="01866B52"/>
    <w:rsid w:val="02F079B0"/>
    <w:rsid w:val="09A24612"/>
    <w:rsid w:val="0AFC1508"/>
    <w:rsid w:val="131904E6"/>
    <w:rsid w:val="14745797"/>
    <w:rsid w:val="16183AE4"/>
    <w:rsid w:val="17C15D7E"/>
    <w:rsid w:val="189A5F9C"/>
    <w:rsid w:val="19BD1366"/>
    <w:rsid w:val="1D97DEFF"/>
    <w:rsid w:val="1DB945BC"/>
    <w:rsid w:val="1DFF72E5"/>
    <w:rsid w:val="1EFC6F07"/>
    <w:rsid w:val="20A7251B"/>
    <w:rsid w:val="244410FD"/>
    <w:rsid w:val="2661459D"/>
    <w:rsid w:val="26642E8F"/>
    <w:rsid w:val="285A2DEF"/>
    <w:rsid w:val="29193321"/>
    <w:rsid w:val="2B0A5203"/>
    <w:rsid w:val="2C7C3EDF"/>
    <w:rsid w:val="2FDF85B8"/>
    <w:rsid w:val="2FFFEE04"/>
    <w:rsid w:val="301C68D5"/>
    <w:rsid w:val="30760FFB"/>
    <w:rsid w:val="30BA6D84"/>
    <w:rsid w:val="32805DAB"/>
    <w:rsid w:val="338A43CA"/>
    <w:rsid w:val="33C31EBC"/>
    <w:rsid w:val="34DF85B0"/>
    <w:rsid w:val="36EC067C"/>
    <w:rsid w:val="3A914FF9"/>
    <w:rsid w:val="3B6267E6"/>
    <w:rsid w:val="3B8F36BC"/>
    <w:rsid w:val="3EB62267"/>
    <w:rsid w:val="4246491B"/>
    <w:rsid w:val="43F73068"/>
    <w:rsid w:val="4473567F"/>
    <w:rsid w:val="45C55FAA"/>
    <w:rsid w:val="482A5773"/>
    <w:rsid w:val="484C6A03"/>
    <w:rsid w:val="491FF225"/>
    <w:rsid w:val="4952453B"/>
    <w:rsid w:val="4A1878EC"/>
    <w:rsid w:val="4A857FAB"/>
    <w:rsid w:val="4B09762A"/>
    <w:rsid w:val="4C2B076C"/>
    <w:rsid w:val="4D5D520F"/>
    <w:rsid w:val="4E26582F"/>
    <w:rsid w:val="4FFD214C"/>
    <w:rsid w:val="506F7733"/>
    <w:rsid w:val="52144BCA"/>
    <w:rsid w:val="52663F14"/>
    <w:rsid w:val="55F81F79"/>
    <w:rsid w:val="56420294"/>
    <w:rsid w:val="5777D4F5"/>
    <w:rsid w:val="57855BEF"/>
    <w:rsid w:val="59DD8326"/>
    <w:rsid w:val="5B0D2022"/>
    <w:rsid w:val="5DEF592A"/>
    <w:rsid w:val="5EC72D47"/>
    <w:rsid w:val="5FB30413"/>
    <w:rsid w:val="5FC6BB1E"/>
    <w:rsid w:val="5FF720F1"/>
    <w:rsid w:val="60664487"/>
    <w:rsid w:val="60844B35"/>
    <w:rsid w:val="610E43FE"/>
    <w:rsid w:val="641F230D"/>
    <w:rsid w:val="666F1DE3"/>
    <w:rsid w:val="676B467A"/>
    <w:rsid w:val="67FF5C0B"/>
    <w:rsid w:val="6CB72660"/>
    <w:rsid w:val="6D517903"/>
    <w:rsid w:val="6EFC0924"/>
    <w:rsid w:val="6FB74722"/>
    <w:rsid w:val="6FEF8B7E"/>
    <w:rsid w:val="70904E30"/>
    <w:rsid w:val="71A6591B"/>
    <w:rsid w:val="737D59BA"/>
    <w:rsid w:val="753353C9"/>
    <w:rsid w:val="77C37683"/>
    <w:rsid w:val="79D19834"/>
    <w:rsid w:val="79FF515B"/>
    <w:rsid w:val="7A7B08FF"/>
    <w:rsid w:val="7B503B39"/>
    <w:rsid w:val="7B7B048A"/>
    <w:rsid w:val="7BF549BF"/>
    <w:rsid w:val="7E751B09"/>
    <w:rsid w:val="7E9E1962"/>
    <w:rsid w:val="7E9F11B4"/>
    <w:rsid w:val="7F37EC1E"/>
    <w:rsid w:val="7F5F20B8"/>
    <w:rsid w:val="7F7DCD9D"/>
    <w:rsid w:val="7F970A6F"/>
    <w:rsid w:val="7FBB354B"/>
    <w:rsid w:val="7FC1FFF3"/>
    <w:rsid w:val="7FC69637"/>
    <w:rsid w:val="7FDF8620"/>
    <w:rsid w:val="7FE8C8F7"/>
    <w:rsid w:val="7FFB242F"/>
    <w:rsid w:val="7FFDB408"/>
    <w:rsid w:val="7FFE4EEB"/>
    <w:rsid w:val="95FB2B98"/>
    <w:rsid w:val="9A639BC2"/>
    <w:rsid w:val="9BFA491D"/>
    <w:rsid w:val="9FF7D786"/>
    <w:rsid w:val="ABBFB23D"/>
    <w:rsid w:val="B6AFFE39"/>
    <w:rsid w:val="C3B4DA5A"/>
    <w:rsid w:val="CBFF70E0"/>
    <w:rsid w:val="CFF50B82"/>
    <w:rsid w:val="CFFFAD89"/>
    <w:rsid w:val="DFFE359E"/>
    <w:rsid w:val="DFFE4FFD"/>
    <w:rsid w:val="EEABED75"/>
    <w:rsid w:val="F56FDF51"/>
    <w:rsid w:val="F6B69F17"/>
    <w:rsid w:val="F77F1D61"/>
    <w:rsid w:val="F7FED3A9"/>
    <w:rsid w:val="F8C9DB26"/>
    <w:rsid w:val="F97E8EAE"/>
    <w:rsid w:val="FB36E1A6"/>
    <w:rsid w:val="FB3BE134"/>
    <w:rsid w:val="FCFF4275"/>
    <w:rsid w:val="FD7FEEEA"/>
    <w:rsid w:val="FDFFB577"/>
    <w:rsid w:val="FEEA50FE"/>
    <w:rsid w:val="FF7D47A9"/>
    <w:rsid w:val="FF7F63BE"/>
    <w:rsid w:val="FFCF21CB"/>
    <w:rsid w:val="FFFF1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next w:val="1"/>
    <w:semiHidden/>
    <w:unhideWhenUsed/>
    <w:qFormat/>
    <w:uiPriority w:val="0"/>
    <w:pPr>
      <w:keepNext/>
      <w:keepLines/>
      <w:spacing w:before="260" w:after="260" w:line="416" w:lineRule="auto"/>
      <w:outlineLvl w:val="1"/>
    </w:pPr>
    <w:rPr>
      <w:rFonts w:asciiTheme="majorHAnsi" w:hAnsiTheme="majorHAnsi" w:eastAsiaTheme="majorEastAsia" w:cstheme="majorBidi"/>
      <w:b/>
      <w:bCs/>
      <w:sz w:val="32"/>
      <w:szCs w:val="32"/>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3">
    <w:name w:val="Body Text Indent"/>
    <w:basedOn w:val="1"/>
    <w:next w:val="4"/>
    <w:unhideWhenUsed/>
    <w:qFormat/>
    <w:uiPriority w:val="99"/>
    <w:pPr>
      <w:widowControl/>
      <w:spacing w:after="120"/>
      <w:ind w:left="420" w:leftChars="200"/>
      <w:jc w:val="left"/>
    </w:pPr>
    <w:rPr>
      <w:rFonts w:ascii="宋体" w:hAnsi="宋体" w:eastAsia="宋体" w:cs="宋体"/>
      <w:kern w:val="0"/>
      <w:sz w:val="24"/>
    </w:rPr>
  </w:style>
  <w:style w:type="paragraph" w:styleId="4">
    <w:name w:val="Body Text First Indent 2"/>
    <w:basedOn w:val="3"/>
    <w:next w:val="1"/>
    <w:unhideWhenUsed/>
    <w:qFormat/>
    <w:uiPriority w:val="99"/>
    <w:pPr>
      <w:ind w:firstLine="420" w:firstLineChars="200"/>
    </w:pPr>
  </w:style>
  <w:style w:type="paragraph" w:styleId="5">
    <w:name w:val="Balloon Text"/>
    <w:basedOn w:val="1"/>
    <w:link w:val="16"/>
    <w:semiHidden/>
    <w:unhideWhenUsed/>
    <w:qFormat/>
    <w:uiPriority w:val="99"/>
    <w:rPr>
      <w:sz w:val="18"/>
      <w:szCs w:val="18"/>
    </w:rPr>
  </w:style>
  <w:style w:type="paragraph" w:styleId="6">
    <w:name w:val="footer"/>
    <w:basedOn w:val="1"/>
    <w:link w:val="13"/>
    <w:unhideWhenUsed/>
    <w:qFormat/>
    <w:uiPriority w:val="99"/>
    <w:pPr>
      <w:tabs>
        <w:tab w:val="center" w:pos="4153"/>
        <w:tab w:val="right" w:pos="8306"/>
      </w:tabs>
      <w:snapToGrid w:val="0"/>
      <w:jc w:val="left"/>
    </w:pPr>
    <w:rPr>
      <w:sz w:val="18"/>
      <w:szCs w:val="18"/>
    </w:rPr>
  </w:style>
  <w:style w:type="paragraph" w:styleId="7">
    <w:name w:val="header"/>
    <w:basedOn w:val="1"/>
    <w:link w:val="12"/>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footnote text"/>
    <w:basedOn w:val="1"/>
    <w:next w:val="4"/>
    <w:semiHidden/>
    <w:qFormat/>
    <w:uiPriority w:val="0"/>
    <w:pPr>
      <w:snapToGrid w:val="0"/>
      <w:jc w:val="left"/>
    </w:pPr>
    <w:rPr>
      <w:sz w:val="18"/>
      <w:szCs w:val="18"/>
    </w:rPr>
  </w:style>
  <w:style w:type="paragraph" w:styleId="9">
    <w:name w:val="Normal (Web)"/>
    <w:basedOn w:val="1"/>
    <w:qFormat/>
    <w:uiPriority w:val="0"/>
    <w:pPr>
      <w:widowControl/>
      <w:spacing w:before="100" w:beforeAutospacing="1" w:after="100" w:afterAutospacing="1"/>
      <w:jc w:val="left"/>
    </w:pPr>
    <w:rPr>
      <w:rFonts w:ascii="宋体" w:hAnsi="宋体" w:cs="宋体"/>
      <w:kern w:val="0"/>
      <w:sz w:val="24"/>
    </w:rPr>
  </w:style>
  <w:style w:type="character" w:customStyle="1" w:styleId="12">
    <w:name w:val="页眉 Char"/>
    <w:basedOn w:val="11"/>
    <w:link w:val="7"/>
    <w:qFormat/>
    <w:uiPriority w:val="99"/>
    <w:rPr>
      <w:sz w:val="18"/>
      <w:szCs w:val="18"/>
    </w:rPr>
  </w:style>
  <w:style w:type="character" w:customStyle="1" w:styleId="13">
    <w:name w:val="页脚 Char"/>
    <w:basedOn w:val="11"/>
    <w:link w:val="6"/>
    <w:qFormat/>
    <w:uiPriority w:val="99"/>
    <w:rPr>
      <w:sz w:val="18"/>
      <w:szCs w:val="18"/>
    </w:rPr>
  </w:style>
  <w:style w:type="paragraph" w:customStyle="1" w:styleId="14">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5">
    <w:name w:val="List Paragraph"/>
    <w:basedOn w:val="1"/>
    <w:qFormat/>
    <w:uiPriority w:val="34"/>
    <w:pPr>
      <w:ind w:firstLine="420" w:firstLineChars="200"/>
    </w:pPr>
  </w:style>
  <w:style w:type="character" w:customStyle="1" w:styleId="16">
    <w:name w:val="批注框文本 Char"/>
    <w:basedOn w:val="11"/>
    <w:link w:val="5"/>
    <w:semiHidden/>
    <w:qFormat/>
    <w:uiPriority w:val="99"/>
    <w:rPr>
      <w:sz w:val="18"/>
      <w:szCs w:val="18"/>
    </w:rPr>
  </w:style>
  <w:style w:type="character" w:customStyle="1" w:styleId="17">
    <w:name w:val="font01"/>
    <w:basedOn w:val="11"/>
    <w:qFormat/>
    <w:uiPriority w:val="0"/>
    <w:rPr>
      <w:rFonts w:hint="eastAsia" w:ascii="宋体" w:hAnsi="宋体" w:eastAsia="宋体" w:cs="宋体"/>
      <w:color w:val="000000"/>
      <w:sz w:val="22"/>
      <w:szCs w:val="22"/>
      <w:u w:val="none"/>
    </w:rPr>
  </w:style>
  <w:style w:type="character" w:customStyle="1" w:styleId="18">
    <w:name w:val="font21"/>
    <w:basedOn w:val="11"/>
    <w:qFormat/>
    <w:uiPriority w:val="0"/>
    <w:rPr>
      <w:rFonts w:hint="eastAsia" w:ascii="宋体" w:hAnsi="宋体" w:eastAsia="宋体" w:cs="宋体"/>
      <w:color w:val="000000"/>
      <w:sz w:val="24"/>
      <w:szCs w:val="24"/>
      <w:u w:val="none"/>
    </w:rPr>
  </w:style>
  <w:style w:type="character" w:customStyle="1" w:styleId="19">
    <w:name w:val="font11"/>
    <w:basedOn w:val="11"/>
    <w:qFormat/>
    <w:uiPriority w:val="0"/>
    <w:rPr>
      <w:rFonts w:hint="eastAsia" w:ascii="宋体" w:hAnsi="宋体" w:eastAsia="宋体" w:cs="宋体"/>
      <w:color w:val="000000"/>
      <w:sz w:val="24"/>
      <w:szCs w:val="24"/>
      <w:u w:val="none"/>
    </w:rPr>
  </w:style>
  <w:style w:type="paragraph" w:styleId="20">
    <w:name w:val="No Spacing"/>
    <w:qFormat/>
    <w:uiPriority w:val="1"/>
    <w:pPr>
      <w:widowControl w:val="0"/>
      <w:jc w:val="both"/>
    </w:pPr>
    <w:rPr>
      <w:rFonts w:ascii="Calibri" w:hAnsi="Calibri" w:eastAsia="宋体" w:cs="Times New Roman"/>
      <w:kern w:val="2"/>
      <w:sz w:val="21"/>
      <w:szCs w:val="22"/>
      <w:lang w:val="en-US" w:eastAsia="zh-CN" w:bidi="ar-SA"/>
    </w:rPr>
  </w:style>
  <w:style w:type="paragraph" w:customStyle="1" w:styleId="21">
    <w:name w:val="标题1"/>
    <w:basedOn w:val="2"/>
    <w:autoRedefine/>
    <w:qFormat/>
    <w:uiPriority w:val="0"/>
    <w:pPr>
      <w:spacing w:before="0" w:after="0" w:line="560" w:lineRule="exact"/>
      <w:ind w:firstLine="200" w:firstLineChars="200"/>
    </w:pPr>
    <w:rPr>
      <w:rFonts w:eastAsia="黑体"/>
      <w:b w:val="0"/>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44</Pages>
  <Words>1463</Words>
  <Characters>8342</Characters>
  <Lines>69</Lines>
  <Paragraphs>19</Paragraphs>
  <TotalTime>45</TotalTime>
  <ScaleCrop>false</ScaleCrop>
  <LinksUpToDate>false</LinksUpToDate>
  <CharactersWithSpaces>9786</CharactersWithSpaces>
  <Application>WPS Office_12.1.0.17145_F1E327BC-269C-435d-A152-05C5408002CA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2025-08-19T18:17:00Z</dcterms:created>
  <dc:creator>李航 null</dc:creator>
  <cp:lastModifiedBy>Administrator</cp:lastModifiedBy>
  <cp:lastPrinted>2026-09-21T07:22:18Z</cp:lastPrinted>
  <dcterms:modified xsi:type="dcterms:W3CDTF">2026-09-21T08:40:00Z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2052-12.1.0.17145</vt:lpwstr>
  </property>
  <property fmtid="{D5CDD505-2E9C-101B-9397-08002B2CF9AE}" pid="3" name="ICV">
    <vt:lpwstr>86FC9DF1A1E04FF192209FDED57749E1_13</vt:lpwstr>
  </property>
</Properties>
</file>