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3EA92">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7BC09C17">
      <w:pPr>
        <w:pStyle w:val="14"/>
        <w:jc w:val="center"/>
        <w:rPr>
          <w:rFonts w:ascii="Times New Roman" w:hAnsi="Times New Roman" w:cs="Times New Roman"/>
          <w:sz w:val="56"/>
          <w:szCs w:val="56"/>
        </w:rPr>
      </w:pPr>
    </w:p>
    <w:p w14:paraId="0DA64830">
      <w:pPr>
        <w:pStyle w:val="14"/>
        <w:jc w:val="center"/>
        <w:rPr>
          <w:rFonts w:ascii="Times New Roman" w:hAnsi="Times New Roman" w:cs="Times New Roman"/>
          <w:sz w:val="84"/>
          <w:szCs w:val="84"/>
        </w:rPr>
      </w:pPr>
    </w:p>
    <w:p w14:paraId="420EE2ED">
      <w:pPr>
        <w:pStyle w:val="14"/>
        <w:jc w:val="center"/>
        <w:rPr>
          <w:rFonts w:ascii="Times New Roman" w:hAnsi="Times New Roman" w:cs="Times New Roman"/>
          <w:sz w:val="84"/>
          <w:szCs w:val="84"/>
        </w:rPr>
      </w:pPr>
    </w:p>
    <w:p w14:paraId="756085E1">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759A0BA7">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color w:val="auto"/>
          <w:sz w:val="72"/>
          <w:szCs w:val="72"/>
        </w:rPr>
        <w:t>怀化市库区移民事务中心</w:t>
      </w:r>
      <w:r>
        <w:rPr>
          <w:rFonts w:hint="default" w:ascii="Times New Roman" w:hAnsi="Times New Roman" w:eastAsia="方正小标宋简体" w:cs="Times New Roman"/>
          <w:color w:val="auto"/>
          <w:sz w:val="72"/>
          <w:szCs w:val="72"/>
        </w:rPr>
        <w:t xml:space="preserve"> </w:t>
      </w:r>
      <w:r>
        <w:rPr>
          <w:rFonts w:ascii="Times New Roman" w:hAnsi="Times New Roman" w:eastAsia="方正小标宋简体" w:cs="Times New Roman"/>
          <w:sz w:val="72"/>
          <w:szCs w:val="72"/>
        </w:rPr>
        <w:t>部门决算</w:t>
      </w:r>
    </w:p>
    <w:p w14:paraId="50000A54">
      <w:pPr>
        <w:pStyle w:val="14"/>
        <w:jc w:val="center"/>
        <w:rPr>
          <w:rFonts w:ascii="Times New Roman" w:hAnsi="Times New Roman" w:eastAsia="方正小标宋_GBK" w:cs="Times New Roman"/>
          <w:sz w:val="56"/>
          <w:szCs w:val="56"/>
        </w:rPr>
      </w:pPr>
    </w:p>
    <w:p w14:paraId="0D1DDB28">
      <w:pPr>
        <w:pStyle w:val="14"/>
        <w:jc w:val="center"/>
        <w:rPr>
          <w:rFonts w:ascii="Times New Roman" w:hAnsi="Times New Roman" w:cs="Times New Roman"/>
          <w:sz w:val="56"/>
          <w:szCs w:val="56"/>
        </w:rPr>
      </w:pPr>
    </w:p>
    <w:p w14:paraId="14D6F3C7">
      <w:pPr>
        <w:pStyle w:val="14"/>
        <w:rPr>
          <w:rFonts w:ascii="Times New Roman" w:hAnsi="Times New Roman" w:cs="Times New Roman"/>
          <w:sz w:val="56"/>
          <w:szCs w:val="56"/>
        </w:rPr>
      </w:pPr>
    </w:p>
    <w:p w14:paraId="27E7AB41">
      <w:pPr>
        <w:pStyle w:val="14"/>
        <w:jc w:val="center"/>
        <w:rPr>
          <w:rFonts w:ascii="Times New Roman" w:hAnsi="Times New Roman" w:cs="Times New Roman"/>
          <w:sz w:val="32"/>
          <w:szCs w:val="32"/>
        </w:rPr>
      </w:pPr>
    </w:p>
    <w:p w14:paraId="0A2A659D">
      <w:pPr>
        <w:pStyle w:val="14"/>
        <w:jc w:val="center"/>
        <w:rPr>
          <w:rFonts w:ascii="Times New Roman" w:hAnsi="Times New Roman" w:cs="Times New Roman"/>
          <w:sz w:val="32"/>
          <w:szCs w:val="32"/>
        </w:rPr>
      </w:pPr>
    </w:p>
    <w:p w14:paraId="1213B979">
      <w:pPr>
        <w:pStyle w:val="14"/>
        <w:jc w:val="center"/>
        <w:rPr>
          <w:rFonts w:ascii="Times New Roman" w:hAnsi="Times New Roman" w:cs="Times New Roman"/>
          <w:sz w:val="32"/>
          <w:szCs w:val="32"/>
        </w:rPr>
      </w:pPr>
    </w:p>
    <w:p w14:paraId="328EFAB5">
      <w:pPr>
        <w:pStyle w:val="14"/>
        <w:jc w:val="center"/>
        <w:rPr>
          <w:rFonts w:ascii="Times New Roman" w:hAnsi="Times New Roman" w:cs="Times New Roman"/>
          <w:sz w:val="32"/>
          <w:szCs w:val="32"/>
        </w:rPr>
      </w:pPr>
    </w:p>
    <w:p w14:paraId="35BB95F6">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3D9F696">
      <w:pPr>
        <w:pStyle w:val="14"/>
        <w:spacing w:line="600" w:lineRule="exact"/>
        <w:jc w:val="both"/>
        <w:rPr>
          <w:rFonts w:ascii="Times New Roman" w:hAnsi="Times New Roman" w:cs="Times New Roman"/>
          <w:b/>
          <w:sz w:val="36"/>
          <w:szCs w:val="28"/>
        </w:rPr>
      </w:pPr>
    </w:p>
    <w:p w14:paraId="156E145C">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C7E5483">
      <w:pPr>
        <w:pStyle w:val="14"/>
        <w:spacing w:line="600" w:lineRule="exact"/>
        <w:jc w:val="center"/>
        <w:rPr>
          <w:rFonts w:ascii="Times New Roman" w:hAnsi="Times New Roman" w:cs="Times New Roman"/>
          <w:b/>
          <w:sz w:val="36"/>
          <w:szCs w:val="28"/>
        </w:rPr>
      </w:pPr>
    </w:p>
    <w:p w14:paraId="1E449299">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ascii="Times New Roman" w:hAnsi="Times New Roman" w:cs="Times New Roman"/>
          <w:bCs/>
          <w:color w:val="auto"/>
          <w:sz w:val="32"/>
          <w:szCs w:val="32"/>
        </w:rPr>
        <w:t>怀化市库区移民事务中心</w:t>
      </w:r>
      <w:r>
        <w:rPr>
          <w:rFonts w:ascii="Times New Roman" w:hAnsi="Times New Roman" w:cs="Times New Roman"/>
          <w:bCs/>
          <w:sz w:val="32"/>
          <w:szCs w:val="32"/>
        </w:rPr>
        <w:t>概况</w:t>
      </w:r>
    </w:p>
    <w:p w14:paraId="5C12371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4008D7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2FB5C05">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6B126D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C723A6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429C47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338651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8584DA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683011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8CE0D9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A59C60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298C0F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77946AA">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86C711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49CBDA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5BB34B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1872DD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77858B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A4EEC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E7AA71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49669E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DC3CBB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7BFFA7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FF9C48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3025BE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53DC73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11AB751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3BC46D4">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2807CFA">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757BA06">
      <w:pPr>
        <w:pStyle w:val="14"/>
        <w:spacing w:line="600" w:lineRule="exact"/>
        <w:rPr>
          <w:rFonts w:ascii="Times New Roman" w:hAnsi="Times New Roman" w:cs="Times New Roman"/>
          <w:bCs/>
          <w:sz w:val="28"/>
          <w:szCs w:val="28"/>
        </w:rPr>
      </w:pPr>
    </w:p>
    <w:p w14:paraId="66666DDD">
      <w:pPr>
        <w:jc w:val="center"/>
        <w:rPr>
          <w:rFonts w:ascii="Times New Roman" w:hAnsi="Times New Roman" w:cs="Times New Roman"/>
          <w:sz w:val="72"/>
          <w:szCs w:val="72"/>
        </w:rPr>
      </w:pPr>
    </w:p>
    <w:p w14:paraId="6069F1E1">
      <w:pPr>
        <w:jc w:val="center"/>
        <w:rPr>
          <w:rFonts w:ascii="Times New Roman" w:hAnsi="Times New Roman" w:cs="Times New Roman"/>
          <w:sz w:val="72"/>
          <w:szCs w:val="72"/>
        </w:rPr>
      </w:pPr>
    </w:p>
    <w:p w14:paraId="4D879C5B">
      <w:pPr>
        <w:jc w:val="center"/>
        <w:rPr>
          <w:rFonts w:ascii="Times New Roman" w:hAnsi="Times New Roman" w:cs="Times New Roman"/>
          <w:sz w:val="72"/>
          <w:szCs w:val="72"/>
        </w:rPr>
      </w:pPr>
    </w:p>
    <w:p w14:paraId="4D009E96">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FBF8BDA">
      <w:pPr>
        <w:rPr>
          <w:rFonts w:ascii="Times New Roman" w:hAnsi="Times New Roman" w:eastAsia="方正小标宋_GBK" w:cs="Times New Roman"/>
          <w:sz w:val="72"/>
          <w:szCs w:val="72"/>
        </w:rPr>
      </w:pPr>
    </w:p>
    <w:p w14:paraId="35AD78C3">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F06238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color w:val="auto"/>
          <w:sz w:val="52"/>
          <w:szCs w:val="52"/>
        </w:rPr>
        <w:t>怀化市库区移民事务中心</w:t>
      </w:r>
      <w:r>
        <w:rPr>
          <w:rFonts w:ascii="Times New Roman" w:hAnsi="Times New Roman" w:eastAsia="方正小标宋_GBK" w:cs="Times New Roman"/>
          <w:sz w:val="52"/>
          <w:szCs w:val="52"/>
        </w:rPr>
        <w:t>概况</w:t>
      </w:r>
    </w:p>
    <w:p w14:paraId="42B99B4D">
      <w:pPr>
        <w:pStyle w:val="4"/>
        <w:ind w:left="0" w:leftChars="0" w:firstLine="0" w:firstLineChars="0"/>
        <w:rPr>
          <w:rFonts w:ascii="Times New Roman" w:hAnsi="Times New Roman" w:cs="Times New Roman"/>
        </w:rPr>
      </w:pPr>
    </w:p>
    <w:p w14:paraId="0C2ACD30">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92A1622">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（一）为大中型水库工程建设征地实物调查细则、移民安置规划大纲、移民安置规划、移民后期扶持规划审查提供技术支持;承担大中型水库移民安置阶段验收及竣工验收的事务性工作。</w:t>
      </w:r>
    </w:p>
    <w:p w14:paraId="4FC888AE">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（二）承担移民系统信息化管理和综合统计工作。</w:t>
      </w:r>
    </w:p>
    <w:p w14:paraId="0469C743">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（三）承担大中型水库移民安置和后期扶持的事务性工作。</w:t>
      </w:r>
    </w:p>
    <w:p w14:paraId="6201D16F">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协助有关部门拟订市本级水库移民资金年度预算方案和安排方案；承担移民资金内部审计和绩效评价的事务性工作;承担水库移民后期扶持政策实施情况监测评估、稽察的事务性工作;为水库移民资金管理提供服务保障。</w:t>
      </w:r>
    </w:p>
    <w:p w14:paraId="55849955">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（五）协助开展水库移民工作法规、规章的研究和起草工作;承担大中型水库移民信访维权、行政复议、行政诉讼的事务性工作。</w:t>
      </w:r>
    </w:p>
    <w:p w14:paraId="072273A9">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（六）协助推动水库移民对口帮扶工作;承担水库移民计划生育、综合治理、扶贫攻坚、安全生产的事务性工作。</w:t>
      </w:r>
    </w:p>
    <w:p w14:paraId="42692E57">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（七）协助协调三峡移民工作。</w:t>
      </w:r>
    </w:p>
    <w:p w14:paraId="425B9A24">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（八）承担大中型水库移民培训的事务性工作。</w:t>
      </w:r>
    </w:p>
    <w:p w14:paraId="4E4D96C2">
      <w:pPr>
        <w:widowControl/>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（九）承担市水利局交办的其他工作。</w:t>
      </w:r>
    </w:p>
    <w:p w14:paraId="4AA6DE3E">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35AF09D">
      <w:pPr>
        <w:widowControl/>
        <w:spacing w:line="600" w:lineRule="exact"/>
        <w:ind w:firstLine="640" w:firstLineChars="200"/>
        <w:rPr>
          <w:rFonts w:hint="eastAsia" w:ascii="Times New Roman" w:hAnsi="Times New Roman" w:eastAsia="仿宋_GB2312" w:cs="仿宋_GB2312"/>
          <w:bCs/>
          <w:color w:val="auto"/>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color w:val="auto"/>
          <w:kern w:val="0"/>
          <w:sz w:val="32"/>
          <w:szCs w:val="32"/>
        </w:rPr>
        <w:t>怀化市库区移民事务中心内设机构包括：办公室（人事部）、搬迁安置部、后期扶持部、资金财务部、信访维权部。</w:t>
      </w:r>
    </w:p>
    <w:p w14:paraId="37E76666">
      <w:pPr>
        <w:pStyle w:val="14"/>
        <w:jc w:val="left"/>
        <w:rPr>
          <w:rFonts w:hint="eastAsia" w:ascii="Times New Roman" w:hAnsi="Times New Roman" w:eastAsia="仿宋_GB2312" w:cs="仿宋_GB2312"/>
          <w:bCs/>
          <w:color w:val="auto"/>
          <w:kern w:val="0"/>
          <w:sz w:val="32"/>
          <w:szCs w:val="32"/>
          <w:lang w:val="en-US"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color w:val="auto"/>
          <w:kern w:val="0"/>
          <w:sz w:val="32"/>
          <w:szCs w:val="32"/>
        </w:rPr>
        <w:t>怀化市库区移民事务中心202</w:t>
      </w:r>
      <w:r>
        <w:rPr>
          <w:rFonts w:hint="default" w:ascii="Times New Roman" w:hAnsi="Times New Roman" w:eastAsia="仿宋_GB2312" w:cs="仿宋_GB2312"/>
          <w:bCs/>
          <w:color w:val="auto"/>
          <w:kern w:val="0"/>
          <w:sz w:val="32"/>
          <w:szCs w:val="32"/>
        </w:rPr>
        <w:t>5</w:t>
      </w:r>
      <w:r>
        <w:rPr>
          <w:rFonts w:hint="eastAsia" w:ascii="Times New Roman" w:hAnsi="Times New Roman" w:eastAsia="仿宋_GB2312" w:cs="仿宋_GB2312"/>
          <w:bCs/>
          <w:color w:val="auto"/>
          <w:kern w:val="0"/>
          <w:sz w:val="32"/>
          <w:szCs w:val="32"/>
        </w:rPr>
        <w:t>年部门决算汇总公开单位构成包括：怀化市库区移民事务中心本级</w:t>
      </w:r>
      <w:r>
        <w:rPr>
          <w:rFonts w:hint="eastAsia" w:ascii="Times New Roman" w:hAnsi="Times New Roman" w:eastAsia="仿宋_GB2312" w:cs="仿宋_GB2312"/>
          <w:bCs/>
          <w:color w:val="auto"/>
          <w:kern w:val="0"/>
          <w:sz w:val="32"/>
          <w:szCs w:val="32"/>
          <w:lang w:eastAsia="zh-CN"/>
        </w:rPr>
        <w:t>。</w:t>
      </w:r>
    </w:p>
    <w:p w14:paraId="19BA9FDA">
      <w:pPr>
        <w:widowControl/>
        <w:spacing w:line="600" w:lineRule="exact"/>
        <w:rPr>
          <w:rFonts w:ascii="Times New Roman" w:hAnsi="Times New Roman" w:eastAsia="仿宋_GB2312" w:cs="Times New Roman"/>
          <w:bCs/>
          <w:kern w:val="0"/>
          <w:sz w:val="32"/>
          <w:szCs w:val="32"/>
        </w:rPr>
      </w:pPr>
    </w:p>
    <w:p w14:paraId="7779E17C">
      <w:pPr>
        <w:jc w:val="left"/>
        <w:rPr>
          <w:rFonts w:ascii="Times New Roman" w:hAnsi="Times New Roman" w:eastAsia="仿宋_GB2312" w:cs="Times New Roman"/>
          <w:sz w:val="28"/>
          <w:szCs w:val="32"/>
        </w:rPr>
      </w:pPr>
    </w:p>
    <w:p w14:paraId="7A0D1402">
      <w:pPr>
        <w:jc w:val="center"/>
        <w:rPr>
          <w:rFonts w:ascii="Times New Roman" w:hAnsi="Times New Roman" w:eastAsia="黑体" w:cs="Times New Roman"/>
          <w:sz w:val="28"/>
          <w:szCs w:val="28"/>
        </w:rPr>
      </w:pPr>
    </w:p>
    <w:p w14:paraId="6BDADBC8">
      <w:pPr>
        <w:jc w:val="center"/>
        <w:rPr>
          <w:rFonts w:ascii="Times New Roman" w:hAnsi="Times New Roman" w:eastAsia="黑体" w:cs="Times New Roman"/>
          <w:sz w:val="28"/>
          <w:szCs w:val="28"/>
        </w:rPr>
      </w:pPr>
    </w:p>
    <w:p w14:paraId="4F5742F9">
      <w:pPr>
        <w:jc w:val="center"/>
        <w:rPr>
          <w:rFonts w:ascii="Times New Roman" w:hAnsi="Times New Roman" w:eastAsia="黑体" w:cs="Times New Roman"/>
          <w:sz w:val="28"/>
          <w:szCs w:val="28"/>
        </w:rPr>
      </w:pPr>
    </w:p>
    <w:p w14:paraId="1C87B7B8">
      <w:pPr>
        <w:jc w:val="center"/>
        <w:rPr>
          <w:rFonts w:ascii="Times New Roman" w:hAnsi="Times New Roman" w:eastAsia="黑体" w:cs="Times New Roman"/>
          <w:sz w:val="28"/>
          <w:szCs w:val="28"/>
        </w:rPr>
      </w:pPr>
    </w:p>
    <w:p w14:paraId="5FD6008F">
      <w:pPr>
        <w:jc w:val="center"/>
        <w:rPr>
          <w:rFonts w:ascii="Times New Roman" w:hAnsi="Times New Roman" w:eastAsia="黑体" w:cs="Times New Roman"/>
          <w:sz w:val="28"/>
          <w:szCs w:val="28"/>
        </w:rPr>
      </w:pPr>
    </w:p>
    <w:p w14:paraId="7D59EC8E">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66452C4D">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925BECD">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DA51D09">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08C5CD9">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auto"/>
          <w:kern w:val="0"/>
          <w:sz w:val="20"/>
          <w:szCs w:val="20"/>
          <w:lang w:bidi="ar"/>
        </w:rPr>
        <w:t>怀化市库区移民事务中心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5FCAE1FE">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74D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4FB6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5DBF564B">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A98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6A78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7F5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EAFA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6E83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D67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0463A60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CC5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F89F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EA7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9FF1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5037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64B2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A3E96E5">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594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5A1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C5BB1">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494.76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7333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9ED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987D4">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407.47</w:t>
            </w:r>
          </w:p>
        </w:tc>
      </w:tr>
      <w:tr w14:paraId="1F63816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250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D7B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C8C84">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15.66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491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037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7A3EF">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0.00</w:t>
            </w:r>
          </w:p>
        </w:tc>
      </w:tr>
      <w:tr w14:paraId="3582F19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6DE5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C18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FD6C9">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4C3C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E5B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FB3E9">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0.00</w:t>
            </w:r>
          </w:p>
        </w:tc>
      </w:tr>
      <w:tr w14:paraId="60D45D5D">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831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710B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B6895">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043E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654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48169">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0.00</w:t>
            </w:r>
          </w:p>
        </w:tc>
      </w:tr>
      <w:tr w14:paraId="5FA255FD">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29F7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2B8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47386">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B5F6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E2C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50124">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0.00</w:t>
            </w:r>
          </w:p>
        </w:tc>
      </w:tr>
      <w:tr w14:paraId="1AEC300F">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48B0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F89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1C620">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DEEEC">
            <w:pPr>
              <w:widowControl/>
              <w:jc w:val="left"/>
              <w:textAlignment w:val="center"/>
              <w:rPr>
                <w:rFonts w:ascii="Times New Roman" w:hAnsi="Times New Roman" w:eastAsia="仿宋_GB2312" w:cs="Times New Roman"/>
                <w:color w:val="000000"/>
                <w:kern w:val="2"/>
                <w:sz w:val="24"/>
                <w:szCs w:val="24"/>
                <w:lang w:val="en-US" w:eastAsia="zh-CN" w:bidi="ar-SA"/>
              </w:rPr>
            </w:pPr>
            <w:r>
              <w:rPr>
                <w:rFonts w:ascii="Times New Roman" w:hAnsi="Times New Roman" w:eastAsia="仿宋_GB2312" w:cs="Times New Roman"/>
                <w:color w:val="auto"/>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3A5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32FA1">
            <w:pPr>
              <w:jc w:val="center"/>
              <w:rPr>
                <w:rFonts w:hint="default" w:ascii="Times New Roman" w:hAnsi="Times New Roman" w:eastAsia="仿宋_GB2312" w:cs="Times New Roman"/>
                <w:color w:val="000000"/>
                <w:kern w:val="2"/>
                <w:sz w:val="22"/>
                <w:szCs w:val="22"/>
                <w:lang w:val="en-US" w:eastAsia="zh-CN" w:bidi="ar-SA"/>
              </w:rPr>
            </w:pPr>
            <w:r>
              <w:rPr>
                <w:rFonts w:hint="default" w:ascii="Times New Roman" w:hAnsi="Times New Roman" w:eastAsia="仿宋_GB2312" w:cs="Times New Roman"/>
                <w:color w:val="auto"/>
                <w:sz w:val="22"/>
              </w:rPr>
              <w:t>60.75</w:t>
            </w:r>
          </w:p>
        </w:tc>
      </w:tr>
      <w:tr w14:paraId="3008E6CF">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B7AD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452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BA42A">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518B5">
            <w:pPr>
              <w:jc w:val="left"/>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auto"/>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28C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15204">
            <w:pPr>
              <w:jc w:val="center"/>
              <w:rPr>
                <w:rFonts w:ascii="Times New Roman" w:hAnsi="Times New Roman" w:eastAsia="仿宋_GB2312" w:cs="Times New Roman"/>
                <w:color w:val="000000"/>
                <w:kern w:val="2"/>
                <w:sz w:val="22"/>
                <w:szCs w:val="22"/>
                <w:lang w:val="en-US" w:eastAsia="zh-CN" w:bidi="ar-SA"/>
              </w:rPr>
            </w:pPr>
            <w:r>
              <w:rPr>
                <w:rFonts w:hint="default" w:ascii="Times New Roman" w:hAnsi="Times New Roman" w:eastAsia="仿宋_GB2312" w:cs="Times New Roman"/>
                <w:color w:val="auto"/>
                <w:sz w:val="22"/>
              </w:rPr>
              <w:t>13.31</w:t>
            </w:r>
          </w:p>
        </w:tc>
      </w:tr>
      <w:tr w14:paraId="413FCE6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0381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FFB5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B58B2">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42.50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8960">
            <w:pPr>
              <w:jc w:val="left"/>
              <w:rPr>
                <w:rFonts w:hint="default" w:ascii="Times New Roman" w:hAnsi="Times New Roman" w:eastAsia="仿宋_GB2312" w:cs="Times New Roman"/>
                <w:color w:val="auto"/>
                <w:kern w:val="2"/>
                <w:sz w:val="22"/>
                <w:szCs w:val="22"/>
                <w:lang w:val="en-US" w:eastAsia="zh-CN" w:bidi="ar-SA"/>
              </w:rPr>
            </w:pPr>
            <w:r>
              <w:rPr>
                <w:rFonts w:ascii="Times New Roman" w:hAnsi="Times New Roman" w:eastAsia="仿宋_GB2312" w:cs="Times New Roman"/>
                <w:color w:val="auto"/>
                <w:sz w:val="22"/>
                <w:lang w:eastAsia="zh-CN"/>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DCC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02A14">
            <w:pPr>
              <w:jc w:val="center"/>
              <w:rPr>
                <w:rFonts w:ascii="Times New Roman" w:hAnsi="Times New Roman" w:eastAsia="仿宋_GB2312" w:cs="Times New Roman"/>
                <w:color w:val="000000"/>
                <w:sz w:val="22"/>
              </w:rPr>
            </w:pPr>
            <w:r>
              <w:rPr>
                <w:rFonts w:hint="default" w:ascii="Times New Roman" w:hAnsi="Times New Roman" w:eastAsia="仿宋_GB2312" w:cs="Times New Roman"/>
                <w:color w:val="auto"/>
                <w:sz w:val="22"/>
              </w:rPr>
              <w:t>66.87</w:t>
            </w:r>
          </w:p>
        </w:tc>
      </w:tr>
      <w:tr w14:paraId="1A0B3D09">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0DE0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6DB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9D9C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10482">
            <w:pPr>
              <w:widowControl/>
              <w:jc w:val="left"/>
              <w:textAlignment w:val="center"/>
              <w:rPr>
                <w:rFonts w:hint="default" w:ascii="Times New Roman" w:hAnsi="Times New Roman" w:eastAsia="仿宋_GB2312" w:cs="Times New Roman"/>
                <w:b/>
                <w:color w:val="auto"/>
                <w:kern w:val="2"/>
                <w:sz w:val="22"/>
                <w:szCs w:val="22"/>
                <w:lang w:val="en-US" w:eastAsia="zh-CN" w:bidi="ar-SA"/>
              </w:rPr>
            </w:pPr>
            <w:r>
              <w:rPr>
                <w:rFonts w:hint="default" w:ascii="Times New Roman" w:hAnsi="Times New Roman" w:eastAsia="仿宋_GB2312" w:cs="Times New Roman"/>
                <w:color w:val="auto"/>
                <w:sz w:val="22"/>
                <w:lang w:eastAsia="zh-CN"/>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B05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FD4A5">
            <w:pPr>
              <w:jc w:val="center"/>
              <w:rPr>
                <w:rFonts w:ascii="Times New Roman" w:hAnsi="Times New Roman" w:eastAsia="仿宋_GB2312" w:cs="Times New Roman"/>
                <w:b/>
                <w:color w:val="000000"/>
                <w:sz w:val="22"/>
              </w:rPr>
            </w:pPr>
            <w:r>
              <w:rPr>
                <w:rFonts w:hint="default" w:ascii="Times New Roman" w:hAnsi="Times New Roman" w:eastAsia="仿宋_GB2312" w:cs="Times New Roman"/>
                <w:color w:val="auto"/>
                <w:sz w:val="22"/>
              </w:rPr>
              <w:t>4.52</w:t>
            </w:r>
          </w:p>
        </w:tc>
      </w:tr>
      <w:tr w14:paraId="6489C2A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7460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F98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3284">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552.92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D9D9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248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E336A">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552.92</w:t>
            </w:r>
          </w:p>
        </w:tc>
      </w:tr>
      <w:tr w14:paraId="61DFF35F">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1F6D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8D30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DAAD0">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6CEB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61D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14892">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0.00</w:t>
            </w:r>
          </w:p>
        </w:tc>
      </w:tr>
      <w:tr w14:paraId="4FA81BF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F0F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BE56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0047">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A801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F72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025D0">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0.00</w:t>
            </w:r>
          </w:p>
        </w:tc>
      </w:tr>
      <w:tr w14:paraId="17D6E5E7">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D0DD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C60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00CC">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552.92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B363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F09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27792">
            <w:pPr>
              <w:jc w:val="center"/>
              <w:rPr>
                <w:rFonts w:hint="default" w:ascii="Times New Roman" w:hAnsi="Times New Roman" w:eastAsia="仿宋_GB2312" w:cs="Times New Roman"/>
                <w:color w:val="auto"/>
                <w:kern w:val="2"/>
                <w:sz w:val="22"/>
                <w:szCs w:val="22"/>
                <w:lang w:val="en-US" w:eastAsia="zh-CN" w:bidi="ar-SA"/>
              </w:rPr>
            </w:pPr>
            <w:r>
              <w:rPr>
                <w:rFonts w:hint="default" w:ascii="Times New Roman" w:hAnsi="Times New Roman" w:eastAsia="仿宋_GB2312" w:cs="Times New Roman"/>
                <w:color w:val="auto"/>
                <w:sz w:val="22"/>
              </w:rPr>
              <w:t>552.92</w:t>
            </w:r>
          </w:p>
        </w:tc>
      </w:tr>
    </w:tbl>
    <w:p w14:paraId="57327E7D">
      <w:pPr>
        <w:widowControl/>
        <w:jc w:val="left"/>
        <w:textAlignment w:val="center"/>
        <w:rPr>
          <w:rFonts w:ascii="Times New Roman" w:hAnsi="Times New Roman" w:eastAsia="宋体" w:cs="Times New Roman"/>
          <w:color w:val="000000"/>
          <w:kern w:val="0"/>
          <w:sz w:val="24"/>
          <w:szCs w:val="24"/>
          <w:lang w:bidi="ar"/>
        </w:rPr>
      </w:pPr>
    </w:p>
    <w:p w14:paraId="3C967496">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9EFA678">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0AFB43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63244E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A76343C">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CB65B7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auto"/>
          <w:sz w:val="20"/>
          <w:szCs w:val="20"/>
        </w:rPr>
        <w:t>怀化市库区移民事务中心</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40AD5359">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64D0B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0045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14D2CA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3472A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3D242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EA468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84DE7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C6F97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5C6A066E">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60F5B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5B42D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3A75D5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EE1130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F20FEA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5B9183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3876784">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41CF6EA">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6C7AD24">
            <w:pPr>
              <w:rPr>
                <w:rFonts w:ascii="Times New Roman" w:hAnsi="Times New Roman" w:eastAsia="仿宋_GB2312" w:cs="Times New Roman"/>
                <w:sz w:val="24"/>
                <w:szCs w:val="24"/>
              </w:rPr>
            </w:pPr>
          </w:p>
        </w:tc>
      </w:tr>
      <w:tr w14:paraId="7A2C0464">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3B617E7F">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06AD5CA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90941B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B5D8C6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4F5351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2BCBB1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EADE6C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5BC24E4">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9F72517">
            <w:pPr>
              <w:rPr>
                <w:rFonts w:ascii="Times New Roman" w:hAnsi="Times New Roman" w:eastAsia="仿宋_GB2312" w:cs="Times New Roman"/>
                <w:sz w:val="24"/>
                <w:szCs w:val="24"/>
              </w:rPr>
            </w:pPr>
          </w:p>
        </w:tc>
      </w:tr>
      <w:tr w14:paraId="1C212E0A">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3CBB41">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2411CC">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99EDDF">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D71922">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D8810F">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96F5E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842679">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31327E">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2351574">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194C17">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4E82C0">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552.92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E7140">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510.43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AF9DE1">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88158A">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69CDC7">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CC486D">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2D20A6">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42.50</w:t>
            </w:r>
          </w:p>
        </w:tc>
      </w:tr>
      <w:tr w14:paraId="618E2D6F">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5FC9F5">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5F7D0F">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92DAEC">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407.47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CC8945">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364.98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33E58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DD30C9">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4A0BD2">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A9EF07">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E2D391">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42.50</w:t>
            </w:r>
          </w:p>
        </w:tc>
      </w:tr>
      <w:tr w14:paraId="6440C6A7">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861CB7">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20103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2EF4A0">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政府办公厅（室）及相关机构事务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1B5E1">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331.47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A7D74C">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331.47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C9FD87">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7E5E71">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2DC67">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96BEC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4CD16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3B81D29D">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FAC775">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2010301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1E2233">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F312E2">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331.47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EE5CA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331.47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D8C9AD">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04320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5BE8F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E9B47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58CABC">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6BEA3E00">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B62994">
            <w:pPr>
              <w:keepNext w:val="0"/>
              <w:keepLines w:val="0"/>
              <w:widowControl/>
              <w:suppressLineNumbers w:val="0"/>
              <w:jc w:val="lef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20199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E18290">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0609B5">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76.01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10E2B1">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33.51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1C28F7">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EB540E">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500F92">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8D843B">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20CBB0">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42.50</w:t>
            </w:r>
          </w:p>
        </w:tc>
      </w:tr>
      <w:tr w14:paraId="69F099F8">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5F6BE5">
            <w:pPr>
              <w:keepNext w:val="0"/>
              <w:keepLines w:val="0"/>
              <w:widowControl/>
              <w:suppressLineNumbers w:val="0"/>
              <w:jc w:val="lef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2019999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51ACEF">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 xml:space="preserve">  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97E3EA">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76.01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A4D95C">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33.51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D24988">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5F1CA4">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27A024">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F7E29D">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513CED">
            <w:pPr>
              <w:pStyle w:val="2"/>
              <w:ind w:firstLine="420" w:firstLineChars="200"/>
              <w:jc w:val="right"/>
              <w:rPr>
                <w:rFonts w:hint="default" w:ascii="宋体" w:hAnsi="宋体" w:eastAsia="宋体" w:cs="宋体"/>
                <w:b/>
                <w:bCs/>
                <w:kern w:val="44"/>
                <w:sz w:val="36"/>
                <w:szCs w:val="48"/>
                <w:lang w:val="en-US" w:eastAsia="zh-CN" w:bidi="ar"/>
              </w:rPr>
            </w:pPr>
            <w:r>
              <w:rPr>
                <w:rFonts w:hint="default" w:ascii="仿宋_GB2312" w:hAnsi="仿宋_GB2312" w:eastAsia="仿宋_GB2312" w:cs="仿宋_GB2312"/>
                <w:b w:val="0"/>
                <w:bCs w:val="0"/>
                <w:i w:val="0"/>
                <w:color w:val="auto"/>
                <w:kern w:val="0"/>
                <w:sz w:val="21"/>
                <w:szCs w:val="21"/>
                <w:u w:val="none"/>
                <w:lang w:val="en-US" w:eastAsia="zh-CN" w:bidi="ar"/>
              </w:rPr>
              <w:t>42.50</w:t>
            </w:r>
          </w:p>
        </w:tc>
      </w:tr>
      <w:tr w14:paraId="3626C4F1">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D98515">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208</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98072D">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社会保障和就业支出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823C66">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60.75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8CAE5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60.75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685A6D">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FBA1A5">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83356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DEF8C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84FDB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720C391D">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A69E3E">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20805</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8AE764">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行政事业单位养老支出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BC1DE8">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60.75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9562CD">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60.75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390FA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2FCA3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BA61B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0B7879">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619A09">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79624B0C">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59BEB1">
            <w:pPr>
              <w:keepNext w:val="0"/>
              <w:keepLines w:val="0"/>
              <w:widowControl/>
              <w:suppressLineNumbers w:val="0"/>
              <w:jc w:val="lef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2080502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66DA3F">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 xml:space="preserve">  事业单位离退休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25D831">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28.01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354809">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28.01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6CB90E">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94DE21">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7F1749">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76EA21">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E890AD">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r w14:paraId="7E1FFB7F">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58C3E">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2080505</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5F7681">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机关事业单位基本养老保险缴费支出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E5C775">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32.75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8C7DA9">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32.75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F07EC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56DCF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B7B7C2">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7C7CD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A742E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54FD98D1">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A76270">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210</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5450F5">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卫生健康支出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12051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13.31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E43C9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13.31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ADCF01">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0515B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0023F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A6A67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03808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0A62C6CA">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F7A722">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21011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616502">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行政事业单位医疗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EBF921">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13.31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C3F3E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13.31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93E22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409935">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FD8949">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F0A968">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8ADA0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3F91697C">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00B35B">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2101101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902AAA">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行政单位医疗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33B342">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13.05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5C95F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13.05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FFFFC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065B1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410E8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A68BC2">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37DFB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5F453790">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E8288B">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213</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772FE7">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农林水支出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B88594">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sz w:val="21"/>
                <w:szCs w:val="21"/>
                <w:u w:val="none"/>
              </w:rPr>
              <w:t>66.87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C691DA">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66.87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B1745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2B33B9">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0E1C2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9111E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E5F59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18EC3A4A">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8EC02A">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21303</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200262">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水利</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28629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51.20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87C0F1">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51.20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6AFE8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C663E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6EC3B2">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069135">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9CCB91">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73E949E8">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7E05AF">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2130321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05FE69">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大中型水库移民后期扶持专项支出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16432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51.20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D35BB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51.20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B59A5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F047A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A46665">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0A14E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1FA35D">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2022924A">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F1BAE0">
            <w:pPr>
              <w:keepNext w:val="0"/>
              <w:keepLines w:val="0"/>
              <w:widowControl/>
              <w:suppressLineNumbers w:val="0"/>
              <w:jc w:val="lef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21372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E5204C">
            <w:pPr>
              <w:keepNext w:val="0"/>
              <w:keepLines w:val="0"/>
              <w:widowControl/>
              <w:suppressLineNumbers w:val="0"/>
              <w:jc w:val="lef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大中型水库移民后期扶持基金支出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08EF76">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15.66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855D2E">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15.66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A73B09">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90499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F3B45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57B05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E65367">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6BBACB93">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2252AC">
            <w:pPr>
              <w:keepNext w:val="0"/>
              <w:keepLines w:val="0"/>
              <w:widowControl/>
              <w:suppressLineNumbers w:val="0"/>
              <w:jc w:val="lef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2137202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D1F00E">
            <w:pPr>
              <w:keepNext w:val="0"/>
              <w:keepLines w:val="0"/>
              <w:widowControl/>
              <w:suppressLineNumbers w:val="0"/>
              <w:jc w:val="lef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 xml:space="preserve">  基础设施建设和经济发展</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159AD4">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15.66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BB73B6">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15.66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10A42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93A408">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603305">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81308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CAA0B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58631EB6">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51E6C7">
            <w:pPr>
              <w:keepNext w:val="0"/>
              <w:keepLines w:val="0"/>
              <w:widowControl/>
              <w:suppressLineNumbers w:val="0"/>
              <w:jc w:val="lef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221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2669A4">
            <w:pPr>
              <w:keepNext w:val="0"/>
              <w:keepLines w:val="0"/>
              <w:widowControl/>
              <w:suppressLineNumbers w:val="0"/>
              <w:jc w:val="lef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住房保障支出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67AD90">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C3BEC2">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B4C3A7">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FDB35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8FA6B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7CCDD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7D893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0855D6D6">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2D23EB">
            <w:pPr>
              <w:keepNext w:val="0"/>
              <w:keepLines w:val="0"/>
              <w:widowControl/>
              <w:suppressLineNumbers w:val="0"/>
              <w:jc w:val="lef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22102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4C88C4">
            <w:pPr>
              <w:keepNext w:val="0"/>
              <w:keepLines w:val="0"/>
              <w:widowControl/>
              <w:suppressLineNumbers w:val="0"/>
              <w:jc w:val="lef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住房改革支出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667126">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472A87">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9246CD">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1F1AC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3F092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4C0621">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BE22DD">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080C2C11">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122A98">
            <w:pPr>
              <w:keepNext w:val="0"/>
              <w:keepLines w:val="0"/>
              <w:widowControl/>
              <w:suppressLineNumbers w:val="0"/>
              <w:jc w:val="lef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2210201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079996">
            <w:pPr>
              <w:keepNext w:val="0"/>
              <w:keepLines w:val="0"/>
              <w:widowControl/>
              <w:suppressLineNumbers w:val="0"/>
              <w:jc w:val="left"/>
              <w:textAlignment w:val="center"/>
              <w:rPr>
                <w:rFonts w:hint="default"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w:t>
            </w:r>
            <w:r>
              <w:rPr>
                <w:rFonts w:hint="default" w:ascii="仿宋_GB2312" w:hAnsi="仿宋_GB2312" w:eastAsia="仿宋_GB2312" w:cs="仿宋_GB2312"/>
                <w:i w:val="0"/>
                <w:color w:val="auto"/>
                <w:kern w:val="0"/>
                <w:sz w:val="21"/>
                <w:szCs w:val="21"/>
                <w:u w:val="none"/>
                <w:lang w:eastAsia="zh-CN" w:bidi="ar"/>
              </w:rPr>
              <w:t>住房公积金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2900F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4.52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5E4381">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4.52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D69805">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AA799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564BC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857D7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63BC69">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bl>
    <w:p w14:paraId="06C0392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2B7260C">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52C6ED50">
      <w:pPr>
        <w:widowControl/>
        <w:jc w:val="center"/>
        <w:textAlignment w:val="center"/>
        <w:rPr>
          <w:rFonts w:ascii="Times New Roman" w:hAnsi="Times New Roman" w:eastAsia="黑体" w:cs="Times New Roman"/>
          <w:color w:val="000000"/>
          <w:kern w:val="0"/>
          <w:sz w:val="32"/>
          <w:szCs w:val="32"/>
          <w:lang w:bidi="ar"/>
        </w:rPr>
      </w:pPr>
    </w:p>
    <w:p w14:paraId="6EE5AB7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5BC7844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82AE56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auto"/>
          <w:sz w:val="20"/>
          <w:szCs w:val="20"/>
        </w:rPr>
        <w:t>怀化市库区移民事务中心</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autofit"/>
        <w:tblCellMar>
          <w:top w:w="0" w:type="dxa"/>
          <w:left w:w="108" w:type="dxa"/>
          <w:bottom w:w="0" w:type="dxa"/>
          <w:right w:w="108" w:type="dxa"/>
        </w:tblCellMar>
      </w:tblPr>
      <w:tblGrid>
        <w:gridCol w:w="2072"/>
        <w:gridCol w:w="3786"/>
        <w:gridCol w:w="1527"/>
        <w:gridCol w:w="984"/>
        <w:gridCol w:w="984"/>
        <w:gridCol w:w="1527"/>
        <w:gridCol w:w="984"/>
        <w:gridCol w:w="2345"/>
      </w:tblGrid>
      <w:tr w14:paraId="7580492D">
        <w:tblPrEx>
          <w:tblCellMar>
            <w:top w:w="0" w:type="dxa"/>
            <w:left w:w="108" w:type="dxa"/>
            <w:bottom w:w="0" w:type="dxa"/>
            <w:right w:w="108" w:type="dxa"/>
          </w:tblCellMar>
        </w:tblPrEx>
        <w:trPr>
          <w:trHeight w:val="595" w:hRule="atLeast"/>
          <w:jc w:val="center"/>
        </w:trPr>
        <w:tc>
          <w:tcPr>
            <w:tcW w:w="2061"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8AEDA3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3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0705A1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4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261E0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4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27702B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3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2D1038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4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5FF30E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35EA4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1D7DAF3">
        <w:tblPrEx>
          <w:tblCellMar>
            <w:top w:w="0" w:type="dxa"/>
            <w:left w:w="108" w:type="dxa"/>
            <w:bottom w:w="0" w:type="dxa"/>
            <w:right w:w="108" w:type="dxa"/>
          </w:tblCellMar>
        </w:tblPrEx>
        <w:trPr>
          <w:trHeight w:val="312" w:hRule="exact"/>
          <w:jc w:val="center"/>
        </w:trPr>
        <w:tc>
          <w:tcPr>
            <w:tcW w:w="7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4F98E9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2" w:type="pct"/>
            <w:vMerge w:val="restart"/>
            <w:tcBorders>
              <w:top w:val="nil"/>
              <w:left w:val="single" w:color="auto" w:sz="4" w:space="0"/>
              <w:bottom w:val="single" w:color="auto" w:sz="4" w:space="0"/>
              <w:right w:val="single" w:color="auto" w:sz="4" w:space="0"/>
            </w:tcBorders>
            <w:shd w:val="clear" w:color="000000" w:fill="FFFFFF"/>
            <w:vAlign w:val="center"/>
          </w:tcPr>
          <w:p w14:paraId="5D888E4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37" w:type="pct"/>
            <w:vMerge w:val="continue"/>
            <w:tcBorders>
              <w:top w:val="single" w:color="auto" w:sz="4" w:space="0"/>
              <w:left w:val="single" w:color="auto" w:sz="4" w:space="0"/>
              <w:bottom w:val="single" w:color="auto" w:sz="4" w:space="0"/>
              <w:right w:val="single" w:color="auto" w:sz="4" w:space="0"/>
            </w:tcBorders>
            <w:vAlign w:val="center"/>
          </w:tcPr>
          <w:p w14:paraId="5275E61A">
            <w:pPr>
              <w:widowControl/>
              <w:jc w:val="left"/>
              <w:rPr>
                <w:rFonts w:ascii="Times New Roman" w:hAnsi="Times New Roman" w:eastAsia="仿宋_GB2312" w:cs="Times New Roman"/>
                <w:b/>
                <w:bCs/>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14:paraId="3225679A">
            <w:pPr>
              <w:widowControl/>
              <w:jc w:val="left"/>
              <w:rPr>
                <w:rFonts w:ascii="Times New Roman" w:hAnsi="Times New Roman" w:eastAsia="仿宋_GB2312" w:cs="Times New Roman"/>
                <w:b/>
                <w:bCs/>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14:paraId="6C8D3F6A">
            <w:pPr>
              <w:widowControl/>
              <w:jc w:val="left"/>
              <w:rPr>
                <w:rFonts w:ascii="Times New Roman" w:hAnsi="Times New Roman" w:eastAsia="仿宋_GB2312" w:cs="Times New Roman"/>
                <w:b/>
                <w:bCs/>
                <w:kern w:val="0"/>
                <w:sz w:val="24"/>
                <w:szCs w:val="24"/>
              </w:rPr>
            </w:pPr>
          </w:p>
        </w:tc>
        <w:tc>
          <w:tcPr>
            <w:tcW w:w="537" w:type="pct"/>
            <w:vMerge w:val="continue"/>
            <w:tcBorders>
              <w:top w:val="single" w:color="auto" w:sz="4" w:space="0"/>
              <w:left w:val="single" w:color="auto" w:sz="4" w:space="0"/>
              <w:bottom w:val="single" w:color="auto" w:sz="4" w:space="0"/>
              <w:right w:val="single" w:color="auto" w:sz="4" w:space="0"/>
            </w:tcBorders>
            <w:vAlign w:val="center"/>
          </w:tcPr>
          <w:p w14:paraId="6F1BEB85">
            <w:pPr>
              <w:widowControl/>
              <w:jc w:val="left"/>
              <w:rPr>
                <w:rFonts w:ascii="Times New Roman" w:hAnsi="Times New Roman" w:eastAsia="仿宋_GB2312" w:cs="Times New Roman"/>
                <w:b/>
                <w:bCs/>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14:paraId="23D8006B">
            <w:pPr>
              <w:widowControl/>
              <w:jc w:val="left"/>
              <w:rPr>
                <w:rFonts w:ascii="Times New Roman" w:hAnsi="Times New Roman" w:eastAsia="仿宋_GB2312" w:cs="Times New Roman"/>
                <w:b/>
                <w:bCs/>
                <w:kern w:val="0"/>
                <w:sz w:val="24"/>
                <w:szCs w:val="24"/>
              </w:rPr>
            </w:pPr>
          </w:p>
        </w:tc>
        <w:tc>
          <w:tcPr>
            <w:tcW w:w="825" w:type="pct"/>
            <w:vMerge w:val="continue"/>
            <w:tcBorders>
              <w:top w:val="single" w:color="auto" w:sz="4" w:space="0"/>
              <w:left w:val="single" w:color="auto" w:sz="4" w:space="0"/>
              <w:bottom w:val="single" w:color="auto" w:sz="4" w:space="0"/>
              <w:right w:val="single" w:color="auto" w:sz="4" w:space="0"/>
            </w:tcBorders>
            <w:vAlign w:val="center"/>
          </w:tcPr>
          <w:p w14:paraId="2BEF7C70">
            <w:pPr>
              <w:widowControl/>
              <w:jc w:val="left"/>
              <w:rPr>
                <w:rFonts w:ascii="Times New Roman" w:hAnsi="Times New Roman" w:eastAsia="仿宋_GB2312" w:cs="Times New Roman"/>
                <w:b/>
                <w:bCs/>
                <w:kern w:val="0"/>
                <w:sz w:val="24"/>
                <w:szCs w:val="24"/>
              </w:rPr>
            </w:pPr>
          </w:p>
        </w:tc>
      </w:tr>
      <w:tr w14:paraId="4A775FFF">
        <w:tblPrEx>
          <w:tblCellMar>
            <w:top w:w="0" w:type="dxa"/>
            <w:left w:w="108" w:type="dxa"/>
            <w:bottom w:w="0" w:type="dxa"/>
            <w:right w:w="108" w:type="dxa"/>
          </w:tblCellMar>
        </w:tblPrEx>
        <w:trPr>
          <w:trHeight w:val="595" w:hRule="atLeast"/>
          <w:jc w:val="center"/>
        </w:trPr>
        <w:tc>
          <w:tcPr>
            <w:tcW w:w="729" w:type="pct"/>
            <w:vMerge w:val="continue"/>
            <w:tcBorders>
              <w:top w:val="single" w:color="auto" w:sz="4" w:space="0"/>
              <w:left w:val="single" w:color="auto" w:sz="4" w:space="0"/>
              <w:bottom w:val="single" w:color="auto" w:sz="4" w:space="0"/>
              <w:right w:val="single" w:color="auto" w:sz="4" w:space="0"/>
            </w:tcBorders>
            <w:vAlign w:val="center"/>
          </w:tcPr>
          <w:p w14:paraId="7E49BEE8">
            <w:pPr>
              <w:widowControl/>
              <w:jc w:val="left"/>
              <w:rPr>
                <w:rFonts w:ascii="Times New Roman" w:hAnsi="Times New Roman" w:eastAsia="仿宋_GB2312" w:cs="Times New Roman"/>
                <w:kern w:val="0"/>
                <w:sz w:val="24"/>
                <w:szCs w:val="24"/>
              </w:rPr>
            </w:pPr>
          </w:p>
        </w:tc>
        <w:tc>
          <w:tcPr>
            <w:tcW w:w="1332" w:type="pct"/>
            <w:vMerge w:val="continue"/>
            <w:tcBorders>
              <w:top w:val="nil"/>
              <w:left w:val="single" w:color="auto" w:sz="4" w:space="0"/>
              <w:bottom w:val="single" w:color="auto" w:sz="4" w:space="0"/>
              <w:right w:val="single" w:color="auto" w:sz="4" w:space="0"/>
            </w:tcBorders>
            <w:vAlign w:val="center"/>
          </w:tcPr>
          <w:p w14:paraId="274EA0F9">
            <w:pPr>
              <w:widowControl/>
              <w:jc w:val="left"/>
              <w:rPr>
                <w:rFonts w:ascii="Times New Roman" w:hAnsi="Times New Roman" w:eastAsia="仿宋_GB2312" w:cs="Times New Roman"/>
                <w:kern w:val="0"/>
                <w:sz w:val="24"/>
                <w:szCs w:val="24"/>
              </w:rPr>
            </w:pPr>
          </w:p>
        </w:tc>
        <w:tc>
          <w:tcPr>
            <w:tcW w:w="537" w:type="pct"/>
            <w:vMerge w:val="continue"/>
            <w:tcBorders>
              <w:top w:val="single" w:color="auto" w:sz="4" w:space="0"/>
              <w:left w:val="single" w:color="auto" w:sz="4" w:space="0"/>
              <w:bottom w:val="single" w:color="auto" w:sz="4" w:space="0"/>
              <w:right w:val="single" w:color="auto" w:sz="4" w:space="0"/>
            </w:tcBorders>
            <w:vAlign w:val="center"/>
          </w:tcPr>
          <w:p w14:paraId="1D4D694C">
            <w:pPr>
              <w:widowControl/>
              <w:jc w:val="left"/>
              <w:rPr>
                <w:rFonts w:ascii="Times New Roman" w:hAnsi="Times New Roman" w:eastAsia="仿宋_GB2312" w:cs="Times New Roman"/>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14:paraId="46D67B53">
            <w:pPr>
              <w:widowControl/>
              <w:jc w:val="left"/>
              <w:rPr>
                <w:rFonts w:ascii="Times New Roman" w:hAnsi="Times New Roman" w:eastAsia="仿宋_GB2312" w:cs="Times New Roman"/>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14:paraId="13486315">
            <w:pPr>
              <w:widowControl/>
              <w:jc w:val="left"/>
              <w:rPr>
                <w:rFonts w:ascii="Times New Roman" w:hAnsi="Times New Roman" w:eastAsia="仿宋_GB2312" w:cs="Times New Roman"/>
                <w:kern w:val="0"/>
                <w:sz w:val="24"/>
                <w:szCs w:val="24"/>
              </w:rPr>
            </w:pPr>
          </w:p>
        </w:tc>
        <w:tc>
          <w:tcPr>
            <w:tcW w:w="537" w:type="pct"/>
            <w:vMerge w:val="continue"/>
            <w:tcBorders>
              <w:top w:val="single" w:color="auto" w:sz="4" w:space="0"/>
              <w:left w:val="single" w:color="auto" w:sz="4" w:space="0"/>
              <w:bottom w:val="single" w:color="auto" w:sz="4" w:space="0"/>
              <w:right w:val="single" w:color="auto" w:sz="4" w:space="0"/>
            </w:tcBorders>
            <w:vAlign w:val="center"/>
          </w:tcPr>
          <w:p w14:paraId="2C13C2B2">
            <w:pPr>
              <w:widowControl/>
              <w:jc w:val="left"/>
              <w:rPr>
                <w:rFonts w:ascii="Times New Roman" w:hAnsi="Times New Roman" w:eastAsia="仿宋_GB2312" w:cs="Times New Roman"/>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14:paraId="788297E7">
            <w:pPr>
              <w:widowControl/>
              <w:jc w:val="left"/>
              <w:rPr>
                <w:rFonts w:ascii="Times New Roman" w:hAnsi="Times New Roman" w:eastAsia="仿宋_GB2312" w:cs="Times New Roman"/>
                <w:kern w:val="0"/>
                <w:sz w:val="24"/>
                <w:szCs w:val="24"/>
              </w:rPr>
            </w:pPr>
          </w:p>
        </w:tc>
        <w:tc>
          <w:tcPr>
            <w:tcW w:w="825" w:type="pct"/>
            <w:vMerge w:val="continue"/>
            <w:tcBorders>
              <w:top w:val="single" w:color="auto" w:sz="4" w:space="0"/>
              <w:left w:val="single" w:color="auto" w:sz="4" w:space="0"/>
              <w:bottom w:val="single" w:color="auto" w:sz="4" w:space="0"/>
              <w:right w:val="single" w:color="auto" w:sz="4" w:space="0"/>
            </w:tcBorders>
            <w:vAlign w:val="center"/>
          </w:tcPr>
          <w:p w14:paraId="7215CE79">
            <w:pPr>
              <w:widowControl/>
              <w:jc w:val="left"/>
              <w:rPr>
                <w:rFonts w:ascii="Times New Roman" w:hAnsi="Times New Roman" w:eastAsia="仿宋_GB2312" w:cs="Times New Roman"/>
                <w:kern w:val="0"/>
                <w:sz w:val="24"/>
                <w:szCs w:val="24"/>
              </w:rPr>
            </w:pPr>
          </w:p>
        </w:tc>
      </w:tr>
      <w:tr w14:paraId="7705353A">
        <w:trPr>
          <w:trHeight w:val="595" w:hRule="atLeast"/>
          <w:jc w:val="center"/>
        </w:trPr>
        <w:tc>
          <w:tcPr>
            <w:tcW w:w="2061"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72B10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37" w:type="pct"/>
            <w:tcBorders>
              <w:top w:val="nil"/>
              <w:left w:val="nil"/>
              <w:bottom w:val="single" w:color="auto" w:sz="4" w:space="0"/>
              <w:right w:val="single" w:color="auto" w:sz="4" w:space="0"/>
            </w:tcBorders>
            <w:shd w:val="clear" w:color="000000" w:fill="FFFFFF"/>
            <w:noWrap/>
            <w:vAlign w:val="center"/>
          </w:tcPr>
          <w:p w14:paraId="04814B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46" w:type="pct"/>
            <w:tcBorders>
              <w:top w:val="nil"/>
              <w:left w:val="nil"/>
              <w:bottom w:val="single" w:color="auto" w:sz="4" w:space="0"/>
              <w:right w:val="single" w:color="auto" w:sz="4" w:space="0"/>
            </w:tcBorders>
            <w:shd w:val="clear" w:color="000000" w:fill="FFFFFF"/>
            <w:noWrap/>
            <w:vAlign w:val="center"/>
          </w:tcPr>
          <w:p w14:paraId="734C82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46" w:type="pct"/>
            <w:tcBorders>
              <w:top w:val="nil"/>
              <w:left w:val="nil"/>
              <w:bottom w:val="single" w:color="auto" w:sz="4" w:space="0"/>
              <w:right w:val="single" w:color="auto" w:sz="4" w:space="0"/>
            </w:tcBorders>
            <w:shd w:val="clear" w:color="000000" w:fill="FFFFFF"/>
            <w:noWrap/>
            <w:vAlign w:val="center"/>
          </w:tcPr>
          <w:p w14:paraId="43C91A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37" w:type="pct"/>
            <w:tcBorders>
              <w:top w:val="nil"/>
              <w:left w:val="nil"/>
              <w:bottom w:val="single" w:color="auto" w:sz="4" w:space="0"/>
              <w:right w:val="single" w:color="auto" w:sz="4" w:space="0"/>
            </w:tcBorders>
            <w:shd w:val="clear" w:color="000000" w:fill="FFFFFF"/>
            <w:noWrap/>
            <w:vAlign w:val="center"/>
          </w:tcPr>
          <w:p w14:paraId="1968F3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46" w:type="pct"/>
            <w:tcBorders>
              <w:top w:val="nil"/>
              <w:left w:val="nil"/>
              <w:bottom w:val="single" w:color="auto" w:sz="4" w:space="0"/>
              <w:right w:val="single" w:color="auto" w:sz="4" w:space="0"/>
            </w:tcBorders>
            <w:shd w:val="clear" w:color="000000" w:fill="FFFFFF"/>
            <w:noWrap/>
            <w:vAlign w:val="center"/>
          </w:tcPr>
          <w:p w14:paraId="4610365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25" w:type="pct"/>
            <w:tcBorders>
              <w:top w:val="nil"/>
              <w:left w:val="nil"/>
              <w:bottom w:val="single" w:color="auto" w:sz="4" w:space="0"/>
              <w:right w:val="single" w:color="auto" w:sz="4" w:space="0"/>
            </w:tcBorders>
            <w:shd w:val="clear" w:color="000000" w:fill="FFFFFF"/>
            <w:noWrap/>
            <w:vAlign w:val="center"/>
          </w:tcPr>
          <w:p w14:paraId="6BC0A51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16FDB79">
        <w:tblPrEx>
          <w:tblCellMar>
            <w:top w:w="0" w:type="dxa"/>
            <w:left w:w="108" w:type="dxa"/>
            <w:bottom w:w="0" w:type="dxa"/>
            <w:right w:w="108" w:type="dxa"/>
          </w:tblCellMar>
        </w:tblPrEx>
        <w:trPr>
          <w:trHeight w:val="595" w:hRule="atLeast"/>
          <w:jc w:val="center"/>
        </w:trPr>
        <w:tc>
          <w:tcPr>
            <w:tcW w:w="2061"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1AEE13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37" w:type="pct"/>
            <w:tcBorders>
              <w:top w:val="nil"/>
              <w:left w:val="nil"/>
              <w:bottom w:val="single" w:color="auto" w:sz="4" w:space="0"/>
              <w:right w:val="single" w:color="auto" w:sz="4" w:space="0"/>
            </w:tcBorders>
            <w:shd w:val="clear" w:color="auto" w:fill="auto"/>
            <w:noWrap/>
            <w:vAlign w:val="center"/>
          </w:tcPr>
          <w:p w14:paraId="6A275193">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552.92</w:t>
            </w:r>
          </w:p>
        </w:tc>
        <w:tc>
          <w:tcPr>
            <w:tcW w:w="346" w:type="pct"/>
            <w:tcBorders>
              <w:top w:val="nil"/>
              <w:left w:val="nil"/>
              <w:bottom w:val="single" w:color="auto" w:sz="4" w:space="0"/>
              <w:right w:val="single" w:color="auto" w:sz="4" w:space="0"/>
            </w:tcBorders>
            <w:shd w:val="clear" w:color="auto" w:fill="auto"/>
            <w:noWrap/>
            <w:vAlign w:val="center"/>
          </w:tcPr>
          <w:p w14:paraId="4D0829D7">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443.56</w:t>
            </w:r>
          </w:p>
        </w:tc>
        <w:tc>
          <w:tcPr>
            <w:tcW w:w="346" w:type="pct"/>
            <w:tcBorders>
              <w:top w:val="nil"/>
              <w:left w:val="nil"/>
              <w:bottom w:val="single" w:color="auto" w:sz="4" w:space="0"/>
              <w:right w:val="single" w:color="auto" w:sz="4" w:space="0"/>
            </w:tcBorders>
            <w:shd w:val="clear" w:color="auto" w:fill="auto"/>
            <w:noWrap/>
            <w:vAlign w:val="center"/>
          </w:tcPr>
          <w:p w14:paraId="14B60C5A">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109.36</w:t>
            </w:r>
          </w:p>
        </w:tc>
        <w:tc>
          <w:tcPr>
            <w:tcW w:w="537" w:type="pct"/>
            <w:tcBorders>
              <w:top w:val="nil"/>
              <w:left w:val="nil"/>
              <w:bottom w:val="single" w:color="auto" w:sz="4" w:space="0"/>
              <w:right w:val="single" w:color="auto" w:sz="4" w:space="0"/>
            </w:tcBorders>
            <w:shd w:val="clear" w:color="auto" w:fill="auto"/>
            <w:noWrap/>
            <w:vAlign w:val="center"/>
          </w:tcPr>
          <w:p w14:paraId="1BD6EDC4">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nil"/>
              <w:left w:val="nil"/>
              <w:bottom w:val="single" w:color="auto" w:sz="4" w:space="0"/>
              <w:right w:val="single" w:color="auto" w:sz="4" w:space="0"/>
            </w:tcBorders>
            <w:shd w:val="clear" w:color="auto" w:fill="auto"/>
            <w:noWrap/>
            <w:vAlign w:val="center"/>
          </w:tcPr>
          <w:p w14:paraId="5538FCF6">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nil"/>
              <w:left w:val="nil"/>
              <w:bottom w:val="single" w:color="auto" w:sz="4" w:space="0"/>
              <w:right w:val="single" w:color="auto" w:sz="4" w:space="0"/>
            </w:tcBorders>
            <w:shd w:val="clear" w:color="auto" w:fill="auto"/>
            <w:noWrap/>
            <w:vAlign w:val="center"/>
          </w:tcPr>
          <w:p w14:paraId="5F77E9A8">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r w14:paraId="2610EF49">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3559A5D">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201</w:t>
            </w:r>
          </w:p>
        </w:tc>
        <w:tc>
          <w:tcPr>
            <w:tcW w:w="1332" w:type="pct"/>
            <w:tcBorders>
              <w:top w:val="nil"/>
              <w:left w:val="nil"/>
              <w:bottom w:val="single" w:color="auto" w:sz="4" w:space="0"/>
              <w:right w:val="single" w:color="auto" w:sz="4" w:space="0"/>
            </w:tcBorders>
            <w:shd w:val="clear" w:color="000000" w:fill="FFFFFF"/>
            <w:noWrap/>
            <w:vAlign w:val="center"/>
          </w:tcPr>
          <w:p w14:paraId="6C931374">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一般公共服务支出</w:t>
            </w:r>
          </w:p>
        </w:tc>
        <w:tc>
          <w:tcPr>
            <w:tcW w:w="537" w:type="pct"/>
            <w:tcBorders>
              <w:top w:val="nil"/>
              <w:left w:val="nil"/>
              <w:bottom w:val="single" w:color="auto" w:sz="4" w:space="0"/>
              <w:right w:val="single" w:color="auto" w:sz="4" w:space="0"/>
            </w:tcBorders>
            <w:shd w:val="clear" w:color="auto" w:fill="auto"/>
            <w:noWrap/>
            <w:vAlign w:val="center"/>
          </w:tcPr>
          <w:p w14:paraId="04469ADC">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407.47</w:t>
            </w:r>
          </w:p>
        </w:tc>
        <w:tc>
          <w:tcPr>
            <w:tcW w:w="346" w:type="pct"/>
            <w:tcBorders>
              <w:top w:val="nil"/>
              <w:left w:val="nil"/>
              <w:bottom w:val="single" w:color="auto" w:sz="4" w:space="0"/>
              <w:right w:val="single" w:color="auto" w:sz="4" w:space="0"/>
            </w:tcBorders>
            <w:shd w:val="clear" w:color="auto" w:fill="auto"/>
            <w:noWrap/>
            <w:vAlign w:val="center"/>
          </w:tcPr>
          <w:p w14:paraId="44C92FB7">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364.98</w:t>
            </w:r>
          </w:p>
        </w:tc>
        <w:tc>
          <w:tcPr>
            <w:tcW w:w="346" w:type="pct"/>
            <w:tcBorders>
              <w:top w:val="nil"/>
              <w:left w:val="nil"/>
              <w:bottom w:val="single" w:color="auto" w:sz="4" w:space="0"/>
              <w:right w:val="single" w:color="auto" w:sz="4" w:space="0"/>
            </w:tcBorders>
            <w:shd w:val="clear" w:color="auto" w:fill="auto"/>
            <w:noWrap/>
            <w:vAlign w:val="center"/>
          </w:tcPr>
          <w:p w14:paraId="7089BFF0">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42.50</w:t>
            </w:r>
          </w:p>
        </w:tc>
        <w:tc>
          <w:tcPr>
            <w:tcW w:w="537" w:type="pct"/>
            <w:tcBorders>
              <w:top w:val="nil"/>
              <w:left w:val="nil"/>
              <w:bottom w:val="single" w:color="auto" w:sz="4" w:space="0"/>
              <w:right w:val="single" w:color="auto" w:sz="4" w:space="0"/>
            </w:tcBorders>
            <w:shd w:val="clear" w:color="auto" w:fill="auto"/>
            <w:noWrap/>
            <w:vAlign w:val="center"/>
          </w:tcPr>
          <w:p w14:paraId="4B54C137">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nil"/>
              <w:left w:val="nil"/>
              <w:bottom w:val="single" w:color="auto" w:sz="4" w:space="0"/>
              <w:right w:val="single" w:color="auto" w:sz="4" w:space="0"/>
            </w:tcBorders>
            <w:shd w:val="clear" w:color="auto" w:fill="auto"/>
            <w:noWrap/>
            <w:vAlign w:val="center"/>
          </w:tcPr>
          <w:p w14:paraId="665D3A9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nil"/>
              <w:left w:val="nil"/>
              <w:bottom w:val="single" w:color="auto" w:sz="4" w:space="0"/>
              <w:right w:val="single" w:color="auto" w:sz="4" w:space="0"/>
            </w:tcBorders>
            <w:shd w:val="clear" w:color="auto" w:fill="auto"/>
            <w:noWrap/>
            <w:vAlign w:val="center"/>
          </w:tcPr>
          <w:p w14:paraId="7836CF52">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16BF5CB6">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2E43AD">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20103</w:t>
            </w:r>
          </w:p>
        </w:tc>
        <w:tc>
          <w:tcPr>
            <w:tcW w:w="1332" w:type="pct"/>
            <w:tcBorders>
              <w:top w:val="nil"/>
              <w:left w:val="nil"/>
              <w:bottom w:val="single" w:color="auto" w:sz="4" w:space="0"/>
              <w:right w:val="single" w:color="auto" w:sz="4" w:space="0"/>
            </w:tcBorders>
            <w:shd w:val="clear" w:color="000000" w:fill="FFFFFF"/>
            <w:noWrap/>
            <w:vAlign w:val="center"/>
          </w:tcPr>
          <w:p w14:paraId="2D6A2A3F">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政府办公厅（室）及相关机构事务</w:t>
            </w:r>
          </w:p>
        </w:tc>
        <w:tc>
          <w:tcPr>
            <w:tcW w:w="537" w:type="pct"/>
            <w:tcBorders>
              <w:top w:val="nil"/>
              <w:left w:val="nil"/>
              <w:bottom w:val="single" w:color="auto" w:sz="4" w:space="0"/>
              <w:right w:val="single" w:color="auto" w:sz="4" w:space="0"/>
            </w:tcBorders>
            <w:shd w:val="clear" w:color="auto" w:fill="auto"/>
            <w:noWrap/>
            <w:vAlign w:val="center"/>
          </w:tcPr>
          <w:p w14:paraId="76E60F91">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331.47</w:t>
            </w:r>
          </w:p>
        </w:tc>
        <w:tc>
          <w:tcPr>
            <w:tcW w:w="346" w:type="pct"/>
            <w:tcBorders>
              <w:top w:val="nil"/>
              <w:left w:val="nil"/>
              <w:bottom w:val="single" w:color="auto" w:sz="4" w:space="0"/>
              <w:right w:val="single" w:color="auto" w:sz="4" w:space="0"/>
            </w:tcBorders>
            <w:shd w:val="clear" w:color="auto" w:fill="auto"/>
            <w:noWrap/>
            <w:vAlign w:val="center"/>
          </w:tcPr>
          <w:p w14:paraId="37F649FA">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331.47</w:t>
            </w:r>
          </w:p>
        </w:tc>
        <w:tc>
          <w:tcPr>
            <w:tcW w:w="346" w:type="pct"/>
            <w:tcBorders>
              <w:top w:val="nil"/>
              <w:left w:val="nil"/>
              <w:bottom w:val="single" w:color="auto" w:sz="4" w:space="0"/>
              <w:right w:val="single" w:color="auto" w:sz="4" w:space="0"/>
            </w:tcBorders>
            <w:shd w:val="clear" w:color="auto" w:fill="auto"/>
            <w:noWrap/>
            <w:vAlign w:val="center"/>
          </w:tcPr>
          <w:p w14:paraId="1A69FD3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537" w:type="pct"/>
            <w:tcBorders>
              <w:top w:val="nil"/>
              <w:left w:val="nil"/>
              <w:bottom w:val="single" w:color="auto" w:sz="4" w:space="0"/>
              <w:right w:val="single" w:color="auto" w:sz="4" w:space="0"/>
            </w:tcBorders>
            <w:shd w:val="clear" w:color="auto" w:fill="auto"/>
            <w:noWrap/>
            <w:vAlign w:val="center"/>
          </w:tcPr>
          <w:p w14:paraId="01AD102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nil"/>
              <w:left w:val="nil"/>
              <w:bottom w:val="single" w:color="auto" w:sz="4" w:space="0"/>
              <w:right w:val="single" w:color="auto" w:sz="4" w:space="0"/>
            </w:tcBorders>
            <w:shd w:val="clear" w:color="auto" w:fill="auto"/>
            <w:noWrap/>
            <w:vAlign w:val="center"/>
          </w:tcPr>
          <w:p w14:paraId="4E5CBD3C">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nil"/>
              <w:left w:val="nil"/>
              <w:bottom w:val="single" w:color="auto" w:sz="4" w:space="0"/>
              <w:right w:val="single" w:color="auto" w:sz="4" w:space="0"/>
            </w:tcBorders>
            <w:shd w:val="clear" w:color="auto" w:fill="auto"/>
            <w:noWrap/>
            <w:vAlign w:val="center"/>
          </w:tcPr>
          <w:p w14:paraId="4BD96C5D">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12D69B66">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ECE07C2">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2010301</w:t>
            </w:r>
          </w:p>
        </w:tc>
        <w:tc>
          <w:tcPr>
            <w:tcW w:w="1332" w:type="pct"/>
            <w:tcBorders>
              <w:top w:val="nil"/>
              <w:left w:val="nil"/>
              <w:bottom w:val="single" w:color="auto" w:sz="4" w:space="0"/>
              <w:right w:val="single" w:color="auto" w:sz="4" w:space="0"/>
            </w:tcBorders>
            <w:shd w:val="clear" w:color="000000" w:fill="FFFFFF"/>
            <w:noWrap/>
            <w:vAlign w:val="center"/>
          </w:tcPr>
          <w:p w14:paraId="74443F68">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行政运行</w:t>
            </w:r>
          </w:p>
        </w:tc>
        <w:tc>
          <w:tcPr>
            <w:tcW w:w="537" w:type="pct"/>
            <w:tcBorders>
              <w:top w:val="nil"/>
              <w:left w:val="nil"/>
              <w:bottom w:val="single" w:color="auto" w:sz="4" w:space="0"/>
              <w:right w:val="single" w:color="auto" w:sz="4" w:space="0"/>
            </w:tcBorders>
            <w:shd w:val="clear" w:color="auto" w:fill="auto"/>
            <w:noWrap/>
            <w:vAlign w:val="center"/>
          </w:tcPr>
          <w:p w14:paraId="45080C65">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331.47</w:t>
            </w:r>
          </w:p>
        </w:tc>
        <w:tc>
          <w:tcPr>
            <w:tcW w:w="346" w:type="pct"/>
            <w:tcBorders>
              <w:top w:val="nil"/>
              <w:left w:val="nil"/>
              <w:bottom w:val="single" w:color="auto" w:sz="4" w:space="0"/>
              <w:right w:val="single" w:color="auto" w:sz="4" w:space="0"/>
            </w:tcBorders>
            <w:shd w:val="clear" w:color="auto" w:fill="auto"/>
            <w:noWrap/>
            <w:vAlign w:val="center"/>
          </w:tcPr>
          <w:p w14:paraId="768D0BC1">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331.47</w:t>
            </w:r>
          </w:p>
        </w:tc>
        <w:tc>
          <w:tcPr>
            <w:tcW w:w="346" w:type="pct"/>
            <w:tcBorders>
              <w:top w:val="nil"/>
              <w:left w:val="nil"/>
              <w:bottom w:val="single" w:color="auto" w:sz="4" w:space="0"/>
              <w:right w:val="single" w:color="auto" w:sz="4" w:space="0"/>
            </w:tcBorders>
            <w:shd w:val="clear" w:color="auto" w:fill="auto"/>
            <w:noWrap/>
            <w:vAlign w:val="center"/>
          </w:tcPr>
          <w:p w14:paraId="2766A37D">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537" w:type="pct"/>
            <w:tcBorders>
              <w:top w:val="nil"/>
              <w:left w:val="nil"/>
              <w:bottom w:val="single" w:color="auto" w:sz="4" w:space="0"/>
              <w:right w:val="single" w:color="auto" w:sz="4" w:space="0"/>
            </w:tcBorders>
            <w:shd w:val="clear" w:color="auto" w:fill="auto"/>
            <w:noWrap/>
            <w:vAlign w:val="center"/>
          </w:tcPr>
          <w:p w14:paraId="6D43459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nil"/>
              <w:left w:val="nil"/>
              <w:bottom w:val="single" w:color="auto" w:sz="4" w:space="0"/>
              <w:right w:val="single" w:color="auto" w:sz="4" w:space="0"/>
            </w:tcBorders>
            <w:shd w:val="clear" w:color="auto" w:fill="auto"/>
            <w:noWrap/>
            <w:vAlign w:val="center"/>
          </w:tcPr>
          <w:p w14:paraId="6E7CCD1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nil"/>
              <w:left w:val="nil"/>
              <w:bottom w:val="single" w:color="auto" w:sz="4" w:space="0"/>
              <w:right w:val="single" w:color="auto" w:sz="4" w:space="0"/>
            </w:tcBorders>
            <w:shd w:val="clear" w:color="auto" w:fill="auto"/>
            <w:noWrap/>
            <w:vAlign w:val="center"/>
          </w:tcPr>
          <w:p w14:paraId="721134F2">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233E2500">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3810ADA">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20199</w:t>
            </w:r>
          </w:p>
        </w:tc>
        <w:tc>
          <w:tcPr>
            <w:tcW w:w="1332" w:type="pct"/>
            <w:tcBorders>
              <w:top w:val="nil"/>
              <w:left w:val="nil"/>
              <w:bottom w:val="single" w:color="auto" w:sz="4" w:space="0"/>
              <w:right w:val="single" w:color="auto" w:sz="4" w:space="0"/>
            </w:tcBorders>
            <w:shd w:val="clear" w:color="000000" w:fill="FFFFFF"/>
            <w:noWrap/>
            <w:vAlign w:val="center"/>
          </w:tcPr>
          <w:p w14:paraId="7EA82D91">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其他一般公共服务支出</w:t>
            </w:r>
          </w:p>
        </w:tc>
        <w:tc>
          <w:tcPr>
            <w:tcW w:w="537" w:type="pct"/>
            <w:tcBorders>
              <w:top w:val="nil"/>
              <w:left w:val="nil"/>
              <w:bottom w:val="single" w:color="auto" w:sz="4" w:space="0"/>
              <w:right w:val="single" w:color="auto" w:sz="4" w:space="0"/>
            </w:tcBorders>
            <w:shd w:val="clear" w:color="auto" w:fill="auto"/>
            <w:noWrap/>
            <w:vAlign w:val="center"/>
          </w:tcPr>
          <w:p w14:paraId="6E9614C3">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76.01</w:t>
            </w:r>
          </w:p>
        </w:tc>
        <w:tc>
          <w:tcPr>
            <w:tcW w:w="346" w:type="pct"/>
            <w:tcBorders>
              <w:top w:val="nil"/>
              <w:left w:val="nil"/>
              <w:bottom w:val="single" w:color="auto" w:sz="4" w:space="0"/>
              <w:right w:val="single" w:color="auto" w:sz="4" w:space="0"/>
            </w:tcBorders>
            <w:shd w:val="clear" w:color="auto" w:fill="auto"/>
            <w:noWrap/>
            <w:vAlign w:val="center"/>
          </w:tcPr>
          <w:p w14:paraId="733AAE20">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33.51</w:t>
            </w:r>
          </w:p>
        </w:tc>
        <w:tc>
          <w:tcPr>
            <w:tcW w:w="346" w:type="pct"/>
            <w:tcBorders>
              <w:top w:val="nil"/>
              <w:left w:val="nil"/>
              <w:bottom w:val="single" w:color="auto" w:sz="4" w:space="0"/>
              <w:right w:val="single" w:color="auto" w:sz="4" w:space="0"/>
            </w:tcBorders>
            <w:shd w:val="clear" w:color="auto" w:fill="auto"/>
            <w:noWrap/>
            <w:vAlign w:val="center"/>
          </w:tcPr>
          <w:p w14:paraId="6CA141FE">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42.50</w:t>
            </w:r>
          </w:p>
        </w:tc>
        <w:tc>
          <w:tcPr>
            <w:tcW w:w="537" w:type="pct"/>
            <w:tcBorders>
              <w:top w:val="nil"/>
              <w:left w:val="nil"/>
              <w:bottom w:val="single" w:color="auto" w:sz="4" w:space="0"/>
              <w:right w:val="single" w:color="auto" w:sz="4" w:space="0"/>
            </w:tcBorders>
            <w:shd w:val="clear" w:color="auto" w:fill="auto"/>
            <w:noWrap/>
            <w:vAlign w:val="center"/>
          </w:tcPr>
          <w:p w14:paraId="4D39A345">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nil"/>
              <w:left w:val="nil"/>
              <w:bottom w:val="single" w:color="auto" w:sz="4" w:space="0"/>
              <w:right w:val="single" w:color="auto" w:sz="4" w:space="0"/>
            </w:tcBorders>
            <w:shd w:val="clear" w:color="auto" w:fill="auto"/>
            <w:noWrap/>
            <w:vAlign w:val="center"/>
          </w:tcPr>
          <w:p w14:paraId="51C1708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nil"/>
              <w:left w:val="nil"/>
              <w:bottom w:val="single" w:color="auto" w:sz="4" w:space="0"/>
              <w:right w:val="single" w:color="auto" w:sz="4" w:space="0"/>
            </w:tcBorders>
            <w:shd w:val="clear" w:color="auto" w:fill="auto"/>
            <w:noWrap/>
            <w:vAlign w:val="center"/>
          </w:tcPr>
          <w:p w14:paraId="391286A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708E882A">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137795">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2019999</w:t>
            </w:r>
          </w:p>
        </w:tc>
        <w:tc>
          <w:tcPr>
            <w:tcW w:w="1332" w:type="pct"/>
            <w:tcBorders>
              <w:top w:val="nil"/>
              <w:left w:val="nil"/>
              <w:bottom w:val="single" w:color="auto" w:sz="4" w:space="0"/>
              <w:right w:val="single" w:color="auto" w:sz="4" w:space="0"/>
            </w:tcBorders>
            <w:shd w:val="clear" w:color="000000" w:fill="FFFFFF"/>
            <w:noWrap/>
            <w:vAlign w:val="center"/>
          </w:tcPr>
          <w:p w14:paraId="085A6EA9">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其他一般公共服务支出</w:t>
            </w:r>
          </w:p>
        </w:tc>
        <w:tc>
          <w:tcPr>
            <w:tcW w:w="537" w:type="pct"/>
            <w:tcBorders>
              <w:top w:val="nil"/>
              <w:left w:val="nil"/>
              <w:bottom w:val="single" w:color="auto" w:sz="4" w:space="0"/>
              <w:right w:val="single" w:color="auto" w:sz="4" w:space="0"/>
            </w:tcBorders>
            <w:shd w:val="clear" w:color="auto" w:fill="auto"/>
            <w:noWrap/>
            <w:vAlign w:val="center"/>
          </w:tcPr>
          <w:p w14:paraId="4FBE280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76.01</w:t>
            </w:r>
          </w:p>
        </w:tc>
        <w:tc>
          <w:tcPr>
            <w:tcW w:w="346" w:type="pct"/>
            <w:tcBorders>
              <w:top w:val="nil"/>
              <w:left w:val="nil"/>
              <w:bottom w:val="single" w:color="auto" w:sz="4" w:space="0"/>
              <w:right w:val="single" w:color="auto" w:sz="4" w:space="0"/>
            </w:tcBorders>
            <w:shd w:val="clear" w:color="auto" w:fill="auto"/>
            <w:noWrap/>
            <w:vAlign w:val="center"/>
          </w:tcPr>
          <w:p w14:paraId="4658E96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33.51</w:t>
            </w:r>
          </w:p>
        </w:tc>
        <w:tc>
          <w:tcPr>
            <w:tcW w:w="346" w:type="pct"/>
            <w:tcBorders>
              <w:top w:val="nil"/>
              <w:left w:val="nil"/>
              <w:bottom w:val="single" w:color="auto" w:sz="4" w:space="0"/>
              <w:right w:val="single" w:color="auto" w:sz="4" w:space="0"/>
            </w:tcBorders>
            <w:shd w:val="clear" w:color="auto" w:fill="auto"/>
            <w:noWrap/>
            <w:vAlign w:val="center"/>
          </w:tcPr>
          <w:p w14:paraId="7C5B3B3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42.50</w:t>
            </w:r>
          </w:p>
        </w:tc>
        <w:tc>
          <w:tcPr>
            <w:tcW w:w="537" w:type="pct"/>
            <w:tcBorders>
              <w:top w:val="nil"/>
              <w:left w:val="nil"/>
              <w:bottom w:val="single" w:color="auto" w:sz="4" w:space="0"/>
              <w:right w:val="single" w:color="auto" w:sz="4" w:space="0"/>
            </w:tcBorders>
            <w:shd w:val="clear" w:color="auto" w:fill="auto"/>
            <w:noWrap/>
            <w:vAlign w:val="center"/>
          </w:tcPr>
          <w:p w14:paraId="3C22030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nil"/>
              <w:left w:val="nil"/>
              <w:bottom w:val="single" w:color="auto" w:sz="4" w:space="0"/>
              <w:right w:val="single" w:color="auto" w:sz="4" w:space="0"/>
            </w:tcBorders>
            <w:shd w:val="clear" w:color="auto" w:fill="auto"/>
            <w:noWrap/>
            <w:vAlign w:val="center"/>
          </w:tcPr>
          <w:p w14:paraId="0159BE85">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nil"/>
              <w:left w:val="nil"/>
              <w:bottom w:val="single" w:color="auto" w:sz="4" w:space="0"/>
              <w:right w:val="single" w:color="auto" w:sz="4" w:space="0"/>
            </w:tcBorders>
            <w:shd w:val="clear" w:color="auto" w:fill="auto"/>
            <w:noWrap/>
            <w:vAlign w:val="center"/>
          </w:tcPr>
          <w:p w14:paraId="19EE60E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69A5C5AD">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C492312">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208</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3D4E76D">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社会保障和就业支出</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9BD274">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60.75</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527626">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60.75</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FFD23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082959">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0DAD1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5BDD12">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335A920C">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93DCFB">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20805</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433B732">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行政事业单位养老支出</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EABB7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60.75</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D33F4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60.75</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CC6CE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1DF5D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6E084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A12A7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766B239F">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B8BD45">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2080502</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D24782D">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事业单位离退休</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A18007">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28.01</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F9A154">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28.01</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74F168">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8B7D55">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07E37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F86C4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54E0862F">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CCFC365">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2080505</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42E772">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机关事业单位基本养老保险缴费支出</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B32455">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32.75</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D54D56">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32.75</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35BE5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81005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D18F8D">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21C265">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68B413BE">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1E1D8DE">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210</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BBBAED2">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卫生健康支出</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FBD1CA">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13.31</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B34AD7">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13.31</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4B654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40F767">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3D4AF9">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D18D77">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57129D99">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8AD9ECD">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21011</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D06287">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行政事业单位医疗</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3BFD5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13.31</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1E65AC">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13.31</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E7D08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A71C0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08111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B6BA0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4ECDA6D4">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EDE291">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2101101</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E0D35C">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 xml:space="preserve">  行政单位医疗</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C8CE7D">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13.31</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3BA880">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13.31</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95F92A">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81B998">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752D5D">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F39137">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r w14:paraId="1A9A0D65">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713CE64">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213</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862A9A">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农林水支出</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A2C879">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66.87</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71F4C2">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19A782">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66.87</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88DA72">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72B8DA">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447D3E">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r w14:paraId="531A4609">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B6D2EE">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21303</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903833">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水利</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AF0FEE">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51.20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AB3D04">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AB2D8D">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51.20</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5B67B9">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A079A9">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B749F9">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r w14:paraId="7BE73CE9">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852EAF9">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2130321</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93DBF30">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大中型水库移民后期扶持专项支出</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8589C4">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51.20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FBE4C0">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0F1B45">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51.20</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7FEBE7">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581428">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D5477E">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r w14:paraId="0EACE19E">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C7B1B5">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21372</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325791">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大中型水库移民后期扶持基金支出</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3D8493">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15.66</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572CF1">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F76CBC">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15.66</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151CD0">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E18E48">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2F2C71">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r w14:paraId="5D3A01F6">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D559AF1">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2137202</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A2A31E">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 xml:space="preserve">  基础设施建设和经济发展</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43EA77">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15.66</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4ABDCE">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1AD776">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15.66</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F6ACB1">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42C824">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857A68">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r w14:paraId="60A1B63B">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D0FEB7">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221</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39818C">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住房保障支出</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6EECB9">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048E15">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BAA8AB">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475AC8">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D7609E">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8205F2">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r w14:paraId="68DA5E9E">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E6FA13E">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22102</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2D3BFB2">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住房改革支出</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154390">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2D6A88">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377BB0">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A951A7">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F3A463">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85CFD3">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r w14:paraId="47358D68">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1881EC">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2210201</w:t>
            </w:r>
          </w:p>
        </w:tc>
        <w:tc>
          <w:tcPr>
            <w:tcW w:w="13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1DC037A">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w:t>
            </w:r>
            <w:r>
              <w:rPr>
                <w:rFonts w:hint="default" w:ascii="仿宋_GB2312" w:hAnsi="仿宋_GB2312" w:eastAsia="仿宋_GB2312" w:cs="仿宋_GB2312"/>
                <w:i w:val="0"/>
                <w:color w:val="auto"/>
                <w:kern w:val="0"/>
                <w:sz w:val="21"/>
                <w:szCs w:val="21"/>
                <w:u w:val="none"/>
                <w:lang w:eastAsia="zh-CN" w:bidi="ar"/>
              </w:rPr>
              <w:t>住房公积金</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41042F">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32CA74">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FC675B">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899A1C">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4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C2D866">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8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D17FD8">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bl>
    <w:p w14:paraId="7361A071">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16F2CEF">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p>
    <w:p w14:paraId="61A1F9E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788D3AB">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5AC579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60893319">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F76920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auto"/>
          <w:sz w:val="20"/>
          <w:szCs w:val="20"/>
        </w:rPr>
        <w:t>怀化市库区移民事务中心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846"/>
        <w:gridCol w:w="2636"/>
        <w:gridCol w:w="616"/>
        <w:gridCol w:w="846"/>
        <w:gridCol w:w="1661"/>
        <w:gridCol w:w="1715"/>
        <w:gridCol w:w="1768"/>
      </w:tblGrid>
      <w:tr w14:paraId="3720CDEE">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A72F3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5D3F6C4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91F884B">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75BB7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CC3C4C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49754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9FE6D5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2B3E440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FDFBB4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615618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0BD2A95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2FB7D9C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27DDC9EB">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A2EB61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9FA54E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7FAB9A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C44B8F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9904C4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205209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490E198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977E8B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440E98A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3B34A43">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B1A8B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58080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02688AD7">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494.76</w:t>
            </w:r>
          </w:p>
        </w:tc>
        <w:tc>
          <w:tcPr>
            <w:tcW w:w="0" w:type="auto"/>
            <w:tcBorders>
              <w:top w:val="nil"/>
              <w:left w:val="nil"/>
              <w:bottom w:val="single" w:color="auto" w:sz="4" w:space="0"/>
              <w:right w:val="single" w:color="auto" w:sz="4" w:space="0"/>
            </w:tcBorders>
            <w:shd w:val="clear" w:color="auto" w:fill="auto"/>
            <w:noWrap/>
            <w:vAlign w:val="center"/>
          </w:tcPr>
          <w:p w14:paraId="5BFF894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0BDE38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59F4DB7D">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sz w:val="21"/>
                <w:szCs w:val="21"/>
                <w:u w:val="none"/>
              </w:rPr>
              <w:t>364.98</w:t>
            </w:r>
          </w:p>
        </w:tc>
        <w:tc>
          <w:tcPr>
            <w:tcW w:w="0" w:type="auto"/>
            <w:tcBorders>
              <w:top w:val="nil"/>
              <w:left w:val="nil"/>
              <w:bottom w:val="single" w:color="auto" w:sz="4" w:space="0"/>
              <w:right w:val="single" w:color="auto" w:sz="4" w:space="0"/>
            </w:tcBorders>
            <w:shd w:val="clear" w:color="auto" w:fill="auto"/>
            <w:noWrap/>
            <w:vAlign w:val="center"/>
          </w:tcPr>
          <w:p w14:paraId="4FD68300">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364.98</w:t>
            </w:r>
          </w:p>
        </w:tc>
        <w:tc>
          <w:tcPr>
            <w:tcW w:w="0" w:type="auto"/>
            <w:tcBorders>
              <w:top w:val="nil"/>
              <w:left w:val="nil"/>
              <w:bottom w:val="single" w:color="auto" w:sz="4" w:space="0"/>
              <w:right w:val="single" w:color="auto" w:sz="4" w:space="0"/>
            </w:tcBorders>
            <w:shd w:val="clear" w:color="auto" w:fill="auto"/>
            <w:noWrap/>
            <w:vAlign w:val="center"/>
          </w:tcPr>
          <w:p w14:paraId="4F2A3DF8">
            <w:pPr>
              <w:widowControl/>
              <w:jc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05C22D9C">
            <w:pPr>
              <w:widowControl/>
              <w:jc w:val="right"/>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r>
      <w:tr w14:paraId="53A3EFC0">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DA27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CF2C2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332D5352">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15.66</w:t>
            </w:r>
          </w:p>
        </w:tc>
        <w:tc>
          <w:tcPr>
            <w:tcW w:w="0" w:type="auto"/>
            <w:tcBorders>
              <w:top w:val="nil"/>
              <w:left w:val="nil"/>
              <w:bottom w:val="single" w:color="auto" w:sz="4" w:space="0"/>
              <w:right w:val="single" w:color="auto" w:sz="4" w:space="0"/>
            </w:tcBorders>
            <w:shd w:val="clear" w:color="auto" w:fill="auto"/>
            <w:noWrap/>
            <w:vAlign w:val="center"/>
          </w:tcPr>
          <w:p w14:paraId="516F477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5B3020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4FB328A9">
            <w:pPr>
              <w:widowControl/>
              <w:jc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1439339D">
            <w:pPr>
              <w:widowControl/>
              <w:jc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711FB36A">
            <w:pPr>
              <w:widowControl/>
              <w:jc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2573CD68">
            <w:pPr>
              <w:widowControl/>
              <w:jc w:val="right"/>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r>
      <w:tr w14:paraId="34315CA2">
        <w:trPr>
          <w:trHeight w:val="414"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87AF08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9CC7B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228D3CD8">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5AA4036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93B2A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5515F430">
            <w:pPr>
              <w:widowControl/>
              <w:jc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788C62E8">
            <w:pPr>
              <w:widowControl/>
              <w:jc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7D3235F5">
            <w:pPr>
              <w:widowControl/>
              <w:jc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2A1899C0">
            <w:pPr>
              <w:widowControl/>
              <w:jc w:val="right"/>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r>
      <w:tr w14:paraId="44BFBBA5">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49952D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2E62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511381E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2B517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1B2268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0553D84B">
            <w:pPr>
              <w:widowControl/>
              <w:jc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234D1CBD">
            <w:pPr>
              <w:widowControl/>
              <w:jc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2D52AA44">
            <w:pPr>
              <w:widowControl/>
              <w:jc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2DA15995">
            <w:pPr>
              <w:widowControl/>
              <w:jc w:val="right"/>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r>
      <w:tr w14:paraId="2862D10E">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E9F36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A507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36CFB00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62045FFD">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3B49DE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113A6FB6">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60.75</w:t>
            </w:r>
          </w:p>
        </w:tc>
        <w:tc>
          <w:tcPr>
            <w:tcW w:w="0" w:type="auto"/>
            <w:tcBorders>
              <w:top w:val="nil"/>
              <w:left w:val="nil"/>
              <w:bottom w:val="single" w:color="auto" w:sz="4" w:space="0"/>
              <w:right w:val="single" w:color="auto" w:sz="4" w:space="0"/>
            </w:tcBorders>
            <w:shd w:val="clear" w:color="auto" w:fill="auto"/>
            <w:noWrap/>
            <w:vAlign w:val="center"/>
          </w:tcPr>
          <w:p w14:paraId="78FD86EF">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60.75</w:t>
            </w:r>
          </w:p>
        </w:tc>
        <w:tc>
          <w:tcPr>
            <w:tcW w:w="0" w:type="auto"/>
            <w:tcBorders>
              <w:top w:val="nil"/>
              <w:left w:val="nil"/>
              <w:bottom w:val="single" w:color="auto" w:sz="4" w:space="0"/>
              <w:right w:val="single" w:color="auto" w:sz="4" w:space="0"/>
            </w:tcBorders>
            <w:shd w:val="clear" w:color="auto" w:fill="auto"/>
            <w:noWrap/>
            <w:vAlign w:val="center"/>
          </w:tcPr>
          <w:p w14:paraId="5C87DD3D">
            <w:pPr>
              <w:widowControl/>
              <w:jc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36588D39">
            <w:pPr>
              <w:widowControl/>
              <w:jc w:val="right"/>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r>
      <w:tr w14:paraId="4707C74D">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E27B67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F68B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105C1BB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5F510AC3">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4B7607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74DD61FD">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13.</w:t>
            </w:r>
            <w:r>
              <w:rPr>
                <w:rFonts w:hint="default" w:ascii="仿宋_GB2312" w:hAnsi="仿宋_GB2312" w:eastAsia="仿宋_GB2312" w:cs="仿宋_GB2312"/>
                <w:i w:val="0"/>
                <w:color w:val="auto"/>
                <w:kern w:val="0"/>
                <w:sz w:val="21"/>
                <w:szCs w:val="21"/>
                <w:u w:val="none"/>
                <w:lang w:eastAsia="zh-CN" w:bidi="ar"/>
              </w:rPr>
              <w:t>31</w:t>
            </w:r>
          </w:p>
        </w:tc>
        <w:tc>
          <w:tcPr>
            <w:tcW w:w="0" w:type="auto"/>
            <w:tcBorders>
              <w:top w:val="nil"/>
              <w:left w:val="nil"/>
              <w:bottom w:val="single" w:color="auto" w:sz="4" w:space="0"/>
              <w:right w:val="single" w:color="auto" w:sz="4" w:space="0"/>
            </w:tcBorders>
            <w:shd w:val="clear" w:color="auto" w:fill="auto"/>
            <w:noWrap/>
            <w:vAlign w:val="center"/>
          </w:tcPr>
          <w:p w14:paraId="2D205218">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13.</w:t>
            </w:r>
            <w:r>
              <w:rPr>
                <w:rFonts w:hint="default" w:ascii="仿宋_GB2312" w:hAnsi="仿宋_GB2312" w:eastAsia="仿宋_GB2312" w:cs="仿宋_GB2312"/>
                <w:i w:val="0"/>
                <w:color w:val="auto"/>
                <w:kern w:val="0"/>
                <w:sz w:val="21"/>
                <w:szCs w:val="21"/>
                <w:u w:val="none"/>
                <w:lang w:eastAsia="zh-CN" w:bidi="ar"/>
              </w:rPr>
              <w:t>31</w:t>
            </w:r>
          </w:p>
        </w:tc>
        <w:tc>
          <w:tcPr>
            <w:tcW w:w="0" w:type="auto"/>
            <w:tcBorders>
              <w:top w:val="nil"/>
              <w:left w:val="nil"/>
              <w:bottom w:val="single" w:color="auto" w:sz="4" w:space="0"/>
              <w:right w:val="single" w:color="auto" w:sz="4" w:space="0"/>
            </w:tcBorders>
            <w:shd w:val="clear" w:color="auto" w:fill="auto"/>
            <w:noWrap/>
            <w:vAlign w:val="center"/>
          </w:tcPr>
          <w:p w14:paraId="31CB8DF6">
            <w:pPr>
              <w:widowControl/>
              <w:jc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34579990">
            <w:pPr>
              <w:widowControl/>
              <w:jc w:val="right"/>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r>
      <w:tr w14:paraId="577DE744">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9E4B0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7490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EB5352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AF37FA">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十二、农林水支出</w:t>
            </w:r>
          </w:p>
        </w:tc>
        <w:tc>
          <w:tcPr>
            <w:tcW w:w="0" w:type="auto"/>
            <w:tcBorders>
              <w:top w:val="nil"/>
              <w:left w:val="nil"/>
              <w:bottom w:val="single" w:color="auto" w:sz="4" w:space="0"/>
              <w:right w:val="single" w:color="auto" w:sz="4" w:space="0"/>
            </w:tcBorders>
            <w:shd w:val="clear" w:color="auto" w:fill="auto"/>
            <w:noWrap/>
            <w:vAlign w:val="center"/>
          </w:tcPr>
          <w:p w14:paraId="36C628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7EA20741">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66.87</w:t>
            </w:r>
          </w:p>
        </w:tc>
        <w:tc>
          <w:tcPr>
            <w:tcW w:w="0" w:type="auto"/>
            <w:tcBorders>
              <w:top w:val="nil"/>
              <w:left w:val="nil"/>
              <w:bottom w:val="single" w:color="auto" w:sz="4" w:space="0"/>
              <w:right w:val="single" w:color="auto" w:sz="4" w:space="0"/>
            </w:tcBorders>
            <w:shd w:val="clear" w:color="auto" w:fill="auto"/>
            <w:noWrap/>
            <w:vAlign w:val="center"/>
          </w:tcPr>
          <w:p w14:paraId="25B91B48">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51.20</w:t>
            </w:r>
          </w:p>
        </w:tc>
        <w:tc>
          <w:tcPr>
            <w:tcW w:w="0" w:type="auto"/>
            <w:tcBorders>
              <w:top w:val="nil"/>
              <w:left w:val="nil"/>
              <w:bottom w:val="single" w:color="auto" w:sz="4" w:space="0"/>
              <w:right w:val="single" w:color="auto" w:sz="4" w:space="0"/>
            </w:tcBorders>
            <w:shd w:val="clear" w:color="auto" w:fill="auto"/>
            <w:noWrap/>
            <w:vAlign w:val="center"/>
          </w:tcPr>
          <w:p w14:paraId="17A67CBF">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sz w:val="21"/>
                <w:szCs w:val="21"/>
                <w:u w:val="none"/>
              </w:rPr>
              <w:t>15.66</w:t>
            </w:r>
          </w:p>
        </w:tc>
        <w:tc>
          <w:tcPr>
            <w:tcW w:w="0" w:type="auto"/>
            <w:tcBorders>
              <w:top w:val="nil"/>
              <w:left w:val="nil"/>
              <w:bottom w:val="single" w:color="auto" w:sz="4" w:space="0"/>
              <w:right w:val="single" w:color="auto" w:sz="4" w:space="0"/>
            </w:tcBorders>
            <w:shd w:val="clear" w:color="auto" w:fill="auto"/>
            <w:noWrap/>
            <w:vAlign w:val="center"/>
          </w:tcPr>
          <w:p w14:paraId="150D2B01">
            <w:pPr>
              <w:widowControl/>
              <w:jc w:val="right"/>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r>
      <w:tr w14:paraId="40828544">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605898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86D9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24FF0D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C7FB5B">
            <w:pPr>
              <w:keepNext w:val="0"/>
              <w:keepLines w:val="0"/>
              <w:widowControl/>
              <w:suppressLineNumbers w:val="0"/>
              <w:jc w:val="lef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sz w:val="21"/>
                <w:szCs w:val="21"/>
                <w:u w:val="none"/>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14:paraId="0F187E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4AA6EB98">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4.52</w:t>
            </w:r>
          </w:p>
        </w:tc>
        <w:tc>
          <w:tcPr>
            <w:tcW w:w="0" w:type="auto"/>
            <w:tcBorders>
              <w:top w:val="nil"/>
              <w:left w:val="nil"/>
              <w:bottom w:val="single" w:color="auto" w:sz="4" w:space="0"/>
              <w:right w:val="single" w:color="auto" w:sz="4" w:space="0"/>
            </w:tcBorders>
            <w:shd w:val="clear" w:color="auto" w:fill="auto"/>
            <w:noWrap/>
            <w:vAlign w:val="center"/>
          </w:tcPr>
          <w:p w14:paraId="31C0F32F">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4.52</w:t>
            </w:r>
          </w:p>
        </w:tc>
        <w:tc>
          <w:tcPr>
            <w:tcW w:w="0" w:type="auto"/>
            <w:tcBorders>
              <w:top w:val="nil"/>
              <w:left w:val="nil"/>
              <w:bottom w:val="single" w:color="auto" w:sz="4" w:space="0"/>
              <w:right w:val="single" w:color="auto" w:sz="4" w:space="0"/>
            </w:tcBorders>
            <w:shd w:val="clear" w:color="auto" w:fill="auto"/>
            <w:noWrap/>
            <w:vAlign w:val="center"/>
          </w:tcPr>
          <w:p w14:paraId="2830C01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283DDD14">
            <w:pPr>
              <w:widowControl/>
              <w:jc w:val="center"/>
              <w:rPr>
                <w:rFonts w:ascii="Times New Roman" w:hAnsi="Times New Roman" w:eastAsia="仿宋_GB2312" w:cs="Times New Roman"/>
                <w:kern w:val="0"/>
                <w:sz w:val="22"/>
              </w:rPr>
            </w:pPr>
            <w:r>
              <w:rPr>
                <w:rFonts w:hint="eastAsia" w:ascii="仿宋_GB2312" w:hAnsi="仿宋_GB2312" w:eastAsia="仿宋_GB2312" w:cs="仿宋_GB2312"/>
                <w:i w:val="0"/>
                <w:color w:val="auto"/>
                <w:kern w:val="0"/>
                <w:sz w:val="21"/>
                <w:szCs w:val="21"/>
                <w:u w:val="none"/>
                <w:lang w:val="en-US" w:eastAsia="zh-CN" w:bidi="ar"/>
              </w:rPr>
              <w:t>0.00</w:t>
            </w:r>
          </w:p>
        </w:tc>
      </w:tr>
      <w:tr w14:paraId="3192439B">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5786FC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459E0C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48E8079">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sz w:val="21"/>
                <w:szCs w:val="21"/>
                <w:u w:val="none"/>
              </w:rPr>
              <w:t>510.43</w:t>
            </w:r>
          </w:p>
        </w:tc>
        <w:tc>
          <w:tcPr>
            <w:tcW w:w="0" w:type="auto"/>
            <w:tcBorders>
              <w:top w:val="nil"/>
              <w:left w:val="nil"/>
              <w:bottom w:val="single" w:color="auto" w:sz="4" w:space="0"/>
              <w:right w:val="single" w:color="auto" w:sz="4" w:space="0"/>
            </w:tcBorders>
            <w:shd w:val="clear" w:color="auto" w:fill="auto"/>
            <w:noWrap/>
            <w:vAlign w:val="center"/>
          </w:tcPr>
          <w:p w14:paraId="01F3296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40BE8D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783EEC1C">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473.27</w:t>
            </w:r>
          </w:p>
        </w:tc>
        <w:tc>
          <w:tcPr>
            <w:tcW w:w="0" w:type="auto"/>
            <w:tcBorders>
              <w:top w:val="nil"/>
              <w:left w:val="nil"/>
              <w:bottom w:val="single" w:color="auto" w:sz="4" w:space="0"/>
              <w:right w:val="single" w:color="auto" w:sz="4" w:space="0"/>
            </w:tcBorders>
            <w:shd w:val="clear" w:color="auto" w:fill="auto"/>
            <w:noWrap/>
            <w:vAlign w:val="center"/>
          </w:tcPr>
          <w:p w14:paraId="432E743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473.27</w:t>
            </w:r>
          </w:p>
        </w:tc>
        <w:tc>
          <w:tcPr>
            <w:tcW w:w="0" w:type="auto"/>
            <w:tcBorders>
              <w:top w:val="nil"/>
              <w:left w:val="nil"/>
              <w:bottom w:val="single" w:color="auto" w:sz="4" w:space="0"/>
              <w:right w:val="single" w:color="auto" w:sz="4" w:space="0"/>
            </w:tcBorders>
            <w:shd w:val="clear" w:color="auto" w:fill="auto"/>
            <w:noWrap/>
            <w:vAlign w:val="center"/>
          </w:tcPr>
          <w:p w14:paraId="09BBC1B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0FD55D4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4E1AE216">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161D6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C7216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78D02DF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2C2247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FECE8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7F48123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02F40E7D">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2384A2A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312B4C9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1F796C2C">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50A52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D5BD0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5742CE7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4FDF318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CBD0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4FECD6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BE8C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D711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DDA20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02AD2B">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2CAD7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68E6A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40CB77C9">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3925A8F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6232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5BA8F3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611E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BD09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333DB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1DB78CE">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055E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5B27B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0ADB867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1E565E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E187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378F82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E2A8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305D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87BF2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00D523">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0CB1A3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6AA3E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617A1611">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510.43</w:t>
            </w:r>
          </w:p>
        </w:tc>
        <w:tc>
          <w:tcPr>
            <w:tcW w:w="0" w:type="auto"/>
            <w:tcBorders>
              <w:top w:val="nil"/>
              <w:left w:val="nil"/>
              <w:bottom w:val="single" w:color="auto" w:sz="4" w:space="0"/>
              <w:right w:val="single" w:color="auto" w:sz="4" w:space="0"/>
            </w:tcBorders>
            <w:shd w:val="clear" w:color="000000" w:fill="FFFFFF"/>
            <w:noWrap/>
            <w:vAlign w:val="center"/>
          </w:tcPr>
          <w:p w14:paraId="64A17F8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78940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41EC2092">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510.43</w:t>
            </w:r>
          </w:p>
        </w:tc>
        <w:tc>
          <w:tcPr>
            <w:tcW w:w="0" w:type="auto"/>
            <w:tcBorders>
              <w:top w:val="nil"/>
              <w:left w:val="nil"/>
              <w:bottom w:val="single" w:color="auto" w:sz="4" w:space="0"/>
              <w:right w:val="single" w:color="auto" w:sz="4" w:space="0"/>
            </w:tcBorders>
            <w:shd w:val="clear" w:color="000000" w:fill="FFFFFF"/>
            <w:noWrap/>
            <w:vAlign w:val="center"/>
          </w:tcPr>
          <w:p w14:paraId="512A38C6">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494.76</w:t>
            </w:r>
          </w:p>
        </w:tc>
        <w:tc>
          <w:tcPr>
            <w:tcW w:w="0" w:type="auto"/>
            <w:tcBorders>
              <w:top w:val="nil"/>
              <w:left w:val="nil"/>
              <w:bottom w:val="single" w:color="auto" w:sz="4" w:space="0"/>
              <w:right w:val="single" w:color="auto" w:sz="4" w:space="0"/>
            </w:tcBorders>
            <w:shd w:val="clear" w:color="auto" w:fill="auto"/>
            <w:noWrap/>
            <w:vAlign w:val="center"/>
          </w:tcPr>
          <w:p w14:paraId="0B9B44EA">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15.66</w:t>
            </w:r>
          </w:p>
        </w:tc>
        <w:tc>
          <w:tcPr>
            <w:tcW w:w="0" w:type="auto"/>
            <w:tcBorders>
              <w:top w:val="nil"/>
              <w:left w:val="nil"/>
              <w:bottom w:val="single" w:color="auto" w:sz="4" w:space="0"/>
              <w:right w:val="single" w:color="auto" w:sz="4" w:space="0"/>
            </w:tcBorders>
            <w:shd w:val="clear" w:color="auto" w:fill="auto"/>
            <w:noWrap/>
            <w:vAlign w:val="center"/>
          </w:tcPr>
          <w:p w14:paraId="2737E7D7">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bl>
    <w:p w14:paraId="3121973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5023E0C">
      <w:pPr>
        <w:widowControl/>
        <w:jc w:val="center"/>
        <w:rPr>
          <w:rFonts w:ascii="Times New Roman" w:hAnsi="Times New Roman" w:eastAsia="方正小标宋_GBK" w:cs="Times New Roman"/>
          <w:kern w:val="0"/>
          <w:sz w:val="36"/>
          <w:szCs w:val="36"/>
        </w:rPr>
      </w:pPr>
    </w:p>
    <w:p w14:paraId="1B9B8B1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30D11A1C">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auto"/>
          <w:sz w:val="20"/>
          <w:szCs w:val="20"/>
        </w:rPr>
        <w:t>怀化市库区移民事务中心</w:t>
      </w:r>
      <w:r>
        <w:rPr>
          <w:rFonts w:ascii="Times New Roman" w:hAnsi="Times New Roman" w:eastAsia="仿宋_GB2312" w:cs="Times New Roman"/>
          <w:color w:val="000000"/>
          <w:kern w:val="0"/>
          <w:szCs w:val="21"/>
        </w:rPr>
        <w:t xml:space="preserve">                                                                                           公开05表</w:t>
      </w:r>
    </w:p>
    <w:p w14:paraId="19C0B31A">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default"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43D15215">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5A0972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7151723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A17BAC6">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14545D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40C4AC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1A8610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EC63EF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2F24E1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0CF8C7F">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BB2919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1C41A8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A951AC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2B8882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C89F9B9">
            <w:pPr>
              <w:widowControl/>
              <w:jc w:val="left"/>
              <w:rPr>
                <w:rFonts w:ascii="Times New Roman" w:hAnsi="Times New Roman" w:eastAsia="仿宋_GB2312" w:cs="Times New Roman"/>
                <w:kern w:val="0"/>
                <w:szCs w:val="21"/>
              </w:rPr>
            </w:pPr>
          </w:p>
        </w:tc>
      </w:tr>
      <w:tr w14:paraId="25C5744F">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7B54B3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32B6EF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2BD067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098C54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AC707D5">
            <w:pPr>
              <w:widowControl/>
              <w:jc w:val="left"/>
              <w:rPr>
                <w:rFonts w:ascii="Times New Roman" w:hAnsi="Times New Roman" w:eastAsia="仿宋_GB2312" w:cs="Times New Roman"/>
                <w:kern w:val="0"/>
                <w:szCs w:val="21"/>
              </w:rPr>
            </w:pPr>
          </w:p>
        </w:tc>
      </w:tr>
      <w:tr w14:paraId="50E24FE1">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AADAD7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DA67AC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55790D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D7FAC6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495445A">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BE8535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4A43B963">
            <w:pPr>
              <w:keepNext w:val="0"/>
              <w:keepLines w:val="0"/>
              <w:widowControl/>
              <w:suppressLineNumbers w:val="0"/>
              <w:jc w:val="right"/>
              <w:textAlignment w:val="center"/>
              <w:rPr>
                <w:rFonts w:hint="default" w:ascii="仿宋_GB2312" w:hAnsi="仿宋_GB2312" w:eastAsia="仿宋_GB2312" w:cs="仿宋_GB2312"/>
                <w:b/>
                <w:i w:val="0"/>
                <w:color w:val="auto"/>
                <w:kern w:val="2"/>
                <w:sz w:val="21"/>
                <w:szCs w:val="21"/>
                <w:u w:val="none"/>
                <w:lang w:val="en-US" w:eastAsia="zh-CN" w:bidi="ar-SA"/>
              </w:rPr>
            </w:pPr>
            <w:r>
              <w:rPr>
                <w:rFonts w:hint="default" w:ascii="仿宋_GB2312" w:hAnsi="仿宋_GB2312" w:eastAsia="仿宋_GB2312" w:cs="仿宋_GB2312"/>
                <w:b/>
                <w:i w:val="0"/>
                <w:color w:val="auto"/>
                <w:kern w:val="0"/>
                <w:sz w:val="21"/>
                <w:szCs w:val="21"/>
                <w:u w:val="none"/>
                <w:lang w:eastAsia="zh-CN" w:bidi="ar"/>
              </w:rPr>
              <w:t>494.76</w:t>
            </w:r>
          </w:p>
        </w:tc>
        <w:tc>
          <w:tcPr>
            <w:tcW w:w="3492" w:type="dxa"/>
            <w:tcBorders>
              <w:top w:val="nil"/>
              <w:left w:val="nil"/>
              <w:bottom w:val="single" w:color="auto" w:sz="4" w:space="0"/>
              <w:right w:val="single" w:color="auto" w:sz="4" w:space="0"/>
            </w:tcBorders>
            <w:shd w:val="clear" w:color="auto" w:fill="auto"/>
            <w:vAlign w:val="center"/>
          </w:tcPr>
          <w:p w14:paraId="76914FEA">
            <w:pPr>
              <w:keepNext w:val="0"/>
              <w:keepLines w:val="0"/>
              <w:widowControl/>
              <w:suppressLineNumbers w:val="0"/>
              <w:jc w:val="right"/>
              <w:textAlignment w:val="center"/>
              <w:rPr>
                <w:rFonts w:hint="default" w:ascii="仿宋_GB2312" w:hAnsi="仿宋_GB2312" w:eastAsia="仿宋_GB2312" w:cs="仿宋_GB2312"/>
                <w:b/>
                <w:i w:val="0"/>
                <w:color w:val="auto"/>
                <w:kern w:val="2"/>
                <w:sz w:val="21"/>
                <w:szCs w:val="21"/>
                <w:u w:val="none"/>
                <w:lang w:val="en-US" w:eastAsia="zh-CN" w:bidi="ar-SA"/>
              </w:rPr>
            </w:pPr>
            <w:r>
              <w:rPr>
                <w:rFonts w:hint="default" w:ascii="仿宋_GB2312" w:hAnsi="仿宋_GB2312" w:eastAsia="仿宋_GB2312" w:cs="仿宋_GB2312"/>
                <w:b/>
                <w:i w:val="0"/>
                <w:color w:val="auto"/>
                <w:kern w:val="0"/>
                <w:sz w:val="21"/>
                <w:szCs w:val="21"/>
                <w:u w:val="none"/>
                <w:lang w:eastAsia="zh-CN" w:bidi="ar"/>
              </w:rPr>
              <w:t>443.56</w:t>
            </w:r>
          </w:p>
        </w:tc>
        <w:tc>
          <w:tcPr>
            <w:tcW w:w="3000" w:type="dxa"/>
            <w:tcBorders>
              <w:top w:val="nil"/>
              <w:left w:val="nil"/>
              <w:bottom w:val="single" w:color="auto" w:sz="4" w:space="0"/>
              <w:right w:val="single" w:color="auto" w:sz="8" w:space="0"/>
            </w:tcBorders>
            <w:shd w:val="clear" w:color="auto" w:fill="auto"/>
            <w:vAlign w:val="center"/>
          </w:tcPr>
          <w:p w14:paraId="0944BAE5">
            <w:pPr>
              <w:keepNext w:val="0"/>
              <w:keepLines w:val="0"/>
              <w:widowControl/>
              <w:suppressLineNumbers w:val="0"/>
              <w:jc w:val="right"/>
              <w:textAlignment w:val="center"/>
              <w:rPr>
                <w:rFonts w:hint="default" w:ascii="仿宋_GB2312" w:hAnsi="仿宋_GB2312" w:eastAsia="仿宋_GB2312" w:cs="仿宋_GB2312"/>
                <w:b/>
                <w:i w:val="0"/>
                <w:color w:val="auto"/>
                <w:kern w:val="2"/>
                <w:sz w:val="21"/>
                <w:szCs w:val="21"/>
                <w:u w:val="none"/>
                <w:lang w:val="en-US" w:eastAsia="zh-CN" w:bidi="ar-SA"/>
              </w:rPr>
            </w:pPr>
            <w:r>
              <w:rPr>
                <w:rFonts w:hint="default" w:ascii="仿宋_GB2312" w:hAnsi="仿宋_GB2312" w:eastAsia="仿宋_GB2312" w:cs="仿宋_GB2312"/>
                <w:b/>
                <w:i w:val="0"/>
                <w:color w:val="auto"/>
                <w:kern w:val="0"/>
                <w:sz w:val="21"/>
                <w:szCs w:val="21"/>
                <w:u w:val="none"/>
                <w:lang w:eastAsia="zh-CN" w:bidi="ar"/>
              </w:rPr>
              <w:t>51.20</w:t>
            </w:r>
          </w:p>
        </w:tc>
      </w:tr>
      <w:tr w14:paraId="66A163A2">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4D6B11D">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60D77596">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6C13D930">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364.98</w:t>
            </w:r>
          </w:p>
        </w:tc>
        <w:tc>
          <w:tcPr>
            <w:tcW w:w="3492" w:type="dxa"/>
            <w:tcBorders>
              <w:top w:val="nil"/>
              <w:left w:val="nil"/>
              <w:bottom w:val="single" w:color="auto" w:sz="4" w:space="0"/>
              <w:right w:val="single" w:color="auto" w:sz="4" w:space="0"/>
            </w:tcBorders>
            <w:shd w:val="clear" w:color="auto" w:fill="auto"/>
            <w:vAlign w:val="center"/>
          </w:tcPr>
          <w:p w14:paraId="0E44305F">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364.98</w:t>
            </w:r>
          </w:p>
        </w:tc>
        <w:tc>
          <w:tcPr>
            <w:tcW w:w="3000" w:type="dxa"/>
            <w:tcBorders>
              <w:top w:val="nil"/>
              <w:left w:val="nil"/>
              <w:bottom w:val="single" w:color="auto" w:sz="4" w:space="0"/>
              <w:right w:val="single" w:color="auto" w:sz="8" w:space="0"/>
            </w:tcBorders>
            <w:shd w:val="clear" w:color="auto" w:fill="auto"/>
            <w:vAlign w:val="center"/>
          </w:tcPr>
          <w:p w14:paraId="205E012C">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38AB17F2">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3D618EB">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20103</w:t>
            </w:r>
          </w:p>
        </w:tc>
        <w:tc>
          <w:tcPr>
            <w:tcW w:w="3527" w:type="dxa"/>
            <w:tcBorders>
              <w:top w:val="nil"/>
              <w:left w:val="nil"/>
              <w:bottom w:val="single" w:color="auto" w:sz="4" w:space="0"/>
              <w:right w:val="single" w:color="auto" w:sz="4" w:space="0"/>
            </w:tcBorders>
            <w:shd w:val="clear" w:color="auto" w:fill="auto"/>
            <w:vAlign w:val="center"/>
          </w:tcPr>
          <w:p w14:paraId="70D656FA">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政府办公厅（室）及相关机构事务</w:t>
            </w:r>
          </w:p>
        </w:tc>
        <w:tc>
          <w:tcPr>
            <w:tcW w:w="3000" w:type="dxa"/>
            <w:tcBorders>
              <w:top w:val="nil"/>
              <w:left w:val="nil"/>
              <w:bottom w:val="single" w:color="auto" w:sz="4" w:space="0"/>
              <w:right w:val="single" w:color="auto" w:sz="4" w:space="0"/>
            </w:tcBorders>
            <w:shd w:val="clear" w:color="auto" w:fill="auto"/>
            <w:vAlign w:val="center"/>
          </w:tcPr>
          <w:p w14:paraId="0E519E54">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331.47</w:t>
            </w:r>
          </w:p>
        </w:tc>
        <w:tc>
          <w:tcPr>
            <w:tcW w:w="3492" w:type="dxa"/>
            <w:tcBorders>
              <w:top w:val="nil"/>
              <w:left w:val="nil"/>
              <w:bottom w:val="single" w:color="auto" w:sz="4" w:space="0"/>
              <w:right w:val="single" w:color="auto" w:sz="4" w:space="0"/>
            </w:tcBorders>
            <w:shd w:val="clear" w:color="auto" w:fill="auto"/>
            <w:vAlign w:val="center"/>
          </w:tcPr>
          <w:p w14:paraId="64E3AF64">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331.47</w:t>
            </w:r>
          </w:p>
        </w:tc>
        <w:tc>
          <w:tcPr>
            <w:tcW w:w="3000" w:type="dxa"/>
            <w:tcBorders>
              <w:top w:val="nil"/>
              <w:left w:val="nil"/>
              <w:bottom w:val="single" w:color="auto" w:sz="4" w:space="0"/>
              <w:right w:val="single" w:color="auto" w:sz="8" w:space="0"/>
            </w:tcBorders>
            <w:shd w:val="clear" w:color="auto" w:fill="auto"/>
            <w:vAlign w:val="center"/>
          </w:tcPr>
          <w:p w14:paraId="1C1F893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0C26AA7E">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4E2507">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2010301</w:t>
            </w:r>
          </w:p>
        </w:tc>
        <w:tc>
          <w:tcPr>
            <w:tcW w:w="3527" w:type="dxa"/>
            <w:tcBorders>
              <w:top w:val="nil"/>
              <w:left w:val="nil"/>
              <w:bottom w:val="single" w:color="auto" w:sz="4" w:space="0"/>
              <w:right w:val="single" w:color="auto" w:sz="4" w:space="0"/>
            </w:tcBorders>
            <w:shd w:val="clear" w:color="auto" w:fill="auto"/>
            <w:vAlign w:val="center"/>
          </w:tcPr>
          <w:p w14:paraId="56B05B55">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13EFB06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331.47</w:t>
            </w:r>
          </w:p>
        </w:tc>
        <w:tc>
          <w:tcPr>
            <w:tcW w:w="3492" w:type="dxa"/>
            <w:tcBorders>
              <w:top w:val="nil"/>
              <w:left w:val="nil"/>
              <w:bottom w:val="single" w:color="auto" w:sz="4" w:space="0"/>
              <w:right w:val="single" w:color="auto" w:sz="4" w:space="0"/>
            </w:tcBorders>
            <w:shd w:val="clear" w:color="auto" w:fill="auto"/>
            <w:vAlign w:val="center"/>
          </w:tcPr>
          <w:p w14:paraId="27A94317">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331.47</w:t>
            </w:r>
          </w:p>
        </w:tc>
        <w:tc>
          <w:tcPr>
            <w:tcW w:w="3000" w:type="dxa"/>
            <w:tcBorders>
              <w:top w:val="nil"/>
              <w:left w:val="nil"/>
              <w:bottom w:val="single" w:color="auto" w:sz="4" w:space="0"/>
              <w:right w:val="single" w:color="auto" w:sz="8" w:space="0"/>
            </w:tcBorders>
            <w:shd w:val="clear" w:color="auto" w:fill="auto"/>
            <w:vAlign w:val="center"/>
          </w:tcPr>
          <w:p w14:paraId="529F7B7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7FC2DE20">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7F99224">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0D0A2BC9">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10FF479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3</w:t>
            </w:r>
            <w:r>
              <w:rPr>
                <w:rFonts w:hint="default" w:ascii="仿宋_GB2312" w:hAnsi="仿宋_GB2312" w:eastAsia="仿宋_GB2312" w:cs="仿宋_GB2312"/>
                <w:i w:val="0"/>
                <w:color w:val="auto"/>
                <w:kern w:val="0"/>
                <w:sz w:val="21"/>
                <w:szCs w:val="21"/>
                <w:u w:val="none"/>
                <w:lang w:eastAsia="zh-CN" w:bidi="ar"/>
              </w:rPr>
              <w:t>3</w:t>
            </w:r>
            <w:r>
              <w:rPr>
                <w:rFonts w:hint="eastAsia" w:ascii="仿宋_GB2312" w:hAnsi="仿宋_GB2312" w:eastAsia="仿宋_GB2312" w:cs="仿宋_GB2312"/>
                <w:i w:val="0"/>
                <w:color w:val="auto"/>
                <w:kern w:val="0"/>
                <w:sz w:val="21"/>
                <w:szCs w:val="21"/>
                <w:u w:val="none"/>
                <w:lang w:val="en-US" w:eastAsia="zh-CN" w:bidi="ar"/>
              </w:rPr>
              <w:t>.51</w:t>
            </w:r>
          </w:p>
        </w:tc>
        <w:tc>
          <w:tcPr>
            <w:tcW w:w="3492" w:type="dxa"/>
            <w:tcBorders>
              <w:top w:val="nil"/>
              <w:left w:val="nil"/>
              <w:bottom w:val="single" w:color="auto" w:sz="4" w:space="0"/>
              <w:right w:val="single" w:color="auto" w:sz="4" w:space="0"/>
            </w:tcBorders>
            <w:shd w:val="clear" w:color="auto" w:fill="auto"/>
            <w:vAlign w:val="center"/>
          </w:tcPr>
          <w:p w14:paraId="58792E6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3</w:t>
            </w:r>
            <w:r>
              <w:rPr>
                <w:rFonts w:hint="default" w:ascii="仿宋_GB2312" w:hAnsi="仿宋_GB2312" w:eastAsia="仿宋_GB2312" w:cs="仿宋_GB2312"/>
                <w:i w:val="0"/>
                <w:color w:val="auto"/>
                <w:kern w:val="0"/>
                <w:sz w:val="21"/>
                <w:szCs w:val="21"/>
                <w:u w:val="none"/>
                <w:lang w:eastAsia="zh-CN" w:bidi="ar"/>
              </w:rPr>
              <w:t>3</w:t>
            </w:r>
            <w:r>
              <w:rPr>
                <w:rFonts w:hint="eastAsia" w:ascii="仿宋_GB2312" w:hAnsi="仿宋_GB2312" w:eastAsia="仿宋_GB2312" w:cs="仿宋_GB2312"/>
                <w:i w:val="0"/>
                <w:color w:val="auto"/>
                <w:kern w:val="0"/>
                <w:sz w:val="21"/>
                <w:szCs w:val="21"/>
                <w:u w:val="none"/>
                <w:lang w:val="en-US" w:eastAsia="zh-CN" w:bidi="ar"/>
              </w:rPr>
              <w:t>.51</w:t>
            </w:r>
          </w:p>
        </w:tc>
        <w:tc>
          <w:tcPr>
            <w:tcW w:w="3000" w:type="dxa"/>
            <w:tcBorders>
              <w:top w:val="nil"/>
              <w:left w:val="nil"/>
              <w:bottom w:val="single" w:color="auto" w:sz="4" w:space="0"/>
              <w:right w:val="single" w:color="auto" w:sz="8" w:space="0"/>
            </w:tcBorders>
            <w:shd w:val="clear" w:color="auto" w:fill="auto"/>
            <w:vAlign w:val="center"/>
          </w:tcPr>
          <w:p w14:paraId="50C4F1D9">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2DAFFDB8">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003687F">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5B8A9E26">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031593DD">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3</w:t>
            </w:r>
            <w:r>
              <w:rPr>
                <w:rFonts w:hint="default" w:ascii="仿宋_GB2312" w:hAnsi="仿宋_GB2312" w:eastAsia="仿宋_GB2312" w:cs="仿宋_GB2312"/>
                <w:i w:val="0"/>
                <w:color w:val="auto"/>
                <w:kern w:val="0"/>
                <w:sz w:val="21"/>
                <w:szCs w:val="21"/>
                <w:u w:val="none"/>
                <w:lang w:eastAsia="zh-CN" w:bidi="ar"/>
              </w:rPr>
              <w:t>3</w:t>
            </w:r>
            <w:r>
              <w:rPr>
                <w:rFonts w:hint="eastAsia" w:ascii="仿宋_GB2312" w:hAnsi="仿宋_GB2312" w:eastAsia="仿宋_GB2312" w:cs="仿宋_GB2312"/>
                <w:i w:val="0"/>
                <w:color w:val="auto"/>
                <w:kern w:val="0"/>
                <w:sz w:val="21"/>
                <w:szCs w:val="21"/>
                <w:u w:val="none"/>
                <w:lang w:val="en-US" w:eastAsia="zh-CN" w:bidi="ar"/>
              </w:rPr>
              <w:t>.51</w:t>
            </w:r>
          </w:p>
        </w:tc>
        <w:tc>
          <w:tcPr>
            <w:tcW w:w="3492" w:type="dxa"/>
            <w:tcBorders>
              <w:top w:val="nil"/>
              <w:left w:val="nil"/>
              <w:bottom w:val="single" w:color="auto" w:sz="4" w:space="0"/>
              <w:right w:val="single" w:color="auto" w:sz="4" w:space="0"/>
            </w:tcBorders>
            <w:shd w:val="clear" w:color="auto" w:fill="auto"/>
            <w:vAlign w:val="center"/>
          </w:tcPr>
          <w:p w14:paraId="0725A47C">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3</w:t>
            </w:r>
            <w:r>
              <w:rPr>
                <w:rFonts w:hint="default" w:ascii="仿宋_GB2312" w:hAnsi="仿宋_GB2312" w:eastAsia="仿宋_GB2312" w:cs="仿宋_GB2312"/>
                <w:i w:val="0"/>
                <w:color w:val="auto"/>
                <w:kern w:val="0"/>
                <w:sz w:val="21"/>
                <w:szCs w:val="21"/>
                <w:u w:val="none"/>
                <w:lang w:eastAsia="zh-CN" w:bidi="ar"/>
              </w:rPr>
              <w:t>3</w:t>
            </w:r>
            <w:r>
              <w:rPr>
                <w:rFonts w:hint="eastAsia" w:ascii="仿宋_GB2312" w:hAnsi="仿宋_GB2312" w:eastAsia="仿宋_GB2312" w:cs="仿宋_GB2312"/>
                <w:i w:val="0"/>
                <w:color w:val="auto"/>
                <w:kern w:val="0"/>
                <w:sz w:val="21"/>
                <w:szCs w:val="21"/>
                <w:u w:val="none"/>
                <w:lang w:val="en-US" w:eastAsia="zh-CN" w:bidi="ar"/>
              </w:rPr>
              <w:t>.51</w:t>
            </w:r>
          </w:p>
        </w:tc>
        <w:tc>
          <w:tcPr>
            <w:tcW w:w="3000" w:type="dxa"/>
            <w:tcBorders>
              <w:top w:val="nil"/>
              <w:left w:val="nil"/>
              <w:bottom w:val="single" w:color="auto" w:sz="4" w:space="0"/>
              <w:right w:val="single" w:color="auto" w:sz="8" w:space="0"/>
            </w:tcBorders>
            <w:shd w:val="clear" w:color="auto" w:fill="auto"/>
            <w:vAlign w:val="center"/>
          </w:tcPr>
          <w:p w14:paraId="4BEC4E2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674634BF">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C72CF39">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6A5BB93">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社会保障和就业支出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4E7956E">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60.75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528358A">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60.75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6DFED5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0122844A">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8ED43C6">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20805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7896369">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行政事业单位养老支出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6749549">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60.75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6F4EC61">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60.75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3C97C01">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45ED0602">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F22FE85">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2080502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E880595">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事业单位离退休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2EBB6EF">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28.01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9955B33">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28.01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A4C58A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6B2B2C2E">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8C0F862">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C6CA2F2">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03506C9">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32.75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134A0E3">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32.75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1694F3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395D480F">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4BE439">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210</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DFDE6E8">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卫生健康支出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84C197B">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13.31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38B4EB5">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13.31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F41531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367C544B">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95E7E57">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21011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6259257">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行政事业单位医疗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EEC2EE9">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13.31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E053DF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13.31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14FEE2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4ABB5666">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8B0A0DE">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2101101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967F4FB">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 xml:space="preserve">  行政单位医疗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3F50AFB">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13.31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4EE06A8">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13.31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69E9FA8">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r w14:paraId="7FA91614">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E30A0E">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213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9E586B9">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农林水支出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6A182BA">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51.20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A9EFA1A">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3957EF1">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51.20</w:t>
            </w:r>
          </w:p>
        </w:tc>
      </w:tr>
      <w:tr w14:paraId="6913F430">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4D0753">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21303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CD71EF4">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水利</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BA46DF7">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51.20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7FEB995">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69CEAAA">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51.20</w:t>
            </w:r>
          </w:p>
        </w:tc>
      </w:tr>
      <w:tr w14:paraId="4DE6361B">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61137F7">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2130321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37FF0AC">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大中型水库移民后期扶持专项支出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90E11FE">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51.20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AB72B43">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B4EBF2F">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51.20</w:t>
            </w:r>
          </w:p>
        </w:tc>
      </w:tr>
      <w:tr w14:paraId="5408E6FA">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F5BA984">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221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D104DB3">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住房保障支出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711D45D">
            <w:pPr>
              <w:keepNext w:val="0"/>
              <w:keepLines w:val="0"/>
              <w:widowControl/>
              <w:suppressLineNumbers w:val="0"/>
              <w:jc w:val="right"/>
              <w:textAlignment w:val="center"/>
              <w:rPr>
                <w:rFonts w:hint="default"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7C21243">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0CC357D">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r w14:paraId="4B23AFFF">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087365C">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22102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9E4B0EB">
            <w:pPr>
              <w:keepNext w:val="0"/>
              <w:keepLines w:val="0"/>
              <w:widowControl/>
              <w:suppressLineNumbers w:val="0"/>
              <w:jc w:val="lef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住房改革支出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DDFA0CA">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103105A">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BFF2385">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r w14:paraId="70A4EEEC">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38A1F08">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2210201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E69F0DC">
            <w:pPr>
              <w:keepNext w:val="0"/>
              <w:keepLines w:val="0"/>
              <w:widowControl/>
              <w:suppressLineNumbers w:val="0"/>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 xml:space="preserve">  </w:t>
            </w:r>
            <w:r>
              <w:rPr>
                <w:rFonts w:hint="default" w:ascii="仿宋_GB2312" w:hAnsi="仿宋_GB2312" w:eastAsia="仿宋_GB2312" w:cs="仿宋_GB2312"/>
                <w:i w:val="0"/>
                <w:color w:val="auto"/>
                <w:kern w:val="0"/>
                <w:sz w:val="21"/>
                <w:szCs w:val="21"/>
                <w:u w:val="none"/>
                <w:lang w:eastAsia="zh-CN" w:bidi="ar"/>
              </w:rPr>
              <w:t>住房公积金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5FE9476">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3703C0C">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default" w:ascii="仿宋_GB2312" w:hAnsi="仿宋_GB2312" w:eastAsia="仿宋_GB2312" w:cs="仿宋_GB2312"/>
                <w:i w:val="0"/>
                <w:color w:val="auto"/>
                <w:kern w:val="0"/>
                <w:sz w:val="21"/>
                <w:szCs w:val="21"/>
                <w:u w:val="none"/>
                <w:lang w:eastAsia="zh-CN" w:bidi="ar"/>
              </w:rPr>
              <w:t>4.52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158B571">
            <w:pPr>
              <w:keepNext w:val="0"/>
              <w:keepLines w:val="0"/>
              <w:widowControl/>
              <w:suppressLineNumbers w:val="0"/>
              <w:jc w:val="right"/>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0.00</w:t>
            </w:r>
          </w:p>
        </w:tc>
      </w:tr>
    </w:tbl>
    <w:p w14:paraId="7A55A76D">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B5EB465">
      <w:pPr>
        <w:widowControl/>
        <w:jc w:val="left"/>
        <w:rPr>
          <w:rFonts w:ascii="Times New Roman" w:hAnsi="Times New Roman" w:eastAsia="仿宋_GB2312" w:cs="Times New Roman"/>
          <w:bCs/>
          <w:kern w:val="0"/>
          <w:szCs w:val="21"/>
        </w:rPr>
      </w:pPr>
    </w:p>
    <w:p w14:paraId="0D23BFF7">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37A7EF3">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585024D">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auto"/>
          <w:sz w:val="20"/>
          <w:szCs w:val="20"/>
        </w:rPr>
        <w:t>怀化市库区移民事务中心</w:t>
      </w:r>
      <w:r>
        <w:rPr>
          <w:rFonts w:ascii="Times New Roman" w:hAnsi="Times New Roman" w:eastAsia="仿宋_GB2312" w:cs="Times New Roman"/>
          <w:color w:val="000000"/>
          <w:kern w:val="0"/>
          <w:szCs w:val="21"/>
        </w:rPr>
        <w:t xml:space="preserve">                                                                                               公开06表</w:t>
      </w:r>
    </w:p>
    <w:p w14:paraId="64526610">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45929170">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9F99D2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D524AF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6BDEA24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C1B8F3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2043DBF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A03DA7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2D641EE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E1E2E2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B72237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0504BF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F1CD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6578E7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16318D48">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349.57</w:t>
            </w:r>
          </w:p>
        </w:tc>
        <w:tc>
          <w:tcPr>
            <w:tcW w:w="1116" w:type="dxa"/>
            <w:tcBorders>
              <w:top w:val="nil"/>
              <w:left w:val="nil"/>
              <w:bottom w:val="single" w:color="auto" w:sz="4" w:space="0"/>
              <w:right w:val="single" w:color="auto" w:sz="4" w:space="0"/>
            </w:tcBorders>
            <w:shd w:val="clear" w:color="auto" w:fill="auto"/>
            <w:noWrap/>
            <w:vAlign w:val="center"/>
          </w:tcPr>
          <w:p w14:paraId="2E18BC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58C27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ECA7BAF">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64.60</w:t>
            </w:r>
          </w:p>
        </w:tc>
        <w:tc>
          <w:tcPr>
            <w:tcW w:w="1217" w:type="dxa"/>
            <w:tcBorders>
              <w:top w:val="nil"/>
              <w:left w:val="nil"/>
              <w:bottom w:val="single" w:color="auto" w:sz="4" w:space="0"/>
              <w:right w:val="single" w:color="auto" w:sz="4" w:space="0"/>
            </w:tcBorders>
            <w:shd w:val="clear" w:color="auto" w:fill="auto"/>
            <w:noWrap/>
            <w:vAlign w:val="center"/>
          </w:tcPr>
          <w:p w14:paraId="4EED1C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3AF250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89E6EFD">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255808A2">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28D7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608A21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44E461DD">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128.61</w:t>
            </w:r>
          </w:p>
        </w:tc>
        <w:tc>
          <w:tcPr>
            <w:tcW w:w="1116" w:type="dxa"/>
            <w:tcBorders>
              <w:top w:val="nil"/>
              <w:left w:val="nil"/>
              <w:bottom w:val="single" w:color="auto" w:sz="4" w:space="0"/>
              <w:right w:val="single" w:color="auto" w:sz="4" w:space="0"/>
            </w:tcBorders>
            <w:shd w:val="clear" w:color="auto" w:fill="auto"/>
            <w:noWrap/>
            <w:vAlign w:val="center"/>
          </w:tcPr>
          <w:p w14:paraId="025D6F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198D03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7856A91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w:t>
            </w:r>
            <w:r>
              <w:rPr>
                <w:rFonts w:hint="eastAsia" w:ascii="仿宋_GB2312" w:hAnsi="仿宋_GB2312" w:eastAsia="仿宋_GB2312" w:cs="仿宋_GB2312"/>
                <w:i w:val="0"/>
                <w:color w:val="auto"/>
                <w:kern w:val="0"/>
                <w:sz w:val="21"/>
                <w:szCs w:val="21"/>
                <w:u w:val="none"/>
                <w:lang w:val="en-US" w:eastAsia="zh-CN" w:bidi="ar"/>
              </w:rPr>
              <w:t>.00</w:t>
            </w:r>
          </w:p>
        </w:tc>
        <w:tc>
          <w:tcPr>
            <w:tcW w:w="1217" w:type="dxa"/>
            <w:tcBorders>
              <w:top w:val="nil"/>
              <w:left w:val="nil"/>
              <w:bottom w:val="single" w:color="auto" w:sz="4" w:space="0"/>
              <w:right w:val="single" w:color="auto" w:sz="4" w:space="0"/>
            </w:tcBorders>
            <w:shd w:val="clear" w:color="auto" w:fill="auto"/>
            <w:noWrap/>
            <w:vAlign w:val="center"/>
          </w:tcPr>
          <w:p w14:paraId="3CFA69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06CD5C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6F26BE41">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5601CC52">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8EC0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492FAC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1DD5659">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48.27</w:t>
            </w:r>
          </w:p>
        </w:tc>
        <w:tc>
          <w:tcPr>
            <w:tcW w:w="1116" w:type="dxa"/>
            <w:tcBorders>
              <w:top w:val="nil"/>
              <w:left w:val="nil"/>
              <w:bottom w:val="single" w:color="auto" w:sz="4" w:space="0"/>
              <w:right w:val="single" w:color="auto" w:sz="4" w:space="0"/>
            </w:tcBorders>
            <w:shd w:val="clear" w:color="auto" w:fill="auto"/>
            <w:noWrap/>
            <w:vAlign w:val="center"/>
          </w:tcPr>
          <w:p w14:paraId="70A5ED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777865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2EA9C5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134B4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39027C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746AECD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64BDA439">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574E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DAD66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A9ED11D">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73.07</w:t>
            </w:r>
          </w:p>
        </w:tc>
        <w:tc>
          <w:tcPr>
            <w:tcW w:w="1116" w:type="dxa"/>
            <w:tcBorders>
              <w:top w:val="nil"/>
              <w:left w:val="nil"/>
              <w:bottom w:val="single" w:color="auto" w:sz="4" w:space="0"/>
              <w:right w:val="single" w:color="auto" w:sz="4" w:space="0"/>
            </w:tcBorders>
            <w:shd w:val="clear" w:color="auto" w:fill="auto"/>
            <w:noWrap/>
            <w:vAlign w:val="center"/>
          </w:tcPr>
          <w:p w14:paraId="730767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7F68DA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88C07AC">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CF854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28B608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5682573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7E0B23D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A774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1EA3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7CA9AC94">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7.16</w:t>
            </w:r>
          </w:p>
        </w:tc>
        <w:tc>
          <w:tcPr>
            <w:tcW w:w="1116" w:type="dxa"/>
            <w:tcBorders>
              <w:top w:val="nil"/>
              <w:left w:val="nil"/>
              <w:bottom w:val="single" w:color="auto" w:sz="4" w:space="0"/>
              <w:right w:val="single" w:color="auto" w:sz="4" w:space="0"/>
            </w:tcBorders>
            <w:shd w:val="clear" w:color="auto" w:fill="auto"/>
            <w:noWrap/>
            <w:vAlign w:val="center"/>
          </w:tcPr>
          <w:p w14:paraId="781AAF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9988A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1CB9966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741C6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1D0530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1F0BA9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18CFFF4B">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C8A2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6D9A7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AA948F8">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32.75</w:t>
            </w:r>
          </w:p>
        </w:tc>
        <w:tc>
          <w:tcPr>
            <w:tcW w:w="1116" w:type="dxa"/>
            <w:tcBorders>
              <w:top w:val="nil"/>
              <w:left w:val="nil"/>
              <w:bottom w:val="single" w:color="auto" w:sz="4" w:space="0"/>
              <w:right w:val="single" w:color="auto" w:sz="4" w:space="0"/>
            </w:tcBorders>
            <w:shd w:val="clear" w:color="auto" w:fill="auto"/>
            <w:noWrap/>
            <w:vAlign w:val="center"/>
          </w:tcPr>
          <w:p w14:paraId="132282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1FD10B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6E3B53C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2C050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482717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0E20064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468422ED">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D5E5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47C727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6372D17">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5DB029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300D82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2CC5B133">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3.54</w:t>
            </w:r>
          </w:p>
        </w:tc>
        <w:tc>
          <w:tcPr>
            <w:tcW w:w="1217" w:type="dxa"/>
            <w:tcBorders>
              <w:top w:val="nil"/>
              <w:left w:val="nil"/>
              <w:bottom w:val="single" w:color="auto" w:sz="4" w:space="0"/>
              <w:right w:val="single" w:color="auto" w:sz="4" w:space="0"/>
            </w:tcBorders>
            <w:shd w:val="clear" w:color="auto" w:fill="auto"/>
            <w:noWrap/>
            <w:vAlign w:val="center"/>
          </w:tcPr>
          <w:p w14:paraId="01BBCF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43462C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55C78C37">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18EE5309">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4072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1DBA36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3156331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E4B29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4BE129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322EFF5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w:t>
            </w:r>
            <w:r>
              <w:rPr>
                <w:rFonts w:hint="default" w:ascii="仿宋_GB2312" w:hAnsi="仿宋_GB2312" w:eastAsia="仿宋_GB2312" w:cs="仿宋_GB2312"/>
                <w:i w:val="0"/>
                <w:color w:val="auto"/>
                <w:kern w:val="0"/>
                <w:sz w:val="21"/>
                <w:szCs w:val="21"/>
                <w:u w:val="none"/>
                <w:lang w:eastAsia="zh-CN" w:bidi="ar"/>
              </w:rPr>
              <w:t>6</w:t>
            </w:r>
            <w:r>
              <w:rPr>
                <w:rFonts w:hint="eastAsia" w:ascii="仿宋_GB2312" w:hAnsi="仿宋_GB2312" w:eastAsia="仿宋_GB2312" w:cs="仿宋_GB2312"/>
                <w:i w:val="0"/>
                <w:color w:val="auto"/>
                <w:kern w:val="0"/>
                <w:sz w:val="21"/>
                <w:szCs w:val="21"/>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14:paraId="2EB276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29A543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45B7499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4D055DC7">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68CC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7CDB89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018D532C">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13.</w:t>
            </w:r>
            <w:r>
              <w:rPr>
                <w:rFonts w:hint="default" w:ascii="仿宋_GB2312" w:hAnsi="仿宋_GB2312" w:eastAsia="仿宋_GB2312" w:cs="仿宋_GB2312"/>
                <w:i w:val="0"/>
                <w:color w:val="auto"/>
                <w:kern w:val="0"/>
                <w:sz w:val="21"/>
                <w:szCs w:val="21"/>
                <w:u w:val="none"/>
                <w:lang w:eastAsia="zh-CN" w:bidi="ar"/>
              </w:rPr>
              <w:t>31</w:t>
            </w:r>
          </w:p>
        </w:tc>
        <w:tc>
          <w:tcPr>
            <w:tcW w:w="1116" w:type="dxa"/>
            <w:tcBorders>
              <w:top w:val="nil"/>
              <w:left w:val="nil"/>
              <w:bottom w:val="single" w:color="auto" w:sz="4" w:space="0"/>
              <w:right w:val="single" w:color="auto" w:sz="4" w:space="0"/>
            </w:tcBorders>
            <w:shd w:val="clear" w:color="auto" w:fill="auto"/>
            <w:noWrap/>
            <w:vAlign w:val="center"/>
          </w:tcPr>
          <w:p w14:paraId="7834CA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4C96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0BA614A2">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9CE8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5FB74D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2A8FE851">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668CF26C">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C6D7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61ED4D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2535AF57">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71BE59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669E1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F5AB517">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1BD899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C62BD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3A11D9C6">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3A76B5DD">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707B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54B060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0E9BA7F8">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2.30</w:t>
            </w:r>
          </w:p>
        </w:tc>
        <w:tc>
          <w:tcPr>
            <w:tcW w:w="1116" w:type="dxa"/>
            <w:tcBorders>
              <w:top w:val="nil"/>
              <w:left w:val="nil"/>
              <w:bottom w:val="single" w:color="auto" w:sz="4" w:space="0"/>
              <w:right w:val="single" w:color="auto" w:sz="4" w:space="0"/>
            </w:tcBorders>
            <w:shd w:val="clear" w:color="auto" w:fill="auto"/>
            <w:noWrap/>
            <w:vAlign w:val="center"/>
          </w:tcPr>
          <w:p w14:paraId="17DE4F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5A4DFD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428A496">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1.00</w:t>
            </w:r>
          </w:p>
        </w:tc>
        <w:tc>
          <w:tcPr>
            <w:tcW w:w="1217" w:type="dxa"/>
            <w:tcBorders>
              <w:top w:val="nil"/>
              <w:left w:val="nil"/>
              <w:bottom w:val="single" w:color="auto" w:sz="4" w:space="0"/>
              <w:right w:val="single" w:color="auto" w:sz="4" w:space="0"/>
            </w:tcBorders>
            <w:shd w:val="clear" w:color="auto" w:fill="auto"/>
            <w:noWrap/>
            <w:vAlign w:val="center"/>
          </w:tcPr>
          <w:p w14:paraId="6B3462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09115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FB2133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613F9373">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164A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5621B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B579D56">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29.47</w:t>
            </w:r>
          </w:p>
        </w:tc>
        <w:tc>
          <w:tcPr>
            <w:tcW w:w="1116" w:type="dxa"/>
            <w:tcBorders>
              <w:top w:val="nil"/>
              <w:left w:val="nil"/>
              <w:bottom w:val="single" w:color="auto" w:sz="4" w:space="0"/>
              <w:right w:val="single" w:color="auto" w:sz="4" w:space="0"/>
            </w:tcBorders>
            <w:shd w:val="clear" w:color="auto" w:fill="auto"/>
            <w:noWrap/>
            <w:vAlign w:val="center"/>
          </w:tcPr>
          <w:p w14:paraId="3A0B84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75A538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27816B9">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EDA1A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51BB02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675209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28213882">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C78F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54DB8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580EBF4D">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2BDE23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3501E5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69E00207">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w:t>
            </w:r>
            <w:r>
              <w:rPr>
                <w:rFonts w:hint="default" w:ascii="仿宋_GB2312" w:hAnsi="仿宋_GB2312" w:eastAsia="仿宋_GB2312" w:cs="仿宋_GB2312"/>
                <w:i w:val="0"/>
                <w:color w:val="auto"/>
                <w:kern w:val="0"/>
                <w:sz w:val="21"/>
                <w:szCs w:val="21"/>
                <w:u w:val="none"/>
                <w:lang w:eastAsia="zh-CN" w:bidi="ar"/>
              </w:rPr>
              <w:t>5</w:t>
            </w:r>
            <w:r>
              <w:rPr>
                <w:rFonts w:hint="eastAsia" w:ascii="仿宋_GB2312" w:hAnsi="仿宋_GB2312" w:eastAsia="仿宋_GB2312" w:cs="仿宋_GB2312"/>
                <w:i w:val="0"/>
                <w:color w:val="auto"/>
                <w:kern w:val="0"/>
                <w:sz w:val="21"/>
                <w:szCs w:val="21"/>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14:paraId="4181E3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33843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7DEACF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176C85E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CF7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038D20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4BE31C79">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14.64</w:t>
            </w:r>
          </w:p>
        </w:tc>
        <w:tc>
          <w:tcPr>
            <w:tcW w:w="1116" w:type="dxa"/>
            <w:tcBorders>
              <w:top w:val="nil"/>
              <w:left w:val="nil"/>
              <w:bottom w:val="single" w:color="auto" w:sz="4" w:space="0"/>
              <w:right w:val="single" w:color="auto" w:sz="4" w:space="0"/>
            </w:tcBorders>
            <w:shd w:val="clear" w:color="auto" w:fill="auto"/>
            <w:noWrap/>
            <w:vAlign w:val="center"/>
          </w:tcPr>
          <w:p w14:paraId="1EB09E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5E35DA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5792904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84954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E3A8C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2CD36D87">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59DEF94D">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93B1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2E4BEB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30EF0BA">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29.39</w:t>
            </w:r>
          </w:p>
        </w:tc>
        <w:tc>
          <w:tcPr>
            <w:tcW w:w="1116" w:type="dxa"/>
            <w:tcBorders>
              <w:top w:val="nil"/>
              <w:left w:val="nil"/>
              <w:bottom w:val="single" w:color="auto" w:sz="4" w:space="0"/>
              <w:right w:val="single" w:color="auto" w:sz="4" w:space="0"/>
            </w:tcBorders>
            <w:shd w:val="clear" w:color="auto" w:fill="auto"/>
            <w:noWrap/>
            <w:vAlign w:val="center"/>
          </w:tcPr>
          <w:p w14:paraId="22F9B1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64B3C0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0C5F8CE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410FF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44E89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09CEB2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406EDD7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7ED3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6641D7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0062961">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681BAB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5BC37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08459852">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4CD64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584F9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4531251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0B86157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7439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02AF69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21FEFC3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96076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6BA195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504F1BA">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w:t>
            </w:r>
            <w:r>
              <w:rPr>
                <w:rFonts w:hint="default" w:ascii="仿宋_GB2312" w:hAnsi="仿宋_GB2312" w:eastAsia="仿宋_GB2312" w:cs="仿宋_GB2312"/>
                <w:i w:val="0"/>
                <w:color w:val="auto"/>
                <w:kern w:val="0"/>
                <w:sz w:val="21"/>
                <w:szCs w:val="21"/>
                <w:u w:val="none"/>
                <w:lang w:eastAsia="zh-CN" w:bidi="ar"/>
              </w:rPr>
              <w:t>34</w:t>
            </w:r>
          </w:p>
        </w:tc>
        <w:tc>
          <w:tcPr>
            <w:tcW w:w="1217" w:type="dxa"/>
            <w:tcBorders>
              <w:top w:val="nil"/>
              <w:left w:val="nil"/>
              <w:bottom w:val="single" w:color="auto" w:sz="4" w:space="0"/>
              <w:right w:val="single" w:color="auto" w:sz="4" w:space="0"/>
            </w:tcBorders>
            <w:shd w:val="clear" w:color="auto" w:fill="auto"/>
            <w:noWrap/>
            <w:vAlign w:val="center"/>
          </w:tcPr>
          <w:p w14:paraId="3197E4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4B575F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86DAE85">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22ACDAE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F249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C6E60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00118C5F">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21D605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E3A53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607B3368">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0F084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8CF1F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7606BD20">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19DBA75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324C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324D6F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2D2AE1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38FF72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5BEBB3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1A0E468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760B9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0D3548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1E3C28D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10F2261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80E7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E4440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41BCBA7E">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25.</w:t>
            </w:r>
            <w:r>
              <w:rPr>
                <w:rFonts w:hint="default" w:ascii="仿宋_GB2312" w:hAnsi="仿宋_GB2312" w:eastAsia="仿宋_GB2312" w:cs="仿宋_GB2312"/>
                <w:i w:val="0"/>
                <w:color w:val="auto"/>
                <w:kern w:val="0"/>
                <w:sz w:val="21"/>
                <w:szCs w:val="21"/>
                <w:u w:val="none"/>
                <w:lang w:eastAsia="zh-CN" w:bidi="ar"/>
              </w:rPr>
              <w:t>28</w:t>
            </w:r>
          </w:p>
        </w:tc>
        <w:tc>
          <w:tcPr>
            <w:tcW w:w="1116" w:type="dxa"/>
            <w:tcBorders>
              <w:top w:val="nil"/>
              <w:left w:val="nil"/>
              <w:bottom w:val="single" w:color="auto" w:sz="4" w:space="0"/>
              <w:right w:val="single" w:color="auto" w:sz="4" w:space="0"/>
            </w:tcBorders>
            <w:shd w:val="clear" w:color="auto" w:fill="auto"/>
            <w:noWrap/>
            <w:vAlign w:val="center"/>
          </w:tcPr>
          <w:p w14:paraId="0AC14D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5654C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299FC91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E033D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788D5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1B69BCD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2289AB4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E53F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02D9AA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78F92B42">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207677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4B8DC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906F35F">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6.20</w:t>
            </w:r>
          </w:p>
        </w:tc>
        <w:tc>
          <w:tcPr>
            <w:tcW w:w="1217" w:type="dxa"/>
            <w:tcBorders>
              <w:top w:val="nil"/>
              <w:left w:val="nil"/>
              <w:bottom w:val="single" w:color="auto" w:sz="4" w:space="0"/>
              <w:right w:val="single" w:color="auto" w:sz="4" w:space="0"/>
            </w:tcBorders>
            <w:shd w:val="clear" w:color="auto" w:fill="auto"/>
            <w:noWrap/>
            <w:vAlign w:val="center"/>
          </w:tcPr>
          <w:p w14:paraId="6A1F9C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38BBFC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66C181B">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76ABC6B9">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94AD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C61A4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46BFF9E8">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15E445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55B0ED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50CA6DC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DDD40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023FEB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275792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0E3B81FD">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1F5F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11DF76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5B7F272">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A3511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52B668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7E234318">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10.86</w:t>
            </w:r>
          </w:p>
        </w:tc>
        <w:tc>
          <w:tcPr>
            <w:tcW w:w="1217" w:type="dxa"/>
            <w:tcBorders>
              <w:top w:val="nil"/>
              <w:left w:val="nil"/>
              <w:bottom w:val="single" w:color="auto" w:sz="4" w:space="0"/>
              <w:right w:val="single" w:color="auto" w:sz="4" w:space="0"/>
            </w:tcBorders>
            <w:shd w:val="clear" w:color="auto" w:fill="auto"/>
            <w:noWrap/>
            <w:vAlign w:val="center"/>
          </w:tcPr>
          <w:p w14:paraId="289934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397F3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0CAD1C2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31010CC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801D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8CC94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6883292">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w:t>
            </w:r>
            <w:r>
              <w:rPr>
                <w:rFonts w:hint="default" w:ascii="仿宋_GB2312" w:hAnsi="仿宋_GB2312" w:eastAsia="仿宋_GB2312" w:cs="仿宋_GB2312"/>
                <w:i w:val="0"/>
                <w:color w:val="auto"/>
                <w:kern w:val="0"/>
                <w:sz w:val="21"/>
                <w:szCs w:val="21"/>
                <w:u w:val="none"/>
                <w:lang w:eastAsia="zh-CN" w:bidi="ar"/>
              </w:rPr>
              <w:t>00</w:t>
            </w:r>
          </w:p>
        </w:tc>
        <w:tc>
          <w:tcPr>
            <w:tcW w:w="1116" w:type="dxa"/>
            <w:tcBorders>
              <w:top w:val="nil"/>
              <w:left w:val="nil"/>
              <w:bottom w:val="single" w:color="auto" w:sz="4" w:space="0"/>
              <w:right w:val="single" w:color="auto" w:sz="4" w:space="0"/>
            </w:tcBorders>
            <w:shd w:val="clear" w:color="auto" w:fill="auto"/>
            <w:noWrap/>
            <w:vAlign w:val="center"/>
          </w:tcPr>
          <w:p w14:paraId="3B4367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0B40C9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278685BF">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4.90</w:t>
            </w:r>
          </w:p>
        </w:tc>
        <w:tc>
          <w:tcPr>
            <w:tcW w:w="1217" w:type="dxa"/>
            <w:tcBorders>
              <w:top w:val="nil"/>
              <w:left w:val="nil"/>
              <w:bottom w:val="single" w:color="auto" w:sz="4" w:space="0"/>
              <w:right w:val="single" w:color="auto" w:sz="4" w:space="0"/>
            </w:tcBorders>
            <w:shd w:val="clear" w:color="auto" w:fill="auto"/>
            <w:noWrap/>
            <w:vAlign w:val="center"/>
          </w:tcPr>
          <w:p w14:paraId="21B1D1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4D147A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F8F99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95EC755">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7F7F9CF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1442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87E05F6">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8B95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0CE4A15">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7519C25F">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6F24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E3DFA0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EAB6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7525ED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119AC234">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3673B43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DEE0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23554E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7AB3FBA">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7576A9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00113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A1C6EAF">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9.16</w:t>
            </w:r>
          </w:p>
        </w:tc>
        <w:tc>
          <w:tcPr>
            <w:tcW w:w="1217" w:type="dxa"/>
            <w:tcBorders>
              <w:top w:val="nil"/>
              <w:left w:val="nil"/>
              <w:bottom w:val="single" w:color="auto" w:sz="4" w:space="0"/>
              <w:right w:val="single" w:color="auto" w:sz="4" w:space="0"/>
            </w:tcBorders>
            <w:shd w:val="clear" w:color="auto" w:fill="auto"/>
            <w:noWrap/>
            <w:vAlign w:val="center"/>
          </w:tcPr>
          <w:p w14:paraId="06E3F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4E9190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779935D8">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5A980D32">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1081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3ED00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9DEF82E">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4B6DC4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68D190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484FBFC">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16.13</w:t>
            </w:r>
          </w:p>
        </w:tc>
        <w:tc>
          <w:tcPr>
            <w:tcW w:w="1217" w:type="dxa"/>
            <w:tcBorders>
              <w:top w:val="nil"/>
              <w:left w:val="nil"/>
              <w:bottom w:val="single" w:color="auto" w:sz="4" w:space="0"/>
              <w:right w:val="single" w:color="auto" w:sz="4" w:space="0"/>
            </w:tcBorders>
            <w:shd w:val="clear" w:color="auto" w:fill="auto"/>
            <w:noWrap/>
            <w:vAlign w:val="center"/>
          </w:tcPr>
          <w:p w14:paraId="11AEFC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9A6A2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6605463">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r>
      <w:tr w14:paraId="0B6D161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5C17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675A9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F03E94D">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4.11</w:t>
            </w:r>
          </w:p>
        </w:tc>
        <w:tc>
          <w:tcPr>
            <w:tcW w:w="1116" w:type="dxa"/>
            <w:tcBorders>
              <w:top w:val="nil"/>
              <w:left w:val="nil"/>
              <w:bottom w:val="single" w:color="auto" w:sz="4" w:space="0"/>
              <w:right w:val="single" w:color="auto" w:sz="4" w:space="0"/>
            </w:tcBorders>
            <w:shd w:val="clear" w:color="auto" w:fill="auto"/>
            <w:noWrap/>
            <w:vAlign w:val="center"/>
          </w:tcPr>
          <w:p w14:paraId="311EE6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7B6C61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6C0629A1">
            <w:pPr>
              <w:keepNext w:val="0"/>
              <w:keepLines w:val="0"/>
              <w:widowControl/>
              <w:suppressLineNumbers w:val="0"/>
              <w:jc w:val="righ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1A787B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7840A4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94E11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638ED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7305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8694B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00DB4B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AD973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40773B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87949AC">
            <w:pPr>
              <w:keepNext w:val="0"/>
              <w:keepLines w:val="0"/>
              <w:widowControl/>
              <w:suppressLineNumbers w:val="0"/>
              <w:jc w:val="right"/>
              <w:textAlignment w:val="center"/>
              <w:rPr>
                <w:rFonts w:hint="default" w:ascii="仿宋_GB2312" w:hAnsi="仿宋_GB2312" w:eastAsia="仿宋_GB2312" w:cs="仿宋_GB2312"/>
                <w:i w:val="0"/>
                <w:color w:val="auto"/>
                <w:kern w:val="2"/>
                <w:sz w:val="21"/>
                <w:szCs w:val="21"/>
                <w:u w:val="none"/>
                <w:lang w:val="en-US" w:eastAsia="zh-CN" w:bidi="ar-SA"/>
              </w:rPr>
            </w:pPr>
            <w:r>
              <w:rPr>
                <w:rFonts w:hint="default" w:ascii="仿宋_GB2312" w:hAnsi="仿宋_GB2312" w:eastAsia="仿宋_GB2312" w:cs="仿宋_GB2312"/>
                <w:i w:val="0"/>
                <w:color w:val="auto"/>
                <w:kern w:val="0"/>
                <w:sz w:val="21"/>
                <w:szCs w:val="21"/>
                <w:u w:val="none"/>
                <w:lang w:eastAsia="zh-CN" w:bidi="ar"/>
              </w:rPr>
              <w:t>9.37</w:t>
            </w:r>
          </w:p>
        </w:tc>
        <w:tc>
          <w:tcPr>
            <w:tcW w:w="1217" w:type="dxa"/>
            <w:tcBorders>
              <w:top w:val="nil"/>
              <w:left w:val="nil"/>
              <w:bottom w:val="single" w:color="auto" w:sz="4" w:space="0"/>
              <w:right w:val="single" w:color="auto" w:sz="4" w:space="0"/>
            </w:tcBorders>
            <w:shd w:val="clear" w:color="auto" w:fill="auto"/>
            <w:noWrap/>
            <w:vAlign w:val="center"/>
          </w:tcPr>
          <w:p w14:paraId="296F3C6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F3D403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75B04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5F8C0F">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33C441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769F8020">
            <w:pPr>
              <w:widowControl/>
              <w:jc w:val="left"/>
              <w:rPr>
                <w:rFonts w:hint="default"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0"/>
              </w:rPr>
              <w:t>378.9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16C70BD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B7D9214">
            <w:pPr>
              <w:widowControl/>
              <w:jc w:val="left"/>
              <w:rPr>
                <w:rFonts w:hint="default"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r>
              <w:rPr>
                <w:rFonts w:hint="default" w:ascii="Times New Roman" w:hAnsi="Times New Roman" w:eastAsia="仿宋_GB2312" w:cs="Times New Roman"/>
                <w:color w:val="000000"/>
                <w:kern w:val="0"/>
                <w:szCs w:val="18"/>
              </w:rPr>
              <w:t>64.60</w:t>
            </w:r>
          </w:p>
        </w:tc>
      </w:tr>
    </w:tbl>
    <w:p w14:paraId="15593B4C">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6A812AD">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2FB49AE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305A53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5A2C05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auto"/>
          <w:sz w:val="20"/>
          <w:szCs w:val="20"/>
        </w:rPr>
        <w:t>怀化市库区移民事务中心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27301B9">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86800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9FFE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6972B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391A7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D656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4AB907EE">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8A80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0F175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AB90B">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22945">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8BF7D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AA8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749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E5F38">
            <w:pPr>
              <w:widowControl/>
              <w:jc w:val="center"/>
              <w:rPr>
                <w:rFonts w:ascii="Times New Roman" w:hAnsi="Times New Roman" w:eastAsia="仿宋_GB2312" w:cs="Times New Roman"/>
                <w:color w:val="000000"/>
                <w:sz w:val="24"/>
                <w:szCs w:val="24"/>
              </w:rPr>
            </w:pPr>
          </w:p>
        </w:tc>
      </w:tr>
      <w:tr w14:paraId="53FCEA74">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C274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1D14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C998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8A81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DB17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1F4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ECE3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6C049">
            <w:pPr>
              <w:jc w:val="center"/>
              <w:rPr>
                <w:rFonts w:ascii="Times New Roman" w:hAnsi="Times New Roman" w:eastAsia="仿宋_GB2312" w:cs="Times New Roman"/>
                <w:color w:val="000000"/>
                <w:sz w:val="24"/>
                <w:szCs w:val="24"/>
              </w:rPr>
            </w:pPr>
          </w:p>
        </w:tc>
      </w:tr>
      <w:tr w14:paraId="01A0F718">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A8A6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CE58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D175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378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DC71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61EA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2D43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B89EB">
            <w:pPr>
              <w:jc w:val="center"/>
              <w:rPr>
                <w:rFonts w:ascii="Times New Roman" w:hAnsi="Times New Roman" w:eastAsia="仿宋_GB2312" w:cs="Times New Roman"/>
                <w:color w:val="000000"/>
                <w:sz w:val="24"/>
                <w:szCs w:val="24"/>
              </w:rPr>
            </w:pPr>
          </w:p>
        </w:tc>
      </w:tr>
      <w:tr w14:paraId="46DE729C">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1F8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7630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5DF7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451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8FC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C8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7D4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940414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4962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5FB1">
            <w:pP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D3F3">
            <w:pP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15.66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8C16">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15.66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D0E42">
            <w:pP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ED942">
            <w:pP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15.66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CA584">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r>
      <w:tr w14:paraId="6ED1BD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0551">
            <w:pPr>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213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54078">
            <w:pPr>
              <w:rPr>
                <w:rFonts w:hint="default" w:ascii="Times New Roman" w:hAnsi="Times New Roman" w:eastAsia="仿宋_GB2312" w:cs="Times New Roman"/>
                <w:color w:val="auto"/>
                <w:kern w:val="2"/>
                <w:sz w:val="24"/>
                <w:szCs w:val="24"/>
                <w:lang w:val="en-US" w:eastAsia="zh-CN" w:bidi="ar-SA"/>
              </w:rPr>
            </w:pPr>
            <w:r>
              <w:rPr>
                <w:rFonts w:ascii="Times New Roman" w:hAnsi="Times New Roman" w:eastAsia="仿宋_GB2312" w:cs="Times New Roman"/>
                <w:color w:val="auto"/>
                <w:sz w:val="24"/>
                <w:szCs w:val="24"/>
              </w:rPr>
              <w:t>农林水支出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6F85C">
            <w:pP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F80C0">
            <w:pP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15.66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56788">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15.66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A8DC">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2A0EA">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31F13">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r>
      <w:tr w14:paraId="29920BB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40E9B">
            <w:pPr>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21372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4ED71">
            <w:pPr>
              <w:rPr>
                <w:rFonts w:hint="default" w:ascii="Times New Roman" w:hAnsi="Times New Roman" w:eastAsia="仿宋_GB2312" w:cs="Times New Roman"/>
                <w:color w:val="auto"/>
                <w:kern w:val="2"/>
                <w:sz w:val="20"/>
                <w:szCs w:val="20"/>
                <w:lang w:val="en-US" w:eastAsia="zh-CN" w:bidi="ar-SA"/>
              </w:rPr>
            </w:pPr>
            <w:r>
              <w:rPr>
                <w:rFonts w:ascii="Times New Roman" w:hAnsi="Times New Roman" w:eastAsia="仿宋_GB2312" w:cs="Times New Roman"/>
                <w:color w:val="auto"/>
                <w:sz w:val="20"/>
                <w:szCs w:val="20"/>
              </w:rPr>
              <w:t>大中型水库移民后期扶持基金支出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CCF3">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B39C">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15.66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0238B">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15.66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A453">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A4F9">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EEFCA">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r>
      <w:tr w14:paraId="3AEF600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92EB8">
            <w:pPr>
              <w:jc w:val="center"/>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2137202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DA2C">
            <w:pPr>
              <w:rPr>
                <w:rFonts w:hint="default" w:ascii="Times New Roman" w:hAnsi="Times New Roman" w:eastAsia="仿宋_GB2312" w:cs="Times New Roman"/>
                <w:color w:val="auto"/>
                <w:kern w:val="2"/>
                <w:sz w:val="24"/>
                <w:szCs w:val="24"/>
                <w:lang w:val="en-US" w:eastAsia="zh-CN" w:bidi="ar-SA"/>
              </w:rPr>
            </w:pPr>
            <w:r>
              <w:rPr>
                <w:rFonts w:ascii="Times New Roman" w:hAnsi="Times New Roman" w:eastAsia="仿宋_GB2312" w:cs="Times New Roman"/>
                <w:color w:val="auto"/>
                <w:sz w:val="24"/>
                <w:szCs w:val="24"/>
              </w:rPr>
              <w:t>基础设施建设和经济发展</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C078">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CB36">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15.66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86FD">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15.66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28E3">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00FA2">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8DA6">
            <w:pPr>
              <w:rPr>
                <w:rFonts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0.00</w:t>
            </w:r>
          </w:p>
        </w:tc>
      </w:tr>
      <w:tr w14:paraId="6E2A8A52">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373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2C9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CE4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A49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41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7B7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7066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87C1">
            <w:pPr>
              <w:rPr>
                <w:rFonts w:ascii="Times New Roman" w:hAnsi="Times New Roman" w:eastAsia="仿宋_GB2312" w:cs="Times New Roman"/>
                <w:color w:val="000000"/>
                <w:sz w:val="24"/>
                <w:szCs w:val="24"/>
              </w:rPr>
            </w:pPr>
          </w:p>
        </w:tc>
      </w:tr>
      <w:tr w14:paraId="62E19D5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8AF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68EF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5A4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60B6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E169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E55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B93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18544">
            <w:pPr>
              <w:rPr>
                <w:rFonts w:ascii="Times New Roman" w:hAnsi="Times New Roman" w:eastAsia="仿宋_GB2312" w:cs="Times New Roman"/>
                <w:color w:val="000000"/>
                <w:sz w:val="24"/>
                <w:szCs w:val="24"/>
              </w:rPr>
            </w:pPr>
          </w:p>
        </w:tc>
      </w:tr>
      <w:tr w14:paraId="02006D4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FFD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8EF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2AD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491C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479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35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003C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3965E">
            <w:pPr>
              <w:rPr>
                <w:rFonts w:ascii="Times New Roman" w:hAnsi="Times New Roman" w:eastAsia="仿宋_GB2312" w:cs="Times New Roman"/>
                <w:color w:val="000000"/>
                <w:sz w:val="24"/>
                <w:szCs w:val="24"/>
              </w:rPr>
            </w:pPr>
          </w:p>
        </w:tc>
      </w:tr>
    </w:tbl>
    <w:p w14:paraId="25DB1C24">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E24D584">
      <w:pPr>
        <w:widowControl/>
        <w:jc w:val="left"/>
        <w:textAlignment w:val="center"/>
        <w:rPr>
          <w:rFonts w:ascii="Times New Roman" w:hAnsi="Times New Roman" w:eastAsia="仿宋_GB2312" w:cs="Times New Roman"/>
          <w:color w:val="000000"/>
          <w:kern w:val="0"/>
          <w:sz w:val="24"/>
          <w:szCs w:val="24"/>
          <w:lang w:bidi="ar"/>
        </w:rPr>
      </w:pPr>
    </w:p>
    <w:p w14:paraId="2883AD22">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0BA4B448">
      <w:pPr>
        <w:widowControl/>
        <w:jc w:val="center"/>
        <w:rPr>
          <w:rFonts w:ascii="Times New Roman" w:hAnsi="Times New Roman" w:eastAsia="方正小标宋_GBK" w:cs="Times New Roman"/>
          <w:color w:val="000000"/>
          <w:kern w:val="0"/>
          <w:sz w:val="36"/>
          <w:szCs w:val="36"/>
        </w:rPr>
      </w:pPr>
    </w:p>
    <w:p w14:paraId="5BCC338E">
      <w:pPr>
        <w:widowControl/>
        <w:spacing w:line="400" w:lineRule="exact"/>
        <w:textAlignment w:val="center"/>
        <w:rPr>
          <w:rFonts w:ascii="Times New Roman" w:hAnsi="Times New Roman" w:eastAsia="黑体" w:cs="Times New Roman"/>
          <w:color w:val="000000"/>
          <w:kern w:val="0"/>
          <w:sz w:val="36"/>
          <w:szCs w:val="36"/>
          <w:lang w:bidi="ar"/>
        </w:rPr>
      </w:pPr>
    </w:p>
    <w:p w14:paraId="073E4A6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9C0934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4054E8C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auto"/>
          <w:sz w:val="20"/>
          <w:szCs w:val="20"/>
        </w:rPr>
        <w:t>怀化市库区移民事务中心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7" w:type="pct"/>
        <w:tblInd w:w="0" w:type="dxa"/>
        <w:tblLayout w:type="autofit"/>
        <w:tblCellMar>
          <w:top w:w="0" w:type="dxa"/>
          <w:left w:w="108" w:type="dxa"/>
          <w:bottom w:w="0" w:type="dxa"/>
          <w:right w:w="108" w:type="dxa"/>
        </w:tblCellMar>
      </w:tblPr>
      <w:tblGrid>
        <w:gridCol w:w="3092"/>
        <w:gridCol w:w="3096"/>
        <w:gridCol w:w="1831"/>
        <w:gridCol w:w="3096"/>
        <w:gridCol w:w="3096"/>
      </w:tblGrid>
      <w:tr w14:paraId="357B3CD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F510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F967F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A8EAD5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DFC9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1CD25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8CC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82557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70D1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C9FFB0A">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E571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E7ED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EDB0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FAAD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9B02B">
            <w:pPr>
              <w:jc w:val="center"/>
              <w:rPr>
                <w:rFonts w:ascii="Times New Roman" w:hAnsi="Times New Roman" w:eastAsia="仿宋_GB2312" w:cs="Times New Roman"/>
                <w:color w:val="000000"/>
                <w:sz w:val="24"/>
                <w:szCs w:val="24"/>
              </w:rPr>
            </w:pPr>
          </w:p>
        </w:tc>
      </w:tr>
      <w:tr w14:paraId="238AC88C">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2C01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8B5F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6EBB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77DF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8B515">
            <w:pPr>
              <w:jc w:val="center"/>
              <w:rPr>
                <w:rFonts w:ascii="Times New Roman" w:hAnsi="Times New Roman" w:eastAsia="仿宋_GB2312" w:cs="Times New Roman"/>
                <w:color w:val="000000"/>
                <w:sz w:val="24"/>
                <w:szCs w:val="24"/>
              </w:rPr>
            </w:pPr>
          </w:p>
        </w:tc>
      </w:tr>
      <w:tr w14:paraId="77F4CB2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CE9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F968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3DF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8AE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0E70FC9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C63A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544C9">
            <w:pPr>
              <w:jc w:val="center"/>
              <w:rPr>
                <w:rFonts w:ascii="Times New Roman" w:hAnsi="Times New Roman" w:eastAsia="仿宋_GB2312" w:cs="Times New Roman"/>
                <w:color w:val="000000"/>
                <w:sz w:val="24"/>
                <w:szCs w:val="24"/>
              </w:rPr>
            </w:pPr>
            <w:r>
              <w:rPr>
                <w:rFonts w:ascii="Times New Roman" w:hAnsi="Times New Roman" w:eastAsia="楷体_GB2312" w:cs="Times New Roman"/>
                <w:b/>
                <w:bCs/>
                <w:color w:val="auto"/>
                <w:kern w:val="0"/>
                <w:sz w:val="24"/>
                <w:szCs w:val="24"/>
                <w:lang w:bidi="ar"/>
              </w:rPr>
              <w:t>我单位没有使用国有资本经营预算安排的支出，故本表无数据。</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DB296">
            <w:pPr>
              <w:jc w:val="center"/>
              <w:rPr>
                <w:rFonts w:ascii="Times New Roman" w:hAnsi="Times New Roman" w:eastAsia="仿宋_GB2312" w:cs="Times New Roman"/>
                <w:color w:val="000000"/>
                <w:sz w:val="24"/>
                <w:szCs w:val="24"/>
              </w:rPr>
            </w:pPr>
            <w:r>
              <w:rPr>
                <w:rFonts w:ascii="Times New Roman" w:hAnsi="Times New Roman" w:eastAsia="楷体_GB2312" w:cs="Times New Roman"/>
                <w:b/>
                <w:bCs/>
                <w:color w:val="auto"/>
                <w:kern w:val="0"/>
                <w:sz w:val="24"/>
                <w:szCs w:val="24"/>
                <w:lang w:bidi="ar"/>
              </w:rPr>
              <w:t>我单位没有使用国有资本经营预算安排的支出，故本表无数据。</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1021A">
            <w:pPr>
              <w:jc w:val="center"/>
              <w:rPr>
                <w:rFonts w:ascii="Times New Roman" w:hAnsi="Times New Roman" w:eastAsia="仿宋_GB2312" w:cs="Times New Roman"/>
                <w:color w:val="000000"/>
                <w:sz w:val="24"/>
                <w:szCs w:val="24"/>
              </w:rPr>
            </w:pPr>
            <w:r>
              <w:rPr>
                <w:rFonts w:ascii="Times New Roman" w:hAnsi="Times New Roman" w:eastAsia="楷体_GB2312" w:cs="Times New Roman"/>
                <w:b/>
                <w:bCs/>
                <w:color w:val="auto"/>
                <w:kern w:val="0"/>
                <w:sz w:val="24"/>
                <w:szCs w:val="24"/>
                <w:lang w:bidi="ar"/>
              </w:rPr>
              <w:t>我单位没有使用国有资本经营预算安排的支出，故本表无数据。</w:t>
            </w:r>
          </w:p>
        </w:tc>
      </w:tr>
      <w:tr w14:paraId="4D2EABF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7640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FE137">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DF2C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C820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0AD59">
            <w:pPr>
              <w:rPr>
                <w:rFonts w:ascii="Times New Roman" w:hAnsi="Times New Roman" w:eastAsia="仿宋_GB2312" w:cs="Times New Roman"/>
                <w:color w:val="000000"/>
                <w:sz w:val="24"/>
                <w:szCs w:val="24"/>
              </w:rPr>
            </w:pPr>
          </w:p>
        </w:tc>
      </w:tr>
      <w:tr w14:paraId="04EE08E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2840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47B8E">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76BC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4FDD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9369D">
            <w:pPr>
              <w:rPr>
                <w:rFonts w:ascii="Times New Roman" w:hAnsi="Times New Roman" w:eastAsia="仿宋_GB2312" w:cs="Times New Roman"/>
                <w:color w:val="000000"/>
                <w:sz w:val="24"/>
                <w:szCs w:val="24"/>
              </w:rPr>
            </w:pPr>
          </w:p>
        </w:tc>
      </w:tr>
      <w:tr w14:paraId="7FBA584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2975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DD90E">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FC35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99EC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49716">
            <w:pPr>
              <w:rPr>
                <w:rFonts w:ascii="Times New Roman" w:hAnsi="Times New Roman" w:eastAsia="宋体" w:cs="Times New Roman"/>
                <w:color w:val="000000"/>
                <w:sz w:val="24"/>
                <w:szCs w:val="24"/>
              </w:rPr>
            </w:pPr>
          </w:p>
        </w:tc>
      </w:tr>
      <w:tr w14:paraId="5C2024C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DC83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371B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2DDF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F1DD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89F41">
            <w:pPr>
              <w:rPr>
                <w:rFonts w:ascii="Times New Roman" w:hAnsi="Times New Roman" w:eastAsia="宋体" w:cs="Times New Roman"/>
                <w:color w:val="000000"/>
                <w:sz w:val="24"/>
                <w:szCs w:val="24"/>
              </w:rPr>
            </w:pPr>
          </w:p>
        </w:tc>
      </w:tr>
    </w:tbl>
    <w:p w14:paraId="71593C3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86BA924">
      <w:pPr>
        <w:widowControl/>
        <w:jc w:val="left"/>
        <w:textAlignment w:val="center"/>
        <w:rPr>
          <w:rFonts w:ascii="Times New Roman" w:hAnsi="Times New Roman" w:eastAsia="宋体" w:cs="Times New Roman"/>
          <w:color w:val="000000"/>
          <w:kern w:val="0"/>
          <w:sz w:val="24"/>
          <w:szCs w:val="24"/>
          <w:lang w:bidi="ar"/>
        </w:rPr>
      </w:pPr>
    </w:p>
    <w:p w14:paraId="700690C0">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2EBC2E18">
      <w:pPr>
        <w:widowControl/>
        <w:jc w:val="center"/>
        <w:rPr>
          <w:rFonts w:ascii="Times New Roman" w:hAnsi="Times New Roman" w:eastAsia="方正小标宋_GBK" w:cs="Times New Roman"/>
          <w:color w:val="000000"/>
          <w:kern w:val="0"/>
          <w:sz w:val="36"/>
          <w:szCs w:val="36"/>
        </w:rPr>
      </w:pPr>
    </w:p>
    <w:p w14:paraId="53FFE0D2">
      <w:pPr>
        <w:pStyle w:val="8"/>
        <w:spacing w:line="400" w:lineRule="exact"/>
        <w:rPr>
          <w:rFonts w:ascii="Times New Roman" w:hAnsi="Times New Roman" w:eastAsia="华文中宋" w:cs="Times New Roman"/>
          <w:color w:val="000000"/>
          <w:kern w:val="0"/>
          <w:sz w:val="32"/>
          <w:szCs w:val="32"/>
          <w:lang w:bidi="ar"/>
        </w:rPr>
      </w:pPr>
    </w:p>
    <w:p w14:paraId="16ECAF9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9AF524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4AA34A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auto"/>
          <w:sz w:val="20"/>
          <w:szCs w:val="20"/>
        </w:rPr>
        <w:t>怀化市库区移民事务中心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3" w:type="pct"/>
        <w:jc w:val="center"/>
        <w:tblLayout w:type="autofit"/>
        <w:tblCellMar>
          <w:top w:w="0" w:type="dxa"/>
          <w:left w:w="108" w:type="dxa"/>
          <w:bottom w:w="0" w:type="dxa"/>
          <w:right w:w="108" w:type="dxa"/>
        </w:tblCellMar>
      </w:tblPr>
      <w:tblGrid>
        <w:gridCol w:w="934"/>
        <w:gridCol w:w="1227"/>
        <w:gridCol w:w="1085"/>
        <w:gridCol w:w="1187"/>
        <w:gridCol w:w="1422"/>
        <w:gridCol w:w="1381"/>
        <w:gridCol w:w="1047"/>
        <w:gridCol w:w="1163"/>
        <w:gridCol w:w="1163"/>
        <w:gridCol w:w="1163"/>
        <w:gridCol w:w="1361"/>
        <w:gridCol w:w="1408"/>
      </w:tblGrid>
      <w:tr w14:paraId="338C9413">
        <w:tblPrEx>
          <w:tblCellMar>
            <w:top w:w="0" w:type="dxa"/>
            <w:left w:w="108" w:type="dxa"/>
            <w:bottom w:w="0" w:type="dxa"/>
            <w:right w:w="108" w:type="dxa"/>
          </w:tblCellMar>
        </w:tblPrEx>
        <w:trPr>
          <w:trHeight w:val="606" w:hRule="atLeast"/>
          <w:jc w:val="center"/>
        </w:trPr>
        <w:tc>
          <w:tcPr>
            <w:tcW w:w="248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5FE4C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96E64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42ECB09">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18A3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644B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BF6DC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8C723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E50A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B762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A548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16D6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33B7CA7">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76B9D">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3C863">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20DD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C0D2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E93D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6F6DD">
            <w:pPr>
              <w:jc w:val="center"/>
              <w:rPr>
                <w:rFonts w:ascii="Times New Roman" w:hAnsi="Times New Roman" w:eastAsia="仿宋_GB2312" w:cs="Times New Roman"/>
                <w:color w:val="000000"/>
                <w:sz w:val="22"/>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A314E">
            <w:pPr>
              <w:jc w:val="center"/>
              <w:rPr>
                <w:rFonts w:ascii="Times New Roman" w:hAnsi="Times New Roman" w:eastAsia="仿宋_GB2312" w:cs="Times New Roman"/>
                <w:color w:val="000000"/>
                <w:sz w:val="22"/>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6FCF9">
            <w:pPr>
              <w:jc w:val="center"/>
              <w:rPr>
                <w:rFonts w:ascii="Times New Roman" w:hAnsi="Times New Roman" w:eastAsia="仿宋_GB2312" w:cs="Times New Roman"/>
                <w:color w:val="000000"/>
                <w:sz w:val="22"/>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27A4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005C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3D96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0EF13">
            <w:pPr>
              <w:jc w:val="center"/>
              <w:rPr>
                <w:rFonts w:ascii="Times New Roman" w:hAnsi="Times New Roman" w:eastAsia="仿宋_GB2312" w:cs="Times New Roman"/>
                <w:color w:val="000000"/>
                <w:sz w:val="22"/>
              </w:rPr>
            </w:pPr>
          </w:p>
        </w:tc>
      </w:tr>
      <w:tr w14:paraId="73AAAFEB">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EA9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10E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E26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DA5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357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8BA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241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2B1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816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B2C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C6F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605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3EC0E40F">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1FEDA">
            <w:pPr>
              <w:widowControl/>
              <w:jc w:val="center"/>
              <w:textAlignment w:val="center"/>
              <w:rPr>
                <w:rFonts w:hint="default" w:ascii="Times New Roman" w:hAnsi="Times New Roman" w:eastAsia="仿宋_GB2312" w:cs="Times New Roman"/>
                <w:color w:val="auto"/>
                <w:kern w:val="0"/>
                <w:sz w:val="22"/>
                <w:szCs w:val="22"/>
                <w:lang w:val="en-US" w:eastAsia="zh-CN" w:bidi="ar"/>
              </w:rPr>
            </w:pPr>
            <w:r>
              <w:rPr>
                <w:rFonts w:hint="default" w:ascii="Times New Roman" w:hAnsi="Times New Roman" w:eastAsia="仿宋_GB2312" w:cs="Times New Roman"/>
                <w:color w:val="auto"/>
                <w:kern w:val="0"/>
                <w:sz w:val="22"/>
                <w:lang w:bidi="ar"/>
              </w:rPr>
              <w:t>9.50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F1DCD">
            <w:pPr>
              <w:widowControl/>
              <w:jc w:val="center"/>
              <w:textAlignment w:val="center"/>
              <w:rPr>
                <w:rFonts w:hint="default" w:ascii="Times New Roman" w:hAnsi="Times New Roman" w:eastAsia="仿宋_GB2312" w:cs="Times New Roman"/>
                <w:color w:val="auto"/>
                <w:kern w:val="0"/>
                <w:sz w:val="22"/>
                <w:szCs w:val="22"/>
                <w:lang w:val="en-US" w:eastAsia="zh-CN" w:bidi="ar"/>
              </w:rPr>
            </w:pPr>
            <w:r>
              <w:rPr>
                <w:rFonts w:hint="default" w:ascii="Times New Roman" w:hAnsi="Times New Roman" w:eastAsia="仿宋_GB2312" w:cs="Times New Roman"/>
                <w:color w:val="auto"/>
                <w:kern w:val="0"/>
                <w:sz w:val="22"/>
                <w:lang w:bidi="ar"/>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3066B">
            <w:pPr>
              <w:widowControl/>
              <w:jc w:val="center"/>
              <w:textAlignment w:val="center"/>
              <w:rPr>
                <w:rFonts w:hint="default" w:ascii="Times New Roman" w:hAnsi="Times New Roman" w:eastAsia="仿宋_GB2312" w:cs="Times New Roman"/>
                <w:color w:val="auto"/>
                <w:kern w:val="0"/>
                <w:sz w:val="22"/>
                <w:szCs w:val="22"/>
                <w:lang w:val="en-US" w:eastAsia="zh-CN" w:bidi="ar"/>
              </w:rPr>
            </w:pPr>
            <w:r>
              <w:rPr>
                <w:rFonts w:hint="default" w:ascii="Times New Roman" w:hAnsi="Times New Roman" w:eastAsia="仿宋_GB2312" w:cs="Times New Roman"/>
                <w:color w:val="auto"/>
                <w:kern w:val="0"/>
                <w:sz w:val="22"/>
                <w:lang w:bidi="ar"/>
              </w:rPr>
              <w:t>6.50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15BDC">
            <w:pPr>
              <w:widowControl/>
              <w:jc w:val="center"/>
              <w:textAlignment w:val="center"/>
              <w:rPr>
                <w:rFonts w:hint="default" w:ascii="Times New Roman" w:hAnsi="Times New Roman" w:eastAsia="仿宋_GB2312" w:cs="Times New Roman"/>
                <w:color w:val="auto"/>
                <w:kern w:val="0"/>
                <w:sz w:val="22"/>
                <w:szCs w:val="22"/>
                <w:lang w:val="en-US" w:eastAsia="zh-CN" w:bidi="ar"/>
              </w:rPr>
            </w:pPr>
            <w:r>
              <w:rPr>
                <w:rFonts w:hint="default" w:ascii="Times New Roman" w:hAnsi="Times New Roman" w:eastAsia="仿宋_GB2312" w:cs="Times New Roman"/>
                <w:color w:val="auto"/>
                <w:kern w:val="0"/>
                <w:sz w:val="22"/>
                <w:lang w:bidi="ar"/>
              </w:rPr>
              <w:t>0.00</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DFFA7">
            <w:pPr>
              <w:widowControl/>
              <w:jc w:val="center"/>
              <w:textAlignment w:val="center"/>
              <w:rPr>
                <w:rFonts w:hint="default" w:ascii="Times New Roman" w:hAnsi="Times New Roman" w:eastAsia="仿宋_GB2312" w:cs="Times New Roman"/>
                <w:color w:val="auto"/>
                <w:kern w:val="0"/>
                <w:sz w:val="22"/>
                <w:szCs w:val="22"/>
                <w:lang w:val="en-US" w:eastAsia="zh-CN" w:bidi="ar"/>
              </w:rPr>
            </w:pPr>
            <w:r>
              <w:rPr>
                <w:rFonts w:hint="default" w:ascii="Times New Roman" w:hAnsi="Times New Roman" w:eastAsia="仿宋_GB2312" w:cs="Times New Roman"/>
                <w:color w:val="auto"/>
                <w:kern w:val="0"/>
                <w:sz w:val="22"/>
                <w:lang w:bidi="ar"/>
              </w:rPr>
              <w:t>6.50</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C7A71">
            <w:pPr>
              <w:widowControl/>
              <w:jc w:val="center"/>
              <w:textAlignment w:val="center"/>
              <w:rPr>
                <w:rFonts w:hint="default" w:ascii="Times New Roman" w:hAnsi="Times New Roman" w:eastAsia="仿宋_GB2312" w:cs="Times New Roman"/>
                <w:color w:val="auto"/>
                <w:kern w:val="0"/>
                <w:sz w:val="22"/>
                <w:szCs w:val="22"/>
                <w:lang w:val="en-US" w:eastAsia="zh-CN" w:bidi="ar"/>
              </w:rPr>
            </w:pPr>
            <w:r>
              <w:rPr>
                <w:rFonts w:hint="default" w:ascii="Times New Roman" w:hAnsi="Times New Roman" w:eastAsia="仿宋_GB2312" w:cs="Times New Roman"/>
                <w:color w:val="auto"/>
                <w:kern w:val="0"/>
                <w:sz w:val="22"/>
                <w:lang w:bidi="ar"/>
              </w:rPr>
              <w:t>3.00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B79E0">
            <w:pPr>
              <w:widowControl/>
              <w:jc w:val="center"/>
              <w:textAlignment w:val="center"/>
              <w:rPr>
                <w:rFonts w:hint="default" w:ascii="Times New Roman" w:hAnsi="Times New Roman" w:eastAsia="仿宋_GB2312" w:cs="Times New Roman"/>
                <w:color w:val="auto"/>
                <w:kern w:val="0"/>
                <w:sz w:val="22"/>
                <w:szCs w:val="22"/>
                <w:lang w:val="en-US" w:eastAsia="zh-CN" w:bidi="ar"/>
              </w:rPr>
            </w:pPr>
            <w:r>
              <w:rPr>
                <w:rFonts w:hint="default" w:ascii="Times New Roman" w:hAnsi="Times New Roman" w:eastAsia="仿宋_GB2312" w:cs="Times New Roman"/>
                <w:color w:val="auto"/>
                <w:kern w:val="0"/>
                <w:sz w:val="22"/>
                <w:lang w:bidi="ar"/>
              </w:rPr>
              <w:t>9.50</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6DCBD">
            <w:pPr>
              <w:widowControl/>
              <w:jc w:val="center"/>
              <w:textAlignment w:val="center"/>
              <w:rPr>
                <w:rFonts w:hint="default" w:ascii="Times New Roman" w:hAnsi="Times New Roman" w:eastAsia="仿宋_GB2312" w:cs="Times New Roman"/>
                <w:color w:val="auto"/>
                <w:kern w:val="0"/>
                <w:sz w:val="22"/>
                <w:szCs w:val="22"/>
                <w:lang w:val="en-US" w:eastAsia="zh-CN" w:bidi="ar"/>
              </w:rPr>
            </w:pPr>
            <w:r>
              <w:rPr>
                <w:rFonts w:hint="default" w:ascii="Times New Roman" w:hAnsi="Times New Roman" w:eastAsia="仿宋_GB2312" w:cs="Times New Roman"/>
                <w:color w:val="auto"/>
                <w:kern w:val="0"/>
                <w:sz w:val="22"/>
                <w:lang w:bidi="ar"/>
              </w:rPr>
              <w:t>0.00</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6AEC5">
            <w:pPr>
              <w:widowControl/>
              <w:jc w:val="center"/>
              <w:textAlignment w:val="center"/>
              <w:rPr>
                <w:rFonts w:hint="default" w:ascii="Times New Roman" w:hAnsi="Times New Roman" w:eastAsia="仿宋_GB2312" w:cs="Times New Roman"/>
                <w:color w:val="auto"/>
                <w:kern w:val="0"/>
                <w:sz w:val="22"/>
                <w:szCs w:val="22"/>
                <w:lang w:val="en-US" w:eastAsia="zh-CN" w:bidi="ar"/>
              </w:rPr>
            </w:pPr>
            <w:r>
              <w:rPr>
                <w:rFonts w:hint="default" w:ascii="Times New Roman" w:hAnsi="Times New Roman" w:eastAsia="仿宋_GB2312" w:cs="Times New Roman"/>
                <w:color w:val="auto"/>
                <w:kern w:val="0"/>
                <w:sz w:val="22"/>
                <w:lang w:bidi="ar"/>
              </w:rPr>
              <w:t>9.16</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8A82C">
            <w:pPr>
              <w:widowControl/>
              <w:jc w:val="center"/>
              <w:textAlignment w:val="center"/>
              <w:rPr>
                <w:rFonts w:hint="default" w:ascii="Times New Roman" w:hAnsi="Times New Roman" w:eastAsia="仿宋_GB2312" w:cs="Times New Roman"/>
                <w:color w:val="auto"/>
                <w:kern w:val="0"/>
                <w:sz w:val="22"/>
                <w:szCs w:val="22"/>
                <w:lang w:val="en-US" w:eastAsia="zh-CN" w:bidi="ar"/>
              </w:rPr>
            </w:pPr>
            <w:r>
              <w:rPr>
                <w:rFonts w:hint="default" w:ascii="Times New Roman" w:hAnsi="Times New Roman" w:eastAsia="仿宋_GB2312" w:cs="Times New Roman"/>
                <w:color w:val="auto"/>
                <w:kern w:val="0"/>
                <w:sz w:val="22"/>
                <w:lang w:bidi="ar"/>
              </w:rPr>
              <w:t>0.00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9CE86">
            <w:pPr>
              <w:widowControl/>
              <w:jc w:val="center"/>
              <w:textAlignment w:val="center"/>
              <w:rPr>
                <w:rFonts w:hint="default" w:ascii="Times New Roman" w:hAnsi="Times New Roman" w:eastAsia="仿宋_GB2312" w:cs="Times New Roman"/>
                <w:color w:val="auto"/>
                <w:kern w:val="0"/>
                <w:sz w:val="22"/>
                <w:szCs w:val="22"/>
                <w:lang w:val="en-US" w:eastAsia="zh-CN" w:bidi="ar"/>
              </w:rPr>
            </w:pPr>
            <w:r>
              <w:rPr>
                <w:rFonts w:hint="default" w:ascii="Times New Roman" w:hAnsi="Times New Roman" w:eastAsia="仿宋_GB2312" w:cs="Times New Roman"/>
                <w:color w:val="auto"/>
                <w:kern w:val="0"/>
                <w:sz w:val="22"/>
                <w:lang w:bidi="ar"/>
              </w:rPr>
              <w:t>9.16</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C7BA1">
            <w:pPr>
              <w:widowControl/>
              <w:jc w:val="center"/>
              <w:textAlignment w:val="center"/>
              <w:rPr>
                <w:rFonts w:hint="default" w:ascii="Times New Roman" w:hAnsi="Times New Roman" w:eastAsia="仿宋_GB2312" w:cs="Times New Roman"/>
                <w:color w:val="auto"/>
                <w:kern w:val="0"/>
                <w:sz w:val="22"/>
                <w:szCs w:val="22"/>
                <w:lang w:val="en-US" w:eastAsia="zh-CN" w:bidi="ar"/>
              </w:rPr>
            </w:pPr>
            <w:r>
              <w:rPr>
                <w:rFonts w:hint="default" w:ascii="Times New Roman" w:hAnsi="Times New Roman" w:eastAsia="仿宋_GB2312" w:cs="Times New Roman"/>
                <w:color w:val="auto"/>
                <w:kern w:val="0"/>
                <w:sz w:val="22"/>
                <w:lang w:bidi="ar"/>
              </w:rPr>
              <w:t>0.34</w:t>
            </w:r>
          </w:p>
        </w:tc>
      </w:tr>
    </w:tbl>
    <w:p w14:paraId="49946117">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2A669A4">
      <w:pPr>
        <w:autoSpaceDE w:val="0"/>
        <w:autoSpaceDN w:val="0"/>
        <w:adjustRightInd w:val="0"/>
        <w:ind w:left="315" w:leftChars="150"/>
        <w:jc w:val="left"/>
        <w:rPr>
          <w:rFonts w:ascii="Times New Roman" w:hAnsi="Times New Roman" w:eastAsia="宋体" w:cs="Times New Roman"/>
          <w:kern w:val="0"/>
          <w:sz w:val="24"/>
          <w:szCs w:val="24"/>
        </w:rPr>
      </w:pPr>
    </w:p>
    <w:p w14:paraId="7F61C588">
      <w:pPr>
        <w:autoSpaceDE w:val="0"/>
        <w:autoSpaceDN w:val="0"/>
        <w:adjustRightInd w:val="0"/>
        <w:ind w:left="315" w:leftChars="150"/>
        <w:jc w:val="left"/>
        <w:rPr>
          <w:rFonts w:ascii="Times New Roman" w:hAnsi="Times New Roman" w:eastAsia="宋体" w:cs="Times New Roman"/>
          <w:kern w:val="0"/>
          <w:sz w:val="24"/>
          <w:szCs w:val="24"/>
        </w:rPr>
      </w:pPr>
    </w:p>
    <w:p w14:paraId="29E822B7">
      <w:pPr>
        <w:autoSpaceDE w:val="0"/>
        <w:autoSpaceDN w:val="0"/>
        <w:adjustRightInd w:val="0"/>
        <w:ind w:left="315" w:leftChars="150"/>
        <w:jc w:val="left"/>
        <w:rPr>
          <w:rFonts w:ascii="Times New Roman" w:hAnsi="Times New Roman" w:eastAsia="宋体" w:cs="Times New Roman"/>
          <w:kern w:val="0"/>
          <w:sz w:val="24"/>
          <w:szCs w:val="24"/>
        </w:rPr>
      </w:pPr>
    </w:p>
    <w:p w14:paraId="73EB6C18">
      <w:pPr>
        <w:autoSpaceDE w:val="0"/>
        <w:autoSpaceDN w:val="0"/>
        <w:adjustRightInd w:val="0"/>
        <w:ind w:left="315" w:leftChars="150"/>
        <w:jc w:val="left"/>
        <w:rPr>
          <w:rFonts w:ascii="Times New Roman" w:hAnsi="Times New Roman" w:eastAsia="宋体" w:cs="Times New Roman"/>
          <w:kern w:val="0"/>
          <w:sz w:val="24"/>
          <w:szCs w:val="24"/>
        </w:rPr>
      </w:pPr>
    </w:p>
    <w:p w14:paraId="318250A5">
      <w:pPr>
        <w:autoSpaceDE w:val="0"/>
        <w:autoSpaceDN w:val="0"/>
        <w:adjustRightInd w:val="0"/>
        <w:ind w:left="315" w:leftChars="150"/>
        <w:jc w:val="left"/>
        <w:rPr>
          <w:rFonts w:ascii="Times New Roman" w:hAnsi="Times New Roman" w:eastAsia="宋体" w:cs="Times New Roman"/>
          <w:kern w:val="0"/>
          <w:sz w:val="24"/>
          <w:szCs w:val="24"/>
        </w:rPr>
      </w:pPr>
    </w:p>
    <w:p w14:paraId="691EAD83">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B472A12">
      <w:pPr>
        <w:pStyle w:val="14"/>
        <w:rPr>
          <w:rFonts w:ascii="Times New Roman" w:hAnsi="Times New Roman" w:cs="Times New Roman"/>
          <w:sz w:val="72"/>
          <w:szCs w:val="72"/>
        </w:rPr>
      </w:pPr>
    </w:p>
    <w:p w14:paraId="73D2C5D5">
      <w:pPr>
        <w:pStyle w:val="14"/>
        <w:rPr>
          <w:rFonts w:ascii="Times New Roman" w:hAnsi="Times New Roman" w:cs="Times New Roman"/>
          <w:sz w:val="72"/>
          <w:szCs w:val="72"/>
        </w:rPr>
      </w:pPr>
    </w:p>
    <w:p w14:paraId="575F0EAB">
      <w:pPr>
        <w:pStyle w:val="14"/>
        <w:rPr>
          <w:rFonts w:ascii="Times New Roman" w:hAnsi="Times New Roman" w:cs="Times New Roman"/>
          <w:sz w:val="72"/>
          <w:szCs w:val="72"/>
        </w:rPr>
      </w:pPr>
    </w:p>
    <w:p w14:paraId="0654FCF3">
      <w:pPr>
        <w:pStyle w:val="14"/>
        <w:jc w:val="center"/>
        <w:rPr>
          <w:rFonts w:ascii="Times New Roman" w:hAnsi="Times New Roman" w:cs="Times New Roman"/>
          <w:sz w:val="72"/>
          <w:szCs w:val="72"/>
        </w:rPr>
      </w:pPr>
    </w:p>
    <w:p w14:paraId="79F7EB31">
      <w:pPr>
        <w:pStyle w:val="14"/>
        <w:jc w:val="center"/>
        <w:rPr>
          <w:rFonts w:ascii="Times New Roman" w:hAnsi="Times New Roman" w:eastAsia="方正小标宋_GBK" w:cs="Times New Roman"/>
          <w:sz w:val="72"/>
          <w:szCs w:val="72"/>
        </w:rPr>
      </w:pPr>
    </w:p>
    <w:p w14:paraId="344A56A1">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BAB8CA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F8844FA">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C0E0AB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048A1E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default" w:ascii="Times New Roman" w:hAnsi="Times New Roman" w:eastAsia="仿宋_GB2312" w:cs="Times New Roman"/>
          <w:sz w:val="32"/>
          <w:szCs w:val="32"/>
        </w:rPr>
        <w:t>552.92</w:t>
      </w:r>
      <w:r>
        <w:rPr>
          <w:rFonts w:ascii="Times New Roman" w:hAnsi="Times New Roman" w:eastAsia="仿宋_GB2312" w:cs="Times New Roman"/>
          <w:sz w:val="32"/>
          <w:szCs w:val="32"/>
        </w:rPr>
        <w:t>万元。与上年相比，增加</w:t>
      </w:r>
      <w:r>
        <w:rPr>
          <w:rFonts w:hint="default" w:ascii="Times New Roman" w:hAnsi="Times New Roman" w:eastAsia="仿宋_GB2312" w:cs="Times New Roman"/>
          <w:sz w:val="32"/>
          <w:szCs w:val="32"/>
        </w:rPr>
        <w:t>19.59</w:t>
      </w:r>
      <w:r>
        <w:rPr>
          <w:rFonts w:ascii="Times New Roman" w:hAnsi="Times New Roman" w:eastAsia="仿宋_GB2312" w:cs="Times New Roman"/>
          <w:sz w:val="32"/>
          <w:szCs w:val="32"/>
        </w:rPr>
        <w:t>万元，增长</w:t>
      </w:r>
      <w:r>
        <w:rPr>
          <w:rFonts w:hint="default" w:ascii="Times New Roman" w:hAnsi="Times New Roman" w:eastAsia="仿宋_GB2312" w:cs="Times New Roman"/>
          <w:sz w:val="32"/>
          <w:szCs w:val="32"/>
        </w:rPr>
        <w:t>3.67</w:t>
      </w:r>
      <w:r>
        <w:rPr>
          <w:rFonts w:ascii="Times New Roman" w:hAnsi="Times New Roman" w:eastAsia="仿宋_GB2312" w:cs="Times New Roman"/>
          <w:sz w:val="32"/>
          <w:szCs w:val="32"/>
        </w:rPr>
        <w:t>%，主要是因为新增人员造成的财政拨款收支增加</w:t>
      </w:r>
      <w:r>
        <w:rPr>
          <w:rFonts w:hint="eastAsia" w:ascii="Times New Roman" w:hAnsi="Times New Roman" w:eastAsia="仿宋_GB2312" w:cs="Times New Roman"/>
          <w:sz w:val="32"/>
          <w:szCs w:val="32"/>
          <w:lang w:eastAsia="zh-CN"/>
        </w:rPr>
        <w:t>。</w:t>
      </w:r>
    </w:p>
    <w:p w14:paraId="06B8A732">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default" w:ascii="Times New Roman" w:hAnsi="Times New Roman" w:eastAsia="仿宋_GB2312" w:cs="Times New Roman"/>
          <w:sz w:val="32"/>
          <w:szCs w:val="32"/>
          <w:lang w:eastAsia="zh-CN"/>
        </w:rPr>
        <w:t>在职人员工资（含聘用人员）</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退休人员福利待遇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省级重点工作开展</w:t>
      </w:r>
      <w:r>
        <w:rPr>
          <w:rFonts w:hint="eastAsia" w:ascii="Times New Roman" w:hAnsi="Times New Roman" w:eastAsia="仿宋_GB2312" w:cs="Times New Roman"/>
          <w:sz w:val="32"/>
          <w:szCs w:val="32"/>
          <w:lang w:eastAsia="zh-CN"/>
        </w:rPr>
        <w:t>等重点支出，体现在有关支出科目中。</w:t>
      </w:r>
    </w:p>
    <w:p w14:paraId="3D30814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48D55C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default" w:ascii="Times New Roman" w:hAnsi="Times New Roman" w:eastAsia="仿宋_GB2312" w:cs="Times New Roman"/>
          <w:sz w:val="32"/>
          <w:szCs w:val="32"/>
        </w:rPr>
        <w:t>552.92</w:t>
      </w:r>
      <w:r>
        <w:rPr>
          <w:rFonts w:ascii="Times New Roman" w:hAnsi="Times New Roman" w:eastAsia="仿宋_GB2312" w:cs="Times New Roman"/>
          <w:sz w:val="32"/>
          <w:szCs w:val="32"/>
        </w:rPr>
        <w:t>万元，其中：财政拨款收入</w:t>
      </w:r>
      <w:r>
        <w:rPr>
          <w:rFonts w:hint="default" w:ascii="Times New Roman" w:hAnsi="Times New Roman" w:eastAsia="仿宋_GB2312" w:cs="Times New Roman"/>
          <w:sz w:val="32"/>
          <w:szCs w:val="32"/>
        </w:rPr>
        <w:t>510.42</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92.31</w:t>
      </w:r>
      <w:r>
        <w:rPr>
          <w:rFonts w:ascii="Times New Roman" w:hAnsi="Times New Roman" w:eastAsia="仿宋_GB2312" w:cs="Times New Roman"/>
          <w:sz w:val="32"/>
          <w:szCs w:val="32"/>
        </w:rPr>
        <w:t>%；上级补助收入</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%；事业收入</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%；经营收入</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%；附属单位上缴收入</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%；其他收入</w:t>
      </w:r>
      <w:r>
        <w:rPr>
          <w:rFonts w:hint="default" w:ascii="Times New Roman" w:hAnsi="Times New Roman" w:eastAsia="仿宋_GB2312" w:cs="Times New Roman"/>
          <w:sz w:val="32"/>
          <w:szCs w:val="32"/>
        </w:rPr>
        <w:t>42.50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7.69</w:t>
      </w:r>
      <w:r>
        <w:rPr>
          <w:rFonts w:ascii="Times New Roman" w:hAnsi="Times New Roman" w:eastAsia="仿宋_GB2312" w:cs="Times New Roman"/>
          <w:sz w:val="32"/>
          <w:szCs w:val="32"/>
        </w:rPr>
        <w:t>%。</w:t>
      </w:r>
    </w:p>
    <w:p w14:paraId="108109E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29F6D1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default" w:ascii="Times New Roman" w:hAnsi="Times New Roman" w:eastAsia="仿宋_GB2312" w:cs="Times New Roman"/>
          <w:sz w:val="32"/>
          <w:szCs w:val="32"/>
        </w:rPr>
        <w:t>552.92</w:t>
      </w:r>
      <w:r>
        <w:rPr>
          <w:rFonts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rPr>
        <w:t>443.56</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80.22</w:t>
      </w:r>
      <w:r>
        <w:rPr>
          <w:rFonts w:ascii="Times New Roman" w:hAnsi="Times New Roman" w:eastAsia="仿宋_GB2312" w:cs="Times New Roman"/>
          <w:sz w:val="32"/>
          <w:szCs w:val="32"/>
        </w:rPr>
        <w:t>%；项目支出</w:t>
      </w:r>
      <w:r>
        <w:rPr>
          <w:rFonts w:hint="default" w:ascii="Times New Roman" w:hAnsi="Times New Roman" w:eastAsia="仿宋_GB2312" w:cs="Times New Roman"/>
          <w:sz w:val="32"/>
          <w:szCs w:val="32"/>
        </w:rPr>
        <w:t>109.36</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19.78</w:t>
      </w:r>
      <w:r>
        <w:rPr>
          <w:rFonts w:ascii="Times New Roman" w:hAnsi="Times New Roman" w:eastAsia="仿宋_GB2312" w:cs="Times New Roman"/>
          <w:sz w:val="32"/>
          <w:szCs w:val="32"/>
        </w:rPr>
        <w:t>%；上缴上级支出</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%；经营支出</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%；对附属单位补助支出</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w:t>
      </w:r>
    </w:p>
    <w:p w14:paraId="006D613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4240356">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default" w:ascii="Times New Roman" w:hAnsi="Times New Roman" w:eastAsia="仿宋_GB2312" w:cs="Times New Roman"/>
          <w:sz w:val="32"/>
          <w:szCs w:val="32"/>
        </w:rPr>
        <w:t>510.43</w:t>
      </w:r>
      <w:r>
        <w:rPr>
          <w:rFonts w:ascii="Times New Roman" w:hAnsi="Times New Roman" w:eastAsia="仿宋_GB2312" w:cs="Times New Roman"/>
          <w:sz w:val="32"/>
          <w:szCs w:val="32"/>
        </w:rPr>
        <w:t>万元，与上年相比，增加</w:t>
      </w:r>
      <w:r>
        <w:rPr>
          <w:rFonts w:hint="default" w:ascii="Times New Roman" w:hAnsi="Times New Roman" w:eastAsia="仿宋_GB2312" w:cs="Times New Roman"/>
          <w:sz w:val="32"/>
          <w:szCs w:val="32"/>
        </w:rPr>
        <w:t>37.16</w:t>
      </w:r>
      <w:r>
        <w:rPr>
          <w:rFonts w:ascii="Times New Roman" w:hAnsi="Times New Roman" w:eastAsia="仿宋_GB2312" w:cs="Times New Roman"/>
          <w:sz w:val="32"/>
          <w:szCs w:val="32"/>
        </w:rPr>
        <w:t>万元,增长</w:t>
      </w:r>
      <w:r>
        <w:rPr>
          <w:rFonts w:hint="default" w:ascii="Times New Roman" w:hAnsi="Times New Roman" w:eastAsia="仿宋_GB2312" w:cs="Times New Roman"/>
          <w:sz w:val="32"/>
          <w:szCs w:val="32"/>
        </w:rPr>
        <w:t>7.85</w:t>
      </w:r>
      <w:r>
        <w:rPr>
          <w:rFonts w:ascii="Times New Roman" w:hAnsi="Times New Roman" w:eastAsia="仿宋_GB2312" w:cs="Times New Roman"/>
          <w:sz w:val="32"/>
          <w:szCs w:val="32"/>
        </w:rPr>
        <w:t>%，主要是因为人员增加造成的</w:t>
      </w:r>
      <w:r>
        <w:rPr>
          <w:rFonts w:ascii="Times New Roman" w:hAnsi="Times New Roman" w:eastAsia="仿宋_GB2312" w:cs="Times New Roman"/>
          <w:color w:val="auto"/>
          <w:sz w:val="32"/>
          <w:szCs w:val="32"/>
        </w:rPr>
        <w:t>工资、住房公积金、保险等都相应增加，从而导致财政拨款收支增加。</w:t>
      </w:r>
    </w:p>
    <w:p w14:paraId="5F40883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64BAA63">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FD2DFC2">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default" w:ascii="Times New Roman" w:hAnsi="Times New Roman" w:eastAsia="仿宋_GB2312" w:cs="Times New Roman"/>
          <w:sz w:val="32"/>
          <w:szCs w:val="32"/>
        </w:rPr>
        <w:t>494.76</w:t>
      </w:r>
      <w:r>
        <w:rPr>
          <w:rFonts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rPr>
        <w:t>89.48</w:t>
      </w:r>
      <w:r>
        <w:rPr>
          <w:rFonts w:ascii="Times New Roman" w:hAnsi="Times New Roman" w:eastAsia="仿宋_GB2312" w:cs="Times New Roman"/>
          <w:sz w:val="32"/>
          <w:szCs w:val="32"/>
        </w:rPr>
        <w:t>%，与上年相比，财政拨款支出增加</w:t>
      </w:r>
      <w:r>
        <w:rPr>
          <w:rFonts w:hint="default" w:ascii="Times New Roman" w:hAnsi="Times New Roman" w:eastAsia="仿宋_GB2312" w:cs="Times New Roman"/>
          <w:sz w:val="32"/>
          <w:szCs w:val="32"/>
        </w:rPr>
        <w:t>21.39</w:t>
      </w:r>
      <w:r>
        <w:rPr>
          <w:rFonts w:ascii="Times New Roman" w:hAnsi="Times New Roman" w:eastAsia="仿宋_GB2312" w:cs="Times New Roman"/>
          <w:sz w:val="32"/>
          <w:szCs w:val="32"/>
        </w:rPr>
        <w:t>万元，增长</w:t>
      </w:r>
      <w:r>
        <w:rPr>
          <w:rFonts w:hint="default" w:ascii="Times New Roman" w:hAnsi="Times New Roman" w:eastAsia="仿宋_GB2312" w:cs="Times New Roman"/>
          <w:sz w:val="32"/>
          <w:szCs w:val="32"/>
        </w:rPr>
        <w:t>4.54</w:t>
      </w:r>
      <w:r>
        <w:rPr>
          <w:rFonts w:ascii="Times New Roman" w:hAnsi="Times New Roman" w:eastAsia="仿宋_GB2312" w:cs="Times New Roman"/>
          <w:sz w:val="32"/>
          <w:szCs w:val="32"/>
        </w:rPr>
        <w:t>%，主要是因为人员增加造成的</w:t>
      </w:r>
      <w:r>
        <w:rPr>
          <w:rFonts w:ascii="Times New Roman" w:hAnsi="Times New Roman" w:eastAsia="仿宋_GB2312" w:cs="Times New Roman"/>
          <w:color w:val="auto"/>
          <w:sz w:val="32"/>
          <w:szCs w:val="32"/>
        </w:rPr>
        <w:t>工资、住房公积金、保险等都相应增加，从而导致工资福利性开支增加。</w:t>
      </w:r>
    </w:p>
    <w:p w14:paraId="5D1F71CD">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203F299">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default" w:ascii="Times New Roman" w:hAnsi="Times New Roman" w:eastAsia="仿宋_GB2312" w:cs="Times New Roman"/>
          <w:sz w:val="32"/>
          <w:szCs w:val="32"/>
        </w:rPr>
        <w:t>494.76</w:t>
      </w:r>
      <w:r>
        <w:rPr>
          <w:rFonts w:ascii="Times New Roman" w:hAnsi="Times New Roman" w:eastAsia="仿宋_GB2312" w:cs="Times New Roman"/>
          <w:sz w:val="32"/>
          <w:szCs w:val="32"/>
        </w:rPr>
        <w:t>万元，主要用于以下方面：一般公共服务（类）支出</w:t>
      </w:r>
      <w:r>
        <w:rPr>
          <w:rFonts w:hint="default" w:ascii="Times New Roman" w:hAnsi="Times New Roman" w:eastAsia="仿宋_GB2312" w:cs="Times New Roman"/>
          <w:sz w:val="32"/>
          <w:szCs w:val="32"/>
        </w:rPr>
        <w:t>364.98</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73.77</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社会保障和就业（类）支出</w:t>
      </w:r>
      <w:r>
        <w:rPr>
          <w:rFonts w:hint="default" w:ascii="Times New Roman" w:hAnsi="Times New Roman" w:eastAsia="仿宋_GB2312" w:cs="Times New Roman"/>
          <w:color w:val="auto"/>
          <w:sz w:val="32"/>
          <w:szCs w:val="32"/>
        </w:rPr>
        <w:t>60.75万元，占12.28%；卫生健康（类）支出13.31万元，占2.69%；</w:t>
      </w:r>
      <w:r>
        <w:rPr>
          <w:rFonts w:ascii="Times New Roman" w:hAnsi="Times New Roman" w:eastAsia="仿宋_GB2312" w:cs="Times New Roman"/>
          <w:color w:val="auto"/>
          <w:sz w:val="32"/>
          <w:szCs w:val="32"/>
        </w:rPr>
        <w:t>农林水（类）支出</w:t>
      </w:r>
      <w:r>
        <w:rPr>
          <w:rFonts w:hint="default" w:ascii="Times New Roman" w:hAnsi="Times New Roman" w:eastAsia="仿宋_GB2312" w:cs="Times New Roman"/>
          <w:color w:val="auto"/>
          <w:sz w:val="32"/>
          <w:szCs w:val="32"/>
        </w:rPr>
        <w:t>51.20</w:t>
      </w:r>
      <w:r>
        <w:rPr>
          <w:rFonts w:ascii="Times New Roman" w:hAnsi="Times New Roman" w:eastAsia="仿宋_GB2312" w:cs="Times New Roman"/>
          <w:color w:val="auto"/>
          <w:sz w:val="32"/>
          <w:szCs w:val="32"/>
        </w:rPr>
        <w:t>万元，占</w:t>
      </w:r>
      <w:r>
        <w:rPr>
          <w:rFonts w:hint="default" w:ascii="Times New Roman" w:hAnsi="Times New Roman" w:eastAsia="仿宋_GB2312" w:cs="Times New Roman"/>
          <w:color w:val="auto"/>
          <w:sz w:val="32"/>
          <w:szCs w:val="32"/>
        </w:rPr>
        <w:t>10.35</w:t>
      </w:r>
      <w:r>
        <w:rPr>
          <w:rFonts w:ascii="Times New Roman" w:hAnsi="Times New Roman" w:eastAsia="仿宋_GB2312" w:cs="Times New Roman"/>
          <w:color w:val="auto"/>
          <w:sz w:val="32"/>
          <w:szCs w:val="32"/>
        </w:rPr>
        <w:t>%；住房保障（类）支出</w:t>
      </w:r>
      <w:r>
        <w:rPr>
          <w:rFonts w:hint="default" w:ascii="Times New Roman" w:hAnsi="Times New Roman" w:eastAsia="仿宋_GB2312" w:cs="Times New Roman"/>
          <w:color w:val="auto"/>
          <w:sz w:val="32"/>
          <w:szCs w:val="32"/>
        </w:rPr>
        <w:t>4.52万元，占0.91%</w:t>
      </w:r>
      <w:r>
        <w:rPr>
          <w:rFonts w:ascii="Times New Roman" w:hAnsi="Times New Roman" w:eastAsia="仿宋_GB2312" w:cs="Times New Roman"/>
          <w:color w:val="auto"/>
          <w:sz w:val="32"/>
          <w:szCs w:val="32"/>
        </w:rPr>
        <w:t>。</w:t>
      </w:r>
    </w:p>
    <w:p w14:paraId="2D644334">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D2E805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default" w:ascii="Times New Roman" w:hAnsi="Times New Roman" w:eastAsia="仿宋_GB2312" w:cs="Times New Roman"/>
          <w:sz w:val="32"/>
          <w:szCs w:val="32"/>
        </w:rPr>
        <w:t>380.91</w:t>
      </w:r>
      <w:r>
        <w:rPr>
          <w:rFonts w:ascii="Times New Roman" w:hAnsi="Times New Roman" w:eastAsia="仿宋_GB2312" w:cs="Times New Roman"/>
          <w:sz w:val="32"/>
          <w:szCs w:val="32"/>
        </w:rPr>
        <w:t>万元，支出决算数为</w:t>
      </w:r>
      <w:r>
        <w:rPr>
          <w:rFonts w:hint="default" w:ascii="Times New Roman" w:hAnsi="Times New Roman" w:eastAsia="仿宋_GB2312" w:cs="Times New Roman"/>
          <w:sz w:val="32"/>
          <w:szCs w:val="32"/>
        </w:rPr>
        <w:t>494.76</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rPr>
        <w:t>129.89</w:t>
      </w:r>
      <w:r>
        <w:rPr>
          <w:rFonts w:ascii="Times New Roman" w:hAnsi="Times New Roman" w:eastAsia="仿宋_GB2312" w:cs="Times New Roman"/>
          <w:sz w:val="32"/>
          <w:szCs w:val="32"/>
        </w:rPr>
        <w:t>%，其中：</w:t>
      </w:r>
    </w:p>
    <w:p w14:paraId="76375A2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olor w:val="auto"/>
          <w:sz w:val="32"/>
          <w:szCs w:val="32"/>
        </w:rPr>
        <w:t>政府办公厅（室）及相关机构事务</w:t>
      </w:r>
      <w:r>
        <w:rPr>
          <w:rFonts w:ascii="Times New Roman" w:hAnsi="Times New Roman" w:eastAsia="仿宋_GB2312" w:cs="Times New Roman"/>
          <w:color w:val="auto"/>
          <w:sz w:val="32"/>
          <w:szCs w:val="32"/>
        </w:rPr>
        <w:t>（款）</w:t>
      </w:r>
      <w:r>
        <w:rPr>
          <w:rFonts w:hint="default" w:ascii="Times New Roman" w:hAnsi="Times New Roman" w:eastAsia="仿宋_GB2312"/>
          <w:color w:val="auto"/>
          <w:sz w:val="32"/>
          <w:szCs w:val="32"/>
        </w:rPr>
        <w:t>行政运行</w:t>
      </w:r>
      <w:r>
        <w:rPr>
          <w:rFonts w:ascii="Times New Roman" w:hAnsi="Times New Roman" w:eastAsia="仿宋_GB2312" w:cs="Times New Roman"/>
          <w:color w:val="auto"/>
          <w:sz w:val="32"/>
          <w:szCs w:val="32"/>
        </w:rPr>
        <w:t>（项）</w:t>
      </w:r>
      <w:r>
        <w:rPr>
          <w:rFonts w:ascii="Times New Roman" w:hAnsi="Times New Roman" w:eastAsia="仿宋_GB2312" w:cs="Times New Roman"/>
          <w:sz w:val="32"/>
          <w:szCs w:val="32"/>
        </w:rPr>
        <w:t>。</w:t>
      </w:r>
    </w:p>
    <w:p w14:paraId="3C0E2173">
      <w:pPr>
        <w:pStyle w:val="14"/>
        <w:overflowPunct w:val="0"/>
        <w:autoSpaceDE/>
        <w:autoSpaceDN/>
        <w:spacing w:line="600" w:lineRule="exact"/>
        <w:ind w:firstLine="640" w:firstLineChars="200"/>
        <w:jc w:val="both"/>
        <w:rPr>
          <w:rFonts w:hint="default"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rPr>
        <w:t>311.18</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364.98</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rPr>
        <w:t>117.29</w:t>
      </w:r>
      <w:r>
        <w:rPr>
          <w:rFonts w:ascii="Times New Roman" w:hAnsi="Times New Roman" w:eastAsia="仿宋_GB2312" w:cs="Times New Roman"/>
          <w:sz w:val="32"/>
          <w:szCs w:val="32"/>
        </w:rPr>
        <w:t>%，决算数大于年初预算数的主要原因是：</w:t>
      </w:r>
      <w:r>
        <w:rPr>
          <w:rFonts w:ascii="Times New Roman" w:hAnsi="Times New Roman" w:eastAsia="仿宋_GB2312" w:cs="Times New Roman"/>
          <w:color w:val="auto"/>
          <w:sz w:val="32"/>
          <w:szCs w:val="32"/>
        </w:rPr>
        <w:t>我单位</w:t>
      </w:r>
      <w:r>
        <w:rPr>
          <w:rFonts w:hint="default" w:ascii="Times New Roman" w:hAnsi="Times New Roman" w:eastAsia="仿宋_GB2312" w:cs="Times New Roman"/>
          <w:color w:val="auto"/>
          <w:sz w:val="32"/>
          <w:szCs w:val="32"/>
        </w:rPr>
        <w:t>2025年有人员调入，但年初预算为全年预算数。</w:t>
      </w:r>
    </w:p>
    <w:p w14:paraId="2B6F796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37B184C4">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2、</w:t>
      </w:r>
      <w:r>
        <w:rPr>
          <w:rFonts w:hint="eastAsia" w:ascii="Times New Roman" w:hAnsi="Times New Roman" w:eastAsia="仿宋_GB2312"/>
          <w:color w:val="auto"/>
          <w:sz w:val="32"/>
          <w:szCs w:val="32"/>
        </w:rPr>
        <w:t>社会保障和就业支出（类）行政事业单位养老支出（款）</w:t>
      </w:r>
      <w:r>
        <w:rPr>
          <w:rFonts w:hint="default" w:ascii="Times New Roman" w:hAnsi="Times New Roman" w:eastAsia="仿宋_GB2312"/>
          <w:color w:val="auto"/>
          <w:sz w:val="32"/>
          <w:szCs w:val="32"/>
        </w:rPr>
        <w:t>机关事业单位基本养老保险缴费支出</w:t>
      </w:r>
      <w:r>
        <w:rPr>
          <w:rFonts w:hint="eastAsia" w:ascii="Times New Roman" w:hAnsi="Times New Roman" w:eastAsia="仿宋_GB2312"/>
          <w:color w:val="auto"/>
          <w:sz w:val="32"/>
          <w:szCs w:val="32"/>
        </w:rPr>
        <w:t>（项）。</w:t>
      </w:r>
    </w:p>
    <w:p w14:paraId="2F496C31">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default" w:ascii="Times New Roman" w:hAnsi="Times New Roman" w:eastAsia="仿宋_GB2312" w:cs="Times New Roman"/>
          <w:color w:val="auto"/>
          <w:sz w:val="32"/>
          <w:szCs w:val="32"/>
        </w:rPr>
        <w:t>56.97</w:t>
      </w:r>
      <w:r>
        <w:rPr>
          <w:rFonts w:ascii="Times New Roman" w:hAnsi="Times New Roman" w:eastAsia="仿宋_GB2312" w:cs="Times New Roman"/>
          <w:color w:val="auto"/>
          <w:sz w:val="32"/>
          <w:szCs w:val="32"/>
        </w:rPr>
        <w:t>万元，支出决算为</w:t>
      </w:r>
      <w:r>
        <w:rPr>
          <w:rFonts w:hint="default" w:ascii="Times New Roman" w:hAnsi="Times New Roman" w:eastAsia="仿宋_GB2312" w:cs="Times New Roman"/>
          <w:color w:val="auto"/>
          <w:sz w:val="32"/>
          <w:szCs w:val="32"/>
        </w:rPr>
        <w:t>60.75</w:t>
      </w:r>
      <w:r>
        <w:rPr>
          <w:rFonts w:ascii="Times New Roman" w:hAnsi="Times New Roman" w:eastAsia="仿宋_GB2312" w:cs="Times New Roman"/>
          <w:color w:val="auto"/>
          <w:sz w:val="32"/>
          <w:szCs w:val="32"/>
        </w:rPr>
        <w:t>万元，完成年初预算的</w:t>
      </w:r>
      <w:r>
        <w:rPr>
          <w:rFonts w:hint="default" w:ascii="Times New Roman" w:hAnsi="Times New Roman" w:eastAsia="仿宋_GB2312" w:cs="Times New Roman"/>
          <w:color w:val="auto"/>
          <w:sz w:val="32"/>
          <w:szCs w:val="32"/>
        </w:rPr>
        <w:t>106.64</w:t>
      </w:r>
      <w:r>
        <w:rPr>
          <w:rFonts w:ascii="Times New Roman" w:hAnsi="Times New Roman" w:eastAsia="仿宋_GB2312" w:cs="Times New Roman"/>
          <w:color w:val="auto"/>
          <w:sz w:val="32"/>
          <w:szCs w:val="32"/>
        </w:rPr>
        <w:t>%，决算数大于年初预算数的主要原因是：我单位</w:t>
      </w:r>
      <w:r>
        <w:rPr>
          <w:rFonts w:hint="default" w:ascii="Times New Roman" w:hAnsi="Times New Roman" w:eastAsia="仿宋_GB2312" w:cs="Times New Roman"/>
          <w:color w:val="auto"/>
          <w:sz w:val="32"/>
          <w:szCs w:val="32"/>
        </w:rPr>
        <w:t>2025年有人员调入，但年初预算为全年预算数。</w:t>
      </w:r>
    </w:p>
    <w:p w14:paraId="742A020F">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default" w:ascii="Times New Roman" w:hAnsi="Times New Roman" w:eastAsia="仿宋_GB2312" w:cs="Times New Roman"/>
          <w:color w:val="auto"/>
          <w:sz w:val="32"/>
          <w:szCs w:val="32"/>
        </w:rPr>
        <w:t>3、</w:t>
      </w:r>
      <w:r>
        <w:rPr>
          <w:rFonts w:hint="eastAsia" w:ascii="Times New Roman" w:hAnsi="Times New Roman" w:eastAsia="仿宋_GB2312"/>
          <w:color w:val="auto"/>
          <w:sz w:val="32"/>
          <w:szCs w:val="32"/>
        </w:rPr>
        <w:t>卫生健康支出（类）行政事业单位医疗（款）</w:t>
      </w:r>
      <w:r>
        <w:rPr>
          <w:rFonts w:hint="default" w:ascii="Times New Roman" w:hAnsi="Times New Roman" w:eastAsia="仿宋_GB2312"/>
          <w:color w:val="auto"/>
          <w:sz w:val="32"/>
          <w:szCs w:val="32"/>
        </w:rPr>
        <w:t>行政单位医疗</w:t>
      </w:r>
      <w:r>
        <w:rPr>
          <w:rFonts w:hint="eastAsia" w:ascii="Times New Roman" w:hAnsi="Times New Roman" w:eastAsia="仿宋_GB2312"/>
          <w:color w:val="auto"/>
          <w:sz w:val="32"/>
          <w:szCs w:val="32"/>
        </w:rPr>
        <w:t>（项）。</w:t>
      </w:r>
    </w:p>
    <w:p w14:paraId="5A9C7E9D">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olor w:val="auto"/>
          <w:sz w:val="32"/>
          <w:szCs w:val="32"/>
        </w:rPr>
        <w:t>年初预算为</w:t>
      </w:r>
      <w:r>
        <w:rPr>
          <w:rFonts w:hint="default" w:ascii="Times New Roman" w:hAnsi="Times New Roman" w:eastAsia="仿宋_GB2312"/>
          <w:color w:val="auto"/>
          <w:sz w:val="32"/>
          <w:szCs w:val="32"/>
        </w:rPr>
        <w:t>12.77</w:t>
      </w:r>
      <w:r>
        <w:rPr>
          <w:rFonts w:hint="eastAsia" w:ascii="Times New Roman" w:hAnsi="Times New Roman" w:eastAsia="仿宋_GB2312"/>
          <w:color w:val="auto"/>
          <w:sz w:val="32"/>
          <w:szCs w:val="32"/>
        </w:rPr>
        <w:t>万元，支出决算为</w:t>
      </w:r>
      <w:r>
        <w:rPr>
          <w:rFonts w:hint="default" w:ascii="Times New Roman" w:hAnsi="Times New Roman" w:eastAsia="仿宋_GB2312"/>
          <w:color w:val="auto"/>
          <w:sz w:val="32"/>
          <w:szCs w:val="32"/>
        </w:rPr>
        <w:t>13.31</w:t>
      </w:r>
      <w:r>
        <w:rPr>
          <w:rFonts w:hint="eastAsia" w:ascii="Times New Roman" w:hAnsi="Times New Roman" w:eastAsia="仿宋_GB2312"/>
          <w:color w:val="auto"/>
          <w:sz w:val="32"/>
          <w:szCs w:val="32"/>
        </w:rPr>
        <w:t>万元，完成年初预算的</w:t>
      </w:r>
      <w:r>
        <w:rPr>
          <w:rFonts w:hint="default" w:ascii="Times New Roman" w:hAnsi="Times New Roman" w:eastAsia="仿宋_GB2312"/>
          <w:color w:val="auto"/>
          <w:sz w:val="32"/>
          <w:szCs w:val="32"/>
        </w:rPr>
        <w:t>104.23</w:t>
      </w:r>
      <w:r>
        <w:rPr>
          <w:rFonts w:hint="eastAsia" w:ascii="Times New Roman" w:hAnsi="Times New Roman" w:eastAsia="仿宋_GB2312"/>
          <w:color w:val="auto"/>
          <w:sz w:val="32"/>
          <w:szCs w:val="32"/>
        </w:rPr>
        <w:t>%，决算数</w:t>
      </w:r>
      <w:r>
        <w:rPr>
          <w:rFonts w:hint="default" w:ascii="Times New Roman" w:hAnsi="Times New Roman" w:eastAsia="仿宋_GB2312"/>
          <w:color w:val="auto"/>
          <w:sz w:val="32"/>
          <w:szCs w:val="32"/>
        </w:rPr>
        <w:t>大</w:t>
      </w:r>
      <w:r>
        <w:rPr>
          <w:rFonts w:hint="eastAsia" w:ascii="Times New Roman" w:hAnsi="Times New Roman" w:eastAsia="仿宋_GB2312"/>
          <w:color w:val="auto"/>
          <w:sz w:val="32"/>
          <w:szCs w:val="32"/>
        </w:rPr>
        <w:t>于年初预算数的主要原因是：</w:t>
      </w:r>
      <w:r>
        <w:rPr>
          <w:rFonts w:ascii="Times New Roman" w:hAnsi="Times New Roman" w:eastAsia="仿宋_GB2312" w:cs="Times New Roman"/>
          <w:color w:val="auto"/>
          <w:sz w:val="32"/>
          <w:szCs w:val="32"/>
        </w:rPr>
        <w:t>我单位</w:t>
      </w:r>
      <w:r>
        <w:rPr>
          <w:rFonts w:hint="default" w:ascii="Times New Roman" w:hAnsi="Times New Roman" w:eastAsia="仿宋_GB2312" w:cs="Times New Roman"/>
          <w:color w:val="auto"/>
          <w:sz w:val="32"/>
          <w:szCs w:val="32"/>
        </w:rPr>
        <w:t>2025年有人员调入，但年初预算为全年预算数。</w:t>
      </w:r>
    </w:p>
    <w:p w14:paraId="50E3C13C">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default" w:ascii="Times New Roman" w:hAnsi="Times New Roman" w:eastAsia="仿宋_GB2312"/>
          <w:color w:val="auto"/>
          <w:sz w:val="32"/>
          <w:szCs w:val="32"/>
        </w:rPr>
        <w:t>4、</w:t>
      </w:r>
      <w:r>
        <w:rPr>
          <w:rFonts w:hint="eastAsia" w:ascii="Times New Roman" w:hAnsi="Times New Roman" w:eastAsia="仿宋_GB2312"/>
          <w:color w:val="auto"/>
          <w:sz w:val="32"/>
          <w:szCs w:val="32"/>
        </w:rPr>
        <w:t>农林水支出（类）水利（款）</w:t>
      </w:r>
      <w:r>
        <w:rPr>
          <w:rFonts w:hint="default" w:ascii="Times New Roman" w:hAnsi="Times New Roman" w:eastAsia="仿宋_GB2312"/>
          <w:color w:val="auto"/>
          <w:sz w:val="32"/>
          <w:szCs w:val="32"/>
        </w:rPr>
        <w:t>大中型水库移民后期扶持专项支出</w:t>
      </w:r>
      <w:r>
        <w:rPr>
          <w:rFonts w:hint="eastAsia" w:ascii="Times New Roman" w:hAnsi="Times New Roman" w:eastAsia="仿宋_GB2312"/>
          <w:color w:val="auto"/>
          <w:sz w:val="32"/>
          <w:szCs w:val="32"/>
        </w:rPr>
        <w:t>（项）。</w:t>
      </w:r>
    </w:p>
    <w:p w14:paraId="66044A0C">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default" w:ascii="Times New Roman" w:hAnsi="Times New Roman" w:eastAsia="仿宋_GB2312"/>
          <w:color w:val="auto"/>
          <w:sz w:val="32"/>
          <w:szCs w:val="32"/>
        </w:rPr>
        <w:t>0</w:t>
      </w:r>
      <w:r>
        <w:rPr>
          <w:rFonts w:hint="eastAsia" w:ascii="Times New Roman" w:hAnsi="Times New Roman" w:eastAsia="仿宋_GB2312"/>
          <w:color w:val="auto"/>
          <w:sz w:val="32"/>
          <w:szCs w:val="32"/>
        </w:rPr>
        <w:t>万元，支出决算为</w:t>
      </w:r>
      <w:r>
        <w:rPr>
          <w:rFonts w:hint="default" w:ascii="Times New Roman" w:hAnsi="Times New Roman" w:eastAsia="仿宋_GB2312"/>
          <w:color w:val="auto"/>
          <w:sz w:val="32"/>
          <w:szCs w:val="32"/>
        </w:rPr>
        <w:t>51.20</w:t>
      </w:r>
      <w:r>
        <w:rPr>
          <w:rFonts w:hint="eastAsia" w:ascii="Times New Roman" w:hAnsi="Times New Roman" w:eastAsia="仿宋_GB2312"/>
          <w:color w:val="auto"/>
          <w:sz w:val="32"/>
          <w:szCs w:val="32"/>
        </w:rPr>
        <w:t>万元，</w:t>
      </w:r>
      <w:r>
        <w:rPr>
          <w:rFonts w:hint="default" w:ascii="Times New Roman" w:hAnsi="Times New Roman" w:eastAsia="仿宋_GB2312"/>
          <w:color w:val="auto"/>
          <w:sz w:val="32"/>
          <w:szCs w:val="32"/>
        </w:rPr>
        <w:t>由于预算数为0，无法计算百分比</w:t>
      </w:r>
      <w:r>
        <w:rPr>
          <w:rFonts w:hint="eastAsia" w:ascii="Times New Roman" w:hAnsi="Times New Roman" w:eastAsia="仿宋_GB2312"/>
          <w:color w:val="auto"/>
          <w:sz w:val="32"/>
          <w:szCs w:val="32"/>
        </w:rPr>
        <w:t>，决算数大于年初预算数的主要原因是：</w:t>
      </w:r>
      <w:r>
        <w:rPr>
          <w:rFonts w:hint="default" w:ascii="Times New Roman" w:hAnsi="Times New Roman" w:eastAsia="仿宋_GB2312"/>
          <w:color w:val="auto"/>
          <w:sz w:val="32"/>
          <w:szCs w:val="32"/>
        </w:rPr>
        <w:t>省拨中央大中型水库后期扶持资金51.20万元。</w:t>
      </w:r>
    </w:p>
    <w:p w14:paraId="1FFB87D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default" w:ascii="Times New Roman" w:hAnsi="Times New Roman" w:eastAsia="仿宋_GB2312"/>
          <w:color w:val="auto"/>
          <w:sz w:val="32"/>
          <w:szCs w:val="32"/>
        </w:rPr>
        <w:t>5</w:t>
      </w:r>
      <w:r>
        <w:rPr>
          <w:rFonts w:hint="eastAsia" w:ascii="Times New Roman" w:hAnsi="Times New Roman" w:eastAsia="仿宋_GB2312"/>
          <w:color w:val="auto"/>
          <w:sz w:val="32"/>
          <w:szCs w:val="32"/>
        </w:rPr>
        <w:t>、</w:t>
      </w:r>
      <w:r>
        <w:rPr>
          <w:rFonts w:hint="default" w:ascii="Times New Roman" w:hAnsi="Times New Roman" w:eastAsia="仿宋_GB2312"/>
          <w:color w:val="auto"/>
          <w:sz w:val="32"/>
          <w:szCs w:val="32"/>
        </w:rPr>
        <w:t>住房保障</w:t>
      </w:r>
      <w:r>
        <w:rPr>
          <w:rFonts w:hint="eastAsia" w:ascii="Times New Roman" w:hAnsi="Times New Roman" w:eastAsia="仿宋_GB2312"/>
          <w:color w:val="auto"/>
          <w:sz w:val="32"/>
          <w:szCs w:val="32"/>
        </w:rPr>
        <w:t>支出（类）</w:t>
      </w:r>
      <w:r>
        <w:rPr>
          <w:rFonts w:hint="default" w:ascii="Times New Roman" w:hAnsi="Times New Roman" w:eastAsia="仿宋_GB2312"/>
          <w:color w:val="auto"/>
          <w:sz w:val="32"/>
          <w:szCs w:val="32"/>
        </w:rPr>
        <w:t>住房改革</w:t>
      </w:r>
      <w:r>
        <w:rPr>
          <w:rFonts w:hint="eastAsia" w:ascii="Times New Roman" w:hAnsi="Times New Roman" w:eastAsia="仿宋_GB2312"/>
          <w:color w:val="auto"/>
          <w:sz w:val="32"/>
          <w:szCs w:val="32"/>
        </w:rPr>
        <w:t>（款）</w:t>
      </w:r>
      <w:r>
        <w:rPr>
          <w:rFonts w:hint="default" w:ascii="Times New Roman" w:hAnsi="Times New Roman" w:eastAsia="仿宋_GB2312"/>
          <w:color w:val="auto"/>
          <w:sz w:val="32"/>
          <w:szCs w:val="32"/>
        </w:rPr>
        <w:t>住房公积金</w:t>
      </w:r>
      <w:r>
        <w:rPr>
          <w:rFonts w:hint="eastAsia" w:ascii="Times New Roman" w:hAnsi="Times New Roman" w:eastAsia="仿宋_GB2312"/>
          <w:color w:val="auto"/>
          <w:sz w:val="32"/>
          <w:szCs w:val="32"/>
        </w:rPr>
        <w:t>（项）。</w:t>
      </w:r>
    </w:p>
    <w:p w14:paraId="1869B217">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hint="eastAsia" w:ascii="Times New Roman" w:hAnsi="Times New Roman" w:eastAsia="仿宋_GB2312"/>
          <w:color w:val="auto"/>
          <w:sz w:val="32"/>
          <w:szCs w:val="32"/>
        </w:rPr>
        <w:t>年初预算为</w:t>
      </w:r>
      <w:r>
        <w:rPr>
          <w:rFonts w:hint="default" w:ascii="Times New Roman" w:hAnsi="Times New Roman" w:eastAsia="仿宋_GB2312"/>
          <w:color w:val="auto"/>
          <w:sz w:val="32"/>
          <w:szCs w:val="32"/>
        </w:rPr>
        <w:t>0</w:t>
      </w:r>
      <w:r>
        <w:rPr>
          <w:rFonts w:hint="eastAsia" w:ascii="Times New Roman" w:hAnsi="Times New Roman" w:eastAsia="仿宋_GB2312"/>
          <w:color w:val="auto"/>
          <w:sz w:val="32"/>
          <w:szCs w:val="32"/>
        </w:rPr>
        <w:t>万元，支出决算为</w:t>
      </w:r>
      <w:r>
        <w:rPr>
          <w:rFonts w:hint="default" w:ascii="Times New Roman" w:hAnsi="Times New Roman" w:eastAsia="仿宋_GB2312"/>
          <w:color w:val="auto"/>
          <w:sz w:val="32"/>
          <w:szCs w:val="32"/>
        </w:rPr>
        <w:t>4.52</w:t>
      </w:r>
      <w:r>
        <w:rPr>
          <w:rFonts w:hint="eastAsia" w:ascii="Times New Roman" w:hAnsi="Times New Roman" w:eastAsia="仿宋_GB2312"/>
          <w:color w:val="auto"/>
          <w:sz w:val="32"/>
          <w:szCs w:val="32"/>
        </w:rPr>
        <w:t>万元，</w:t>
      </w:r>
      <w:r>
        <w:rPr>
          <w:rFonts w:hint="default" w:ascii="Times New Roman" w:hAnsi="Times New Roman" w:eastAsia="仿宋_GB2312"/>
          <w:color w:val="auto"/>
          <w:sz w:val="32"/>
          <w:szCs w:val="32"/>
        </w:rPr>
        <w:t>由于预算数为0，无法计算百分比</w:t>
      </w:r>
      <w:r>
        <w:rPr>
          <w:rFonts w:hint="eastAsia" w:ascii="Times New Roman" w:hAnsi="Times New Roman" w:eastAsia="仿宋_GB2312"/>
          <w:color w:val="auto"/>
          <w:sz w:val="32"/>
          <w:szCs w:val="32"/>
        </w:rPr>
        <w:t>，决算数大于年初预算数的主要原因是：</w:t>
      </w:r>
      <w:r>
        <w:rPr>
          <w:rFonts w:hint="default" w:ascii="Times New Roman" w:hAnsi="Times New Roman" w:eastAsia="仿宋_GB2312"/>
          <w:color w:val="auto"/>
          <w:sz w:val="32"/>
          <w:szCs w:val="32"/>
        </w:rPr>
        <w:t>单位在岗职工全年住房公积金单位配套部分4.52万元。</w:t>
      </w:r>
    </w:p>
    <w:p w14:paraId="4312E86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default"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rPr>
        <w:t>方面占财政拨款支出总额的比重较高，主要是：</w:t>
      </w:r>
      <w:r>
        <w:rPr>
          <w:rFonts w:hint="default" w:ascii="Times New Roman" w:hAnsi="Times New Roman" w:eastAsia="仿宋_GB2312" w:cs="Times New Roman"/>
          <w:sz w:val="32"/>
          <w:szCs w:val="32"/>
        </w:rPr>
        <w:t>2010301行政运行</w:t>
      </w:r>
      <w:r>
        <w:rPr>
          <w:rFonts w:hint="eastAsia" w:ascii="Times New Roman" w:hAnsi="Times New Roman" w:eastAsia="仿宋_GB2312" w:cs="Times New Roman"/>
          <w:sz w:val="32"/>
          <w:szCs w:val="32"/>
        </w:rPr>
        <w:t>，2025年度决算数为</w:t>
      </w:r>
      <w:r>
        <w:rPr>
          <w:rFonts w:hint="default" w:ascii="Times New Roman" w:hAnsi="Times New Roman" w:eastAsia="仿宋_GB2312" w:cs="Times New Roman"/>
          <w:sz w:val="32"/>
          <w:szCs w:val="32"/>
        </w:rPr>
        <w:t>364.98</w:t>
      </w:r>
      <w:r>
        <w:rPr>
          <w:rFonts w:hint="eastAsia" w:ascii="Times New Roman" w:hAnsi="Times New Roman" w:eastAsia="仿宋_GB2312" w:cs="Times New Roman"/>
          <w:sz w:val="32"/>
          <w:szCs w:val="32"/>
        </w:rPr>
        <w:t>万元，占财政拨款支出总额的</w:t>
      </w:r>
      <w:r>
        <w:rPr>
          <w:rFonts w:hint="default" w:ascii="Times New Roman" w:hAnsi="Times New Roman" w:eastAsia="仿宋_GB2312" w:cs="Times New Roman"/>
          <w:sz w:val="32"/>
          <w:szCs w:val="32"/>
        </w:rPr>
        <w:t>73.77</w:t>
      </w:r>
      <w:r>
        <w:rPr>
          <w:rFonts w:hint="eastAsia" w:ascii="Times New Roman" w:hAnsi="Times New Roman" w:eastAsia="仿宋_GB2312" w:cs="Times New Roman"/>
          <w:sz w:val="32"/>
          <w:szCs w:val="32"/>
        </w:rPr>
        <w:t>%，主要用于</w:t>
      </w:r>
      <w:r>
        <w:rPr>
          <w:rFonts w:hint="default" w:ascii="Times New Roman" w:hAnsi="Times New Roman" w:eastAsia="仿宋_GB2312" w:cs="Times New Roman"/>
          <w:sz w:val="32"/>
          <w:szCs w:val="32"/>
        </w:rPr>
        <w:t>保障单位职工工资和保险类支出，以及开展工作必要的办公支出等</w:t>
      </w:r>
      <w:r>
        <w:rPr>
          <w:rFonts w:hint="eastAsia" w:ascii="Times New Roman" w:hAnsi="Times New Roman" w:eastAsia="楷体_GB2312" w:cs="Times New Roman"/>
          <w:b/>
          <w:bCs/>
          <w:i/>
          <w:color w:val="auto"/>
          <w:sz w:val="32"/>
          <w:szCs w:val="32"/>
        </w:rPr>
        <w:t>。</w:t>
      </w:r>
    </w:p>
    <w:p w14:paraId="2E5D537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0562AE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default" w:ascii="Times New Roman" w:hAnsi="Times New Roman" w:eastAsia="仿宋_GB2312" w:cs="Times New Roman"/>
          <w:sz w:val="32"/>
          <w:szCs w:val="32"/>
        </w:rPr>
        <w:t>494.76</w:t>
      </w:r>
      <w:r>
        <w:rPr>
          <w:rFonts w:ascii="Times New Roman" w:hAnsi="Times New Roman" w:eastAsia="仿宋_GB2312" w:cs="Times New Roman"/>
          <w:sz w:val="32"/>
          <w:szCs w:val="32"/>
        </w:rPr>
        <w:t>万元，其中：</w:t>
      </w:r>
    </w:p>
    <w:p w14:paraId="295C455B">
      <w:pPr>
        <w:pStyle w:val="14"/>
        <w:overflowPunct w:val="0"/>
        <w:autoSpaceDE/>
        <w:autoSpaceDN/>
        <w:spacing w:line="600" w:lineRule="exact"/>
        <w:ind w:firstLine="640" w:firstLineChars="200"/>
        <w:jc w:val="both"/>
        <w:rPr>
          <w:rFonts w:hint="eastAsia" w:ascii="Times New Roman" w:hAnsi="Times New Roman" w:eastAsia="仿宋_GB2312"/>
          <w:color w:val="auto"/>
          <w:sz w:val="32"/>
          <w:szCs w:val="32"/>
        </w:rPr>
      </w:pPr>
      <w:r>
        <w:rPr>
          <w:rFonts w:ascii="Times New Roman" w:hAnsi="Times New Roman" w:eastAsia="仿宋_GB2312" w:cs="Times New Roman"/>
          <w:b/>
          <w:bCs/>
          <w:sz w:val="32"/>
          <w:szCs w:val="32"/>
        </w:rPr>
        <w:t>人员经费</w:t>
      </w:r>
      <w:r>
        <w:rPr>
          <w:rFonts w:hint="default" w:ascii="Times New Roman" w:hAnsi="Times New Roman" w:eastAsia="仿宋_GB2312" w:cs="Times New Roman"/>
          <w:sz w:val="32"/>
          <w:szCs w:val="32"/>
        </w:rPr>
        <w:t>378.96</w:t>
      </w:r>
      <w:r>
        <w:rPr>
          <w:rFonts w:ascii="Times New Roman" w:hAnsi="Times New Roman" w:eastAsia="仿宋_GB2312" w:cs="Times New Roman"/>
          <w:sz w:val="32"/>
          <w:szCs w:val="32"/>
        </w:rPr>
        <w:t>万元，占基本支出的</w:t>
      </w:r>
      <w:r>
        <w:rPr>
          <w:rFonts w:hint="default" w:ascii="Times New Roman" w:hAnsi="Times New Roman" w:eastAsia="仿宋_GB2312" w:cs="Times New Roman"/>
          <w:sz w:val="32"/>
          <w:szCs w:val="32"/>
        </w:rPr>
        <w:t>76.59</w:t>
      </w:r>
      <w:r>
        <w:rPr>
          <w:rFonts w:ascii="Times New Roman" w:hAnsi="Times New Roman" w:eastAsia="仿宋_GB2312" w:cs="Times New Roman"/>
          <w:sz w:val="32"/>
          <w:szCs w:val="32"/>
        </w:rPr>
        <w:t>%,主要包括</w:t>
      </w:r>
      <w:r>
        <w:rPr>
          <w:rFonts w:ascii="Times New Roman" w:hAnsi="Times New Roman" w:eastAsia="仿宋_GB2312" w:cs="Times New Roman"/>
          <w:color w:val="auto"/>
          <w:sz w:val="32"/>
          <w:szCs w:val="32"/>
        </w:rPr>
        <w:t>基本工资、津贴补贴、奖金、伙食补助费、绩效工资、</w:t>
      </w:r>
      <w:r>
        <w:rPr>
          <w:rFonts w:hint="eastAsia" w:ascii="Times New Roman" w:hAnsi="Times New Roman" w:eastAsia="仿宋_GB2312"/>
          <w:color w:val="auto"/>
          <w:sz w:val="32"/>
          <w:szCs w:val="32"/>
        </w:rPr>
        <w:t>职工基本医疗保险缴费、其他社会保障缴费、</w:t>
      </w:r>
      <w:r>
        <w:rPr>
          <w:rFonts w:hint="default" w:ascii="Times New Roman" w:hAnsi="Times New Roman" w:eastAsia="仿宋_GB2312"/>
          <w:color w:val="auto"/>
          <w:sz w:val="32"/>
          <w:szCs w:val="32"/>
        </w:rPr>
        <w:t>住房公积金、其他工资福利支出、</w:t>
      </w:r>
      <w:r>
        <w:rPr>
          <w:rFonts w:hint="eastAsia" w:ascii="Times New Roman" w:hAnsi="Times New Roman" w:eastAsia="仿宋_GB2312"/>
          <w:color w:val="auto"/>
          <w:sz w:val="32"/>
          <w:szCs w:val="32"/>
        </w:rPr>
        <w:t>生活补助、其他对个人和家庭的补助支出。</w:t>
      </w:r>
    </w:p>
    <w:p w14:paraId="03FC930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default" w:ascii="Times New Roman" w:hAnsi="Times New Roman" w:eastAsia="仿宋_GB2312" w:cs="Times New Roman"/>
          <w:sz w:val="32"/>
          <w:szCs w:val="32"/>
        </w:rPr>
        <w:t>64.60</w:t>
      </w:r>
      <w:r>
        <w:rPr>
          <w:rFonts w:ascii="Times New Roman" w:hAnsi="Times New Roman" w:eastAsia="仿宋_GB2312" w:cs="Times New Roman"/>
          <w:sz w:val="32"/>
          <w:szCs w:val="32"/>
        </w:rPr>
        <w:t>万元，占基本支出的</w:t>
      </w:r>
      <w:r>
        <w:rPr>
          <w:rFonts w:hint="default" w:ascii="Times New Roman" w:hAnsi="Times New Roman" w:eastAsia="仿宋_GB2312" w:cs="Times New Roman"/>
          <w:sz w:val="32"/>
          <w:szCs w:val="32"/>
        </w:rPr>
        <w:t>13.06</w:t>
      </w:r>
      <w:r>
        <w:rPr>
          <w:rFonts w:ascii="Times New Roman" w:hAnsi="Times New Roman" w:eastAsia="仿宋_GB2312" w:cs="Times New Roman"/>
          <w:sz w:val="32"/>
          <w:szCs w:val="32"/>
        </w:rPr>
        <w:t>%，主要包括办公费、电费、邮电费、差旅费、维修（护）费、公务接待费、劳务费、工会经费、福利费、公务用车运行维护费、其他交通费用、其他商品和服务支出。</w:t>
      </w:r>
    </w:p>
    <w:p w14:paraId="22125F51">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104CA48C">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5CA02E2">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default" w:ascii="Times New Roman" w:hAnsi="Times New Roman" w:eastAsia="仿宋_GB2312" w:cs="Times New Roman"/>
          <w:sz w:val="32"/>
          <w:szCs w:val="32"/>
        </w:rPr>
        <w:t>9.50</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9.50</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100</w:t>
      </w:r>
      <w:r>
        <w:rPr>
          <w:rFonts w:ascii="Times New Roman" w:hAnsi="Times New Roman" w:eastAsia="仿宋_GB2312" w:cs="Times New Roman"/>
          <w:sz w:val="32"/>
          <w:szCs w:val="32"/>
        </w:rPr>
        <w:t>%；与上年相比没有发生变化。</w:t>
      </w:r>
    </w:p>
    <w:p w14:paraId="79D0AF3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C3045D8">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ascii="Times New Roman" w:hAnsi="Times New Roman" w:eastAsia="仿宋_GB2312" w:cs="Times New Roman"/>
          <w:sz w:val="32"/>
          <w:szCs w:val="32"/>
        </w:rPr>
        <w:t>1.因公出国（境）费支出预算为</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%；与上年相比没有发生变化。</w:t>
      </w:r>
    </w:p>
    <w:p w14:paraId="0DCD8EB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100</w:t>
      </w:r>
      <w:r>
        <w:rPr>
          <w:rFonts w:ascii="Times New Roman" w:hAnsi="Times New Roman" w:eastAsia="仿宋_GB2312" w:cs="Times New Roman"/>
          <w:sz w:val="32"/>
          <w:szCs w:val="32"/>
        </w:rPr>
        <w:t>%；与上年相比没有发生变化。</w:t>
      </w:r>
    </w:p>
    <w:p w14:paraId="09D2EB3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default" w:ascii="Times New Roman" w:hAnsi="Times New Roman" w:eastAsia="仿宋_GB2312" w:cs="Times New Roman"/>
          <w:sz w:val="32"/>
          <w:szCs w:val="32"/>
        </w:rPr>
        <w:t>6.50</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9.16</w:t>
      </w:r>
      <w:r>
        <w:rPr>
          <w:rFonts w:ascii="Times New Roman" w:hAnsi="Times New Roman" w:eastAsia="仿宋_GB2312" w:cs="Times New Roman"/>
          <w:sz w:val="32"/>
          <w:szCs w:val="32"/>
        </w:rPr>
        <w:t>万元，主要是公务用车运行及维修（护）支出，完成预算的</w:t>
      </w:r>
      <w:r>
        <w:rPr>
          <w:rFonts w:hint="default" w:ascii="Times New Roman" w:hAnsi="Times New Roman" w:eastAsia="仿宋_GB2312" w:cs="Times New Roman"/>
          <w:sz w:val="32"/>
          <w:szCs w:val="32"/>
        </w:rPr>
        <w:t>140.92</w:t>
      </w:r>
      <w:r>
        <w:rPr>
          <w:rFonts w:ascii="Times New Roman" w:hAnsi="Times New Roman" w:eastAsia="仿宋_GB2312" w:cs="Times New Roman"/>
          <w:sz w:val="32"/>
          <w:szCs w:val="32"/>
        </w:rPr>
        <w:t>%；与上年相比增加</w:t>
      </w:r>
      <w:r>
        <w:rPr>
          <w:rFonts w:hint="default" w:ascii="Times New Roman" w:hAnsi="Times New Roman" w:eastAsia="仿宋_GB2312" w:cs="Times New Roman"/>
          <w:sz w:val="32"/>
          <w:szCs w:val="32"/>
        </w:rPr>
        <w:t>1.16</w:t>
      </w:r>
      <w:r>
        <w:rPr>
          <w:rFonts w:ascii="Times New Roman" w:hAnsi="Times New Roman" w:eastAsia="仿宋_GB2312" w:cs="Times New Roman"/>
          <w:sz w:val="32"/>
          <w:szCs w:val="32"/>
        </w:rPr>
        <w:t>万元，增长</w:t>
      </w:r>
      <w:r>
        <w:rPr>
          <w:rFonts w:hint="default" w:ascii="Times New Roman" w:hAnsi="Times New Roman" w:eastAsia="仿宋_GB2312" w:cs="Times New Roman"/>
          <w:sz w:val="32"/>
          <w:szCs w:val="32"/>
        </w:rPr>
        <w:t>14.5</w:t>
      </w:r>
      <w:r>
        <w:rPr>
          <w:rFonts w:ascii="Times New Roman" w:hAnsi="Times New Roman" w:eastAsia="仿宋_GB2312" w:cs="Times New Roman"/>
          <w:sz w:val="32"/>
          <w:szCs w:val="32"/>
        </w:rPr>
        <w:t>%。决算数大于预算数的主要原因是</w:t>
      </w:r>
      <w:r>
        <w:rPr>
          <w:rFonts w:ascii="Times New Roman" w:hAnsi="Times New Roman" w:eastAsia="仿宋_GB2312" w:cs="Times New Roman"/>
          <w:color w:val="auto"/>
          <w:sz w:val="32"/>
          <w:szCs w:val="32"/>
        </w:rPr>
        <w:t>公车使用年限较长，日常维修养护成本增加，以及燃油消耗增加等</w:t>
      </w:r>
      <w:r>
        <w:rPr>
          <w:rFonts w:ascii="Times New Roman" w:hAnsi="Times New Roman" w:eastAsia="仿宋_GB2312" w:cs="Times New Roman"/>
          <w:sz w:val="32"/>
          <w:szCs w:val="32"/>
        </w:rPr>
        <w:t>。</w:t>
      </w:r>
    </w:p>
    <w:p w14:paraId="58CD99D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default" w:ascii="Times New Roman" w:hAnsi="Times New Roman" w:eastAsia="仿宋_GB2312" w:cs="Times New Roman"/>
          <w:sz w:val="32"/>
          <w:szCs w:val="32"/>
        </w:rPr>
        <w:t>2</w:t>
      </w:r>
      <w:r>
        <w:rPr>
          <w:rFonts w:ascii="Times New Roman" w:hAnsi="Times New Roman" w:eastAsia="仿宋_GB2312" w:cs="Times New Roman"/>
          <w:sz w:val="32"/>
          <w:szCs w:val="32"/>
        </w:rPr>
        <w:t>辆。</w:t>
      </w:r>
    </w:p>
    <w:p w14:paraId="0F29AE97">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ascii="Times New Roman" w:hAnsi="Times New Roman" w:eastAsia="仿宋_GB2312" w:cs="Times New Roman"/>
          <w:sz w:val="32"/>
          <w:szCs w:val="32"/>
        </w:rPr>
        <w:t>3.公务接待费支出预算为</w:t>
      </w:r>
      <w:r>
        <w:rPr>
          <w:rFonts w:hint="default" w:ascii="Times New Roman" w:hAnsi="Times New Roman" w:eastAsia="仿宋_GB2312" w:cs="Times New Roman"/>
          <w:sz w:val="32"/>
          <w:szCs w:val="32"/>
        </w:rPr>
        <w:t>3.00</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0.34</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11.33</w:t>
      </w:r>
      <w:r>
        <w:rPr>
          <w:rFonts w:ascii="Times New Roman" w:hAnsi="Times New Roman" w:eastAsia="仿宋_GB2312" w:cs="Times New Roman"/>
          <w:sz w:val="32"/>
          <w:szCs w:val="32"/>
        </w:rPr>
        <w:t>%；与上年相比减少</w:t>
      </w:r>
      <w:r>
        <w:rPr>
          <w:rFonts w:hint="default" w:ascii="Times New Roman" w:hAnsi="Times New Roman" w:eastAsia="仿宋_GB2312" w:cs="Times New Roman"/>
          <w:sz w:val="32"/>
          <w:szCs w:val="32"/>
        </w:rPr>
        <w:t>1.16</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rPr>
        <w:t>77.33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default" w:ascii="Times New Roman" w:hAnsi="Times New Roman" w:eastAsia="仿宋_GB2312" w:cs="Times New Roman"/>
          <w:sz w:val="32"/>
          <w:szCs w:val="32"/>
        </w:rPr>
        <w:t>17</w:t>
      </w:r>
      <w:r>
        <w:rPr>
          <w:rFonts w:ascii="Times New Roman" w:hAnsi="Times New Roman" w:eastAsia="仿宋_GB2312" w:cs="Times New Roman"/>
          <w:sz w:val="32"/>
          <w:szCs w:val="32"/>
        </w:rPr>
        <w:t>个、来宾</w:t>
      </w:r>
      <w:r>
        <w:rPr>
          <w:rFonts w:hint="default" w:ascii="Times New Roman" w:hAnsi="Times New Roman" w:eastAsia="仿宋_GB2312" w:cs="Times New Roman"/>
          <w:sz w:val="32"/>
          <w:szCs w:val="32"/>
        </w:rPr>
        <w:t>85</w:t>
      </w:r>
      <w:r>
        <w:rPr>
          <w:rFonts w:ascii="Times New Roman" w:hAnsi="Times New Roman" w:eastAsia="仿宋_GB2312" w:cs="Times New Roman"/>
          <w:sz w:val="32"/>
          <w:szCs w:val="32"/>
        </w:rPr>
        <w:t>人次</w:t>
      </w:r>
      <w:r>
        <w:rPr>
          <w:rFonts w:ascii="Times New Roman" w:hAnsi="Times New Roman" w:eastAsia="楷体_GB2312" w:cs="Times New Roman"/>
          <w:b/>
          <w:bCs/>
          <w:i/>
          <w:color w:val="auto"/>
          <w:sz w:val="32"/>
          <w:szCs w:val="32"/>
        </w:rPr>
        <w:t>（精确到个位数）</w:t>
      </w:r>
      <w:r>
        <w:rPr>
          <w:rFonts w:ascii="Times New Roman" w:hAnsi="Times New Roman" w:eastAsia="仿宋_GB2312" w:cs="Times New Roman"/>
          <w:sz w:val="32"/>
          <w:szCs w:val="32"/>
        </w:rPr>
        <w:t>，主要是</w:t>
      </w:r>
      <w:r>
        <w:rPr>
          <w:rFonts w:ascii="Times New Roman" w:hAnsi="Times New Roman" w:eastAsia="仿宋_GB2312"/>
          <w:color w:val="auto"/>
          <w:sz w:val="32"/>
          <w:szCs w:val="32"/>
        </w:rPr>
        <w:t>各县市区移民事务中心来怀公务活动</w:t>
      </w:r>
      <w:r>
        <w:rPr>
          <w:rFonts w:hint="eastAsia" w:ascii="Times New Roman" w:hAnsi="Times New Roman" w:eastAsia="仿宋_GB2312"/>
          <w:color w:val="auto"/>
          <w:sz w:val="32"/>
          <w:szCs w:val="32"/>
        </w:rPr>
        <w:t>发生的接待支出。</w:t>
      </w:r>
    </w:p>
    <w:p w14:paraId="395B33A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EA321E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default" w:ascii="Times New Roman" w:hAnsi="Times New Roman" w:eastAsia="仿宋_GB2312" w:cs="Times New Roman"/>
          <w:sz w:val="32"/>
          <w:szCs w:val="32"/>
        </w:rPr>
        <w:t>15.66</w:t>
      </w:r>
      <w:r>
        <w:rPr>
          <w:rFonts w:ascii="Times New Roman" w:hAnsi="Times New Roman" w:eastAsia="仿宋_GB2312" w:cs="Times New Roman"/>
          <w:sz w:val="32"/>
          <w:szCs w:val="32"/>
        </w:rPr>
        <w:t>万元；年初结转和结余</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万元；支出</w:t>
      </w:r>
      <w:r>
        <w:rPr>
          <w:rFonts w:hint="default" w:ascii="Times New Roman" w:hAnsi="Times New Roman" w:eastAsia="仿宋_GB2312" w:cs="Times New Roman"/>
          <w:sz w:val="32"/>
          <w:szCs w:val="32"/>
        </w:rPr>
        <w:t>15.66</w:t>
      </w:r>
      <w:r>
        <w:rPr>
          <w:rFonts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万元，项目支出</w:t>
      </w:r>
      <w:r>
        <w:rPr>
          <w:rFonts w:hint="default" w:ascii="Times New Roman" w:hAnsi="Times New Roman" w:eastAsia="仿宋_GB2312" w:cs="Times New Roman"/>
          <w:sz w:val="32"/>
          <w:szCs w:val="32"/>
        </w:rPr>
        <w:t>15.66</w:t>
      </w:r>
      <w:r>
        <w:rPr>
          <w:rFonts w:ascii="Times New Roman" w:hAnsi="Times New Roman" w:eastAsia="仿宋_GB2312" w:cs="Times New Roman"/>
          <w:sz w:val="32"/>
          <w:szCs w:val="32"/>
        </w:rPr>
        <w:t>万元；年末结转和结余</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万元。具体情况如下：</w:t>
      </w:r>
    </w:p>
    <w:p w14:paraId="6048ADF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1、农林水支出（类）大中型水库移民后期扶持基金支出（款）基础设施建设和经济发展（项）。</w:t>
      </w:r>
    </w:p>
    <w:p w14:paraId="4CBFDD0B">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15.66</w:t>
      </w:r>
      <w:r>
        <w:rPr>
          <w:rFonts w:ascii="Times New Roman" w:hAnsi="Times New Roman" w:eastAsia="仿宋_GB2312" w:cs="Times New Roman"/>
          <w:sz w:val="32"/>
          <w:szCs w:val="32"/>
        </w:rPr>
        <w:t>万元，</w:t>
      </w:r>
      <w:r>
        <w:rPr>
          <w:rFonts w:hint="default" w:ascii="Times New Roman" w:hAnsi="Times New Roman" w:eastAsia="仿宋_GB2312"/>
          <w:color w:val="auto"/>
          <w:sz w:val="32"/>
          <w:szCs w:val="32"/>
        </w:rPr>
        <w:t>由于预算数为0，无法计算百分比</w:t>
      </w:r>
      <w:r>
        <w:rPr>
          <w:rFonts w:hint="eastAsia" w:ascii="Times New Roman" w:hAnsi="Times New Roman" w:eastAsia="仿宋_GB2312"/>
          <w:color w:val="auto"/>
          <w:sz w:val="32"/>
          <w:szCs w:val="32"/>
        </w:rPr>
        <w:t>，</w:t>
      </w:r>
      <w:r>
        <w:rPr>
          <w:rFonts w:ascii="Times New Roman" w:hAnsi="Times New Roman" w:eastAsia="仿宋_GB2312" w:cs="Times New Roman"/>
          <w:sz w:val="32"/>
          <w:szCs w:val="32"/>
        </w:rPr>
        <w:t>决算数大于年初预算数的主要原因是：省级下拨监测评估费</w:t>
      </w:r>
      <w:r>
        <w:rPr>
          <w:rFonts w:hint="default" w:ascii="Times New Roman" w:hAnsi="Times New Roman" w:eastAsia="仿宋_GB2312" w:cs="Times New Roman"/>
          <w:sz w:val="32"/>
          <w:szCs w:val="32"/>
        </w:rPr>
        <w:t>15.66万元。</w:t>
      </w:r>
    </w:p>
    <w:p w14:paraId="69D52C8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B49B7C1">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default" w:ascii="Times New Roman" w:hAnsi="Times New Roman" w:eastAsia="仿宋_GB2312" w:cs="Times New Roman"/>
          <w:sz w:val="32"/>
          <w:szCs w:val="32"/>
        </w:rPr>
        <w:t>50.80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，比上年决算数增加</w:t>
      </w:r>
      <w:r>
        <w:rPr>
          <w:rFonts w:hint="default" w:ascii="Times New Roman" w:hAnsi="Times New Roman" w:eastAsia="仿宋_GB2312" w:cs="Times New Roman"/>
          <w:sz w:val="32"/>
          <w:szCs w:val="32"/>
        </w:rPr>
        <w:t>27.38</w:t>
      </w:r>
      <w:r>
        <w:rPr>
          <w:rFonts w:ascii="Times New Roman" w:hAnsi="Times New Roman" w:eastAsia="仿宋_GB2312" w:cs="Times New Roman"/>
          <w:sz w:val="32"/>
          <w:szCs w:val="32"/>
        </w:rPr>
        <w:t xml:space="preserve"> 万元，增长</w:t>
      </w:r>
      <w:r>
        <w:rPr>
          <w:rFonts w:hint="default" w:ascii="Times New Roman" w:hAnsi="Times New Roman" w:eastAsia="仿宋_GB2312" w:cs="Times New Roman"/>
          <w:sz w:val="32"/>
          <w:szCs w:val="32"/>
        </w:rPr>
        <w:t>116.91</w:t>
      </w:r>
      <w:r>
        <w:rPr>
          <w:rFonts w:ascii="Times New Roman" w:hAnsi="Times New Roman" w:eastAsia="仿宋_GB2312" w:cs="Times New Roman"/>
          <w:sz w:val="32"/>
          <w:szCs w:val="32"/>
        </w:rPr>
        <w:t>%。主要原因是：</w:t>
      </w:r>
      <w:r>
        <w:rPr>
          <w:rFonts w:hint="default" w:ascii="Times New Roman" w:hAnsi="Times New Roman" w:eastAsia="仿宋_GB2312" w:cs="Times New Roman"/>
          <w:sz w:val="32"/>
          <w:szCs w:val="32"/>
        </w:rPr>
        <w:t>2025年人员</w:t>
      </w:r>
      <w:r>
        <w:rPr>
          <w:rFonts w:ascii="Times New Roman" w:hAnsi="Times New Roman" w:eastAsia="仿宋_GB2312" w:cs="Times New Roman"/>
          <w:sz w:val="32"/>
          <w:szCs w:val="32"/>
        </w:rPr>
        <w:t>增加造成的</w:t>
      </w:r>
      <w:r>
        <w:rPr>
          <w:rFonts w:ascii="Times New Roman" w:hAnsi="Times New Roman" w:eastAsia="仿宋_GB2312" w:cs="Times New Roman"/>
          <w:color w:val="auto"/>
          <w:sz w:val="32"/>
          <w:szCs w:val="32"/>
        </w:rPr>
        <w:t>工资性支出、住房公积金、保险、办公成本等都相应增加。</w:t>
      </w:r>
    </w:p>
    <w:p w14:paraId="1827E53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0E44B024">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万元，人数</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人；开支培训费</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万元，人数</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人；举办节庆、晚会、论坛、赛事活动，开支</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w:t>
      </w:r>
    </w:p>
    <w:p w14:paraId="1761B70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CCDA799">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default" w:ascii="Times New Roman" w:hAnsi="Times New Roman" w:eastAsia="仿宋_GB2312" w:cs="Times New Roman"/>
          <w:sz w:val="32"/>
          <w:szCs w:val="32"/>
        </w:rPr>
        <w:t>48.14</w:t>
      </w:r>
      <w:r>
        <w:rPr>
          <w:rFonts w:ascii="Times New Roman" w:hAnsi="Times New Roman" w:eastAsia="仿宋_GB2312" w:cs="Times New Roman"/>
          <w:sz w:val="32"/>
          <w:szCs w:val="32"/>
        </w:rPr>
        <w:t>万元，其中：政府采购货物支出</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万元、政府采购工程支出</w:t>
      </w:r>
      <w:r>
        <w:rPr>
          <w:rFonts w:hint="default" w:ascii="Times New Roman" w:hAnsi="Times New Roman" w:eastAsia="仿宋_GB2312" w:cs="Times New Roman"/>
          <w:sz w:val="32"/>
          <w:szCs w:val="32"/>
        </w:rPr>
        <w:t>0.00</w:t>
      </w:r>
      <w:r>
        <w:rPr>
          <w:rFonts w:ascii="Times New Roman" w:hAnsi="Times New Roman" w:eastAsia="仿宋_GB2312" w:cs="Times New Roman"/>
          <w:sz w:val="32"/>
          <w:szCs w:val="32"/>
        </w:rPr>
        <w:t>万元、政府采购服务支出</w:t>
      </w:r>
      <w:r>
        <w:rPr>
          <w:rFonts w:hint="default" w:ascii="Times New Roman" w:hAnsi="Times New Roman" w:eastAsia="仿宋_GB2312" w:cs="Times New Roman"/>
          <w:sz w:val="32"/>
          <w:szCs w:val="32"/>
        </w:rPr>
        <w:t>48.14</w:t>
      </w:r>
      <w:r>
        <w:rPr>
          <w:rFonts w:ascii="Times New Roman" w:hAnsi="Times New Roman" w:eastAsia="仿宋_GB2312" w:cs="Times New Roman"/>
          <w:sz w:val="32"/>
          <w:szCs w:val="32"/>
        </w:rPr>
        <w:t>万元。授予中小企业合同金额</w:t>
      </w:r>
      <w:r>
        <w:rPr>
          <w:rFonts w:hint="default" w:ascii="Times New Roman" w:hAnsi="Times New Roman" w:eastAsia="仿宋_GB2312" w:cs="Times New Roman"/>
          <w:sz w:val="32"/>
          <w:szCs w:val="32"/>
        </w:rPr>
        <w:t>48.14</w:t>
      </w:r>
      <w:r>
        <w:rPr>
          <w:rFonts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rPr>
        <w:t>100</w:t>
      </w:r>
      <w:r>
        <w:rPr>
          <w:rFonts w:ascii="Times New Roman" w:hAnsi="Times New Roman" w:eastAsia="仿宋_GB2312" w:cs="Times New Roman"/>
          <w:sz w:val="32"/>
          <w:szCs w:val="32"/>
        </w:rPr>
        <w:t>%，其中：授予小微企业合同金额</w:t>
      </w:r>
      <w:r>
        <w:rPr>
          <w:rFonts w:hint="default" w:ascii="Times New Roman" w:hAnsi="Times New Roman" w:eastAsia="仿宋_GB2312" w:cs="Times New Roman"/>
          <w:sz w:val="32"/>
          <w:szCs w:val="32"/>
        </w:rPr>
        <w:t>7.87</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default" w:ascii="Times New Roman" w:hAnsi="Times New Roman" w:eastAsia="仿宋_GB2312" w:cs="Times New Roman"/>
          <w:color w:val="auto"/>
          <w:sz w:val="32"/>
          <w:szCs w:val="32"/>
        </w:rPr>
        <w:t>16.35</w:t>
      </w:r>
      <w:r>
        <w:rPr>
          <w:rFonts w:ascii="Times New Roman" w:hAnsi="Times New Roman" w:eastAsia="仿宋_GB2312" w:cs="Times New Roman"/>
          <w:color w:val="auto"/>
          <w:sz w:val="32"/>
          <w:szCs w:val="32"/>
        </w:rPr>
        <w:t>%。货物采购授予中小企业合同金额占货物支出金额的</w:t>
      </w:r>
      <w:r>
        <w:rPr>
          <w:rFonts w:hint="default" w:ascii="Times New Roman" w:hAnsi="Times New Roman" w:eastAsia="仿宋_GB2312" w:cs="Times New Roman"/>
          <w:color w:val="auto"/>
          <w:sz w:val="32"/>
          <w:szCs w:val="32"/>
        </w:rPr>
        <w:t>0.00</w:t>
      </w:r>
      <w:r>
        <w:rPr>
          <w:rFonts w:ascii="Times New Roman" w:hAnsi="Times New Roman" w:eastAsia="仿宋_GB2312" w:cs="Times New Roman"/>
          <w:color w:val="auto"/>
          <w:sz w:val="32"/>
          <w:szCs w:val="32"/>
        </w:rPr>
        <w:t>%，工程采购授予中小企业合同金额占工程支出金额的</w:t>
      </w:r>
      <w:r>
        <w:rPr>
          <w:rFonts w:hint="default" w:ascii="Times New Roman" w:hAnsi="Times New Roman" w:eastAsia="仿宋_GB2312" w:cs="Times New Roman"/>
          <w:color w:val="auto"/>
          <w:sz w:val="32"/>
          <w:szCs w:val="32"/>
        </w:rPr>
        <w:t>0.00</w:t>
      </w:r>
      <w:r>
        <w:rPr>
          <w:rFonts w:ascii="Times New Roman" w:hAnsi="Times New Roman" w:eastAsia="仿宋_GB2312" w:cs="Times New Roman"/>
          <w:color w:val="auto"/>
          <w:sz w:val="32"/>
          <w:szCs w:val="32"/>
        </w:rPr>
        <w:t>%，服务采购授予中小企业合同金额占服务支出金额的</w:t>
      </w:r>
      <w:r>
        <w:rPr>
          <w:rFonts w:hint="default" w:ascii="Times New Roman" w:hAnsi="Times New Roman" w:eastAsia="仿宋_GB2312" w:cs="Times New Roman"/>
          <w:color w:val="auto"/>
          <w:sz w:val="32"/>
          <w:szCs w:val="32"/>
        </w:rPr>
        <w:t>16.35</w:t>
      </w:r>
      <w:r>
        <w:rPr>
          <w:rFonts w:ascii="Times New Roman" w:hAnsi="Times New Roman" w:eastAsia="仿宋_GB2312" w:cs="Times New Roman"/>
          <w:color w:val="auto"/>
          <w:sz w:val="32"/>
          <w:szCs w:val="32"/>
        </w:rPr>
        <w:t>%。</w:t>
      </w:r>
    </w:p>
    <w:p w14:paraId="3A6FE829">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1C86462">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default"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辆，其中，副部（省）级及以上领导用车</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default"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辆、应急保障用车</w:t>
      </w:r>
      <w:r>
        <w:rPr>
          <w:rFonts w:hint="default"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辆、执法执勤用车</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辆；单位价值100万元以上设备（不含车辆）</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0F8E908C">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021098C5">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default" w:ascii="Times New Roman" w:hAnsi="Times New Roman" w:eastAsia="仿宋_GB2312" w:cs="Times New Roman"/>
          <w:kern w:val="0"/>
          <w:sz w:val="32"/>
          <w:szCs w:val="32"/>
        </w:rPr>
        <w:t>4</w:t>
      </w:r>
      <w:r>
        <w:rPr>
          <w:rFonts w:ascii="Times New Roman" w:hAnsi="Times New Roman" w:eastAsia="仿宋_GB2312" w:cs="Times New Roman"/>
          <w:kern w:val="0"/>
          <w:sz w:val="32"/>
          <w:szCs w:val="32"/>
        </w:rPr>
        <w:t>个，共涉及资金</w:t>
      </w:r>
      <w:r>
        <w:rPr>
          <w:rFonts w:hint="default" w:ascii="Times New Roman" w:hAnsi="Times New Roman" w:eastAsia="仿宋_GB2312" w:cs="Times New Roman"/>
          <w:kern w:val="0"/>
          <w:sz w:val="32"/>
          <w:szCs w:val="32"/>
        </w:rPr>
        <w:t>139.34</w:t>
      </w:r>
      <w:r>
        <w:rPr>
          <w:rFonts w:ascii="Times New Roman" w:hAnsi="Times New Roman" w:eastAsia="仿宋_GB2312" w:cs="Times New Roman"/>
          <w:kern w:val="0"/>
          <w:sz w:val="32"/>
          <w:szCs w:val="32"/>
        </w:rPr>
        <w:t>万元。其中，一般公共预算项目</w:t>
      </w:r>
      <w:r>
        <w:rPr>
          <w:rFonts w:hint="default" w:ascii="Times New Roman" w:hAnsi="Times New Roman" w:eastAsia="仿宋_GB2312" w:cs="Times New Roman"/>
          <w:kern w:val="0"/>
          <w:sz w:val="32"/>
          <w:szCs w:val="32"/>
        </w:rPr>
        <w:t>2</w:t>
      </w:r>
      <w:r>
        <w:rPr>
          <w:rFonts w:ascii="Times New Roman" w:hAnsi="Times New Roman" w:eastAsia="仿宋_GB2312" w:cs="Times New Roman"/>
          <w:kern w:val="0"/>
          <w:sz w:val="32"/>
          <w:szCs w:val="32"/>
        </w:rPr>
        <w:t xml:space="preserve"> 个</w:t>
      </w:r>
      <w:r>
        <w:rPr>
          <w:rFonts w:hint="default" w:ascii="Times New Roman" w:hAnsi="Times New Roman" w:eastAsia="仿宋_GB2312" w:cs="Times New Roman"/>
          <w:kern w:val="0"/>
          <w:sz w:val="32"/>
          <w:szCs w:val="32"/>
        </w:rPr>
        <w:t>72.48</w:t>
      </w:r>
      <w:r>
        <w:rPr>
          <w:rFonts w:ascii="Times New Roman" w:hAnsi="Times New Roman" w:eastAsia="仿宋_GB2312" w:cs="Times New Roman"/>
          <w:kern w:val="0"/>
          <w:sz w:val="32"/>
          <w:szCs w:val="32"/>
        </w:rPr>
        <w:t xml:space="preserve"> 万元，占一般公共预算支出总额的</w:t>
      </w:r>
      <w:r>
        <w:rPr>
          <w:rFonts w:hint="default" w:ascii="Times New Roman" w:hAnsi="Times New Roman" w:eastAsia="仿宋_GB2312" w:cs="Times New Roman"/>
          <w:kern w:val="0"/>
          <w:sz w:val="32"/>
          <w:szCs w:val="32"/>
        </w:rPr>
        <w:t>14.65</w:t>
      </w:r>
      <w:r>
        <w:rPr>
          <w:rFonts w:ascii="Times New Roman" w:hAnsi="Times New Roman" w:eastAsia="仿宋_GB2312" w:cs="Times New Roman"/>
          <w:kern w:val="0"/>
          <w:sz w:val="32"/>
          <w:szCs w:val="32"/>
        </w:rPr>
        <w:t>%；政府性基金预算项目</w:t>
      </w:r>
      <w:r>
        <w:rPr>
          <w:rFonts w:hint="default" w:ascii="Times New Roman" w:hAnsi="Times New Roman" w:eastAsia="仿宋_GB2312" w:cs="Times New Roman"/>
          <w:kern w:val="0"/>
          <w:sz w:val="32"/>
          <w:szCs w:val="32"/>
        </w:rPr>
        <w:t>1</w:t>
      </w:r>
      <w:r>
        <w:rPr>
          <w:rFonts w:ascii="Times New Roman" w:hAnsi="Times New Roman" w:eastAsia="仿宋_GB2312" w:cs="Times New Roman"/>
          <w:kern w:val="0"/>
          <w:sz w:val="32"/>
          <w:szCs w:val="32"/>
        </w:rPr>
        <w:t xml:space="preserve"> 个</w:t>
      </w:r>
      <w:r>
        <w:rPr>
          <w:rFonts w:hint="default" w:ascii="Times New Roman" w:hAnsi="Times New Roman" w:eastAsia="仿宋_GB2312" w:cs="Times New Roman"/>
          <w:kern w:val="0"/>
          <w:sz w:val="32"/>
          <w:szCs w:val="32"/>
        </w:rPr>
        <w:t>15.66</w:t>
      </w:r>
      <w:r>
        <w:rPr>
          <w:rFonts w:ascii="Times New Roman" w:hAnsi="Times New Roman" w:eastAsia="仿宋_GB2312" w:cs="Times New Roman"/>
          <w:kern w:val="0"/>
          <w:sz w:val="32"/>
          <w:szCs w:val="32"/>
        </w:rPr>
        <w:t xml:space="preserve"> 万元，占政府性基金预算支出总额的</w:t>
      </w:r>
      <w:r>
        <w:rPr>
          <w:rFonts w:hint="default" w:ascii="Times New Roman" w:hAnsi="Times New Roman" w:eastAsia="仿宋_GB2312" w:cs="Times New Roman"/>
          <w:kern w:val="0"/>
          <w:sz w:val="32"/>
          <w:szCs w:val="32"/>
        </w:rPr>
        <w:t>100</w:t>
      </w:r>
      <w:r>
        <w:rPr>
          <w:rFonts w:ascii="Times New Roman" w:hAnsi="Times New Roman" w:eastAsia="仿宋_GB2312" w:cs="Times New Roman"/>
          <w:kern w:val="0"/>
          <w:sz w:val="32"/>
          <w:szCs w:val="32"/>
        </w:rPr>
        <w:t>%；国有资本经营预算项目</w:t>
      </w:r>
      <w:r>
        <w:rPr>
          <w:rFonts w:hint="default"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default" w:ascii="Times New Roman" w:hAnsi="Times New Roman" w:eastAsia="仿宋_GB2312" w:cs="Times New Roman"/>
          <w:kern w:val="0"/>
          <w:sz w:val="32"/>
          <w:szCs w:val="32"/>
        </w:rPr>
        <w:t>0.00</w:t>
      </w:r>
      <w:r>
        <w:rPr>
          <w:rFonts w:ascii="Times New Roman" w:hAnsi="Times New Roman" w:eastAsia="仿宋_GB2312" w:cs="Times New Roman"/>
          <w:kern w:val="0"/>
          <w:sz w:val="32"/>
          <w:szCs w:val="32"/>
        </w:rPr>
        <w:t xml:space="preserve"> 万元，占国有资本经营预算支出总额的</w:t>
      </w:r>
      <w:r>
        <w:rPr>
          <w:rFonts w:hint="default" w:ascii="Times New Roman" w:hAnsi="Times New Roman" w:eastAsia="仿宋_GB2312" w:cs="Times New Roman"/>
          <w:kern w:val="0"/>
          <w:sz w:val="32"/>
          <w:szCs w:val="32"/>
        </w:rPr>
        <w:t>100</w:t>
      </w:r>
      <w:r>
        <w:rPr>
          <w:rFonts w:ascii="Times New Roman" w:hAnsi="Times New Roman" w:eastAsia="仿宋_GB2312" w:cs="Times New Roman"/>
          <w:kern w:val="0"/>
          <w:sz w:val="32"/>
          <w:szCs w:val="32"/>
        </w:rPr>
        <w:t>%；社会保险基金预算项目</w:t>
      </w:r>
      <w:r>
        <w:rPr>
          <w:rFonts w:hint="default"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default" w:ascii="Times New Roman" w:hAnsi="Times New Roman" w:eastAsia="仿宋_GB2312" w:cs="Times New Roman"/>
          <w:kern w:val="0"/>
          <w:sz w:val="32"/>
          <w:szCs w:val="32"/>
        </w:rPr>
        <w:t>0.00</w:t>
      </w:r>
      <w:r>
        <w:rPr>
          <w:rFonts w:ascii="Times New Roman" w:hAnsi="Times New Roman" w:eastAsia="仿宋_GB2312" w:cs="Times New Roman"/>
          <w:kern w:val="0"/>
          <w:sz w:val="32"/>
          <w:szCs w:val="32"/>
        </w:rPr>
        <w:t xml:space="preserve"> 万元，占社会保险基金预算支出总额的</w:t>
      </w:r>
      <w:r>
        <w:rPr>
          <w:rFonts w:hint="default" w:ascii="Times New Roman" w:hAnsi="Times New Roman" w:eastAsia="仿宋_GB2312" w:cs="Times New Roman"/>
          <w:kern w:val="0"/>
          <w:sz w:val="32"/>
          <w:szCs w:val="32"/>
        </w:rPr>
        <w:t>100</w:t>
      </w:r>
      <w:r>
        <w:rPr>
          <w:rFonts w:ascii="Times New Roman" w:hAnsi="Times New Roman" w:eastAsia="仿宋_GB2312" w:cs="Times New Roman"/>
          <w:kern w:val="0"/>
          <w:sz w:val="32"/>
          <w:szCs w:val="32"/>
        </w:rPr>
        <w:t>%；其他收入项目</w:t>
      </w:r>
      <w:r>
        <w:rPr>
          <w:rFonts w:hint="default" w:ascii="Times New Roman" w:hAnsi="Times New Roman" w:eastAsia="仿宋_GB2312" w:cs="Times New Roman"/>
          <w:kern w:val="0"/>
          <w:sz w:val="32"/>
          <w:szCs w:val="32"/>
        </w:rPr>
        <w:t>1个51.20万元，占非财政拨款支出总额的100%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年度“后扶维稳工作经费”“</w:t>
      </w:r>
      <w:r>
        <w:rPr>
          <w:rFonts w:ascii="Times New Roman" w:hAnsi="Times New Roman" w:eastAsia="仿宋_GB2312" w:cs="Times New Roman"/>
          <w:sz w:val="32"/>
          <w:szCs w:val="32"/>
        </w:rPr>
        <w:t>移民运转经费</w:t>
      </w:r>
      <w:r>
        <w:rPr>
          <w:rFonts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rPr>
        <w:t>2024年监测评估费</w:t>
      </w:r>
      <w:r>
        <w:rPr>
          <w:rFonts w:ascii="Times New Roman" w:hAnsi="Times New Roman" w:eastAsia="仿宋_GB2312" w:cs="Times New Roman"/>
          <w:kern w:val="0"/>
          <w:sz w:val="32"/>
          <w:szCs w:val="32"/>
        </w:rPr>
        <w:t>”和“监测评估费”等</w:t>
      </w:r>
      <w:r>
        <w:rPr>
          <w:rFonts w:hint="default" w:ascii="Times New Roman" w:hAnsi="Times New Roman" w:eastAsia="仿宋_GB2312" w:cs="Times New Roman"/>
          <w:sz w:val="32"/>
          <w:szCs w:val="32"/>
        </w:rPr>
        <w:t>4</w:t>
      </w:r>
      <w:r>
        <w:rPr>
          <w:rFonts w:ascii="Times New Roman" w:hAnsi="Times New Roman" w:eastAsia="仿宋_GB2312" w:cs="Times New Roman"/>
          <w:kern w:val="0"/>
          <w:sz w:val="32"/>
          <w:szCs w:val="32"/>
        </w:rPr>
        <w:t>个项目开展了部门评价，涉及一般公共预算支出</w:t>
      </w:r>
      <w:r>
        <w:rPr>
          <w:rFonts w:hint="default" w:ascii="Times New Roman" w:hAnsi="Times New Roman" w:eastAsia="仿宋_GB2312" w:cs="Times New Roman"/>
          <w:sz w:val="32"/>
          <w:szCs w:val="32"/>
        </w:rPr>
        <w:t>72.48</w:t>
      </w:r>
      <w:r>
        <w:rPr>
          <w:rFonts w:ascii="Times New Roman" w:hAnsi="Times New Roman" w:eastAsia="仿宋_GB2312" w:cs="Times New Roman"/>
          <w:kern w:val="0"/>
          <w:sz w:val="32"/>
          <w:szCs w:val="32"/>
        </w:rPr>
        <w:t>万元，政府性基金预算支出</w:t>
      </w:r>
      <w:r>
        <w:rPr>
          <w:rFonts w:hint="default" w:ascii="Times New Roman" w:hAnsi="Times New Roman" w:eastAsia="仿宋_GB2312" w:cs="Times New Roman"/>
          <w:sz w:val="32"/>
          <w:szCs w:val="32"/>
        </w:rPr>
        <w:t>15.66</w:t>
      </w:r>
      <w:r>
        <w:rPr>
          <w:rFonts w:ascii="Times New Roman" w:hAnsi="Times New Roman" w:eastAsia="仿宋_GB2312" w:cs="Times New Roman"/>
          <w:kern w:val="0"/>
          <w:sz w:val="32"/>
          <w:szCs w:val="32"/>
        </w:rPr>
        <w:t>万元，国有资本经营预算支出</w:t>
      </w:r>
      <w:r>
        <w:rPr>
          <w:rFonts w:hint="default" w:ascii="Times New Roman" w:hAnsi="Times New Roman" w:eastAsia="仿宋_GB2312" w:cs="Times New Roman"/>
          <w:sz w:val="32"/>
          <w:szCs w:val="32"/>
        </w:rPr>
        <w:t>0</w:t>
      </w:r>
      <w:r>
        <w:rPr>
          <w:rFonts w:ascii="Times New Roman" w:hAnsi="Times New Roman" w:eastAsia="仿宋_GB2312" w:cs="Times New Roman"/>
          <w:kern w:val="0"/>
          <w:sz w:val="32"/>
          <w:szCs w:val="32"/>
        </w:rPr>
        <w:t>万元，社会保险基金预算支出</w:t>
      </w:r>
      <w:r>
        <w:rPr>
          <w:rFonts w:hint="default" w:ascii="Times New Roman" w:hAnsi="Times New Roman" w:eastAsia="仿宋_GB2312" w:cs="Times New Roman"/>
          <w:sz w:val="32"/>
          <w:szCs w:val="32"/>
        </w:rPr>
        <w:t>0</w:t>
      </w:r>
      <w:r>
        <w:rPr>
          <w:rFonts w:ascii="Times New Roman" w:hAnsi="Times New Roman" w:eastAsia="仿宋_GB2312" w:cs="Times New Roman"/>
          <w:kern w:val="0"/>
          <w:sz w:val="32"/>
          <w:szCs w:val="32"/>
        </w:rPr>
        <w:t>万元，其他收入</w:t>
      </w:r>
      <w:r>
        <w:rPr>
          <w:rFonts w:hint="default" w:ascii="Times New Roman" w:hAnsi="Times New Roman" w:eastAsia="仿宋_GB2312" w:cs="Times New Roman"/>
          <w:kern w:val="0"/>
          <w:sz w:val="32"/>
          <w:szCs w:val="32"/>
        </w:rPr>
        <w:t>42.50万元</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default" w:ascii="Times New Roman" w:hAnsi="Times New Roman" w:eastAsia="仿宋_GB2312" w:cs="Times New Roman"/>
          <w:sz w:val="32"/>
          <w:szCs w:val="32"/>
        </w:rPr>
        <w:t>0</w:t>
      </w:r>
      <w:r>
        <w:rPr>
          <w:rFonts w:ascii="Times New Roman" w:hAnsi="Times New Roman" w:eastAsia="仿宋_GB2312" w:cs="Times New Roman"/>
          <w:kern w:val="0"/>
          <w:sz w:val="32"/>
          <w:szCs w:val="32"/>
        </w:rPr>
        <w:t>个新增重大政策和</w:t>
      </w:r>
      <w:r>
        <w:rPr>
          <w:rFonts w:hint="default" w:ascii="Times New Roman" w:hAnsi="Times New Roman" w:eastAsia="仿宋_GB2312" w:cs="Times New Roman"/>
          <w:sz w:val="32"/>
          <w:szCs w:val="32"/>
        </w:rPr>
        <w:t>4</w:t>
      </w:r>
      <w:r>
        <w:rPr>
          <w:rFonts w:ascii="Times New Roman" w:hAnsi="Times New Roman" w:eastAsia="仿宋_GB2312" w:cs="Times New Roman"/>
          <w:kern w:val="0"/>
          <w:sz w:val="32"/>
          <w:szCs w:val="32"/>
        </w:rPr>
        <w:t>个重大项目开展事前绩效评估，共涉及资金</w:t>
      </w:r>
      <w:r>
        <w:rPr>
          <w:rFonts w:hint="default" w:ascii="Times New Roman" w:hAnsi="Times New Roman" w:eastAsia="仿宋_GB2312" w:cs="Times New Roman"/>
          <w:kern w:val="0"/>
          <w:sz w:val="32"/>
          <w:szCs w:val="32"/>
        </w:rPr>
        <w:t>139.34</w:t>
      </w:r>
      <w:r>
        <w:rPr>
          <w:rFonts w:ascii="Times New Roman" w:hAnsi="Times New Roman" w:eastAsia="仿宋_GB2312" w:cs="Times New Roman"/>
          <w:kern w:val="0"/>
          <w:sz w:val="32"/>
          <w:szCs w:val="32"/>
        </w:rPr>
        <w:t>万元。</w:t>
      </w:r>
    </w:p>
    <w:p w14:paraId="2B1D6068">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600" w:lineRule="exact"/>
        <w:ind w:right="0" w:rightChars="0" w:firstLine="640" w:firstLineChars="200"/>
        <w:textAlignment w:val="auto"/>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default" w:ascii="Times New Roman" w:hAnsi="Times New Roman" w:eastAsia="仿宋_GB2312" w:cs="Times New Roman"/>
          <w:sz w:val="32"/>
          <w:szCs w:val="32"/>
        </w:rPr>
        <w:t>552.92</w:t>
      </w:r>
      <w:r>
        <w:rPr>
          <w:rFonts w:ascii="Times New Roman" w:hAnsi="Times New Roman" w:eastAsia="仿宋_GB2312" w:cs="Times New Roman"/>
          <w:sz w:val="32"/>
          <w:szCs w:val="32"/>
        </w:rPr>
        <w:t>万元，执行数</w:t>
      </w:r>
      <w:r>
        <w:rPr>
          <w:rFonts w:hint="default" w:ascii="Times New Roman" w:hAnsi="Times New Roman" w:eastAsia="仿宋_GB2312" w:cs="Times New Roman"/>
          <w:sz w:val="32"/>
          <w:szCs w:val="32"/>
        </w:rPr>
        <w:t>552.92</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default" w:ascii="Times New Roman" w:hAnsi="Times New Roman" w:eastAsia="仿宋_GB2312" w:cs="Times New Roman"/>
          <w:sz w:val="32"/>
          <w:szCs w:val="32"/>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“优秀”。绩效目标完成情况：一是</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切实规范移民安置管理，有效抓好移民安置验收工作，抓实遗留问题调处力度</w:t>
      </w:r>
      <w:r>
        <w:rPr>
          <w:rFonts w:ascii="Times New Roman" w:hAnsi="Times New Roman" w:eastAsia="仿宋_GB2312" w:cs="Times New Roman"/>
          <w:sz w:val="32"/>
          <w:szCs w:val="32"/>
        </w:rPr>
        <w:t>；二是</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拓展移民后期扶持工作，有效加快移民美丽家园建设，扎实推进后扶项目实施，全力促进移民产业发展，提升移民培训效果，加强移民后扶信息管理，抓实移民直补资金“一卡通”发放工作，抓好移民返乡创业工作</w:t>
      </w:r>
      <w:r>
        <w:rPr>
          <w:rFonts w:hint="default" w:ascii="仿宋" w:hAnsi="仿宋" w:eastAsia="仿宋" w:cs="仿宋"/>
          <w:b w:val="0"/>
          <w:bCs w:val="0"/>
          <w:color w:val="000000" w:themeColor="text1"/>
          <w:spacing w:val="11"/>
          <w:sz w:val="32"/>
          <w:szCs w:val="32"/>
          <w:highlight w:val="none"/>
          <w:lang w:eastAsia="zh-CN"/>
          <w14:textFill>
            <w14:solidFill>
              <w14:schemeClr w14:val="tx1"/>
            </w14:solidFill>
          </w14:textFill>
        </w:rPr>
        <w:t>；三是</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规范移民资金项目管理，提升移民资金使用效益，持续化解存量资金，加强项目资金监管，强化项目管理</w:t>
      </w:r>
      <w:r>
        <w:rPr>
          <w:rFonts w:hint="default" w:ascii="仿宋" w:hAnsi="仿宋" w:eastAsia="仿宋" w:cs="仿宋"/>
          <w:b w:val="0"/>
          <w:bCs w:val="0"/>
          <w:color w:val="000000" w:themeColor="text1"/>
          <w:spacing w:val="11"/>
          <w:sz w:val="32"/>
          <w:szCs w:val="32"/>
          <w:highlight w:val="none"/>
          <w:lang w:eastAsia="zh-CN"/>
          <w14:textFill>
            <w14:solidFill>
              <w14:schemeClr w14:val="tx1"/>
            </w14:solidFill>
          </w14:textFill>
        </w:rPr>
        <w:t>；四是</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抓实库区移民信访工作，确保库区经济社会稳定</w:t>
      </w:r>
      <w:r>
        <w:rPr>
          <w:rFonts w:ascii="Times New Roman" w:hAnsi="Times New Roman" w:eastAsia="仿宋_GB2312" w:cs="Times New Roman"/>
          <w:sz w:val="32"/>
          <w:szCs w:val="32"/>
        </w:rPr>
        <w:t>。发现的主要问题及原因：一是</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全面预算绩效管理工作经验不太丰富，绩效管理专业人员匮乏，规范管理有盲点</w:t>
      </w:r>
      <w:r>
        <w:rPr>
          <w:rFonts w:ascii="Times New Roman" w:hAnsi="Times New Roman" w:eastAsia="仿宋_GB2312" w:cs="Times New Roman"/>
          <w:sz w:val="32"/>
          <w:szCs w:val="32"/>
        </w:rPr>
        <w:t>；二是</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部门预算编制的科学化、精细化有待提高。目前，预算编制要求经济科目细化到款级，但在实际编制过程中，由于有的预算支出项目具有预测性和不确定性等特点，造成实际支出与预算编制不太相符</w:t>
      </w:r>
      <w:r>
        <w:rPr>
          <w:rFonts w:ascii="Times New Roman" w:hAnsi="Times New Roman" w:eastAsia="仿宋_GB2312" w:cs="Times New Roman"/>
          <w:sz w:val="32"/>
          <w:szCs w:val="32"/>
        </w:rPr>
        <w:t>。下一步改进措施：一是</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将更加全面、细致地制定绩效目标，进一步严肃财经纪律，在实施过程中遵循“实事求是、尊重客观、力求精准”的原则，努力使项目资金落到实处</w:t>
      </w:r>
      <w:r>
        <w:rPr>
          <w:rFonts w:ascii="Times New Roman" w:hAnsi="Times New Roman" w:eastAsia="仿宋_GB2312" w:cs="Times New Roman"/>
          <w:sz w:val="32"/>
          <w:szCs w:val="32"/>
        </w:rPr>
        <w:t>；二是</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将落实内控制度，严肃执行“三重一大”的原则，深入开展政府购买社会化服务，切实引进社会化竞争机制，引进相关专业人才，保障项目在公开、公平、公正的监督环境中实施，有效节约项目资金，把有限的资金用在刀刃上</w:t>
      </w:r>
      <w:r>
        <w:rPr>
          <w:rFonts w:hint="default" w:ascii="仿宋" w:hAnsi="仿宋" w:eastAsia="仿宋" w:cs="仿宋"/>
          <w:b w:val="0"/>
          <w:bCs w:val="0"/>
          <w:color w:val="000000" w:themeColor="text1"/>
          <w:spacing w:val="11"/>
          <w:sz w:val="32"/>
          <w:szCs w:val="32"/>
          <w:highlight w:val="none"/>
          <w:lang w:eastAsia="zh-CN"/>
          <w14:textFill>
            <w14:solidFill>
              <w14:schemeClr w14:val="tx1"/>
            </w14:solidFill>
          </w14:textFill>
        </w:rPr>
        <w:t>；三是</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加强对财政资金的拨付和使用管理，加强对财务干部职工的业务培训，强化预算管理意识，严格执行预算，做到专账核算，确保专款专用</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二是部门评价结果。</w:t>
      </w:r>
      <w:r>
        <w:rPr>
          <w:rFonts w:hint="default" w:ascii="仿宋" w:hAnsi="仿宋" w:eastAsia="仿宋" w:cs="仿宋"/>
          <w:i w:val="0"/>
          <w:iCs w:val="0"/>
          <w:caps w:val="0"/>
          <w:color w:val="000000"/>
          <w:spacing w:val="6"/>
          <w:kern w:val="0"/>
          <w:sz w:val="32"/>
          <w:szCs w:val="32"/>
          <w:shd w:val="clear" w:color="auto" w:fill="FFFFFF"/>
          <w:lang w:eastAsia="zh-CN" w:bidi="ar"/>
        </w:rPr>
        <w:t>1、</w:t>
      </w:r>
      <w:r>
        <w:rPr>
          <w:rFonts w:hint="eastAsia" w:ascii="仿宋" w:hAnsi="仿宋" w:eastAsia="仿宋" w:cs="仿宋"/>
          <w:i w:val="0"/>
          <w:iCs w:val="0"/>
          <w:caps w:val="0"/>
          <w:color w:val="000000"/>
          <w:spacing w:val="6"/>
          <w:kern w:val="0"/>
          <w:sz w:val="32"/>
          <w:szCs w:val="32"/>
          <w:shd w:val="clear" w:color="auto" w:fill="FFFFFF"/>
          <w:lang w:val="en-US" w:eastAsia="zh-CN" w:bidi="ar"/>
        </w:rPr>
        <w:t>2025年后扶维稳工作经费</w:t>
      </w:r>
      <w:r>
        <w:rPr>
          <w:rFonts w:ascii="Times New Roman" w:hAnsi="Times New Roman" w:eastAsia="仿宋_GB2312" w:cs="Times New Roman"/>
          <w:sz w:val="32"/>
          <w:szCs w:val="32"/>
        </w:rPr>
        <w:t>项目全年预算数</w:t>
      </w:r>
      <w:r>
        <w:rPr>
          <w:rFonts w:hint="default" w:ascii="Times New Roman" w:hAnsi="Times New Roman" w:eastAsia="仿宋_GB2312" w:cs="Times New Roman"/>
          <w:sz w:val="32"/>
          <w:szCs w:val="32"/>
        </w:rPr>
        <w:t>30</w:t>
      </w:r>
      <w:r>
        <w:rPr>
          <w:rFonts w:ascii="Times New Roman" w:hAnsi="Times New Roman" w:eastAsia="仿宋_GB2312" w:cs="Times New Roman"/>
          <w:sz w:val="32"/>
          <w:szCs w:val="32"/>
        </w:rPr>
        <w:t>万元，执行数</w:t>
      </w:r>
      <w:r>
        <w:rPr>
          <w:rFonts w:hint="default" w:ascii="Times New Roman" w:hAnsi="Times New Roman" w:eastAsia="仿宋_GB2312" w:cs="Times New Roman"/>
          <w:sz w:val="32"/>
          <w:szCs w:val="32"/>
        </w:rPr>
        <w:t>29.98</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99.93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default" w:ascii="Times New Roman" w:hAnsi="Times New Roman" w:eastAsia="仿宋_GB2312" w:cs="Times New Roman"/>
          <w:sz w:val="32"/>
          <w:szCs w:val="32"/>
        </w:rPr>
        <w:t>98</w:t>
      </w:r>
      <w:r>
        <w:rPr>
          <w:rFonts w:ascii="Times New Roman" w:hAnsi="Times New Roman" w:eastAsia="仿宋_GB2312" w:cs="Times New Roman"/>
          <w:sz w:val="32"/>
          <w:szCs w:val="32"/>
        </w:rPr>
        <w:t>分，评价等级为“优秀”。发现的主要问题及原因：一是</w:t>
      </w:r>
      <w:r>
        <w:rPr>
          <w:rFonts w:hint="eastAsia" w:ascii="仿宋" w:hAnsi="仿宋" w:eastAsia="仿宋" w:cs="仿宋"/>
          <w:i w:val="0"/>
          <w:iCs w:val="0"/>
          <w:caps w:val="0"/>
          <w:color w:val="000000"/>
          <w:spacing w:val="11"/>
          <w:kern w:val="0"/>
          <w:sz w:val="32"/>
          <w:szCs w:val="32"/>
          <w:shd w:val="clear" w:color="auto" w:fill="FFFFFF"/>
          <w:lang w:val="en-US" w:eastAsia="zh-CN" w:bidi="ar"/>
        </w:rPr>
        <w:t>评价体系有待完善</w:t>
      </w:r>
      <w:r>
        <w:rPr>
          <w:rFonts w:ascii="Times New Roman" w:hAnsi="Times New Roman" w:eastAsia="仿宋_GB2312" w:cs="Times New Roman"/>
          <w:sz w:val="32"/>
          <w:szCs w:val="32"/>
        </w:rPr>
        <w:t>；二是</w:t>
      </w:r>
      <w:r>
        <w:rPr>
          <w:rFonts w:hint="eastAsia" w:ascii="仿宋" w:hAnsi="仿宋" w:eastAsia="仿宋" w:cs="仿宋"/>
          <w:i w:val="0"/>
          <w:iCs w:val="0"/>
          <w:caps w:val="0"/>
          <w:color w:val="000000"/>
          <w:spacing w:val="11"/>
          <w:kern w:val="0"/>
          <w:sz w:val="32"/>
          <w:szCs w:val="32"/>
          <w:shd w:val="clear" w:color="auto" w:fill="FFFFFF"/>
          <w:lang w:val="en-US" w:eastAsia="zh-CN" w:bidi="ar"/>
        </w:rPr>
        <w:t>数据收集与分析存在局限性</w:t>
      </w:r>
      <w:r>
        <w:rPr>
          <w:rFonts w:hint="default" w:ascii="仿宋" w:hAnsi="仿宋" w:eastAsia="仿宋" w:cs="仿宋"/>
          <w:i w:val="0"/>
          <w:iCs w:val="0"/>
          <w:caps w:val="0"/>
          <w:color w:val="000000"/>
          <w:spacing w:val="11"/>
          <w:kern w:val="0"/>
          <w:sz w:val="32"/>
          <w:szCs w:val="32"/>
          <w:shd w:val="clear" w:color="auto" w:fill="FFFFFF"/>
          <w:lang w:eastAsia="zh-CN" w:bidi="ar"/>
        </w:rPr>
        <w:t>；三是</w:t>
      </w:r>
      <w:r>
        <w:rPr>
          <w:rFonts w:hint="eastAsia" w:ascii="仿宋" w:hAnsi="仿宋" w:eastAsia="仿宋" w:cs="仿宋"/>
          <w:i w:val="0"/>
          <w:iCs w:val="0"/>
          <w:caps w:val="0"/>
          <w:color w:val="000000"/>
          <w:spacing w:val="11"/>
          <w:kern w:val="0"/>
          <w:sz w:val="32"/>
          <w:szCs w:val="32"/>
          <w:shd w:val="clear" w:color="auto" w:fill="FFFFFF"/>
          <w:lang w:val="en-US" w:eastAsia="zh-CN" w:bidi="ar"/>
        </w:rPr>
        <w:t>部门间协作与沟通不够顺畅</w:t>
      </w:r>
      <w:r>
        <w:rPr>
          <w:rFonts w:hint="default" w:ascii="仿宋" w:hAnsi="仿宋" w:eastAsia="仿宋" w:cs="仿宋"/>
          <w:i w:val="0"/>
          <w:iCs w:val="0"/>
          <w:caps w:val="0"/>
          <w:color w:val="000000"/>
          <w:spacing w:val="11"/>
          <w:kern w:val="0"/>
          <w:sz w:val="32"/>
          <w:szCs w:val="32"/>
          <w:shd w:val="clear" w:color="auto" w:fill="FFFFFF"/>
          <w:lang w:eastAsia="zh-CN" w:bidi="ar"/>
        </w:rPr>
        <w:t>；四是</w:t>
      </w:r>
      <w:r>
        <w:rPr>
          <w:rFonts w:hint="eastAsia" w:ascii="仿宋" w:hAnsi="仿宋" w:eastAsia="仿宋" w:cs="仿宋"/>
          <w:i w:val="0"/>
          <w:iCs w:val="0"/>
          <w:caps w:val="0"/>
          <w:color w:val="000000"/>
          <w:spacing w:val="11"/>
          <w:kern w:val="0"/>
          <w:sz w:val="32"/>
          <w:szCs w:val="32"/>
          <w:shd w:val="clear" w:color="auto" w:fill="FFFFFF"/>
          <w:lang w:val="en-US" w:eastAsia="zh-CN" w:bidi="ar"/>
        </w:rPr>
        <w:t>反馈与改进机制尚需加强</w:t>
      </w:r>
      <w:r>
        <w:rPr>
          <w:rFonts w:ascii="Times New Roman" w:hAnsi="Times New Roman" w:eastAsia="仿宋_GB2312" w:cs="Times New Roman"/>
          <w:sz w:val="32"/>
          <w:szCs w:val="32"/>
        </w:rPr>
        <w:t>。下一步改进措施：一是</w:t>
      </w:r>
      <w:r>
        <w:rPr>
          <w:rFonts w:hint="eastAsia" w:ascii="仿宋" w:hAnsi="仿宋" w:eastAsia="仿宋" w:cs="仿宋"/>
          <w:i w:val="0"/>
          <w:iCs w:val="0"/>
          <w:caps w:val="0"/>
          <w:color w:val="000000"/>
          <w:spacing w:val="11"/>
          <w:kern w:val="0"/>
          <w:sz w:val="32"/>
          <w:szCs w:val="32"/>
          <w:shd w:val="clear" w:color="auto" w:fill="FFFFFF"/>
          <w:lang w:val="en-US" w:eastAsia="zh-CN" w:bidi="ar"/>
        </w:rPr>
        <w:t>完善评价体系</w:t>
      </w:r>
      <w:r>
        <w:rPr>
          <w:rFonts w:ascii="Times New Roman" w:hAnsi="Times New Roman" w:eastAsia="仿宋_GB2312" w:cs="Times New Roman"/>
          <w:sz w:val="32"/>
          <w:szCs w:val="32"/>
        </w:rPr>
        <w:t>；二是</w:t>
      </w:r>
      <w:r>
        <w:rPr>
          <w:rFonts w:hint="eastAsia" w:ascii="仿宋" w:hAnsi="仿宋" w:eastAsia="仿宋" w:cs="仿宋"/>
          <w:i w:val="0"/>
          <w:iCs w:val="0"/>
          <w:caps w:val="0"/>
          <w:color w:val="000000"/>
          <w:spacing w:val="11"/>
          <w:kern w:val="0"/>
          <w:sz w:val="32"/>
          <w:szCs w:val="32"/>
          <w:shd w:val="clear" w:color="auto" w:fill="FFFFFF"/>
          <w:lang w:val="en-US" w:eastAsia="zh-CN" w:bidi="ar"/>
        </w:rPr>
        <w:t>加强数据收集与分析能力</w:t>
      </w:r>
      <w:r>
        <w:rPr>
          <w:rFonts w:hint="default" w:ascii="仿宋" w:hAnsi="仿宋" w:eastAsia="仿宋" w:cs="仿宋"/>
          <w:i w:val="0"/>
          <w:iCs w:val="0"/>
          <w:caps w:val="0"/>
          <w:color w:val="000000"/>
          <w:spacing w:val="11"/>
          <w:kern w:val="0"/>
          <w:sz w:val="32"/>
          <w:szCs w:val="32"/>
          <w:shd w:val="clear" w:color="auto" w:fill="FFFFFF"/>
          <w:lang w:eastAsia="zh-CN" w:bidi="ar"/>
        </w:rPr>
        <w:t>；三是</w:t>
      </w:r>
      <w:r>
        <w:rPr>
          <w:rFonts w:hint="eastAsia" w:ascii="仿宋" w:hAnsi="仿宋" w:eastAsia="仿宋" w:cs="仿宋"/>
          <w:i w:val="0"/>
          <w:iCs w:val="0"/>
          <w:caps w:val="0"/>
          <w:color w:val="000000"/>
          <w:spacing w:val="11"/>
          <w:kern w:val="0"/>
          <w:sz w:val="32"/>
          <w:szCs w:val="32"/>
          <w:shd w:val="clear" w:color="auto" w:fill="FFFFFF"/>
          <w:lang w:val="en-US" w:eastAsia="zh-CN" w:bidi="ar"/>
        </w:rPr>
        <w:t>加强部门间协作与沟通</w:t>
      </w:r>
      <w:r>
        <w:rPr>
          <w:rFonts w:hint="default" w:ascii="仿宋" w:hAnsi="仿宋" w:eastAsia="仿宋" w:cs="仿宋"/>
          <w:i w:val="0"/>
          <w:iCs w:val="0"/>
          <w:caps w:val="0"/>
          <w:color w:val="000000"/>
          <w:spacing w:val="11"/>
          <w:kern w:val="0"/>
          <w:sz w:val="32"/>
          <w:szCs w:val="32"/>
          <w:shd w:val="clear" w:color="auto" w:fill="FFFFFF"/>
          <w:lang w:eastAsia="zh-CN" w:bidi="ar"/>
        </w:rPr>
        <w:t>；四是</w:t>
      </w:r>
      <w:r>
        <w:rPr>
          <w:rFonts w:hint="eastAsia" w:ascii="仿宋" w:hAnsi="仿宋" w:eastAsia="仿宋" w:cs="仿宋"/>
          <w:i w:val="0"/>
          <w:iCs w:val="0"/>
          <w:caps w:val="0"/>
          <w:color w:val="000000"/>
          <w:spacing w:val="11"/>
          <w:kern w:val="0"/>
          <w:sz w:val="32"/>
          <w:szCs w:val="32"/>
          <w:shd w:val="clear" w:color="auto" w:fill="FFFFFF"/>
          <w:lang w:val="en-US" w:eastAsia="zh-CN" w:bidi="ar"/>
        </w:rPr>
        <w:t>强化反馈与改进机制</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仿宋" w:hAnsi="仿宋" w:eastAsia="仿宋" w:cs="仿宋"/>
          <w:i w:val="0"/>
          <w:iCs w:val="0"/>
          <w:caps w:val="0"/>
          <w:color w:val="000000"/>
          <w:spacing w:val="6"/>
          <w:kern w:val="0"/>
          <w:sz w:val="32"/>
          <w:szCs w:val="32"/>
          <w:shd w:val="clear" w:color="auto" w:fill="FFFFFF"/>
          <w:lang w:val="en-US" w:eastAsia="zh-CN" w:bidi="ar"/>
        </w:rPr>
        <w:t>2025年</w:t>
      </w:r>
      <w:r>
        <w:rPr>
          <w:rFonts w:hint="eastAsia" w:ascii="仿宋" w:hAnsi="仿宋" w:eastAsia="仿宋" w:cs="仿宋"/>
          <w:i w:val="0"/>
          <w:iCs w:val="0"/>
          <w:caps w:val="0"/>
          <w:color w:val="000000"/>
          <w:spacing w:val="11"/>
          <w:kern w:val="0"/>
          <w:sz w:val="32"/>
          <w:szCs w:val="32"/>
          <w:shd w:val="clear" w:color="auto" w:fill="FFFFFF"/>
          <w:lang w:val="en-US" w:eastAsia="zh-CN" w:bidi="ar"/>
        </w:rPr>
        <w:t>移民运转经费</w:t>
      </w:r>
      <w:r>
        <w:rPr>
          <w:rFonts w:ascii="Times New Roman" w:hAnsi="Times New Roman" w:eastAsia="仿宋_GB2312" w:cs="Times New Roman"/>
          <w:sz w:val="32"/>
          <w:szCs w:val="32"/>
        </w:rPr>
        <w:t>项目全年预算数</w:t>
      </w:r>
      <w:r>
        <w:rPr>
          <w:rFonts w:hint="default" w:ascii="Times New Roman" w:hAnsi="Times New Roman" w:eastAsia="仿宋_GB2312" w:cs="Times New Roman"/>
          <w:sz w:val="32"/>
          <w:szCs w:val="32"/>
        </w:rPr>
        <w:t>42.50</w:t>
      </w:r>
      <w:r>
        <w:rPr>
          <w:rFonts w:ascii="Times New Roman" w:hAnsi="Times New Roman" w:eastAsia="仿宋_GB2312" w:cs="Times New Roman"/>
          <w:sz w:val="32"/>
          <w:szCs w:val="32"/>
        </w:rPr>
        <w:t>万元，执行数</w:t>
      </w:r>
      <w:r>
        <w:rPr>
          <w:rFonts w:hint="default" w:ascii="Times New Roman" w:hAnsi="Times New Roman" w:eastAsia="仿宋_GB2312" w:cs="Times New Roman"/>
          <w:sz w:val="32"/>
          <w:szCs w:val="32"/>
        </w:rPr>
        <w:t>42.50</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default" w:ascii="Times New Roman" w:hAnsi="Times New Roman" w:eastAsia="仿宋_GB2312" w:cs="Times New Roman"/>
          <w:sz w:val="32"/>
          <w:szCs w:val="32"/>
        </w:rPr>
        <w:t>98</w:t>
      </w:r>
      <w:r>
        <w:rPr>
          <w:rFonts w:ascii="Times New Roman" w:hAnsi="Times New Roman" w:eastAsia="仿宋_GB2312" w:cs="Times New Roman"/>
          <w:sz w:val="32"/>
          <w:szCs w:val="32"/>
        </w:rPr>
        <w:t>分，评价等级为“优秀”。发现的主要问题及原因：一是</w:t>
      </w:r>
      <w:r>
        <w:rPr>
          <w:rFonts w:hint="eastAsia" w:ascii="仿宋" w:hAnsi="仿宋" w:eastAsia="仿宋" w:cs="仿宋"/>
          <w:i w:val="0"/>
          <w:iCs w:val="0"/>
          <w:caps w:val="0"/>
          <w:color w:val="000000"/>
          <w:spacing w:val="11"/>
          <w:kern w:val="0"/>
          <w:sz w:val="32"/>
          <w:szCs w:val="32"/>
          <w:shd w:val="clear" w:color="auto" w:fill="FFFFFF"/>
          <w:lang w:val="en-US" w:eastAsia="zh-CN" w:bidi="ar"/>
        </w:rPr>
        <w:t>评价体系有待完善</w:t>
      </w:r>
      <w:r>
        <w:rPr>
          <w:rFonts w:ascii="Times New Roman" w:hAnsi="Times New Roman" w:eastAsia="仿宋_GB2312" w:cs="Times New Roman"/>
          <w:sz w:val="32"/>
          <w:szCs w:val="32"/>
        </w:rPr>
        <w:t>；二是</w:t>
      </w:r>
      <w:r>
        <w:rPr>
          <w:rFonts w:hint="eastAsia" w:ascii="仿宋" w:hAnsi="仿宋" w:eastAsia="仿宋" w:cs="仿宋"/>
          <w:i w:val="0"/>
          <w:iCs w:val="0"/>
          <w:caps w:val="0"/>
          <w:color w:val="000000"/>
          <w:spacing w:val="11"/>
          <w:kern w:val="0"/>
          <w:sz w:val="32"/>
          <w:szCs w:val="32"/>
          <w:shd w:val="clear" w:color="auto" w:fill="FFFFFF"/>
          <w:lang w:val="en-US" w:eastAsia="zh-CN" w:bidi="ar"/>
        </w:rPr>
        <w:t>数据收集与分析存在局限性</w:t>
      </w:r>
      <w:r>
        <w:rPr>
          <w:rFonts w:hint="default" w:ascii="仿宋" w:hAnsi="仿宋" w:eastAsia="仿宋" w:cs="仿宋"/>
          <w:i w:val="0"/>
          <w:iCs w:val="0"/>
          <w:caps w:val="0"/>
          <w:color w:val="000000"/>
          <w:spacing w:val="11"/>
          <w:kern w:val="0"/>
          <w:sz w:val="32"/>
          <w:szCs w:val="32"/>
          <w:shd w:val="clear" w:color="auto" w:fill="FFFFFF"/>
          <w:lang w:eastAsia="zh-CN" w:bidi="ar"/>
        </w:rPr>
        <w:t>；三是</w:t>
      </w:r>
      <w:r>
        <w:rPr>
          <w:rFonts w:hint="eastAsia" w:ascii="仿宋" w:hAnsi="仿宋" w:eastAsia="仿宋" w:cs="仿宋"/>
          <w:i w:val="0"/>
          <w:iCs w:val="0"/>
          <w:caps w:val="0"/>
          <w:color w:val="000000"/>
          <w:spacing w:val="11"/>
          <w:kern w:val="0"/>
          <w:sz w:val="32"/>
          <w:szCs w:val="32"/>
          <w:shd w:val="clear" w:color="auto" w:fill="FFFFFF"/>
          <w:lang w:val="en-US" w:eastAsia="zh-CN" w:bidi="ar"/>
        </w:rPr>
        <w:t>部门间协作与沟通不够顺畅</w:t>
      </w:r>
      <w:r>
        <w:rPr>
          <w:rFonts w:hint="default" w:ascii="仿宋" w:hAnsi="仿宋" w:eastAsia="仿宋" w:cs="仿宋"/>
          <w:i w:val="0"/>
          <w:iCs w:val="0"/>
          <w:caps w:val="0"/>
          <w:color w:val="000000"/>
          <w:spacing w:val="11"/>
          <w:kern w:val="0"/>
          <w:sz w:val="32"/>
          <w:szCs w:val="32"/>
          <w:shd w:val="clear" w:color="auto" w:fill="FFFFFF"/>
          <w:lang w:eastAsia="zh-CN" w:bidi="ar"/>
        </w:rPr>
        <w:t>；四是</w:t>
      </w:r>
      <w:r>
        <w:rPr>
          <w:rFonts w:hint="eastAsia" w:ascii="仿宋" w:hAnsi="仿宋" w:eastAsia="仿宋" w:cs="仿宋"/>
          <w:i w:val="0"/>
          <w:iCs w:val="0"/>
          <w:caps w:val="0"/>
          <w:color w:val="000000"/>
          <w:spacing w:val="11"/>
          <w:kern w:val="0"/>
          <w:sz w:val="32"/>
          <w:szCs w:val="32"/>
          <w:shd w:val="clear" w:color="auto" w:fill="FFFFFF"/>
          <w:lang w:val="en-US" w:eastAsia="zh-CN" w:bidi="ar"/>
        </w:rPr>
        <w:t>反馈与改进机制尚需加强</w:t>
      </w:r>
      <w:r>
        <w:rPr>
          <w:rFonts w:ascii="Times New Roman" w:hAnsi="Times New Roman" w:eastAsia="仿宋_GB2312" w:cs="Times New Roman"/>
          <w:sz w:val="32"/>
          <w:szCs w:val="32"/>
        </w:rPr>
        <w:t>。下一步改进措施：一是</w:t>
      </w:r>
      <w:r>
        <w:rPr>
          <w:rFonts w:hint="eastAsia" w:ascii="仿宋" w:hAnsi="仿宋" w:eastAsia="仿宋" w:cs="仿宋"/>
          <w:i w:val="0"/>
          <w:iCs w:val="0"/>
          <w:caps w:val="0"/>
          <w:color w:val="000000"/>
          <w:spacing w:val="11"/>
          <w:kern w:val="0"/>
          <w:sz w:val="32"/>
          <w:szCs w:val="32"/>
          <w:shd w:val="clear" w:color="auto" w:fill="FFFFFF"/>
          <w:lang w:val="en-US" w:eastAsia="zh-CN" w:bidi="ar"/>
        </w:rPr>
        <w:t>完善评价体系</w:t>
      </w:r>
      <w:r>
        <w:rPr>
          <w:rFonts w:ascii="Times New Roman" w:hAnsi="Times New Roman" w:eastAsia="仿宋_GB2312" w:cs="Times New Roman"/>
          <w:sz w:val="32"/>
          <w:szCs w:val="32"/>
        </w:rPr>
        <w:t>；二是</w:t>
      </w:r>
      <w:r>
        <w:rPr>
          <w:rFonts w:hint="eastAsia" w:ascii="仿宋" w:hAnsi="仿宋" w:eastAsia="仿宋" w:cs="仿宋"/>
          <w:i w:val="0"/>
          <w:iCs w:val="0"/>
          <w:caps w:val="0"/>
          <w:color w:val="000000"/>
          <w:spacing w:val="11"/>
          <w:kern w:val="0"/>
          <w:sz w:val="32"/>
          <w:szCs w:val="32"/>
          <w:shd w:val="clear" w:color="auto" w:fill="FFFFFF"/>
          <w:lang w:val="en-US" w:eastAsia="zh-CN" w:bidi="ar"/>
        </w:rPr>
        <w:t>加强数据收集与分析能力</w:t>
      </w:r>
      <w:r>
        <w:rPr>
          <w:rFonts w:hint="default" w:ascii="仿宋" w:hAnsi="仿宋" w:eastAsia="仿宋" w:cs="仿宋"/>
          <w:i w:val="0"/>
          <w:iCs w:val="0"/>
          <w:caps w:val="0"/>
          <w:color w:val="000000"/>
          <w:spacing w:val="11"/>
          <w:kern w:val="0"/>
          <w:sz w:val="32"/>
          <w:szCs w:val="32"/>
          <w:shd w:val="clear" w:color="auto" w:fill="FFFFFF"/>
          <w:lang w:eastAsia="zh-CN" w:bidi="ar"/>
        </w:rPr>
        <w:t>；三是</w:t>
      </w:r>
      <w:r>
        <w:rPr>
          <w:rFonts w:hint="eastAsia" w:ascii="仿宋" w:hAnsi="仿宋" w:eastAsia="仿宋" w:cs="仿宋"/>
          <w:i w:val="0"/>
          <w:iCs w:val="0"/>
          <w:caps w:val="0"/>
          <w:color w:val="000000"/>
          <w:spacing w:val="11"/>
          <w:kern w:val="0"/>
          <w:sz w:val="32"/>
          <w:szCs w:val="32"/>
          <w:shd w:val="clear" w:color="auto" w:fill="FFFFFF"/>
          <w:lang w:val="en-US" w:eastAsia="zh-CN" w:bidi="ar"/>
        </w:rPr>
        <w:t>加强部门间协作与沟通</w:t>
      </w:r>
      <w:r>
        <w:rPr>
          <w:rFonts w:hint="default" w:ascii="仿宋" w:hAnsi="仿宋" w:eastAsia="仿宋" w:cs="仿宋"/>
          <w:i w:val="0"/>
          <w:iCs w:val="0"/>
          <w:caps w:val="0"/>
          <w:color w:val="000000"/>
          <w:spacing w:val="11"/>
          <w:kern w:val="0"/>
          <w:sz w:val="32"/>
          <w:szCs w:val="32"/>
          <w:shd w:val="clear" w:color="auto" w:fill="FFFFFF"/>
          <w:lang w:eastAsia="zh-CN" w:bidi="ar"/>
        </w:rPr>
        <w:t>；四是</w:t>
      </w:r>
      <w:r>
        <w:rPr>
          <w:rFonts w:hint="eastAsia" w:ascii="仿宋" w:hAnsi="仿宋" w:eastAsia="仿宋" w:cs="仿宋"/>
          <w:i w:val="0"/>
          <w:iCs w:val="0"/>
          <w:caps w:val="0"/>
          <w:color w:val="000000"/>
          <w:spacing w:val="11"/>
          <w:kern w:val="0"/>
          <w:sz w:val="32"/>
          <w:szCs w:val="32"/>
          <w:shd w:val="clear" w:color="auto" w:fill="FFFFFF"/>
          <w:lang w:val="en-US" w:eastAsia="zh-CN" w:bidi="ar"/>
        </w:rPr>
        <w:t>强化反馈与改进机制</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hint="eastAsia" w:ascii="仿宋" w:hAnsi="仿宋" w:eastAsia="仿宋" w:cs="仿宋"/>
          <w:i w:val="0"/>
          <w:iCs w:val="0"/>
          <w:caps w:val="0"/>
          <w:color w:val="000000"/>
          <w:spacing w:val="11"/>
          <w:kern w:val="0"/>
          <w:sz w:val="32"/>
          <w:szCs w:val="32"/>
          <w:shd w:val="clear" w:color="auto" w:fill="FFFFFF"/>
          <w:lang w:val="en-US" w:eastAsia="zh-CN" w:bidi="ar"/>
        </w:rPr>
        <w:t>监测评估费</w:t>
      </w:r>
      <w:r>
        <w:rPr>
          <w:rFonts w:ascii="Times New Roman" w:hAnsi="Times New Roman" w:eastAsia="仿宋_GB2312" w:cs="Times New Roman"/>
          <w:sz w:val="32"/>
          <w:szCs w:val="32"/>
        </w:rPr>
        <w:t>项目全年预算数</w:t>
      </w:r>
      <w:r>
        <w:rPr>
          <w:rFonts w:hint="default" w:ascii="Times New Roman" w:hAnsi="Times New Roman" w:eastAsia="仿宋_GB2312" w:cs="Times New Roman"/>
          <w:sz w:val="32"/>
          <w:szCs w:val="32"/>
        </w:rPr>
        <w:t>15.66</w:t>
      </w:r>
      <w:r>
        <w:rPr>
          <w:rFonts w:ascii="Times New Roman" w:hAnsi="Times New Roman" w:eastAsia="仿宋_GB2312" w:cs="Times New Roman"/>
          <w:sz w:val="32"/>
          <w:szCs w:val="32"/>
        </w:rPr>
        <w:t>万元，执行数</w:t>
      </w:r>
      <w:r>
        <w:rPr>
          <w:rFonts w:hint="default" w:ascii="Times New Roman" w:hAnsi="Times New Roman" w:eastAsia="仿宋_GB2312" w:cs="Times New Roman"/>
          <w:sz w:val="32"/>
          <w:szCs w:val="32"/>
        </w:rPr>
        <w:t>15.66</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default" w:ascii="Times New Roman" w:hAnsi="Times New Roman" w:eastAsia="仿宋_GB2312" w:cs="Times New Roman"/>
          <w:sz w:val="32"/>
          <w:szCs w:val="32"/>
        </w:rPr>
        <w:t>98</w:t>
      </w:r>
      <w:r>
        <w:rPr>
          <w:rFonts w:ascii="Times New Roman" w:hAnsi="Times New Roman" w:eastAsia="仿宋_GB2312" w:cs="Times New Roman"/>
          <w:sz w:val="32"/>
          <w:szCs w:val="32"/>
        </w:rPr>
        <w:t>分，评价等级为“优秀”。发现的主要问题及原因：一是</w:t>
      </w:r>
      <w:r>
        <w:rPr>
          <w:rFonts w:hint="eastAsia" w:ascii="仿宋" w:hAnsi="仿宋" w:eastAsia="仿宋" w:cs="仿宋"/>
          <w:i w:val="0"/>
          <w:iCs w:val="0"/>
          <w:caps w:val="0"/>
          <w:color w:val="000000"/>
          <w:spacing w:val="11"/>
          <w:kern w:val="0"/>
          <w:sz w:val="32"/>
          <w:szCs w:val="32"/>
          <w:shd w:val="clear" w:color="auto" w:fill="FFFFFF"/>
          <w:lang w:val="en-US" w:eastAsia="zh-CN" w:bidi="ar"/>
        </w:rPr>
        <w:t>评价体系有待完善</w:t>
      </w:r>
      <w:r>
        <w:rPr>
          <w:rFonts w:ascii="Times New Roman" w:hAnsi="Times New Roman" w:eastAsia="仿宋_GB2312" w:cs="Times New Roman"/>
          <w:sz w:val="32"/>
          <w:szCs w:val="32"/>
        </w:rPr>
        <w:t>；二是</w:t>
      </w:r>
      <w:r>
        <w:rPr>
          <w:rFonts w:hint="eastAsia" w:ascii="仿宋" w:hAnsi="仿宋" w:eastAsia="仿宋" w:cs="仿宋"/>
          <w:i w:val="0"/>
          <w:iCs w:val="0"/>
          <w:caps w:val="0"/>
          <w:color w:val="000000"/>
          <w:spacing w:val="11"/>
          <w:kern w:val="0"/>
          <w:sz w:val="32"/>
          <w:szCs w:val="32"/>
          <w:shd w:val="clear" w:color="auto" w:fill="FFFFFF"/>
          <w:lang w:val="en-US" w:eastAsia="zh-CN" w:bidi="ar"/>
        </w:rPr>
        <w:t>数据收集与分析存在局限性</w:t>
      </w:r>
      <w:r>
        <w:rPr>
          <w:rFonts w:hint="default" w:ascii="仿宋" w:hAnsi="仿宋" w:eastAsia="仿宋" w:cs="仿宋"/>
          <w:i w:val="0"/>
          <w:iCs w:val="0"/>
          <w:caps w:val="0"/>
          <w:color w:val="000000"/>
          <w:spacing w:val="11"/>
          <w:kern w:val="0"/>
          <w:sz w:val="32"/>
          <w:szCs w:val="32"/>
          <w:shd w:val="clear" w:color="auto" w:fill="FFFFFF"/>
          <w:lang w:eastAsia="zh-CN" w:bidi="ar"/>
        </w:rPr>
        <w:t>；三是</w:t>
      </w:r>
      <w:r>
        <w:rPr>
          <w:rFonts w:hint="eastAsia" w:ascii="仿宋" w:hAnsi="仿宋" w:eastAsia="仿宋" w:cs="仿宋"/>
          <w:i w:val="0"/>
          <w:iCs w:val="0"/>
          <w:caps w:val="0"/>
          <w:color w:val="000000"/>
          <w:spacing w:val="11"/>
          <w:kern w:val="0"/>
          <w:sz w:val="32"/>
          <w:szCs w:val="32"/>
          <w:shd w:val="clear" w:color="auto" w:fill="FFFFFF"/>
          <w:lang w:val="en-US" w:eastAsia="zh-CN" w:bidi="ar"/>
        </w:rPr>
        <w:t>部门间协作与沟通不够顺畅</w:t>
      </w:r>
      <w:r>
        <w:rPr>
          <w:rFonts w:hint="default" w:ascii="仿宋" w:hAnsi="仿宋" w:eastAsia="仿宋" w:cs="仿宋"/>
          <w:i w:val="0"/>
          <w:iCs w:val="0"/>
          <w:caps w:val="0"/>
          <w:color w:val="000000"/>
          <w:spacing w:val="11"/>
          <w:kern w:val="0"/>
          <w:sz w:val="32"/>
          <w:szCs w:val="32"/>
          <w:shd w:val="clear" w:color="auto" w:fill="FFFFFF"/>
          <w:lang w:eastAsia="zh-CN" w:bidi="ar"/>
        </w:rPr>
        <w:t>；四是</w:t>
      </w:r>
      <w:r>
        <w:rPr>
          <w:rFonts w:hint="eastAsia" w:ascii="仿宋" w:hAnsi="仿宋" w:eastAsia="仿宋" w:cs="仿宋"/>
          <w:i w:val="0"/>
          <w:iCs w:val="0"/>
          <w:caps w:val="0"/>
          <w:color w:val="000000"/>
          <w:spacing w:val="11"/>
          <w:kern w:val="0"/>
          <w:sz w:val="32"/>
          <w:szCs w:val="32"/>
          <w:shd w:val="clear" w:color="auto" w:fill="FFFFFF"/>
          <w:lang w:val="en-US" w:eastAsia="zh-CN" w:bidi="ar"/>
        </w:rPr>
        <w:t>反馈与改进机制尚需加强</w:t>
      </w:r>
      <w:r>
        <w:rPr>
          <w:rFonts w:ascii="Times New Roman" w:hAnsi="Times New Roman" w:eastAsia="仿宋_GB2312" w:cs="Times New Roman"/>
          <w:sz w:val="32"/>
          <w:szCs w:val="32"/>
        </w:rPr>
        <w:t>。下一步改进措施：一是</w:t>
      </w:r>
      <w:r>
        <w:rPr>
          <w:rFonts w:hint="eastAsia" w:ascii="仿宋" w:hAnsi="仿宋" w:eastAsia="仿宋" w:cs="仿宋"/>
          <w:i w:val="0"/>
          <w:iCs w:val="0"/>
          <w:caps w:val="0"/>
          <w:color w:val="000000"/>
          <w:spacing w:val="11"/>
          <w:kern w:val="0"/>
          <w:sz w:val="32"/>
          <w:szCs w:val="32"/>
          <w:shd w:val="clear" w:color="auto" w:fill="FFFFFF"/>
          <w:lang w:val="en-US" w:eastAsia="zh-CN" w:bidi="ar"/>
        </w:rPr>
        <w:t>完善评价体系</w:t>
      </w:r>
      <w:r>
        <w:rPr>
          <w:rFonts w:ascii="Times New Roman" w:hAnsi="Times New Roman" w:eastAsia="仿宋_GB2312" w:cs="Times New Roman"/>
          <w:sz w:val="32"/>
          <w:szCs w:val="32"/>
        </w:rPr>
        <w:t>；二是</w:t>
      </w:r>
      <w:r>
        <w:rPr>
          <w:rFonts w:hint="eastAsia" w:ascii="仿宋" w:hAnsi="仿宋" w:eastAsia="仿宋" w:cs="仿宋"/>
          <w:i w:val="0"/>
          <w:iCs w:val="0"/>
          <w:caps w:val="0"/>
          <w:color w:val="000000"/>
          <w:spacing w:val="11"/>
          <w:kern w:val="0"/>
          <w:sz w:val="32"/>
          <w:szCs w:val="32"/>
          <w:shd w:val="clear" w:color="auto" w:fill="FFFFFF"/>
          <w:lang w:val="en-US" w:eastAsia="zh-CN" w:bidi="ar"/>
        </w:rPr>
        <w:t>加强数据收集与分析能力</w:t>
      </w:r>
      <w:r>
        <w:rPr>
          <w:rFonts w:hint="default" w:ascii="仿宋" w:hAnsi="仿宋" w:eastAsia="仿宋" w:cs="仿宋"/>
          <w:i w:val="0"/>
          <w:iCs w:val="0"/>
          <w:caps w:val="0"/>
          <w:color w:val="000000"/>
          <w:spacing w:val="11"/>
          <w:kern w:val="0"/>
          <w:sz w:val="32"/>
          <w:szCs w:val="32"/>
          <w:shd w:val="clear" w:color="auto" w:fill="FFFFFF"/>
          <w:lang w:eastAsia="zh-CN" w:bidi="ar"/>
        </w:rPr>
        <w:t>；三是</w:t>
      </w:r>
      <w:r>
        <w:rPr>
          <w:rFonts w:hint="eastAsia" w:ascii="仿宋" w:hAnsi="仿宋" w:eastAsia="仿宋" w:cs="仿宋"/>
          <w:i w:val="0"/>
          <w:iCs w:val="0"/>
          <w:caps w:val="0"/>
          <w:color w:val="000000"/>
          <w:spacing w:val="11"/>
          <w:kern w:val="0"/>
          <w:sz w:val="32"/>
          <w:szCs w:val="32"/>
          <w:shd w:val="clear" w:color="auto" w:fill="FFFFFF"/>
          <w:lang w:val="en-US" w:eastAsia="zh-CN" w:bidi="ar"/>
        </w:rPr>
        <w:t>加强部门间协作与沟通</w:t>
      </w:r>
      <w:r>
        <w:rPr>
          <w:rFonts w:hint="default" w:ascii="仿宋" w:hAnsi="仿宋" w:eastAsia="仿宋" w:cs="仿宋"/>
          <w:i w:val="0"/>
          <w:iCs w:val="0"/>
          <w:caps w:val="0"/>
          <w:color w:val="000000"/>
          <w:spacing w:val="11"/>
          <w:kern w:val="0"/>
          <w:sz w:val="32"/>
          <w:szCs w:val="32"/>
          <w:shd w:val="clear" w:color="auto" w:fill="FFFFFF"/>
          <w:lang w:eastAsia="zh-CN" w:bidi="ar"/>
        </w:rPr>
        <w:t>；四是</w:t>
      </w:r>
      <w:r>
        <w:rPr>
          <w:rFonts w:hint="eastAsia" w:ascii="仿宋" w:hAnsi="仿宋" w:eastAsia="仿宋" w:cs="仿宋"/>
          <w:i w:val="0"/>
          <w:iCs w:val="0"/>
          <w:caps w:val="0"/>
          <w:color w:val="000000"/>
          <w:spacing w:val="11"/>
          <w:kern w:val="0"/>
          <w:sz w:val="32"/>
          <w:szCs w:val="32"/>
          <w:shd w:val="clear" w:color="auto" w:fill="FFFFFF"/>
          <w:lang w:val="en-US" w:eastAsia="zh-CN" w:bidi="ar"/>
        </w:rPr>
        <w:t>强化反馈与改进机制</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4</w:t>
      </w:r>
      <w:r>
        <w:rPr>
          <w:rFonts w:ascii="Times New Roman" w:hAnsi="Times New Roman" w:eastAsia="仿宋_GB2312" w:cs="Times New Roman"/>
          <w:sz w:val="32"/>
          <w:szCs w:val="32"/>
        </w:rPr>
        <w:t>、</w:t>
      </w:r>
      <w:r>
        <w:rPr>
          <w:rFonts w:hint="eastAsia" w:ascii="仿宋" w:hAnsi="仿宋" w:eastAsia="仿宋" w:cs="仿宋"/>
          <w:i w:val="0"/>
          <w:iCs w:val="0"/>
          <w:caps w:val="0"/>
          <w:color w:val="000000"/>
          <w:spacing w:val="11"/>
          <w:kern w:val="0"/>
          <w:sz w:val="32"/>
          <w:szCs w:val="32"/>
          <w:shd w:val="clear" w:color="auto" w:fill="FFFFFF"/>
          <w:lang w:val="en-US" w:eastAsia="zh-CN" w:bidi="ar"/>
        </w:rPr>
        <w:t>2024年监测评估费</w:t>
      </w:r>
      <w:r>
        <w:rPr>
          <w:rFonts w:ascii="Times New Roman" w:hAnsi="Times New Roman" w:eastAsia="仿宋_GB2312" w:cs="Times New Roman"/>
          <w:sz w:val="32"/>
          <w:szCs w:val="32"/>
        </w:rPr>
        <w:t>项目全年预算数</w:t>
      </w:r>
      <w:r>
        <w:rPr>
          <w:rFonts w:hint="default" w:ascii="Times New Roman" w:hAnsi="Times New Roman" w:eastAsia="仿宋_GB2312" w:cs="Times New Roman"/>
          <w:sz w:val="32"/>
          <w:szCs w:val="32"/>
        </w:rPr>
        <w:t>51.20</w:t>
      </w:r>
      <w:r>
        <w:rPr>
          <w:rFonts w:ascii="Times New Roman" w:hAnsi="Times New Roman" w:eastAsia="仿宋_GB2312" w:cs="Times New Roman"/>
          <w:sz w:val="32"/>
          <w:szCs w:val="32"/>
        </w:rPr>
        <w:t>万元，执行数</w:t>
      </w:r>
      <w:r>
        <w:rPr>
          <w:rFonts w:hint="default" w:ascii="Times New Roman" w:hAnsi="Times New Roman" w:eastAsia="仿宋_GB2312" w:cs="Times New Roman"/>
          <w:sz w:val="32"/>
          <w:szCs w:val="32"/>
        </w:rPr>
        <w:t>51.20</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default" w:ascii="Times New Roman" w:hAnsi="Times New Roman" w:eastAsia="仿宋_GB2312" w:cs="Times New Roman"/>
          <w:sz w:val="32"/>
          <w:szCs w:val="32"/>
        </w:rPr>
        <w:t>98</w:t>
      </w:r>
      <w:r>
        <w:rPr>
          <w:rFonts w:ascii="Times New Roman" w:hAnsi="Times New Roman" w:eastAsia="仿宋_GB2312" w:cs="Times New Roman"/>
          <w:sz w:val="32"/>
          <w:szCs w:val="32"/>
        </w:rPr>
        <w:t>分，评价等级为“优秀”。发现的主要问题及原因：一是</w:t>
      </w:r>
      <w:r>
        <w:rPr>
          <w:rFonts w:hint="eastAsia" w:ascii="仿宋" w:hAnsi="仿宋" w:eastAsia="仿宋" w:cs="仿宋"/>
          <w:i w:val="0"/>
          <w:iCs w:val="0"/>
          <w:caps w:val="0"/>
          <w:color w:val="000000"/>
          <w:spacing w:val="11"/>
          <w:kern w:val="0"/>
          <w:sz w:val="32"/>
          <w:szCs w:val="32"/>
          <w:shd w:val="clear" w:color="auto" w:fill="FFFFFF"/>
          <w:lang w:val="en-US" w:eastAsia="zh-CN" w:bidi="ar"/>
        </w:rPr>
        <w:t>评价体系有待完善</w:t>
      </w:r>
      <w:r>
        <w:rPr>
          <w:rFonts w:ascii="Times New Roman" w:hAnsi="Times New Roman" w:eastAsia="仿宋_GB2312" w:cs="Times New Roman"/>
          <w:sz w:val="32"/>
          <w:szCs w:val="32"/>
        </w:rPr>
        <w:t>；二是</w:t>
      </w:r>
      <w:r>
        <w:rPr>
          <w:rFonts w:hint="eastAsia" w:ascii="仿宋" w:hAnsi="仿宋" w:eastAsia="仿宋" w:cs="仿宋"/>
          <w:i w:val="0"/>
          <w:iCs w:val="0"/>
          <w:caps w:val="0"/>
          <w:color w:val="000000"/>
          <w:spacing w:val="11"/>
          <w:kern w:val="0"/>
          <w:sz w:val="32"/>
          <w:szCs w:val="32"/>
          <w:shd w:val="clear" w:color="auto" w:fill="FFFFFF"/>
          <w:lang w:val="en-US" w:eastAsia="zh-CN" w:bidi="ar"/>
        </w:rPr>
        <w:t>数据收集与分析存在局限性</w:t>
      </w:r>
      <w:r>
        <w:rPr>
          <w:rFonts w:hint="default" w:ascii="仿宋" w:hAnsi="仿宋" w:eastAsia="仿宋" w:cs="仿宋"/>
          <w:i w:val="0"/>
          <w:iCs w:val="0"/>
          <w:caps w:val="0"/>
          <w:color w:val="000000"/>
          <w:spacing w:val="11"/>
          <w:kern w:val="0"/>
          <w:sz w:val="32"/>
          <w:szCs w:val="32"/>
          <w:shd w:val="clear" w:color="auto" w:fill="FFFFFF"/>
          <w:lang w:eastAsia="zh-CN" w:bidi="ar"/>
        </w:rPr>
        <w:t>；三是</w:t>
      </w:r>
      <w:r>
        <w:rPr>
          <w:rFonts w:hint="eastAsia" w:ascii="仿宋" w:hAnsi="仿宋" w:eastAsia="仿宋" w:cs="仿宋"/>
          <w:i w:val="0"/>
          <w:iCs w:val="0"/>
          <w:caps w:val="0"/>
          <w:color w:val="000000"/>
          <w:spacing w:val="11"/>
          <w:kern w:val="0"/>
          <w:sz w:val="32"/>
          <w:szCs w:val="32"/>
          <w:shd w:val="clear" w:color="auto" w:fill="FFFFFF"/>
          <w:lang w:val="en-US" w:eastAsia="zh-CN" w:bidi="ar"/>
        </w:rPr>
        <w:t>部门间协作与沟通不够顺畅</w:t>
      </w:r>
      <w:r>
        <w:rPr>
          <w:rFonts w:hint="default" w:ascii="仿宋" w:hAnsi="仿宋" w:eastAsia="仿宋" w:cs="仿宋"/>
          <w:i w:val="0"/>
          <w:iCs w:val="0"/>
          <w:caps w:val="0"/>
          <w:color w:val="000000"/>
          <w:spacing w:val="11"/>
          <w:kern w:val="0"/>
          <w:sz w:val="32"/>
          <w:szCs w:val="32"/>
          <w:shd w:val="clear" w:color="auto" w:fill="FFFFFF"/>
          <w:lang w:eastAsia="zh-CN" w:bidi="ar"/>
        </w:rPr>
        <w:t>；四是</w:t>
      </w:r>
      <w:r>
        <w:rPr>
          <w:rFonts w:hint="eastAsia" w:ascii="仿宋" w:hAnsi="仿宋" w:eastAsia="仿宋" w:cs="仿宋"/>
          <w:i w:val="0"/>
          <w:iCs w:val="0"/>
          <w:caps w:val="0"/>
          <w:color w:val="000000"/>
          <w:spacing w:val="11"/>
          <w:kern w:val="0"/>
          <w:sz w:val="32"/>
          <w:szCs w:val="32"/>
          <w:shd w:val="clear" w:color="auto" w:fill="FFFFFF"/>
          <w:lang w:val="en-US" w:eastAsia="zh-CN" w:bidi="ar"/>
        </w:rPr>
        <w:t>反馈与改进机制尚需加强</w:t>
      </w:r>
      <w:r>
        <w:rPr>
          <w:rFonts w:ascii="Times New Roman" w:hAnsi="Times New Roman" w:eastAsia="仿宋_GB2312" w:cs="Times New Roman"/>
          <w:sz w:val="32"/>
          <w:szCs w:val="32"/>
        </w:rPr>
        <w:t>。下一步改进措施：一是</w:t>
      </w:r>
      <w:r>
        <w:rPr>
          <w:rFonts w:hint="eastAsia" w:ascii="仿宋" w:hAnsi="仿宋" w:eastAsia="仿宋" w:cs="仿宋"/>
          <w:i w:val="0"/>
          <w:iCs w:val="0"/>
          <w:caps w:val="0"/>
          <w:color w:val="000000"/>
          <w:spacing w:val="11"/>
          <w:kern w:val="0"/>
          <w:sz w:val="32"/>
          <w:szCs w:val="32"/>
          <w:shd w:val="clear" w:color="auto" w:fill="FFFFFF"/>
          <w:lang w:val="en-US" w:eastAsia="zh-CN" w:bidi="ar"/>
        </w:rPr>
        <w:t>完善评价体系</w:t>
      </w:r>
      <w:r>
        <w:rPr>
          <w:rFonts w:ascii="Times New Roman" w:hAnsi="Times New Roman" w:eastAsia="仿宋_GB2312" w:cs="Times New Roman"/>
          <w:sz w:val="32"/>
          <w:szCs w:val="32"/>
        </w:rPr>
        <w:t>；二是</w:t>
      </w:r>
      <w:r>
        <w:rPr>
          <w:rFonts w:hint="eastAsia" w:ascii="仿宋" w:hAnsi="仿宋" w:eastAsia="仿宋" w:cs="仿宋"/>
          <w:i w:val="0"/>
          <w:iCs w:val="0"/>
          <w:caps w:val="0"/>
          <w:color w:val="000000"/>
          <w:spacing w:val="11"/>
          <w:kern w:val="0"/>
          <w:sz w:val="32"/>
          <w:szCs w:val="32"/>
          <w:shd w:val="clear" w:color="auto" w:fill="FFFFFF"/>
          <w:lang w:val="en-US" w:eastAsia="zh-CN" w:bidi="ar"/>
        </w:rPr>
        <w:t>加强数据收集与分析能力</w:t>
      </w:r>
      <w:r>
        <w:rPr>
          <w:rFonts w:hint="default" w:ascii="仿宋" w:hAnsi="仿宋" w:eastAsia="仿宋" w:cs="仿宋"/>
          <w:i w:val="0"/>
          <w:iCs w:val="0"/>
          <w:caps w:val="0"/>
          <w:color w:val="000000"/>
          <w:spacing w:val="11"/>
          <w:kern w:val="0"/>
          <w:sz w:val="32"/>
          <w:szCs w:val="32"/>
          <w:shd w:val="clear" w:color="auto" w:fill="FFFFFF"/>
          <w:lang w:eastAsia="zh-CN" w:bidi="ar"/>
        </w:rPr>
        <w:t>；三是</w:t>
      </w:r>
      <w:r>
        <w:rPr>
          <w:rFonts w:hint="eastAsia" w:ascii="仿宋" w:hAnsi="仿宋" w:eastAsia="仿宋" w:cs="仿宋"/>
          <w:i w:val="0"/>
          <w:iCs w:val="0"/>
          <w:caps w:val="0"/>
          <w:color w:val="000000"/>
          <w:spacing w:val="11"/>
          <w:kern w:val="0"/>
          <w:sz w:val="32"/>
          <w:szCs w:val="32"/>
          <w:shd w:val="clear" w:color="auto" w:fill="FFFFFF"/>
          <w:lang w:val="en-US" w:eastAsia="zh-CN" w:bidi="ar"/>
        </w:rPr>
        <w:t>加强部门间协作与沟通</w:t>
      </w:r>
      <w:r>
        <w:rPr>
          <w:rFonts w:hint="default" w:ascii="仿宋" w:hAnsi="仿宋" w:eastAsia="仿宋" w:cs="仿宋"/>
          <w:i w:val="0"/>
          <w:iCs w:val="0"/>
          <w:caps w:val="0"/>
          <w:color w:val="000000"/>
          <w:spacing w:val="11"/>
          <w:kern w:val="0"/>
          <w:sz w:val="32"/>
          <w:szCs w:val="32"/>
          <w:shd w:val="clear" w:color="auto" w:fill="FFFFFF"/>
          <w:lang w:eastAsia="zh-CN" w:bidi="ar"/>
        </w:rPr>
        <w:t>；四是</w:t>
      </w:r>
      <w:r>
        <w:rPr>
          <w:rFonts w:hint="eastAsia" w:ascii="仿宋" w:hAnsi="仿宋" w:eastAsia="仿宋" w:cs="仿宋"/>
          <w:i w:val="0"/>
          <w:iCs w:val="0"/>
          <w:caps w:val="0"/>
          <w:color w:val="000000"/>
          <w:spacing w:val="11"/>
          <w:kern w:val="0"/>
          <w:sz w:val="32"/>
          <w:szCs w:val="32"/>
          <w:shd w:val="clear" w:color="auto" w:fill="FFFFFF"/>
          <w:lang w:val="en-US" w:eastAsia="zh-CN" w:bidi="ar"/>
        </w:rPr>
        <w:t>强化反馈与改进机制</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default" w:ascii="Times New Roman" w:hAnsi="Times New Roman" w:eastAsia="仿宋_GB2312" w:cs="Times New Roman"/>
          <w:sz w:val="32"/>
          <w:szCs w:val="32"/>
        </w:rPr>
        <w:t>4</w:t>
      </w:r>
      <w:r>
        <w:rPr>
          <w:rFonts w:ascii="Times New Roman" w:hAnsi="Times New Roman" w:eastAsia="仿宋_GB2312" w:cs="Times New Roman"/>
          <w:kern w:val="0"/>
          <w:sz w:val="32"/>
          <w:szCs w:val="32"/>
        </w:rPr>
        <w:t>个重大项目事前绩效评估，其中，</w:t>
      </w:r>
      <w:r>
        <w:rPr>
          <w:rFonts w:hint="default" w:ascii="Times New Roman" w:hAnsi="Times New Roman" w:eastAsia="仿宋_GB2312" w:cs="Times New Roman"/>
          <w:sz w:val="32"/>
          <w:szCs w:val="32"/>
        </w:rPr>
        <w:t>4</w:t>
      </w:r>
      <w:r>
        <w:rPr>
          <w:rFonts w:ascii="Times New Roman" w:hAnsi="Times New Roman" w:eastAsia="仿宋_GB2312" w:cs="Times New Roman"/>
          <w:kern w:val="0"/>
          <w:sz w:val="32"/>
          <w:szCs w:val="32"/>
        </w:rPr>
        <w:t>个项目评估通过，涉及资金</w:t>
      </w:r>
      <w:r>
        <w:rPr>
          <w:rFonts w:hint="default" w:ascii="Times New Roman" w:hAnsi="Times New Roman" w:eastAsia="仿宋_GB2312" w:cs="Times New Roman"/>
          <w:sz w:val="32"/>
          <w:szCs w:val="32"/>
        </w:rPr>
        <w:t>139.34</w:t>
      </w:r>
      <w:r>
        <w:rPr>
          <w:rFonts w:ascii="Times New Roman" w:hAnsi="Times New Roman" w:eastAsia="仿宋_GB2312" w:cs="Times New Roman"/>
          <w:kern w:val="0"/>
          <w:sz w:val="32"/>
          <w:szCs w:val="32"/>
        </w:rPr>
        <w:t>万元，</w:t>
      </w:r>
      <w:r>
        <w:rPr>
          <w:rFonts w:hint="default" w:ascii="Times New Roman" w:hAnsi="Times New Roman" w:eastAsia="仿宋_GB2312" w:cs="Times New Roman"/>
          <w:sz w:val="32"/>
          <w:szCs w:val="32"/>
        </w:rPr>
        <w:t>0</w:t>
      </w:r>
      <w:r>
        <w:rPr>
          <w:rFonts w:ascii="Times New Roman" w:hAnsi="Times New Roman" w:eastAsia="仿宋_GB2312" w:cs="Times New Roman"/>
          <w:kern w:val="0"/>
          <w:sz w:val="32"/>
          <w:szCs w:val="32"/>
        </w:rPr>
        <w:t>个项目评估不通过，涉及资金</w:t>
      </w:r>
      <w:r>
        <w:rPr>
          <w:rFonts w:hint="default" w:ascii="Times New Roman" w:hAnsi="Times New Roman" w:eastAsia="仿宋_GB2312" w:cs="Times New Roman"/>
          <w:sz w:val="32"/>
          <w:szCs w:val="32"/>
        </w:rPr>
        <w:t>0.00</w:t>
      </w:r>
      <w:r>
        <w:rPr>
          <w:rFonts w:ascii="Times New Roman" w:hAnsi="Times New Roman" w:eastAsia="仿宋_GB2312" w:cs="Times New Roman"/>
          <w:kern w:val="0"/>
          <w:sz w:val="32"/>
          <w:szCs w:val="32"/>
        </w:rPr>
        <w:t>万元。</w:t>
      </w:r>
    </w:p>
    <w:p w14:paraId="5C4A076F">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600" w:lineRule="exact"/>
        <w:ind w:right="0" w:rightChars="0" w:firstLine="640" w:firstLineChars="200"/>
        <w:textAlignment w:val="auto"/>
        <w:rPr>
          <w:rFonts w:hint="default" w:ascii="仿宋" w:hAnsi="仿宋" w:eastAsia="仿宋" w:cs="仿宋"/>
          <w:i w:val="0"/>
          <w:iCs w:val="0"/>
          <w:caps w:val="0"/>
          <w:color w:val="000000"/>
          <w:spacing w:val="11"/>
          <w:kern w:val="0"/>
          <w:sz w:val="32"/>
          <w:szCs w:val="32"/>
          <w:shd w:val="clear" w:color="auto" w:fill="FFFFFF"/>
          <w:lang w:eastAsia="zh-CN" w:bidi="ar"/>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i w:val="0"/>
          <w:iCs w:val="0"/>
          <w:caps w:val="0"/>
          <w:color w:val="000000"/>
          <w:spacing w:val="11"/>
          <w:kern w:val="0"/>
          <w:sz w:val="32"/>
          <w:szCs w:val="32"/>
          <w:shd w:val="clear" w:color="auto" w:fill="FFFFFF"/>
          <w:lang w:val="en-US" w:eastAsia="zh-CN" w:bidi="ar"/>
        </w:rPr>
        <w:t>怀化市</w:t>
      </w:r>
      <w:r>
        <w:rPr>
          <w:rFonts w:hint="eastAsia" w:ascii="仿宋" w:hAnsi="仿宋" w:eastAsia="仿宋" w:cs="仿宋"/>
          <w:i w:val="0"/>
          <w:iCs w:val="0"/>
          <w:caps w:val="0"/>
          <w:color w:val="000000"/>
          <w:spacing w:val="11"/>
          <w:kern w:val="0"/>
          <w:sz w:val="32"/>
          <w:szCs w:val="32"/>
          <w:shd w:val="clear" w:color="auto" w:fill="FFFFFF"/>
          <w:lang w:eastAsia="zh-CN" w:bidi="ar"/>
        </w:rPr>
        <w:t>库区移民事务中心</w:t>
      </w:r>
      <w:r>
        <w:rPr>
          <w:rFonts w:hint="eastAsia" w:ascii="仿宋" w:hAnsi="仿宋" w:eastAsia="仿宋" w:cs="仿宋"/>
          <w:i w:val="0"/>
          <w:iCs w:val="0"/>
          <w:caps w:val="0"/>
          <w:color w:val="000000"/>
          <w:spacing w:val="11"/>
          <w:kern w:val="0"/>
          <w:sz w:val="32"/>
          <w:szCs w:val="32"/>
          <w:shd w:val="clear" w:color="auto" w:fill="FFFFFF"/>
          <w:lang w:val="en-US" w:eastAsia="zh-CN" w:bidi="ar"/>
        </w:rPr>
        <w:t>项目支出绩效的绩效指标涵盖了预算执行与控制、项目完成情况、资金使用效率、成本控制效果、公共服务质量、经济效益</w:t>
      </w:r>
      <w:r>
        <w:rPr>
          <w:rFonts w:hint="eastAsia" w:ascii="仿宋" w:hAnsi="仿宋" w:eastAsia="仿宋" w:cs="仿宋"/>
          <w:i w:val="0"/>
          <w:iCs w:val="0"/>
          <w:caps w:val="0"/>
          <w:color w:val="000000"/>
          <w:spacing w:val="11"/>
          <w:kern w:val="0"/>
          <w:sz w:val="32"/>
          <w:szCs w:val="32"/>
          <w:shd w:val="clear" w:color="auto" w:fill="FFFFFF"/>
          <w:lang w:eastAsia="zh-CN" w:bidi="ar"/>
        </w:rPr>
        <w:t>、</w:t>
      </w:r>
      <w:r>
        <w:rPr>
          <w:rFonts w:hint="eastAsia" w:ascii="仿宋" w:hAnsi="仿宋" w:eastAsia="仿宋" w:cs="仿宋"/>
          <w:i w:val="0"/>
          <w:iCs w:val="0"/>
          <w:caps w:val="0"/>
          <w:color w:val="000000"/>
          <w:spacing w:val="11"/>
          <w:kern w:val="0"/>
          <w:sz w:val="32"/>
          <w:szCs w:val="32"/>
          <w:shd w:val="clear" w:color="auto" w:fill="FFFFFF"/>
          <w:lang w:val="en-US" w:eastAsia="zh-CN" w:bidi="ar"/>
        </w:rPr>
        <w:t>社会效益</w:t>
      </w:r>
      <w:r>
        <w:rPr>
          <w:rFonts w:hint="eastAsia" w:ascii="仿宋" w:hAnsi="仿宋" w:eastAsia="仿宋" w:cs="仿宋"/>
          <w:i w:val="0"/>
          <w:iCs w:val="0"/>
          <w:caps w:val="0"/>
          <w:color w:val="000000"/>
          <w:spacing w:val="11"/>
          <w:kern w:val="0"/>
          <w:sz w:val="32"/>
          <w:szCs w:val="32"/>
          <w:shd w:val="clear" w:color="auto" w:fill="FFFFFF"/>
          <w:lang w:eastAsia="zh-CN" w:bidi="ar"/>
        </w:rPr>
        <w:t>和服务对象满意度</w:t>
      </w:r>
      <w:r>
        <w:rPr>
          <w:rFonts w:hint="eastAsia" w:ascii="仿宋" w:hAnsi="仿宋" w:eastAsia="仿宋" w:cs="仿宋"/>
          <w:i w:val="0"/>
          <w:iCs w:val="0"/>
          <w:caps w:val="0"/>
          <w:color w:val="000000"/>
          <w:spacing w:val="11"/>
          <w:kern w:val="0"/>
          <w:sz w:val="32"/>
          <w:szCs w:val="32"/>
          <w:shd w:val="clear" w:color="auto" w:fill="FFFFFF"/>
          <w:lang w:val="en-US" w:eastAsia="zh-CN" w:bidi="ar"/>
        </w:rPr>
        <w:t>等方面。通过对这些指标的综合评估和分析，单位能够全面了解项目支出的绩效情况，为未来的项目管理和决策提供有力支持</w:t>
      </w:r>
      <w:r>
        <w:rPr>
          <w:rFonts w:hint="default" w:ascii="仿宋" w:hAnsi="仿宋" w:eastAsia="仿宋" w:cs="仿宋"/>
          <w:i w:val="0"/>
          <w:iCs w:val="0"/>
          <w:caps w:val="0"/>
          <w:color w:val="000000"/>
          <w:spacing w:val="11"/>
          <w:kern w:val="0"/>
          <w:sz w:val="32"/>
          <w:szCs w:val="32"/>
          <w:shd w:val="clear" w:color="auto" w:fill="FFFFFF"/>
          <w:lang w:eastAsia="zh-CN" w:bidi="ar"/>
        </w:rPr>
        <w:t>。</w:t>
      </w:r>
    </w:p>
    <w:p w14:paraId="4EEF012B">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600" w:lineRule="exact"/>
        <w:ind w:right="0" w:rightChars="0" w:firstLine="684" w:firstLineChars="200"/>
        <w:textAlignment w:val="auto"/>
        <w:rPr>
          <w:rFonts w:hint="eastAsia" w:ascii="仿宋" w:hAnsi="仿宋" w:eastAsia="仿宋" w:cs="仿宋"/>
          <w:i w:val="0"/>
          <w:iCs w:val="0"/>
          <w:caps w:val="0"/>
          <w:color w:val="000000"/>
          <w:spacing w:val="11"/>
          <w:kern w:val="0"/>
          <w:sz w:val="32"/>
          <w:szCs w:val="32"/>
          <w:shd w:val="clear" w:color="auto" w:fill="FFFFFF"/>
          <w:lang w:val="en-US" w:eastAsia="zh-CN" w:bidi="ar"/>
        </w:rPr>
      </w:pPr>
      <w:r>
        <w:rPr>
          <w:rFonts w:hint="eastAsia" w:ascii="仿宋" w:hAnsi="仿宋" w:eastAsia="仿宋" w:cs="仿宋"/>
          <w:i w:val="0"/>
          <w:iCs w:val="0"/>
          <w:caps w:val="0"/>
          <w:color w:val="000000"/>
          <w:spacing w:val="11"/>
          <w:kern w:val="0"/>
          <w:sz w:val="32"/>
          <w:szCs w:val="32"/>
          <w:shd w:val="clear" w:color="auto" w:fill="FFFFFF"/>
          <w:lang w:val="en-US" w:eastAsia="zh-CN" w:bidi="ar"/>
        </w:rPr>
        <w:t>（</w:t>
      </w:r>
      <w:r>
        <w:rPr>
          <w:rFonts w:hint="eastAsia" w:ascii="仿宋_GB2312" w:hAnsi="Calibri" w:eastAsia="仿宋_GB2312" w:cs="仿宋_GB2312"/>
          <w:i w:val="0"/>
          <w:iCs w:val="0"/>
          <w:caps w:val="0"/>
          <w:color w:val="000000"/>
          <w:spacing w:val="11"/>
          <w:kern w:val="0"/>
          <w:sz w:val="32"/>
          <w:szCs w:val="32"/>
          <w:shd w:val="clear" w:color="auto" w:fill="FFFFFF"/>
          <w:lang w:val="en-US" w:eastAsia="zh-CN" w:bidi="ar"/>
        </w:rPr>
        <w:t>1</w:t>
      </w:r>
      <w:r>
        <w:rPr>
          <w:rFonts w:hint="eastAsia" w:ascii="仿宋" w:hAnsi="仿宋" w:eastAsia="仿宋" w:cs="仿宋"/>
          <w:i w:val="0"/>
          <w:iCs w:val="0"/>
          <w:caps w:val="0"/>
          <w:color w:val="000000"/>
          <w:spacing w:val="11"/>
          <w:kern w:val="0"/>
          <w:sz w:val="32"/>
          <w:szCs w:val="32"/>
          <w:shd w:val="clear" w:color="auto" w:fill="FFFFFF"/>
          <w:lang w:val="en-US" w:eastAsia="zh-CN" w:bidi="ar"/>
        </w:rPr>
        <w:t>）</w:t>
      </w:r>
      <w:r>
        <w:rPr>
          <w:rFonts w:hint="eastAsia" w:ascii="仿宋_GB2312" w:hAnsi="Calibri" w:eastAsia="仿宋_GB2312" w:cs="仿宋_GB2312"/>
          <w:i w:val="0"/>
          <w:iCs w:val="0"/>
          <w:caps w:val="0"/>
          <w:color w:val="000000"/>
          <w:spacing w:val="11"/>
          <w:kern w:val="0"/>
          <w:sz w:val="32"/>
          <w:szCs w:val="32"/>
          <w:shd w:val="clear" w:color="auto" w:fill="FFFFFF"/>
          <w:lang w:val="en-US" w:eastAsia="zh-CN" w:bidi="ar"/>
        </w:rPr>
        <w:t>产出数量</w:t>
      </w:r>
      <w:r>
        <w:rPr>
          <w:rFonts w:hint="default" w:ascii="仿宋_GB2312" w:hAnsi="Calibri" w:eastAsia="仿宋_GB2312" w:cs="仿宋_GB2312"/>
          <w:i w:val="0"/>
          <w:iCs w:val="0"/>
          <w:caps w:val="0"/>
          <w:color w:val="000000"/>
          <w:spacing w:val="11"/>
          <w:kern w:val="0"/>
          <w:sz w:val="32"/>
          <w:szCs w:val="32"/>
          <w:shd w:val="clear" w:color="auto" w:fill="FFFFFF"/>
          <w:lang w:eastAsia="zh-CN" w:bidi="ar"/>
        </w:rPr>
        <w:t>：</w:t>
      </w:r>
      <w:r>
        <w:rPr>
          <w:rFonts w:hint="eastAsia" w:ascii="仿宋" w:hAnsi="仿宋" w:eastAsia="仿宋" w:cs="仿宋"/>
          <w:i w:val="0"/>
          <w:iCs w:val="0"/>
          <w:caps w:val="0"/>
          <w:color w:val="000000"/>
          <w:spacing w:val="11"/>
          <w:kern w:val="0"/>
          <w:sz w:val="32"/>
          <w:szCs w:val="32"/>
          <w:shd w:val="clear" w:color="auto" w:fill="FFFFFF"/>
          <w:lang w:val="en-US" w:eastAsia="zh-CN" w:bidi="ar"/>
        </w:rPr>
        <w:t>我单位1个项目年初填报项目绩效目标表，项目完成情况均为100%。</w:t>
      </w:r>
    </w:p>
    <w:p w14:paraId="3BD2F80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600" w:lineRule="exact"/>
        <w:ind w:right="0" w:rightChars="0" w:firstLine="684" w:firstLineChars="200"/>
        <w:textAlignment w:val="auto"/>
        <w:rPr>
          <w:rFonts w:hint="eastAsia" w:ascii="仿宋" w:hAnsi="仿宋" w:eastAsia="仿宋" w:cs="仿宋"/>
          <w:i w:val="0"/>
          <w:iCs w:val="0"/>
          <w:caps w:val="0"/>
          <w:color w:val="000000"/>
          <w:spacing w:val="11"/>
          <w:kern w:val="0"/>
          <w:sz w:val="32"/>
          <w:szCs w:val="32"/>
          <w:shd w:val="clear" w:color="auto" w:fill="FFFFFF"/>
          <w:lang w:val="en-US" w:eastAsia="zh-CN" w:bidi="ar"/>
        </w:rPr>
      </w:pPr>
      <w:r>
        <w:rPr>
          <w:rFonts w:hint="eastAsia" w:ascii="仿宋" w:hAnsi="仿宋" w:eastAsia="仿宋" w:cs="仿宋"/>
          <w:i w:val="0"/>
          <w:iCs w:val="0"/>
          <w:caps w:val="0"/>
          <w:color w:val="000000"/>
          <w:spacing w:val="11"/>
          <w:kern w:val="0"/>
          <w:sz w:val="32"/>
          <w:szCs w:val="32"/>
          <w:shd w:val="clear" w:color="auto" w:fill="FFFFFF"/>
          <w:lang w:val="en-US" w:eastAsia="zh-CN" w:bidi="ar"/>
        </w:rPr>
        <w:t>（2）产出质量</w:t>
      </w:r>
      <w:r>
        <w:rPr>
          <w:rFonts w:hint="default" w:ascii="仿宋" w:hAnsi="仿宋" w:eastAsia="仿宋" w:cs="仿宋"/>
          <w:i w:val="0"/>
          <w:iCs w:val="0"/>
          <w:caps w:val="0"/>
          <w:color w:val="000000"/>
          <w:spacing w:val="11"/>
          <w:kern w:val="0"/>
          <w:sz w:val="32"/>
          <w:szCs w:val="32"/>
          <w:shd w:val="clear" w:color="auto" w:fill="FFFFFF"/>
          <w:lang w:eastAsia="zh-CN" w:bidi="ar"/>
        </w:rPr>
        <w:t>：</w:t>
      </w:r>
      <w:r>
        <w:rPr>
          <w:rFonts w:hint="eastAsia" w:ascii="仿宋" w:hAnsi="仿宋" w:eastAsia="仿宋" w:cs="仿宋"/>
          <w:i w:val="0"/>
          <w:iCs w:val="0"/>
          <w:caps w:val="0"/>
          <w:color w:val="000000"/>
          <w:spacing w:val="11"/>
          <w:kern w:val="0"/>
          <w:sz w:val="32"/>
          <w:szCs w:val="32"/>
          <w:shd w:val="clear" w:color="auto" w:fill="FFFFFF"/>
          <w:lang w:val="en-US" w:eastAsia="zh-CN" w:bidi="ar"/>
        </w:rPr>
        <w:t>我单位设定了明确且务实的预期目标。这些目标旨在确保经费的高效、合理和可持续使用，以推动各项工作的顺利进行，并最终实现预期的社会效益、经济效益和可持续效益。为实现这些目标，项目支出保障部室馆将发挥至关重要的作用，确保经费的及时、准确和有效投入。</w:t>
      </w:r>
    </w:p>
    <w:p w14:paraId="221B17E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600" w:lineRule="exact"/>
        <w:ind w:right="0" w:rightChars="0" w:firstLine="684" w:firstLineChars="200"/>
        <w:textAlignment w:val="auto"/>
        <w:rPr>
          <w:rFonts w:hint="eastAsia" w:ascii="仿宋" w:hAnsi="仿宋" w:eastAsia="仿宋" w:cs="仿宋"/>
          <w:i w:val="0"/>
          <w:iCs w:val="0"/>
          <w:caps w:val="0"/>
          <w:color w:val="000000"/>
          <w:spacing w:val="11"/>
          <w:kern w:val="0"/>
          <w:sz w:val="32"/>
          <w:szCs w:val="32"/>
          <w:shd w:val="clear" w:color="auto" w:fill="FFFFFF"/>
          <w:lang w:val="en-US" w:eastAsia="zh-CN" w:bidi="ar"/>
        </w:rPr>
      </w:pPr>
      <w:r>
        <w:rPr>
          <w:rFonts w:hint="eastAsia" w:ascii="仿宋" w:hAnsi="仿宋" w:eastAsia="仿宋" w:cs="仿宋"/>
          <w:i w:val="0"/>
          <w:iCs w:val="0"/>
          <w:caps w:val="0"/>
          <w:color w:val="000000"/>
          <w:spacing w:val="11"/>
          <w:kern w:val="0"/>
          <w:sz w:val="32"/>
          <w:szCs w:val="32"/>
          <w:shd w:val="clear" w:color="auto" w:fill="FFFFFF"/>
          <w:lang w:val="en-US" w:eastAsia="zh-CN" w:bidi="ar"/>
        </w:rPr>
        <w:t>（3）产出成本</w:t>
      </w:r>
      <w:r>
        <w:rPr>
          <w:rFonts w:hint="default" w:ascii="仿宋" w:hAnsi="仿宋" w:eastAsia="仿宋" w:cs="仿宋"/>
          <w:i w:val="0"/>
          <w:iCs w:val="0"/>
          <w:caps w:val="0"/>
          <w:color w:val="000000"/>
          <w:spacing w:val="11"/>
          <w:kern w:val="0"/>
          <w:sz w:val="32"/>
          <w:szCs w:val="32"/>
          <w:shd w:val="clear" w:color="auto" w:fill="FFFFFF"/>
          <w:lang w:eastAsia="zh-CN" w:bidi="ar"/>
        </w:rPr>
        <w:t>：</w:t>
      </w:r>
      <w:r>
        <w:rPr>
          <w:rFonts w:hint="eastAsia" w:ascii="仿宋" w:hAnsi="仿宋" w:eastAsia="仿宋" w:cs="仿宋"/>
          <w:i w:val="0"/>
          <w:iCs w:val="0"/>
          <w:caps w:val="0"/>
          <w:color w:val="000000"/>
          <w:spacing w:val="11"/>
          <w:kern w:val="0"/>
          <w:sz w:val="32"/>
          <w:szCs w:val="32"/>
          <w:shd w:val="clear" w:color="auto" w:fill="FFFFFF"/>
          <w:lang w:val="en-US" w:eastAsia="zh-CN" w:bidi="ar"/>
        </w:rPr>
        <w:t>项目支出均未超出全年预算，年初预算30万元，年中追加109.34万元，2025年项目支出139.34万元。</w:t>
      </w:r>
    </w:p>
    <w:p w14:paraId="2E1D425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600" w:lineRule="exact"/>
        <w:ind w:right="0" w:rightChars="0" w:firstLine="684" w:firstLineChars="200"/>
        <w:textAlignment w:val="auto"/>
        <w:rPr>
          <w:rFonts w:hint="eastAsia" w:ascii="仿宋" w:hAnsi="仿宋" w:eastAsia="仿宋" w:cs="仿宋"/>
          <w:i w:val="0"/>
          <w:iCs w:val="0"/>
          <w:caps w:val="0"/>
          <w:color w:val="000000"/>
          <w:spacing w:val="11"/>
          <w:kern w:val="0"/>
          <w:sz w:val="32"/>
          <w:szCs w:val="32"/>
          <w:shd w:val="clear" w:color="auto" w:fill="FFFFFF"/>
          <w:lang w:val="en-US" w:eastAsia="zh-CN" w:bidi="ar"/>
        </w:rPr>
      </w:pPr>
      <w:r>
        <w:rPr>
          <w:rFonts w:hint="eastAsia" w:ascii="仿宋" w:hAnsi="仿宋" w:eastAsia="仿宋" w:cs="仿宋"/>
          <w:i w:val="0"/>
          <w:iCs w:val="0"/>
          <w:caps w:val="0"/>
          <w:color w:val="000000"/>
          <w:spacing w:val="11"/>
          <w:kern w:val="0"/>
          <w:sz w:val="32"/>
          <w:szCs w:val="32"/>
          <w:shd w:val="clear" w:color="auto" w:fill="FFFFFF"/>
          <w:lang w:val="en-US" w:eastAsia="zh-CN" w:bidi="ar"/>
        </w:rPr>
        <w:t>（4）产出时效</w:t>
      </w:r>
      <w:r>
        <w:rPr>
          <w:rFonts w:hint="default" w:ascii="仿宋" w:hAnsi="仿宋" w:eastAsia="仿宋" w:cs="仿宋"/>
          <w:i w:val="0"/>
          <w:iCs w:val="0"/>
          <w:caps w:val="0"/>
          <w:color w:val="000000"/>
          <w:spacing w:val="11"/>
          <w:kern w:val="0"/>
          <w:sz w:val="32"/>
          <w:szCs w:val="32"/>
          <w:shd w:val="clear" w:color="auto" w:fill="FFFFFF"/>
          <w:lang w:eastAsia="zh-CN" w:bidi="ar"/>
        </w:rPr>
        <w:t>：</w:t>
      </w:r>
      <w:r>
        <w:rPr>
          <w:rFonts w:hint="eastAsia" w:ascii="仿宋" w:hAnsi="仿宋" w:eastAsia="仿宋" w:cs="仿宋"/>
          <w:i w:val="0"/>
          <w:iCs w:val="0"/>
          <w:caps w:val="0"/>
          <w:color w:val="000000"/>
          <w:spacing w:val="11"/>
          <w:kern w:val="0"/>
          <w:sz w:val="32"/>
          <w:szCs w:val="32"/>
          <w:shd w:val="clear" w:color="auto" w:fill="FFFFFF"/>
          <w:lang w:val="en-US" w:eastAsia="zh-CN" w:bidi="ar"/>
        </w:rPr>
        <w:t>项目的完成均在2025年度完成，未超出时效。</w:t>
      </w:r>
    </w:p>
    <w:p w14:paraId="596264CB">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600" w:lineRule="exact"/>
        <w:ind w:right="0" w:rightChars="0" w:firstLine="684" w:firstLineChars="200"/>
        <w:textAlignment w:val="auto"/>
        <w:rPr>
          <w:rFonts w:hint="eastAsia" w:ascii="仿宋" w:hAnsi="仿宋" w:eastAsia="仿宋" w:cs="仿宋"/>
          <w:i w:val="0"/>
          <w:iCs w:val="0"/>
          <w:caps w:val="0"/>
          <w:color w:val="000000"/>
          <w:spacing w:val="11"/>
          <w:kern w:val="0"/>
          <w:sz w:val="32"/>
          <w:szCs w:val="32"/>
          <w:shd w:val="clear" w:color="auto" w:fill="FFFFFF"/>
          <w:lang w:val="en-US" w:eastAsia="zh-CN" w:bidi="ar"/>
        </w:rPr>
      </w:pPr>
      <w:r>
        <w:rPr>
          <w:rFonts w:hint="default" w:ascii="仿宋" w:hAnsi="仿宋" w:eastAsia="仿宋" w:cs="仿宋"/>
          <w:i w:val="0"/>
          <w:iCs w:val="0"/>
          <w:caps w:val="0"/>
          <w:color w:val="000000"/>
          <w:spacing w:val="11"/>
          <w:kern w:val="0"/>
          <w:sz w:val="32"/>
          <w:szCs w:val="32"/>
          <w:shd w:val="clear" w:color="auto" w:fill="FFFFFF"/>
          <w:lang w:eastAsia="zh-CN" w:bidi="ar"/>
        </w:rPr>
        <w:t>（5）</w:t>
      </w:r>
      <w:r>
        <w:rPr>
          <w:rFonts w:hint="eastAsia" w:ascii="仿宋" w:hAnsi="仿宋" w:eastAsia="仿宋" w:cs="仿宋"/>
          <w:i w:val="0"/>
          <w:iCs w:val="0"/>
          <w:caps w:val="0"/>
          <w:color w:val="000000"/>
          <w:spacing w:val="11"/>
          <w:kern w:val="0"/>
          <w:sz w:val="32"/>
          <w:szCs w:val="32"/>
          <w:shd w:val="clear" w:color="auto" w:fill="FFFFFF"/>
          <w:lang w:val="en-US" w:eastAsia="zh-CN" w:bidi="ar"/>
        </w:rPr>
        <w:t>社会效益</w:t>
      </w:r>
      <w:r>
        <w:rPr>
          <w:rFonts w:hint="default" w:ascii="仿宋" w:hAnsi="仿宋" w:eastAsia="仿宋" w:cs="仿宋"/>
          <w:i w:val="0"/>
          <w:iCs w:val="0"/>
          <w:caps w:val="0"/>
          <w:color w:val="000000"/>
          <w:spacing w:val="11"/>
          <w:kern w:val="0"/>
          <w:sz w:val="32"/>
          <w:szCs w:val="32"/>
          <w:shd w:val="clear" w:color="auto" w:fill="FFFFFF"/>
          <w:lang w:eastAsia="zh-CN" w:bidi="ar"/>
        </w:rPr>
        <w:t>：</w:t>
      </w:r>
      <w:r>
        <w:rPr>
          <w:rFonts w:hint="eastAsia" w:ascii="仿宋" w:hAnsi="仿宋" w:eastAsia="仿宋" w:cs="仿宋"/>
          <w:i w:val="0"/>
          <w:iCs w:val="0"/>
          <w:caps w:val="0"/>
          <w:color w:val="000000"/>
          <w:spacing w:val="11"/>
          <w:kern w:val="0"/>
          <w:sz w:val="32"/>
          <w:szCs w:val="32"/>
          <w:shd w:val="clear" w:color="auto" w:fill="FFFFFF"/>
          <w:lang w:val="en-US" w:eastAsia="zh-CN" w:bidi="ar"/>
        </w:rPr>
        <w:t>我单位通过高效、透明的项目管理和预算使用，让移民后期扶持政策实施效果明显，移民生产生活水平不断提升，基础设施条件明显完善，社会稳定。</w:t>
      </w:r>
    </w:p>
    <w:p w14:paraId="73B2611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600" w:lineRule="exact"/>
        <w:ind w:right="0" w:rightChars="0" w:firstLine="684" w:firstLineChars="200"/>
        <w:textAlignment w:val="auto"/>
        <w:rPr>
          <w:rFonts w:hint="eastAsia" w:ascii="仿宋" w:hAnsi="仿宋" w:eastAsia="仿宋" w:cs="仿宋"/>
          <w:i w:val="0"/>
          <w:iCs w:val="0"/>
          <w:caps w:val="0"/>
          <w:color w:val="000000"/>
          <w:spacing w:val="11"/>
          <w:kern w:val="0"/>
          <w:sz w:val="32"/>
          <w:szCs w:val="32"/>
          <w:shd w:val="clear" w:color="auto" w:fill="FFFFFF"/>
          <w:lang w:val="en-US" w:eastAsia="zh-CN" w:bidi="ar"/>
        </w:rPr>
      </w:pPr>
      <w:r>
        <w:rPr>
          <w:rFonts w:hint="default" w:ascii="仿宋" w:hAnsi="仿宋" w:eastAsia="仿宋" w:cs="仿宋"/>
          <w:i w:val="0"/>
          <w:iCs w:val="0"/>
          <w:caps w:val="0"/>
          <w:color w:val="000000"/>
          <w:spacing w:val="11"/>
          <w:kern w:val="0"/>
          <w:sz w:val="32"/>
          <w:szCs w:val="32"/>
          <w:shd w:val="clear" w:color="auto" w:fill="FFFFFF"/>
          <w:lang w:eastAsia="zh-CN" w:bidi="ar"/>
        </w:rPr>
        <w:t>（6）</w:t>
      </w:r>
      <w:r>
        <w:rPr>
          <w:rFonts w:hint="eastAsia" w:ascii="仿宋" w:hAnsi="仿宋" w:eastAsia="仿宋" w:cs="仿宋"/>
          <w:i w:val="0"/>
          <w:iCs w:val="0"/>
          <w:caps w:val="0"/>
          <w:color w:val="000000"/>
          <w:spacing w:val="11"/>
          <w:kern w:val="0"/>
          <w:sz w:val="32"/>
          <w:szCs w:val="32"/>
          <w:shd w:val="clear" w:color="auto" w:fill="FFFFFF"/>
          <w:lang w:val="en-US" w:eastAsia="zh-CN" w:bidi="ar"/>
        </w:rPr>
        <w:t>经济效益</w:t>
      </w:r>
      <w:r>
        <w:rPr>
          <w:rFonts w:hint="default" w:ascii="仿宋" w:hAnsi="仿宋" w:eastAsia="仿宋" w:cs="仿宋"/>
          <w:i w:val="0"/>
          <w:iCs w:val="0"/>
          <w:caps w:val="0"/>
          <w:color w:val="000000"/>
          <w:spacing w:val="11"/>
          <w:kern w:val="0"/>
          <w:sz w:val="32"/>
          <w:szCs w:val="32"/>
          <w:shd w:val="clear" w:color="auto" w:fill="FFFFFF"/>
          <w:lang w:eastAsia="zh-CN" w:bidi="ar"/>
        </w:rPr>
        <w:t>：一是</w:t>
      </w:r>
      <w:r>
        <w:rPr>
          <w:rFonts w:hint="eastAsia" w:ascii="仿宋" w:hAnsi="仿宋" w:eastAsia="仿宋" w:cs="仿宋"/>
          <w:i w:val="0"/>
          <w:iCs w:val="0"/>
          <w:caps w:val="0"/>
          <w:color w:val="000000"/>
          <w:spacing w:val="11"/>
          <w:kern w:val="0"/>
          <w:sz w:val="32"/>
          <w:szCs w:val="32"/>
          <w:shd w:val="clear" w:color="auto" w:fill="FFFFFF"/>
          <w:lang w:val="en-US" w:eastAsia="zh-CN" w:bidi="ar"/>
        </w:rPr>
        <w:t>降低行政成本：通过制定科学合理的预算方案，我单位合理分配资源，避免浪费，有效降低项目成本。</w:t>
      </w:r>
      <w:r>
        <w:rPr>
          <w:rFonts w:hint="default" w:ascii="仿宋" w:hAnsi="仿宋" w:eastAsia="仿宋" w:cs="仿宋"/>
          <w:i w:val="0"/>
          <w:iCs w:val="0"/>
          <w:caps w:val="0"/>
          <w:color w:val="000000"/>
          <w:spacing w:val="11"/>
          <w:kern w:val="0"/>
          <w:sz w:val="32"/>
          <w:szCs w:val="32"/>
          <w:shd w:val="clear" w:color="auto" w:fill="FFFFFF"/>
          <w:lang w:eastAsia="zh-CN" w:bidi="ar"/>
        </w:rPr>
        <w:t>二是</w:t>
      </w:r>
      <w:r>
        <w:rPr>
          <w:rFonts w:hint="eastAsia" w:ascii="仿宋" w:hAnsi="仿宋" w:eastAsia="仿宋" w:cs="仿宋"/>
          <w:i w:val="0"/>
          <w:iCs w:val="0"/>
          <w:caps w:val="0"/>
          <w:color w:val="000000"/>
          <w:spacing w:val="11"/>
          <w:kern w:val="0"/>
          <w:sz w:val="32"/>
          <w:szCs w:val="32"/>
          <w:shd w:val="clear" w:color="auto" w:fill="FFFFFF"/>
          <w:lang w:val="en-US" w:eastAsia="zh-CN" w:bidi="ar"/>
        </w:rPr>
        <w:t>提高资金使用效率：加强项目执行与监督，确保资金按计划使用，能够最大限度地发挥资金的效益，实现经费的有效利用。</w:t>
      </w:r>
    </w:p>
    <w:p w14:paraId="28786D2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600" w:lineRule="exact"/>
        <w:ind w:right="0" w:rightChars="0" w:firstLine="684" w:firstLineChars="200"/>
        <w:textAlignment w:val="auto"/>
        <w:rPr>
          <w:rFonts w:hint="eastAsia" w:ascii="仿宋" w:hAnsi="仿宋" w:eastAsia="仿宋" w:cs="仿宋"/>
          <w:i w:val="0"/>
          <w:iCs w:val="0"/>
          <w:caps w:val="0"/>
          <w:color w:val="000000"/>
          <w:spacing w:val="11"/>
          <w:kern w:val="0"/>
          <w:sz w:val="32"/>
          <w:szCs w:val="32"/>
          <w:shd w:val="clear" w:color="auto" w:fill="FFFFFF"/>
          <w:lang w:val="en-US" w:eastAsia="zh-CN" w:bidi="ar"/>
        </w:rPr>
      </w:pPr>
      <w:r>
        <w:rPr>
          <w:rFonts w:hint="default" w:ascii="仿宋" w:hAnsi="仿宋" w:eastAsia="仿宋" w:cs="仿宋"/>
          <w:i w:val="0"/>
          <w:iCs w:val="0"/>
          <w:caps w:val="0"/>
          <w:color w:val="000000"/>
          <w:spacing w:val="11"/>
          <w:kern w:val="0"/>
          <w:sz w:val="32"/>
          <w:szCs w:val="32"/>
          <w:shd w:val="clear" w:color="auto" w:fill="FFFFFF"/>
          <w:lang w:eastAsia="zh-CN" w:bidi="ar"/>
        </w:rPr>
        <w:t>（7）</w:t>
      </w:r>
      <w:r>
        <w:rPr>
          <w:rFonts w:hint="eastAsia" w:ascii="仿宋" w:hAnsi="仿宋" w:eastAsia="仿宋" w:cs="仿宋"/>
          <w:i w:val="0"/>
          <w:iCs w:val="0"/>
          <w:caps w:val="0"/>
          <w:color w:val="000000"/>
          <w:spacing w:val="11"/>
          <w:kern w:val="0"/>
          <w:sz w:val="32"/>
          <w:szCs w:val="32"/>
          <w:shd w:val="clear" w:color="auto" w:fill="FFFFFF"/>
          <w:lang w:val="en-US" w:eastAsia="zh-CN" w:bidi="ar"/>
        </w:rPr>
        <w:t>可持续效益</w:t>
      </w:r>
      <w:r>
        <w:rPr>
          <w:rFonts w:hint="default" w:ascii="仿宋" w:hAnsi="仿宋" w:eastAsia="仿宋" w:cs="仿宋"/>
          <w:i w:val="0"/>
          <w:iCs w:val="0"/>
          <w:caps w:val="0"/>
          <w:color w:val="000000"/>
          <w:spacing w:val="11"/>
          <w:kern w:val="0"/>
          <w:sz w:val="32"/>
          <w:szCs w:val="32"/>
          <w:shd w:val="clear" w:color="auto" w:fill="FFFFFF"/>
          <w:lang w:eastAsia="zh-CN" w:bidi="ar"/>
        </w:rPr>
        <w:t>：</w:t>
      </w:r>
      <w:r>
        <w:rPr>
          <w:rFonts w:hint="eastAsia" w:ascii="仿宋" w:hAnsi="仿宋" w:eastAsia="仿宋" w:cs="仿宋"/>
          <w:i w:val="0"/>
          <w:iCs w:val="0"/>
          <w:caps w:val="0"/>
          <w:color w:val="000000"/>
          <w:spacing w:val="11"/>
          <w:kern w:val="0"/>
          <w:sz w:val="32"/>
          <w:szCs w:val="32"/>
          <w:shd w:val="clear" w:color="auto" w:fill="FFFFFF"/>
          <w:lang w:val="en-US" w:eastAsia="zh-CN" w:bidi="ar"/>
        </w:rPr>
        <w:t>我单位在项目实施过程中，注重风险管理与应对，建立起一套可持续的管理制度，为未来的项目实施提供了可借鉴的经验和模式。</w:t>
      </w:r>
    </w:p>
    <w:p w14:paraId="2DEB27A7">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600" w:lineRule="exact"/>
        <w:ind w:right="0" w:rightChars="0" w:firstLine="684" w:firstLineChars="200"/>
        <w:textAlignment w:val="auto"/>
        <w:rPr>
          <w:rFonts w:hint="eastAsia" w:ascii="仿宋" w:hAnsi="仿宋" w:eastAsia="仿宋" w:cs="仿宋"/>
          <w:i w:val="0"/>
          <w:iCs w:val="0"/>
          <w:caps w:val="0"/>
          <w:color w:val="000000"/>
          <w:spacing w:val="11"/>
          <w:kern w:val="0"/>
          <w:sz w:val="32"/>
          <w:szCs w:val="32"/>
          <w:shd w:val="clear" w:color="auto" w:fill="FFFFFF"/>
          <w:lang w:eastAsia="zh-CN" w:bidi="ar"/>
        </w:rPr>
      </w:pPr>
      <w:r>
        <w:rPr>
          <w:rFonts w:hint="eastAsia" w:ascii="仿宋" w:hAnsi="仿宋" w:eastAsia="仿宋" w:cs="仿宋"/>
          <w:i w:val="0"/>
          <w:iCs w:val="0"/>
          <w:caps w:val="0"/>
          <w:color w:val="000000"/>
          <w:spacing w:val="11"/>
          <w:kern w:val="0"/>
          <w:sz w:val="32"/>
          <w:szCs w:val="32"/>
          <w:shd w:val="clear" w:color="auto" w:fill="FFFFFF"/>
          <w:lang w:val="en-US" w:eastAsia="zh-CN" w:bidi="ar"/>
        </w:rPr>
        <w:t>综上所述，我单位通过一系列的操作和策略，实现了社会效益、经济效益和可持续效益的多重提升，让</w:t>
      </w:r>
      <w:r>
        <w:rPr>
          <w:rFonts w:hint="eastAsia" w:ascii="仿宋" w:hAnsi="仿宋" w:eastAsia="仿宋" w:cs="仿宋"/>
          <w:i w:val="0"/>
          <w:iCs w:val="0"/>
          <w:caps w:val="0"/>
          <w:color w:val="000000"/>
          <w:spacing w:val="11"/>
          <w:kern w:val="0"/>
          <w:sz w:val="32"/>
          <w:szCs w:val="32"/>
          <w:shd w:val="clear" w:color="auto" w:fill="FFFFFF"/>
          <w:lang w:eastAsia="zh-CN" w:bidi="ar"/>
        </w:rPr>
        <w:t>移民工作者</w:t>
      </w:r>
      <w:r>
        <w:rPr>
          <w:rFonts w:hint="eastAsia" w:ascii="仿宋" w:hAnsi="仿宋" w:eastAsia="仿宋" w:cs="仿宋"/>
          <w:i w:val="0"/>
          <w:iCs w:val="0"/>
          <w:caps w:val="0"/>
          <w:color w:val="000000"/>
          <w:spacing w:val="11"/>
          <w:kern w:val="0"/>
          <w:sz w:val="32"/>
          <w:szCs w:val="32"/>
          <w:shd w:val="clear" w:color="auto" w:fill="FFFFFF"/>
          <w:lang w:val="en-US" w:eastAsia="zh-CN" w:bidi="ar"/>
        </w:rPr>
        <w:t>队伍不断巩固壮大，</w:t>
      </w:r>
      <w:r>
        <w:rPr>
          <w:rFonts w:hint="eastAsia" w:ascii="仿宋" w:hAnsi="仿宋" w:eastAsia="仿宋" w:cs="仿宋"/>
          <w:i w:val="0"/>
          <w:iCs w:val="0"/>
          <w:caps w:val="0"/>
          <w:color w:val="000000"/>
          <w:spacing w:val="11"/>
          <w:kern w:val="0"/>
          <w:sz w:val="32"/>
          <w:szCs w:val="32"/>
          <w:shd w:val="clear" w:color="auto" w:fill="FFFFFF"/>
          <w:lang w:eastAsia="zh-CN" w:bidi="ar"/>
        </w:rPr>
        <w:t>逐步实现移民安居乐业的美好愿景。</w:t>
      </w:r>
    </w:p>
    <w:p w14:paraId="2CCE601A">
      <w:pPr>
        <w:pStyle w:val="14"/>
        <w:jc w:val="center"/>
        <w:rPr>
          <w:rFonts w:ascii="Times New Roman" w:hAnsi="Times New Roman" w:cs="Times New Roman"/>
          <w:sz w:val="72"/>
          <w:szCs w:val="72"/>
        </w:rPr>
      </w:pPr>
    </w:p>
    <w:p w14:paraId="6C604467">
      <w:pPr>
        <w:pStyle w:val="14"/>
        <w:jc w:val="center"/>
        <w:rPr>
          <w:rFonts w:ascii="Times New Roman" w:hAnsi="Times New Roman" w:cs="Times New Roman"/>
          <w:sz w:val="72"/>
          <w:szCs w:val="72"/>
        </w:rPr>
      </w:pPr>
    </w:p>
    <w:p w14:paraId="2C271747">
      <w:pPr>
        <w:pStyle w:val="14"/>
        <w:jc w:val="center"/>
        <w:rPr>
          <w:rFonts w:ascii="Times New Roman" w:hAnsi="Times New Roman" w:cs="Times New Roman"/>
          <w:sz w:val="72"/>
          <w:szCs w:val="72"/>
        </w:rPr>
      </w:pPr>
    </w:p>
    <w:p w14:paraId="26F5CA60">
      <w:pPr>
        <w:pStyle w:val="14"/>
        <w:jc w:val="center"/>
        <w:rPr>
          <w:rFonts w:ascii="Times New Roman" w:hAnsi="Times New Roman" w:cs="Times New Roman"/>
          <w:sz w:val="72"/>
          <w:szCs w:val="72"/>
        </w:rPr>
      </w:pPr>
    </w:p>
    <w:p w14:paraId="54D2C8CF">
      <w:pPr>
        <w:pStyle w:val="14"/>
        <w:jc w:val="center"/>
        <w:rPr>
          <w:rFonts w:ascii="Times New Roman" w:hAnsi="Times New Roman" w:cs="Times New Roman"/>
          <w:sz w:val="72"/>
          <w:szCs w:val="72"/>
        </w:rPr>
      </w:pPr>
    </w:p>
    <w:p w14:paraId="2FF6B19E">
      <w:pPr>
        <w:pStyle w:val="14"/>
        <w:jc w:val="center"/>
        <w:rPr>
          <w:rFonts w:ascii="Times New Roman" w:hAnsi="Times New Roman" w:cs="Times New Roman"/>
          <w:sz w:val="72"/>
          <w:szCs w:val="72"/>
        </w:rPr>
      </w:pPr>
    </w:p>
    <w:p w14:paraId="0C20E5FD">
      <w:pPr>
        <w:pStyle w:val="14"/>
        <w:jc w:val="center"/>
        <w:rPr>
          <w:rFonts w:ascii="Times New Roman" w:hAnsi="Times New Roman" w:cs="Times New Roman"/>
          <w:sz w:val="72"/>
          <w:szCs w:val="72"/>
        </w:rPr>
      </w:pPr>
    </w:p>
    <w:p w14:paraId="795B2642">
      <w:pPr>
        <w:pStyle w:val="14"/>
        <w:jc w:val="center"/>
        <w:rPr>
          <w:rFonts w:ascii="Times New Roman" w:hAnsi="Times New Roman" w:cs="Times New Roman"/>
          <w:sz w:val="72"/>
          <w:szCs w:val="72"/>
        </w:rPr>
      </w:pPr>
    </w:p>
    <w:p w14:paraId="3CFD2961">
      <w:pPr>
        <w:pStyle w:val="14"/>
        <w:jc w:val="center"/>
        <w:rPr>
          <w:rFonts w:ascii="Times New Roman" w:hAnsi="Times New Roman" w:cs="Times New Roman"/>
          <w:sz w:val="72"/>
          <w:szCs w:val="72"/>
        </w:rPr>
      </w:pPr>
    </w:p>
    <w:p w14:paraId="50477178">
      <w:pPr>
        <w:pStyle w:val="14"/>
        <w:jc w:val="center"/>
        <w:rPr>
          <w:rFonts w:ascii="Times New Roman" w:hAnsi="Times New Roman" w:cs="Times New Roman"/>
          <w:sz w:val="72"/>
          <w:szCs w:val="72"/>
        </w:rPr>
      </w:pPr>
    </w:p>
    <w:p w14:paraId="4522984C">
      <w:pPr>
        <w:pStyle w:val="14"/>
        <w:jc w:val="both"/>
        <w:rPr>
          <w:rFonts w:ascii="Times New Roman" w:hAnsi="Times New Roman" w:cs="Times New Roman"/>
          <w:sz w:val="72"/>
          <w:szCs w:val="72"/>
        </w:rPr>
      </w:pPr>
    </w:p>
    <w:p w14:paraId="72BD5C73">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B6425E1">
      <w:pPr>
        <w:widowControl/>
        <w:jc w:val="left"/>
        <w:rPr>
          <w:rFonts w:ascii="Times New Roman" w:hAnsi="Times New Roman" w:cs="Times New Roman"/>
          <w:color w:val="000000"/>
          <w:kern w:val="0"/>
          <w:sz w:val="32"/>
          <w:szCs w:val="32"/>
        </w:rPr>
      </w:pPr>
    </w:p>
    <w:p w14:paraId="7E86932A">
      <w:pPr>
        <w:pStyle w:val="14"/>
        <w:ind w:firstLine="640" w:firstLineChars="200"/>
        <w:rPr>
          <w:rFonts w:hint="eastAsia" w:cs="黑体" w:asciiTheme="minorEastAsia" w:hAnsiTheme="minorEastAsia"/>
          <w:color w:val="auto"/>
          <w:kern w:val="0"/>
          <w:sz w:val="32"/>
          <w:szCs w:val="32"/>
        </w:rPr>
      </w:pPr>
      <w:r>
        <w:rPr>
          <w:rFonts w:hint="eastAsia" w:cs="黑体" w:asciiTheme="minorEastAsia" w:hAnsiTheme="minorEastAsia"/>
          <w:color w:val="auto"/>
          <w:kern w:val="0"/>
          <w:sz w:val="32"/>
          <w:szCs w:val="32"/>
        </w:rPr>
        <w:t>一、财政拨款收入：</w:t>
      </w:r>
      <w:r>
        <w:rPr>
          <w:rFonts w:hint="eastAsia" w:ascii="Times New Roman" w:hAnsi="Times New Roman" w:eastAsia="仿宋_GB2312"/>
          <w:color w:val="auto"/>
          <w:sz w:val="32"/>
          <w:szCs w:val="32"/>
        </w:rPr>
        <w:t>指单位本年度从市级财政部门取得的财政拨款。</w:t>
      </w:r>
    </w:p>
    <w:p w14:paraId="17A6420C">
      <w:pPr>
        <w:pStyle w:val="14"/>
        <w:ind w:firstLine="640" w:firstLineChars="200"/>
        <w:rPr>
          <w:rFonts w:hint="eastAsia" w:ascii="Times New Roman" w:hAnsi="Times New Roman" w:eastAsia="仿宋_GB2312"/>
          <w:color w:val="auto"/>
          <w:sz w:val="32"/>
          <w:szCs w:val="32"/>
        </w:rPr>
      </w:pPr>
      <w:r>
        <w:rPr>
          <w:rFonts w:hint="eastAsia" w:cs="黑体" w:asciiTheme="minorEastAsia" w:hAnsiTheme="minorEastAsia"/>
          <w:color w:val="auto"/>
          <w:kern w:val="0"/>
          <w:sz w:val="32"/>
          <w:szCs w:val="32"/>
        </w:rPr>
        <w:t>二、上级补助收入：</w:t>
      </w:r>
      <w:r>
        <w:rPr>
          <w:rFonts w:hint="eastAsia" w:ascii="Times New Roman" w:hAnsi="Times New Roman" w:eastAsia="仿宋_GB2312"/>
          <w:color w:val="auto"/>
          <w:sz w:val="32"/>
          <w:szCs w:val="32"/>
        </w:rPr>
        <w:t>指事业单位从主管部门和上级单位取得的非财政补助收入。</w:t>
      </w:r>
    </w:p>
    <w:p w14:paraId="306D2680">
      <w:pPr>
        <w:pStyle w:val="14"/>
        <w:ind w:firstLine="640" w:firstLineChars="200"/>
        <w:rPr>
          <w:rFonts w:hint="eastAsia" w:cs="黑体" w:asciiTheme="minorEastAsia" w:hAnsiTheme="minorEastAsia"/>
          <w:color w:val="auto"/>
          <w:kern w:val="0"/>
          <w:sz w:val="32"/>
          <w:szCs w:val="32"/>
        </w:rPr>
      </w:pPr>
      <w:r>
        <w:rPr>
          <w:rFonts w:hint="eastAsia" w:cs="黑体" w:asciiTheme="minorEastAsia" w:hAnsiTheme="minorEastAsia"/>
          <w:color w:val="auto"/>
          <w:kern w:val="0"/>
          <w:sz w:val="32"/>
          <w:szCs w:val="32"/>
        </w:rPr>
        <w:t>三、年初结转和结余：</w:t>
      </w:r>
      <w:r>
        <w:rPr>
          <w:rFonts w:hint="eastAsia" w:ascii="Times New Roman" w:hAnsi="Times New Roman" w:eastAsia="仿宋_GB2312"/>
          <w:color w:val="auto"/>
          <w:sz w:val="32"/>
          <w:szCs w:val="32"/>
        </w:rPr>
        <w:t>指单位上年结转本年使用的基本支出结转、项目支出结转和结余和经营结余。</w:t>
      </w:r>
    </w:p>
    <w:p w14:paraId="29A7BCE8">
      <w:pPr>
        <w:pStyle w:val="14"/>
        <w:ind w:firstLine="640" w:firstLineChars="200"/>
        <w:rPr>
          <w:rFonts w:hint="eastAsia" w:ascii="Times New Roman" w:hAnsi="Times New Roman" w:eastAsia="仿宋_GB2312"/>
          <w:color w:val="auto"/>
          <w:sz w:val="32"/>
          <w:szCs w:val="32"/>
        </w:rPr>
      </w:pPr>
      <w:r>
        <w:rPr>
          <w:rFonts w:hint="eastAsia" w:cs="黑体" w:asciiTheme="minorEastAsia" w:hAnsiTheme="minorEastAsia"/>
          <w:color w:val="auto"/>
          <w:kern w:val="0"/>
          <w:sz w:val="32"/>
          <w:szCs w:val="32"/>
        </w:rPr>
        <w:t>四、年末结转和结余资金：</w:t>
      </w:r>
      <w:r>
        <w:rPr>
          <w:rFonts w:hint="eastAsia" w:ascii="Times New Roman" w:hAnsi="Times New Roman" w:eastAsia="仿宋_GB2312"/>
          <w:color w:val="auto"/>
          <w:sz w:val="32"/>
          <w:szCs w:val="32"/>
        </w:rPr>
        <w:t>指本年度或以前年度预算安排、因客观条件发生变化无法按原计划实施，需要延迟到以后年度按有关规定继续使用的资金。</w:t>
      </w:r>
    </w:p>
    <w:p w14:paraId="105F664E">
      <w:pPr>
        <w:pStyle w:val="14"/>
        <w:ind w:firstLine="640" w:firstLineChars="200"/>
        <w:rPr>
          <w:rFonts w:hint="eastAsia" w:ascii="Times New Roman" w:hAnsi="Times New Roman" w:eastAsia="仿宋_GB2312"/>
          <w:color w:val="auto"/>
          <w:sz w:val="32"/>
          <w:szCs w:val="32"/>
        </w:rPr>
      </w:pPr>
      <w:r>
        <w:rPr>
          <w:rFonts w:hint="eastAsia" w:cs="黑体" w:asciiTheme="minorEastAsia" w:hAnsiTheme="minorEastAsia"/>
          <w:color w:val="auto"/>
          <w:kern w:val="0"/>
          <w:sz w:val="32"/>
          <w:szCs w:val="32"/>
        </w:rPr>
        <w:t>五、基本支出：</w:t>
      </w:r>
      <w:r>
        <w:rPr>
          <w:rFonts w:hint="eastAsia" w:ascii="Times New Roman" w:hAnsi="Times New Roman" w:eastAsia="仿宋_GB2312"/>
          <w:color w:val="auto"/>
          <w:sz w:val="32"/>
          <w:szCs w:val="32"/>
        </w:rPr>
        <w:t>指为保障机构正常运转、完成日常工作任务而发生的人员支出和公用支出。</w:t>
      </w:r>
    </w:p>
    <w:p w14:paraId="424CBB79">
      <w:pPr>
        <w:pStyle w:val="14"/>
        <w:ind w:firstLine="640" w:firstLineChars="200"/>
        <w:rPr>
          <w:rFonts w:hint="eastAsia" w:ascii="Times New Roman" w:hAnsi="Times New Roman" w:eastAsia="仿宋_GB2312"/>
          <w:color w:val="auto"/>
          <w:sz w:val="32"/>
          <w:szCs w:val="32"/>
        </w:rPr>
      </w:pPr>
      <w:r>
        <w:rPr>
          <w:rFonts w:hint="eastAsia" w:cs="黑体" w:asciiTheme="minorEastAsia" w:hAnsiTheme="minorEastAsia"/>
          <w:color w:val="auto"/>
          <w:kern w:val="0"/>
          <w:sz w:val="32"/>
          <w:szCs w:val="32"/>
        </w:rPr>
        <w:t>六、项目支出：</w:t>
      </w:r>
      <w:r>
        <w:rPr>
          <w:rFonts w:hint="eastAsia" w:ascii="Times New Roman" w:hAnsi="Times New Roman" w:eastAsia="仿宋_GB2312"/>
          <w:color w:val="auto"/>
          <w:sz w:val="32"/>
          <w:szCs w:val="32"/>
        </w:rPr>
        <w:t>指在基本支出之外为完成特定的行政任务或事业发展目标所发生的支出。</w:t>
      </w:r>
    </w:p>
    <w:p w14:paraId="1E92BFC9">
      <w:pPr>
        <w:pStyle w:val="14"/>
        <w:ind w:firstLine="640" w:firstLineChars="200"/>
        <w:rPr>
          <w:rFonts w:hint="eastAsia" w:ascii="Times New Roman" w:hAnsi="Times New Roman" w:eastAsia="仿宋_GB2312"/>
          <w:color w:val="auto"/>
          <w:sz w:val="32"/>
          <w:szCs w:val="32"/>
        </w:rPr>
      </w:pPr>
      <w:r>
        <w:rPr>
          <w:rFonts w:hint="eastAsia" w:cs="黑体" w:asciiTheme="minorEastAsia" w:hAnsiTheme="minorEastAsia"/>
          <w:color w:val="auto"/>
          <w:kern w:val="0"/>
          <w:sz w:val="32"/>
          <w:szCs w:val="32"/>
        </w:rPr>
        <w:t>七、“三公”经费：</w:t>
      </w:r>
      <w:r>
        <w:rPr>
          <w:rFonts w:hint="eastAsia" w:ascii="Times New Roman" w:hAnsi="Times New Roman" w:eastAsia="仿宋_GB2312"/>
          <w:color w:val="auto"/>
          <w:sz w:val="32"/>
          <w:szCs w:val="32"/>
        </w:rPr>
        <w:t>指市级部门用一般公共预算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过路过桥费、保险费、安全奖励费用等支出；公务接待费指单位按规定开支的各类公务接待（含外宾接待）支出。</w:t>
      </w:r>
    </w:p>
    <w:p w14:paraId="0F353981">
      <w:pPr>
        <w:pStyle w:val="14"/>
        <w:jc w:val="left"/>
        <w:rPr>
          <w:rFonts w:ascii="Times New Roman" w:hAnsi="Times New Roman" w:cs="Times New Roman"/>
          <w:color w:val="auto"/>
          <w:sz w:val="72"/>
          <w:szCs w:val="72"/>
        </w:rPr>
      </w:pPr>
      <w:r>
        <w:rPr>
          <w:rFonts w:hint="default" w:cs="黑体" w:asciiTheme="minorEastAsia" w:hAnsiTheme="minorEastAsia"/>
          <w:color w:val="auto"/>
          <w:kern w:val="0"/>
          <w:sz w:val="32"/>
          <w:szCs w:val="32"/>
        </w:rPr>
        <w:t xml:space="preserve">    </w:t>
      </w:r>
      <w:r>
        <w:rPr>
          <w:rFonts w:hint="eastAsia" w:cs="黑体" w:asciiTheme="minorEastAsia" w:hAnsiTheme="minorEastAsia"/>
          <w:color w:val="auto"/>
          <w:kern w:val="0"/>
          <w:sz w:val="32"/>
          <w:szCs w:val="32"/>
        </w:rPr>
        <w:t>八、机关运行经费：</w:t>
      </w:r>
      <w:r>
        <w:rPr>
          <w:rFonts w:hint="eastAsia" w:ascii="Times New Roman" w:hAnsi="Times New Roman" w:eastAsia="仿宋_GB2312"/>
          <w:color w:val="auto"/>
          <w:sz w:val="32"/>
          <w:szCs w:val="32"/>
        </w:rPr>
        <w:t>指为保障行政单位（含参照公务员法管理的事业单位）运行用于购买货物和服务的各项资金，包括办公费、印刷费、差旅费、会议费、日常维修费、专用材料及办公用房水电费、物业管理费、公务用车运行维护费等。在财政部有明确规定前，“机关运行经费”暂指一般公共预算安排的基本支出中的“商品和服务支出”经费。</w:t>
      </w:r>
    </w:p>
    <w:p w14:paraId="3785033E">
      <w:pPr>
        <w:pStyle w:val="14"/>
        <w:jc w:val="center"/>
        <w:rPr>
          <w:rFonts w:ascii="Times New Roman" w:hAnsi="Times New Roman" w:cs="Times New Roman"/>
          <w:sz w:val="72"/>
          <w:szCs w:val="72"/>
        </w:rPr>
      </w:pPr>
    </w:p>
    <w:p w14:paraId="1F5B3FA3">
      <w:pPr>
        <w:pStyle w:val="14"/>
        <w:jc w:val="center"/>
        <w:rPr>
          <w:rFonts w:ascii="Times New Roman" w:hAnsi="Times New Roman" w:cs="Times New Roman"/>
          <w:sz w:val="72"/>
          <w:szCs w:val="72"/>
        </w:rPr>
      </w:pPr>
    </w:p>
    <w:p w14:paraId="2B016C53">
      <w:pPr>
        <w:pStyle w:val="14"/>
        <w:jc w:val="center"/>
        <w:rPr>
          <w:rFonts w:ascii="Times New Roman" w:hAnsi="Times New Roman" w:cs="Times New Roman"/>
          <w:sz w:val="72"/>
          <w:szCs w:val="72"/>
        </w:rPr>
      </w:pPr>
    </w:p>
    <w:p w14:paraId="19B047BD">
      <w:pPr>
        <w:pStyle w:val="14"/>
        <w:jc w:val="center"/>
        <w:rPr>
          <w:rFonts w:ascii="Times New Roman" w:hAnsi="Times New Roman" w:cs="Times New Roman"/>
          <w:sz w:val="72"/>
          <w:szCs w:val="72"/>
        </w:rPr>
      </w:pPr>
    </w:p>
    <w:p w14:paraId="7F006498">
      <w:pPr>
        <w:pStyle w:val="14"/>
        <w:jc w:val="center"/>
        <w:rPr>
          <w:rFonts w:ascii="Times New Roman" w:hAnsi="Times New Roman" w:cs="Times New Roman"/>
          <w:sz w:val="72"/>
          <w:szCs w:val="72"/>
        </w:rPr>
      </w:pPr>
    </w:p>
    <w:p w14:paraId="5741A0C3">
      <w:pPr>
        <w:pStyle w:val="14"/>
        <w:jc w:val="center"/>
        <w:rPr>
          <w:rFonts w:ascii="Times New Roman" w:hAnsi="Times New Roman" w:cs="Times New Roman"/>
          <w:sz w:val="72"/>
          <w:szCs w:val="72"/>
        </w:rPr>
      </w:pPr>
    </w:p>
    <w:p w14:paraId="0D8F4DAD">
      <w:pPr>
        <w:pStyle w:val="14"/>
        <w:jc w:val="center"/>
        <w:rPr>
          <w:rFonts w:ascii="Times New Roman" w:hAnsi="Times New Roman" w:cs="Times New Roman"/>
          <w:sz w:val="72"/>
          <w:szCs w:val="72"/>
        </w:rPr>
      </w:pPr>
    </w:p>
    <w:p w14:paraId="29B4842A">
      <w:pPr>
        <w:pStyle w:val="14"/>
        <w:jc w:val="center"/>
        <w:rPr>
          <w:rFonts w:ascii="Times New Roman" w:hAnsi="Times New Roman" w:cs="Times New Roman"/>
          <w:sz w:val="72"/>
          <w:szCs w:val="72"/>
        </w:rPr>
      </w:pPr>
    </w:p>
    <w:p w14:paraId="57571444">
      <w:pPr>
        <w:pStyle w:val="14"/>
        <w:jc w:val="center"/>
        <w:rPr>
          <w:rFonts w:ascii="Times New Roman" w:hAnsi="Times New Roman" w:cs="Times New Roman"/>
          <w:sz w:val="72"/>
          <w:szCs w:val="72"/>
        </w:rPr>
      </w:pPr>
    </w:p>
    <w:p w14:paraId="514E04A0">
      <w:pPr>
        <w:pStyle w:val="14"/>
        <w:jc w:val="center"/>
        <w:rPr>
          <w:rFonts w:ascii="Times New Roman" w:hAnsi="Times New Roman" w:cs="Times New Roman"/>
          <w:sz w:val="72"/>
          <w:szCs w:val="72"/>
        </w:rPr>
      </w:pPr>
    </w:p>
    <w:p w14:paraId="6898D8B1">
      <w:pPr>
        <w:pStyle w:val="14"/>
        <w:jc w:val="center"/>
        <w:rPr>
          <w:rFonts w:ascii="Times New Roman" w:hAnsi="Times New Roman" w:cs="Times New Roman"/>
          <w:sz w:val="72"/>
          <w:szCs w:val="72"/>
        </w:rPr>
      </w:pPr>
    </w:p>
    <w:p w14:paraId="34945938">
      <w:pPr>
        <w:pStyle w:val="14"/>
        <w:jc w:val="center"/>
        <w:rPr>
          <w:rFonts w:ascii="Times New Roman" w:hAnsi="Times New Roman" w:cs="Times New Roman"/>
          <w:sz w:val="72"/>
          <w:szCs w:val="72"/>
        </w:rPr>
      </w:pPr>
    </w:p>
    <w:p w14:paraId="6E096294">
      <w:pPr>
        <w:pStyle w:val="14"/>
        <w:jc w:val="both"/>
        <w:rPr>
          <w:rFonts w:ascii="Times New Roman" w:hAnsi="Times New Roman" w:cs="Times New Roman"/>
          <w:sz w:val="72"/>
          <w:szCs w:val="72"/>
        </w:rPr>
      </w:pPr>
    </w:p>
    <w:p w14:paraId="26983121">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351C460">
      <w:pPr>
        <w:rPr>
          <w:rFonts w:ascii="Times New Roman" w:hAnsi="Times New Roman" w:cs="Times New Roman"/>
          <w:sz w:val="72"/>
          <w:szCs w:val="72"/>
        </w:rPr>
      </w:pPr>
    </w:p>
    <w:p w14:paraId="5C9F4AE0">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年度怀化市库区移民事务中心整体支出绩效自评报告。</w:t>
      </w:r>
    </w:p>
    <w:p w14:paraId="0F0DB0DA">
      <w:pPr>
        <w:spacing w:line="600" w:lineRule="exact"/>
        <w:rPr>
          <w:rFonts w:ascii="Times New Roman" w:hAnsi="Times New Roman" w:eastAsia="黑体" w:cs="Times New Roman"/>
          <w:sz w:val="32"/>
          <w:szCs w:val="32"/>
        </w:rPr>
      </w:pPr>
    </w:p>
    <w:p w14:paraId="28C6A8EA">
      <w:pPr>
        <w:spacing w:line="600" w:lineRule="exact"/>
        <w:rPr>
          <w:rFonts w:ascii="Times New Roman" w:hAnsi="Times New Roman" w:eastAsia="黑体" w:cs="Times New Roman"/>
          <w:sz w:val="32"/>
          <w:szCs w:val="32"/>
        </w:rPr>
      </w:pPr>
    </w:p>
    <w:p w14:paraId="3A0DBE52">
      <w:pPr>
        <w:spacing w:line="600" w:lineRule="exact"/>
        <w:rPr>
          <w:rFonts w:ascii="Times New Roman" w:hAnsi="Times New Roman" w:eastAsia="黑体" w:cs="Times New Roman"/>
          <w:sz w:val="32"/>
          <w:szCs w:val="32"/>
        </w:rPr>
      </w:pPr>
    </w:p>
    <w:p w14:paraId="33F0C5F0">
      <w:pPr>
        <w:jc w:val="center"/>
        <w:rPr>
          <w:rFonts w:hint="eastAsia" w:ascii="方正小标宋简体" w:hAnsi="方正小标宋简体" w:eastAsia="方正小标宋简体" w:cs="方正小标宋简体"/>
          <w:sz w:val="52"/>
          <w:szCs w:val="52"/>
          <w:highlight w:val="none"/>
          <w:lang w:eastAsia="zh-CN"/>
        </w:rPr>
      </w:pPr>
      <w:r>
        <w:rPr>
          <w:rFonts w:hint="eastAsia" w:ascii="方正小标宋简体" w:hAnsi="方正小标宋简体" w:eastAsia="方正小标宋简体" w:cs="方正小标宋简体"/>
          <w:sz w:val="52"/>
          <w:szCs w:val="52"/>
        </w:rPr>
        <w:t>202</w:t>
      </w:r>
      <w:r>
        <w:rPr>
          <w:rFonts w:hint="eastAsia" w:ascii="方正小标宋简体" w:hAnsi="方正小标宋简体" w:eastAsia="方正小标宋简体" w:cs="方正小标宋简体"/>
          <w:sz w:val="52"/>
          <w:szCs w:val="52"/>
          <w:lang w:val="en-US" w:eastAsia="zh-CN"/>
        </w:rPr>
        <w:t>5</w:t>
      </w:r>
      <w:r>
        <w:rPr>
          <w:rFonts w:hint="eastAsia" w:ascii="方正小标宋简体" w:hAnsi="方正小标宋简体" w:eastAsia="方正小标宋简体" w:cs="方正小标宋简体"/>
          <w:sz w:val="52"/>
          <w:szCs w:val="52"/>
        </w:rPr>
        <w:t>年度</w:t>
      </w:r>
      <w:r>
        <w:rPr>
          <w:rFonts w:hint="eastAsia" w:ascii="方正小标宋简体" w:hAnsi="方正小标宋简体" w:eastAsia="方正小标宋简体" w:cs="方正小标宋简体"/>
          <w:sz w:val="52"/>
          <w:szCs w:val="52"/>
          <w:highlight w:val="none"/>
          <w:lang w:eastAsia="zh-CN"/>
        </w:rPr>
        <w:t>怀化市库区移民事务中心</w:t>
      </w:r>
    </w:p>
    <w:p w14:paraId="6C55E311">
      <w:pPr>
        <w:jc w:val="center"/>
        <w:rPr>
          <w:rFonts w:ascii="Times New Roman" w:hAnsi="Times New Roman" w:eastAsia="方正小标宋_GBK" w:cs="Times New Roman"/>
          <w:sz w:val="52"/>
          <w:szCs w:val="52"/>
        </w:rPr>
      </w:pPr>
      <w:r>
        <w:rPr>
          <w:rFonts w:hint="eastAsia" w:ascii="方正小标宋简体" w:hAnsi="方正小标宋简体" w:eastAsia="方正小标宋简体" w:cs="方正小标宋简体"/>
          <w:sz w:val="52"/>
          <w:szCs w:val="52"/>
        </w:rPr>
        <w:t>部门整体支出绩效自评报告</w:t>
      </w:r>
    </w:p>
    <w:p w14:paraId="678018F9">
      <w:pPr>
        <w:jc w:val="both"/>
        <w:rPr>
          <w:rFonts w:ascii="Times New Roman" w:hAnsi="Times New Roman" w:eastAsia="楷体_GB2312" w:cs="Times New Roman"/>
          <w:b/>
          <w:sz w:val="32"/>
          <w:szCs w:val="32"/>
        </w:rPr>
      </w:pPr>
    </w:p>
    <w:p w14:paraId="1BE419A9">
      <w:pPr>
        <w:jc w:val="center"/>
        <w:rPr>
          <w:rFonts w:ascii="Times New Roman" w:hAnsi="Times New Roman" w:eastAsia="黑体" w:cs="Times New Roman"/>
          <w:sz w:val="32"/>
          <w:szCs w:val="32"/>
        </w:rPr>
      </w:pPr>
    </w:p>
    <w:p w14:paraId="4D45F0C8">
      <w:pPr>
        <w:jc w:val="center"/>
        <w:rPr>
          <w:rFonts w:ascii="Times New Roman" w:hAnsi="Times New Roman" w:eastAsia="黑体" w:cs="Times New Roman"/>
          <w:sz w:val="32"/>
          <w:szCs w:val="32"/>
        </w:rPr>
      </w:pPr>
    </w:p>
    <w:p w14:paraId="2E7161B6">
      <w:pPr>
        <w:jc w:val="center"/>
        <w:rPr>
          <w:rFonts w:ascii="Times New Roman" w:hAnsi="Times New Roman" w:eastAsia="黑体" w:cs="Times New Roman"/>
          <w:sz w:val="32"/>
          <w:szCs w:val="32"/>
        </w:rPr>
      </w:pPr>
    </w:p>
    <w:p w14:paraId="797000CD">
      <w:pPr>
        <w:jc w:val="center"/>
        <w:rPr>
          <w:rFonts w:ascii="Times New Roman" w:hAnsi="Times New Roman" w:eastAsia="黑体" w:cs="Times New Roman"/>
          <w:sz w:val="32"/>
          <w:szCs w:val="32"/>
        </w:rPr>
      </w:pPr>
    </w:p>
    <w:p w14:paraId="0BD7AB20">
      <w:pPr>
        <w:jc w:val="center"/>
        <w:rPr>
          <w:rFonts w:ascii="Times New Roman" w:hAnsi="Times New Roman" w:eastAsia="黑体" w:cs="Times New Roman"/>
          <w:sz w:val="32"/>
          <w:szCs w:val="32"/>
        </w:rPr>
      </w:pPr>
    </w:p>
    <w:p w14:paraId="2C3F1F45">
      <w:pPr>
        <w:jc w:val="center"/>
        <w:rPr>
          <w:rFonts w:ascii="Times New Roman" w:hAnsi="Times New Roman" w:eastAsia="黑体" w:cs="Times New Roman"/>
          <w:sz w:val="32"/>
          <w:szCs w:val="32"/>
        </w:rPr>
      </w:pPr>
    </w:p>
    <w:p w14:paraId="5DCA7D7D">
      <w:pPr>
        <w:jc w:val="both"/>
        <w:rPr>
          <w:rFonts w:ascii="Times New Roman" w:hAnsi="Times New Roman" w:eastAsia="黑体" w:cs="Times New Roman"/>
          <w:sz w:val="32"/>
          <w:szCs w:val="32"/>
        </w:rPr>
      </w:pPr>
    </w:p>
    <w:p w14:paraId="0AD3D922">
      <w:pPr>
        <w:jc w:val="center"/>
        <w:rPr>
          <w:rFonts w:ascii="Times New Roman" w:hAnsi="Times New Roman" w:eastAsia="黑体" w:cs="Times New Roman"/>
          <w:sz w:val="32"/>
          <w:szCs w:val="32"/>
        </w:rPr>
      </w:pPr>
    </w:p>
    <w:p w14:paraId="1C251C35">
      <w:pPr>
        <w:spacing w:line="600" w:lineRule="exact"/>
        <w:ind w:firstLine="1280" w:firstLineChars="400"/>
        <w:rPr>
          <w:rFonts w:ascii="Times New Roman" w:hAnsi="Times New Roman" w:eastAsia="仿宋_GB2312" w:cs="Times New Roman"/>
          <w:sz w:val="32"/>
          <w:szCs w:val="32"/>
          <w:u w:val="single"/>
        </w:rPr>
      </w:pPr>
      <w:r>
        <w:rPr>
          <w:rFonts w:ascii="Times New Roman" w:hAnsi="Times New Roman" w:eastAsia="仿宋_GB2312" w:cs="Times New Roman"/>
          <w:sz w:val="32"/>
          <w:szCs w:val="32"/>
        </w:rPr>
        <w:t>单位名称</w:t>
      </w:r>
      <w:r>
        <w:rPr>
          <w:rFonts w:hint="eastAsia" w:ascii="Times New Roman" w:hAnsi="Times New Roman" w:eastAsia="仿宋_GB2312" w:cs="Times New Roman"/>
          <w:sz w:val="32"/>
          <w:szCs w:val="32"/>
          <w:lang w:eastAsia="zh-CN"/>
        </w:rPr>
        <w:t>（盖章）</w:t>
      </w:r>
      <w:r>
        <w:rPr>
          <w:rFonts w:ascii="Times New Roman" w:hAnsi="Times New Roman" w:eastAsia="仿宋_GB2312" w:cs="Times New Roman"/>
          <w:sz w:val="32"/>
          <w:szCs w:val="32"/>
        </w:rPr>
        <w:t>：</w:t>
      </w:r>
      <w:r>
        <w:rPr>
          <w:rFonts w:hint="default" w:eastAsia="仿宋_GB2312" w:cs="Times New Roman"/>
          <w:sz w:val="32"/>
          <w:szCs w:val="32"/>
          <w:u w:val="single"/>
        </w:rPr>
        <w:t xml:space="preserve"> </w:t>
      </w:r>
      <w:r>
        <w:rPr>
          <w:rFonts w:eastAsia="仿宋_GB2312" w:cs="Times New Roman"/>
          <w:sz w:val="32"/>
          <w:szCs w:val="32"/>
          <w:u w:val="single"/>
        </w:rPr>
        <w:t>怀化市库区移民事务中心</w:t>
      </w:r>
      <w:r>
        <w:rPr>
          <w:rFonts w:ascii="Times New Roman" w:hAnsi="Times New Roman" w:eastAsia="仿宋_GB2312" w:cs="Times New Roman"/>
          <w:sz w:val="32"/>
          <w:szCs w:val="32"/>
          <w:u w:val="single"/>
        </w:rPr>
        <w:t xml:space="preserve"> </w:t>
      </w:r>
    </w:p>
    <w:p w14:paraId="0671302A">
      <w:pPr>
        <w:spacing w:line="600" w:lineRule="exact"/>
        <w:jc w:val="center"/>
        <w:rPr>
          <w:rFonts w:ascii="Times New Roman" w:hAnsi="Times New Roman" w:eastAsia="黑体" w:cs="Times New Roman"/>
          <w:sz w:val="32"/>
          <w:szCs w:val="32"/>
        </w:rPr>
      </w:pPr>
    </w:p>
    <w:p w14:paraId="03A8154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ascii="Times New Roman" w:hAnsi="Times New Roman" w:eastAsia="仿宋_GB2312" w:cs="Times New Roman"/>
          <w:sz w:val="32"/>
          <w:szCs w:val="32"/>
        </w:rPr>
        <w:br w:type="page"/>
      </w:r>
    </w:p>
    <w:p w14:paraId="57D6F18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000000"/>
          <w:spacing w:val="0"/>
          <w:sz w:val="44"/>
          <w:szCs w:val="44"/>
          <w:shd w:val="clear" w:fill="FFFFFF"/>
        </w:rPr>
      </w:pPr>
    </w:p>
    <w:p w14:paraId="1304D53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方正小标宋_GBK" w:hAnsi="方正小标宋_GBK" w:eastAsia="方正小标宋_GBK" w:cs="方正小标宋_GBK"/>
          <w:i w:val="0"/>
          <w:iCs w:val="0"/>
          <w:caps w:val="0"/>
          <w:color w:val="000000"/>
          <w:spacing w:val="0"/>
          <w:sz w:val="44"/>
          <w:szCs w:val="44"/>
        </w:rPr>
      </w:pPr>
      <w:r>
        <w:rPr>
          <w:rFonts w:hint="eastAsia" w:ascii="方正小标宋_GBK" w:hAnsi="方正小标宋_GBK" w:eastAsia="方正小标宋_GBK" w:cs="方正小标宋_GBK"/>
          <w:i w:val="0"/>
          <w:iCs w:val="0"/>
          <w:caps w:val="0"/>
          <w:color w:val="000000"/>
          <w:spacing w:val="0"/>
          <w:sz w:val="44"/>
          <w:szCs w:val="44"/>
          <w:shd w:val="clear" w:fill="FFFFFF"/>
        </w:rPr>
        <w:t>部门整体支出绩效自评报告</w:t>
      </w:r>
    </w:p>
    <w:p w14:paraId="4149358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仿宋_GB2312" w:eastAsia="仿宋_GB2312" w:cs="仿宋_GB2312"/>
          <w:i w:val="0"/>
          <w:iCs w:val="0"/>
          <w:caps w:val="0"/>
          <w:color w:val="000000"/>
          <w:spacing w:val="0"/>
          <w:sz w:val="24"/>
          <w:szCs w:val="24"/>
        </w:rPr>
      </w:pPr>
    </w:p>
    <w:p w14:paraId="21A437F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84" w:firstLineChars="200"/>
        <w:jc w:val="both"/>
        <w:textAlignment w:val="auto"/>
        <w:rPr>
          <w:rFonts w:hint="eastAsia" w:ascii="黑体" w:hAnsi="黑体" w:eastAsia="黑体" w:cs="黑体"/>
          <w:b w:val="0"/>
          <w:bCs w:val="0"/>
          <w:i w:val="0"/>
          <w:iCs w:val="0"/>
          <w:caps w:val="0"/>
          <w:color w:val="000000" w:themeColor="text1"/>
          <w:spacing w:val="11"/>
          <w:sz w:val="32"/>
          <w:szCs w:val="32"/>
          <w:lang w:eastAsia="zh-CN"/>
          <w14:textFill>
            <w14:solidFill>
              <w14:schemeClr w14:val="tx1"/>
            </w14:solidFill>
          </w14:textFill>
        </w:rPr>
      </w:pPr>
      <w:r>
        <w:rPr>
          <w:rFonts w:hint="eastAsia"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t>一、部门</w:t>
      </w:r>
      <w:r>
        <w:rPr>
          <w:rFonts w:hint="eastAsia" w:ascii="黑体" w:hAnsi="黑体" w:eastAsia="黑体" w:cs="黑体"/>
          <w:b w:val="0"/>
          <w:bCs w:val="0"/>
          <w:i w:val="0"/>
          <w:iCs w:val="0"/>
          <w:caps w:val="0"/>
          <w:color w:val="000000" w:themeColor="text1"/>
          <w:spacing w:val="11"/>
          <w:sz w:val="32"/>
          <w:szCs w:val="32"/>
          <w:shd w:val="clear" w:fill="FFFFFF"/>
          <w:lang w:eastAsia="zh-CN"/>
          <w14:textFill>
            <w14:solidFill>
              <w14:schemeClr w14:val="tx1"/>
            </w14:solidFill>
          </w14:textFill>
        </w:rPr>
        <w:t>概况</w:t>
      </w:r>
    </w:p>
    <w:p w14:paraId="5824543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84" w:firstLineChars="200"/>
        <w:jc w:val="both"/>
        <w:textAlignment w:val="auto"/>
        <w:rPr>
          <w:rFonts w:ascii="楷体_GB2312" w:eastAsia="楷体_GB2312" w:cs="楷体_GB2312"/>
          <w:b/>
          <w:bCs/>
          <w:i w:val="0"/>
          <w:iCs w:val="0"/>
          <w:caps w:val="0"/>
          <w:color w:val="000000" w:themeColor="text1"/>
          <w:spacing w:val="11"/>
          <w:sz w:val="32"/>
          <w:szCs w:val="32"/>
          <w14:textFill>
            <w14:solidFill>
              <w14:schemeClr w14:val="tx1"/>
            </w14:solidFill>
          </w14:textFill>
        </w:rPr>
      </w:pPr>
      <w:r>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t>（一）机构设置</w:t>
      </w:r>
      <w:r>
        <w:rPr>
          <w:rFonts w:hint="eastAsia" w:ascii="楷体_GB2312" w:eastAsia="楷体_GB2312" w:cs="楷体_GB2312"/>
          <w:b/>
          <w:bCs/>
          <w:i w:val="0"/>
          <w:iCs w:val="0"/>
          <w:caps w:val="0"/>
          <w:color w:val="000000" w:themeColor="text1"/>
          <w:spacing w:val="11"/>
          <w:sz w:val="32"/>
          <w:szCs w:val="32"/>
          <w:shd w:val="clear" w:fill="FFFFFF"/>
          <w:lang w:eastAsia="zh-CN"/>
          <w14:textFill>
            <w14:solidFill>
              <w14:schemeClr w14:val="tx1"/>
            </w14:solidFill>
          </w14:textFill>
        </w:rPr>
        <w:t>、人员编制</w:t>
      </w:r>
      <w:r>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t>情况</w:t>
      </w:r>
    </w:p>
    <w:p w14:paraId="754672F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84" w:firstLineChars="200"/>
        <w:jc w:val="both"/>
        <w:textAlignment w:val="auto"/>
        <w:rPr>
          <w:rFonts w:hint="eastAsia" w:ascii="仿宋" w:hAnsi="仿宋" w:eastAsia="仿宋" w:cs="仿宋"/>
          <w:b w:val="0"/>
          <w:bCs w:val="0"/>
          <w:i w:val="0"/>
          <w:iCs w:val="0"/>
          <w:caps w:val="0"/>
          <w:color w:val="000000" w:themeColor="text1"/>
          <w:spacing w:val="11"/>
          <w:sz w:val="32"/>
          <w:szCs w:val="32"/>
          <w:shd w:val="clear" w:fill="FFFFFF"/>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怀化市</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库区移民事务中心为市水利局所属正处级公益一类事业单位，设置5个</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内设</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机构</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：办公室（</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人事部</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）、搬迁安置</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部</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、后期扶持</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部</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资金财务部、信访维权部</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w:t>
      </w:r>
    </w:p>
    <w:p w14:paraId="5E55A37E">
      <w:pPr>
        <w:keepNext w:val="0"/>
        <w:keepLines w:val="0"/>
        <w:pageBreakBefore w:val="0"/>
        <w:kinsoku/>
        <w:wordWrap/>
        <w:overflowPunct/>
        <w:topLinePunct w:val="0"/>
        <w:autoSpaceDE/>
        <w:autoSpaceDN/>
        <w:bidi w:val="0"/>
        <w:adjustRightInd/>
        <w:snapToGrid w:val="0"/>
        <w:spacing w:line="580" w:lineRule="exact"/>
        <w:ind w:left="0" w:firstLine="684" w:firstLineChars="200"/>
        <w:jc w:val="both"/>
        <w:textAlignment w:val="auto"/>
        <w:rPr>
          <w:rFonts w:hint="eastAsia" w:ascii="仿宋" w:hAnsi="仿宋" w:eastAsia="仿宋" w:cs="仿宋"/>
          <w:b w:val="0"/>
          <w:bCs w:val="0"/>
          <w:i w:val="0"/>
          <w:iCs w:val="0"/>
          <w:caps w:val="0"/>
          <w:color w:val="000000" w:themeColor="text1"/>
          <w:spacing w:val="11"/>
          <w:sz w:val="32"/>
          <w:szCs w:val="32"/>
          <w:shd w:val="clear" w:fill="FFFFFF"/>
          <w14:textFill>
            <w14:solidFill>
              <w14:schemeClr w14:val="tx1"/>
            </w14:solidFill>
          </w14:textFill>
        </w:rPr>
      </w:pPr>
      <w:r>
        <w:rPr>
          <w:rFonts w:hint="eastAsia" w:ascii="仿宋" w:hAnsi="仿宋" w:eastAsia="仿宋" w:cs="仿宋"/>
          <w:b w:val="0"/>
          <w:bCs w:val="0"/>
          <w:color w:val="000000" w:themeColor="text1"/>
          <w:spacing w:val="11"/>
          <w:sz w:val="32"/>
          <w:szCs w:val="32"/>
          <w14:textFill>
            <w14:solidFill>
              <w14:schemeClr w14:val="tx1"/>
            </w14:solidFill>
          </w14:textFill>
        </w:rPr>
        <w:t>202</w:t>
      </w:r>
      <w:r>
        <w:rPr>
          <w:rFonts w:hint="eastAsia" w:ascii="仿宋" w:hAnsi="仿宋" w:eastAsia="仿宋" w:cs="仿宋"/>
          <w:b w:val="0"/>
          <w:bCs w:val="0"/>
          <w:color w:val="000000" w:themeColor="text1"/>
          <w:spacing w:val="11"/>
          <w:sz w:val="32"/>
          <w:szCs w:val="32"/>
          <w:lang w:val="en-US" w:eastAsia="zh-CN"/>
          <w14:textFill>
            <w14:solidFill>
              <w14:schemeClr w14:val="tx1"/>
            </w14:solidFill>
          </w14:textFill>
        </w:rPr>
        <w:t>5</w:t>
      </w:r>
      <w:r>
        <w:rPr>
          <w:rFonts w:hint="eastAsia" w:ascii="仿宋" w:hAnsi="仿宋" w:eastAsia="仿宋" w:cs="仿宋"/>
          <w:b w:val="0"/>
          <w:bCs w:val="0"/>
          <w:color w:val="000000" w:themeColor="text1"/>
          <w:spacing w:val="11"/>
          <w:sz w:val="32"/>
          <w:szCs w:val="32"/>
          <w14:textFill>
            <w14:solidFill>
              <w14:schemeClr w14:val="tx1"/>
            </w14:solidFill>
          </w14:textFill>
        </w:rPr>
        <w:t>年编制人数22名，年末实有在职人数</w:t>
      </w:r>
      <w:r>
        <w:rPr>
          <w:rFonts w:hint="eastAsia" w:ascii="仿宋" w:hAnsi="仿宋" w:eastAsia="仿宋" w:cs="仿宋"/>
          <w:b w:val="0"/>
          <w:bCs w:val="0"/>
          <w:color w:val="000000" w:themeColor="text1"/>
          <w:spacing w:val="11"/>
          <w:sz w:val="32"/>
          <w:szCs w:val="32"/>
          <w:lang w:val="en-US" w:eastAsia="zh-CN"/>
          <w14:textFill>
            <w14:solidFill>
              <w14:schemeClr w14:val="tx1"/>
            </w14:solidFill>
          </w14:textFill>
        </w:rPr>
        <w:t>21</w:t>
      </w:r>
      <w:r>
        <w:rPr>
          <w:rFonts w:hint="eastAsia" w:ascii="仿宋" w:hAnsi="仿宋" w:eastAsia="仿宋" w:cs="仿宋"/>
          <w:b w:val="0"/>
          <w:bCs w:val="0"/>
          <w:color w:val="000000" w:themeColor="text1"/>
          <w:spacing w:val="11"/>
          <w:sz w:val="32"/>
          <w:szCs w:val="32"/>
          <w14:textFill>
            <w14:solidFill>
              <w14:schemeClr w14:val="tx1"/>
            </w14:solidFill>
          </w14:textFill>
        </w:rPr>
        <w:t>人，同比去年</w:t>
      </w:r>
      <w:r>
        <w:rPr>
          <w:rFonts w:hint="eastAsia" w:ascii="仿宋" w:hAnsi="仿宋" w:eastAsia="仿宋" w:cs="仿宋"/>
          <w:b w:val="0"/>
          <w:bCs w:val="0"/>
          <w:color w:val="000000" w:themeColor="text1"/>
          <w:spacing w:val="11"/>
          <w:sz w:val="32"/>
          <w:szCs w:val="32"/>
          <w:lang w:eastAsia="zh-CN"/>
          <w14:textFill>
            <w14:solidFill>
              <w14:schemeClr w14:val="tx1"/>
            </w14:solidFill>
          </w14:textFill>
        </w:rPr>
        <w:t>增加</w:t>
      </w:r>
      <w:r>
        <w:rPr>
          <w:rFonts w:hint="eastAsia" w:ascii="仿宋" w:hAnsi="仿宋" w:eastAsia="仿宋" w:cs="仿宋"/>
          <w:b w:val="0"/>
          <w:bCs w:val="0"/>
          <w:color w:val="000000" w:themeColor="text1"/>
          <w:spacing w:val="11"/>
          <w:sz w:val="32"/>
          <w:szCs w:val="32"/>
          <w:lang w:val="en-US" w:eastAsia="zh-CN"/>
          <w14:textFill>
            <w14:solidFill>
              <w14:schemeClr w14:val="tx1"/>
            </w14:solidFill>
          </w14:textFill>
        </w:rPr>
        <w:t>3</w:t>
      </w:r>
      <w:r>
        <w:rPr>
          <w:rFonts w:hint="eastAsia" w:ascii="仿宋" w:hAnsi="仿宋" w:eastAsia="仿宋" w:cs="仿宋"/>
          <w:b w:val="0"/>
          <w:bCs w:val="0"/>
          <w:color w:val="000000" w:themeColor="text1"/>
          <w:spacing w:val="11"/>
          <w:sz w:val="32"/>
          <w:szCs w:val="32"/>
          <w14:textFill>
            <w14:solidFill>
              <w14:schemeClr w14:val="tx1"/>
            </w14:solidFill>
          </w14:textFill>
        </w:rPr>
        <w:t>人，</w:t>
      </w:r>
      <w:r>
        <w:rPr>
          <w:rFonts w:hint="eastAsia" w:ascii="仿宋" w:hAnsi="仿宋" w:eastAsia="仿宋" w:cs="仿宋"/>
          <w:b w:val="0"/>
          <w:bCs w:val="0"/>
          <w:color w:val="000000" w:themeColor="text1"/>
          <w:spacing w:val="11"/>
          <w:sz w:val="32"/>
          <w:szCs w:val="32"/>
          <w:lang w:val="en-US" w:eastAsia="zh-CN"/>
          <w14:textFill>
            <w14:solidFill>
              <w14:schemeClr w14:val="tx1"/>
            </w14:solidFill>
          </w14:textFill>
        </w:rPr>
        <w:t>原因是本年度遴选1人、调动1人、退伍安置1人。</w:t>
      </w:r>
    </w:p>
    <w:p w14:paraId="4035B90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84" w:firstLineChars="200"/>
        <w:jc w:val="both"/>
        <w:textAlignment w:val="auto"/>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pPr>
      <w:r>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t>（</w:t>
      </w:r>
      <w:r>
        <w:rPr>
          <w:rFonts w:hint="eastAsia" w:ascii="楷体_GB2312" w:eastAsia="楷体_GB2312" w:cs="楷体_GB2312"/>
          <w:b/>
          <w:bCs/>
          <w:i w:val="0"/>
          <w:iCs w:val="0"/>
          <w:caps w:val="0"/>
          <w:color w:val="000000" w:themeColor="text1"/>
          <w:spacing w:val="11"/>
          <w:sz w:val="32"/>
          <w:szCs w:val="32"/>
          <w:shd w:val="clear" w:fill="FFFFFF"/>
          <w:lang w:eastAsia="zh-CN"/>
          <w14:textFill>
            <w14:solidFill>
              <w14:schemeClr w14:val="tx1"/>
            </w14:solidFill>
          </w14:textFill>
        </w:rPr>
        <w:t>二</w:t>
      </w:r>
      <w:r>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t>）主要职能职责</w:t>
      </w:r>
    </w:p>
    <w:p w14:paraId="72DC0143">
      <w:pPr>
        <w:keepNext w:val="0"/>
        <w:keepLines w:val="0"/>
        <w:pageBreakBefore w:val="0"/>
        <w:widowControl/>
        <w:shd w:val="clear" w:color="auto" w:fill="FFFFFF"/>
        <w:kinsoku/>
        <w:wordWrap/>
        <w:overflowPunct/>
        <w:topLinePunct w:val="0"/>
        <w:autoSpaceDE/>
        <w:autoSpaceDN/>
        <w:bidi w:val="0"/>
        <w:adjustRightInd/>
        <w:spacing w:line="550" w:lineRule="exact"/>
        <w:ind w:left="0" w:firstLine="684" w:firstLineChars="200"/>
        <w:jc w:val="both"/>
        <w:textAlignment w:val="auto"/>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1</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为大中型水库工程建设征地实物调查细则、移民安置</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规划大纲、</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移民安置规划、移民后期扶持规划审査提供技术支持;</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承担</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大中型水库移民安置阶段验收及竣工验收的事务性工作。</w:t>
      </w:r>
    </w:p>
    <w:p w14:paraId="486652BD">
      <w:pPr>
        <w:keepNext w:val="0"/>
        <w:keepLines w:val="0"/>
        <w:pageBreakBefore w:val="0"/>
        <w:widowControl/>
        <w:shd w:val="clear" w:color="auto" w:fill="FFFFFF"/>
        <w:kinsoku/>
        <w:wordWrap/>
        <w:overflowPunct/>
        <w:topLinePunct w:val="0"/>
        <w:autoSpaceDE/>
        <w:autoSpaceDN/>
        <w:bidi w:val="0"/>
        <w:adjustRightInd/>
        <w:spacing w:line="550" w:lineRule="exact"/>
        <w:ind w:left="0" w:firstLine="664" w:firstLineChars="200"/>
        <w:jc w:val="both"/>
        <w:textAlignment w:val="auto"/>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2</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）承担移民系统信息化管理和综合统计工作。</w:t>
      </w:r>
    </w:p>
    <w:p w14:paraId="03E1C4A1">
      <w:pPr>
        <w:keepNext w:val="0"/>
        <w:keepLines w:val="0"/>
        <w:pageBreakBefore w:val="0"/>
        <w:widowControl/>
        <w:shd w:val="clear" w:color="auto" w:fill="FFFFFF"/>
        <w:kinsoku/>
        <w:wordWrap/>
        <w:overflowPunct/>
        <w:topLinePunct w:val="0"/>
        <w:autoSpaceDE/>
        <w:autoSpaceDN/>
        <w:bidi w:val="0"/>
        <w:adjustRightInd/>
        <w:spacing w:line="550" w:lineRule="exact"/>
        <w:ind w:left="0" w:firstLine="664" w:firstLineChars="200"/>
        <w:jc w:val="both"/>
        <w:textAlignment w:val="auto"/>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3</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承担</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大中型水库移民安置和后期扶持的事务性工作。</w:t>
      </w:r>
    </w:p>
    <w:p w14:paraId="63311FED">
      <w:pPr>
        <w:keepNext w:val="0"/>
        <w:keepLines w:val="0"/>
        <w:pageBreakBefore w:val="0"/>
        <w:widowControl/>
        <w:shd w:val="clear" w:color="auto" w:fill="FFFFFF"/>
        <w:kinsoku/>
        <w:wordWrap/>
        <w:overflowPunct/>
        <w:topLinePunct w:val="0"/>
        <w:autoSpaceDE/>
        <w:autoSpaceDN/>
        <w:bidi w:val="0"/>
        <w:adjustRightInd/>
        <w:spacing w:line="550" w:lineRule="exact"/>
        <w:ind w:left="0" w:firstLine="664" w:firstLineChars="200"/>
        <w:jc w:val="both"/>
        <w:textAlignment w:val="auto"/>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4</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协</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助有关部门拟</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订</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市本级水库移民资金年度预算方案</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和安排方案；承担</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移民资金内部审计和绩效评价的事务性工作;承担水库移民后期扶持政策实施情况监测评估、稽察的事务性工作;为水库移民资金管理提供服务保障。</w:t>
      </w:r>
    </w:p>
    <w:p w14:paraId="0999F69D">
      <w:pPr>
        <w:keepNext w:val="0"/>
        <w:keepLines w:val="0"/>
        <w:pageBreakBefore w:val="0"/>
        <w:widowControl/>
        <w:shd w:val="clear" w:color="auto" w:fill="FFFFFF"/>
        <w:kinsoku/>
        <w:wordWrap/>
        <w:overflowPunct/>
        <w:topLinePunct w:val="0"/>
        <w:autoSpaceDE/>
        <w:autoSpaceDN/>
        <w:bidi w:val="0"/>
        <w:adjustRightInd/>
        <w:spacing w:line="550" w:lineRule="exact"/>
        <w:ind w:left="0" w:firstLine="664" w:firstLineChars="200"/>
        <w:jc w:val="both"/>
        <w:textAlignment w:val="auto"/>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5</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）协助开展水库移民工作法规、规章的研究和起草工作;承担大中型水库移民信访维权、行政复议、行政诉讼的事务性工作。</w:t>
      </w:r>
    </w:p>
    <w:p w14:paraId="3A00E0A1">
      <w:pPr>
        <w:keepNext w:val="0"/>
        <w:keepLines w:val="0"/>
        <w:pageBreakBefore w:val="0"/>
        <w:widowControl/>
        <w:shd w:val="clear" w:color="auto" w:fill="FFFFFF"/>
        <w:kinsoku/>
        <w:wordWrap/>
        <w:overflowPunct/>
        <w:topLinePunct w:val="0"/>
        <w:autoSpaceDE/>
        <w:autoSpaceDN/>
        <w:bidi w:val="0"/>
        <w:adjustRightInd/>
        <w:spacing w:line="550" w:lineRule="exact"/>
        <w:ind w:left="0" w:firstLine="664" w:firstLineChars="200"/>
        <w:jc w:val="both"/>
        <w:textAlignment w:val="auto"/>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6</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）协助推动水库移民对口帮扶工作;承担水库移民计划生育、综合治理、扶贫攻坚、安全生产的事务性工作。</w:t>
      </w:r>
    </w:p>
    <w:p w14:paraId="63064A1E">
      <w:pPr>
        <w:keepNext w:val="0"/>
        <w:keepLines w:val="0"/>
        <w:pageBreakBefore w:val="0"/>
        <w:widowControl/>
        <w:shd w:val="clear" w:color="auto" w:fill="FFFFFF"/>
        <w:kinsoku/>
        <w:wordWrap/>
        <w:overflowPunct/>
        <w:topLinePunct w:val="0"/>
        <w:autoSpaceDE/>
        <w:autoSpaceDN/>
        <w:bidi w:val="0"/>
        <w:adjustRightInd/>
        <w:spacing w:line="550" w:lineRule="exact"/>
        <w:ind w:left="0" w:firstLine="664" w:firstLineChars="200"/>
        <w:jc w:val="both"/>
        <w:textAlignment w:val="auto"/>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7</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）协助协调三峡移民工作。</w:t>
      </w:r>
    </w:p>
    <w:p w14:paraId="19797265">
      <w:pPr>
        <w:keepNext w:val="0"/>
        <w:keepLines w:val="0"/>
        <w:pageBreakBefore w:val="0"/>
        <w:widowControl/>
        <w:shd w:val="clear" w:color="auto" w:fill="FFFFFF"/>
        <w:kinsoku/>
        <w:wordWrap/>
        <w:overflowPunct/>
        <w:topLinePunct w:val="0"/>
        <w:autoSpaceDE/>
        <w:autoSpaceDN/>
        <w:bidi w:val="0"/>
        <w:adjustRightInd/>
        <w:spacing w:line="550" w:lineRule="exact"/>
        <w:ind w:left="0" w:firstLine="664" w:firstLineChars="200"/>
        <w:jc w:val="both"/>
        <w:textAlignment w:val="auto"/>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8</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）承担大中型水库移民培训的事务性工作。</w:t>
      </w:r>
    </w:p>
    <w:p w14:paraId="2BB00C4B">
      <w:pPr>
        <w:keepNext w:val="0"/>
        <w:keepLines w:val="0"/>
        <w:pageBreakBefore w:val="0"/>
        <w:widowControl/>
        <w:shd w:val="clear" w:color="auto" w:fill="FFFFFF"/>
        <w:kinsoku/>
        <w:wordWrap/>
        <w:overflowPunct/>
        <w:topLinePunct w:val="0"/>
        <w:autoSpaceDE/>
        <w:autoSpaceDN/>
        <w:bidi w:val="0"/>
        <w:adjustRightInd/>
        <w:spacing w:line="550" w:lineRule="exact"/>
        <w:ind w:left="0" w:firstLine="664" w:firstLineChars="200"/>
        <w:jc w:val="both"/>
        <w:textAlignment w:val="auto"/>
        <w:rPr>
          <w:rFonts w:hint="eastAsia" w:ascii="仿宋" w:hAnsi="仿宋" w:eastAsia="仿宋" w:cs="仿宋"/>
          <w:b w:val="0"/>
          <w:bCs w:val="0"/>
          <w:i w:val="0"/>
          <w:iCs w:val="0"/>
          <w:caps w:val="0"/>
          <w:color w:val="000000" w:themeColor="text1"/>
          <w:spacing w:val="11"/>
          <w:sz w:val="32"/>
          <w:szCs w:val="32"/>
          <w:shd w:val="clear" w:fill="FFFFFF"/>
          <w14:textFill>
            <w14:solidFill>
              <w14:schemeClr w14:val="tx1"/>
            </w14:solidFill>
          </w14:textFill>
        </w:rPr>
      </w:pP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9</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）承担市水</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利局交办的其他工作。</w:t>
      </w:r>
    </w:p>
    <w:p w14:paraId="1F2D8E6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50" w:lineRule="exact"/>
        <w:ind w:left="0" w:right="0" w:firstLine="684" w:firstLineChars="200"/>
        <w:jc w:val="both"/>
        <w:textAlignment w:val="auto"/>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pPr>
      <w:r>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t>（</w:t>
      </w:r>
      <w:r>
        <w:rPr>
          <w:rFonts w:hint="eastAsia" w:ascii="楷体_GB2312" w:eastAsia="楷体_GB2312" w:cs="楷体_GB2312"/>
          <w:b/>
          <w:bCs/>
          <w:i w:val="0"/>
          <w:iCs w:val="0"/>
          <w:caps w:val="0"/>
          <w:color w:val="000000" w:themeColor="text1"/>
          <w:spacing w:val="11"/>
          <w:sz w:val="32"/>
          <w:szCs w:val="32"/>
          <w:shd w:val="clear" w:fill="FFFFFF"/>
          <w:lang w:eastAsia="zh-CN"/>
          <w14:textFill>
            <w14:solidFill>
              <w14:schemeClr w14:val="tx1"/>
            </w14:solidFill>
          </w14:textFill>
        </w:rPr>
        <w:t>三</w:t>
      </w:r>
      <w:r>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t>）绩效目标设定情况</w:t>
      </w:r>
    </w:p>
    <w:p w14:paraId="1781A1D2">
      <w:pPr>
        <w:keepNext w:val="0"/>
        <w:keepLines w:val="0"/>
        <w:pageBreakBefore w:val="0"/>
        <w:widowControl w:val="0"/>
        <w:numPr>
          <w:ilvl w:val="0"/>
          <w:numId w:val="0"/>
        </w:numPr>
        <w:kinsoku/>
        <w:wordWrap/>
        <w:overflowPunct/>
        <w:topLinePunct w:val="0"/>
        <w:autoSpaceDE/>
        <w:autoSpaceDN/>
        <w:bidi w:val="0"/>
        <w:adjustRightInd/>
        <w:snapToGrid w:val="0"/>
        <w:spacing w:line="550" w:lineRule="exact"/>
        <w:ind w:left="0" w:firstLine="684" w:firstLineChars="200"/>
        <w:jc w:val="both"/>
        <w:textAlignment w:val="auto"/>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按照市本级预算绩效管理工作的总体要求，2025年我单位整体支出</w:t>
      </w:r>
      <w:r>
        <w:rPr>
          <w:rFonts w:hint="eastAsia" w:ascii="仿宋" w:hAnsi="仿宋" w:eastAsia="仿宋" w:cs="仿宋"/>
          <w:b w:val="0"/>
          <w:bCs w:val="0"/>
          <w:color w:val="auto"/>
          <w:spacing w:val="11"/>
          <w:sz w:val="32"/>
          <w:szCs w:val="32"/>
          <w:highlight w:val="none"/>
          <w:lang w:val="en-US" w:eastAsia="zh-CN"/>
        </w:rPr>
        <w:t>552.92万元，全部实行整体支出绩效目标管理</w:t>
      </w:r>
      <w:r>
        <w:rPr>
          <w:rFonts w:hint="eastAsia" w:ascii="仿宋" w:hAnsi="仿宋" w:eastAsia="仿宋" w:cs="仿宋"/>
          <w:b w:val="0"/>
          <w:bCs w:val="0"/>
          <w:color w:val="auto"/>
          <w:spacing w:val="11"/>
          <w:sz w:val="32"/>
          <w:szCs w:val="32"/>
          <w:highlight w:val="none"/>
          <w:lang w:eastAsia="zh-CN"/>
        </w:rPr>
        <w:t>。</w:t>
      </w:r>
      <w:r>
        <w:rPr>
          <w:rFonts w:hint="eastAsia" w:ascii="仿宋" w:hAnsi="仿宋" w:eastAsia="仿宋" w:cs="仿宋"/>
          <w:b w:val="0"/>
          <w:bCs w:val="0"/>
          <w:color w:val="auto"/>
          <w:spacing w:val="11"/>
          <w:sz w:val="32"/>
          <w:szCs w:val="32"/>
          <w:highlight w:val="none"/>
          <w:lang w:val="en-US" w:eastAsia="zh-CN"/>
        </w:rPr>
        <w:t>编报绩效目标的项目4个，涉及的项目支出139.34万元，其中：</w:t>
      </w:r>
      <w:r>
        <w:rPr>
          <w:rFonts w:hint="eastAsia" w:ascii="仿宋" w:hAnsi="仿宋" w:eastAsia="仿宋" w:cs="仿宋"/>
          <w:i w:val="0"/>
          <w:iCs w:val="0"/>
          <w:caps w:val="0"/>
          <w:color w:val="000000"/>
          <w:spacing w:val="6"/>
          <w:kern w:val="0"/>
          <w:sz w:val="32"/>
          <w:szCs w:val="32"/>
          <w:shd w:val="clear" w:color="auto" w:fill="FFFFFF"/>
          <w:lang w:val="en-US" w:eastAsia="zh-CN" w:bidi="ar"/>
        </w:rPr>
        <w:t>2025年后扶维稳工作经费</w:t>
      </w:r>
      <w:r>
        <w:rPr>
          <w:rFonts w:hint="eastAsia" w:ascii="仿宋" w:hAnsi="仿宋" w:eastAsia="仿宋" w:cs="仿宋"/>
          <w:i w:val="0"/>
          <w:iCs w:val="0"/>
          <w:caps w:val="0"/>
          <w:color w:val="auto"/>
          <w:spacing w:val="6"/>
          <w:kern w:val="0"/>
          <w:sz w:val="32"/>
          <w:szCs w:val="32"/>
          <w:shd w:val="clear" w:color="auto" w:fill="FFFFFF"/>
          <w:lang w:val="en-US" w:eastAsia="zh-CN" w:bidi="ar"/>
        </w:rPr>
        <w:t>29.98</w:t>
      </w:r>
      <w:r>
        <w:rPr>
          <w:rFonts w:hint="eastAsia" w:ascii="仿宋" w:hAnsi="仿宋" w:eastAsia="仿宋" w:cs="仿宋"/>
          <w:i w:val="0"/>
          <w:iCs w:val="0"/>
          <w:caps w:val="0"/>
          <w:color w:val="000000"/>
          <w:spacing w:val="6"/>
          <w:kern w:val="0"/>
          <w:sz w:val="32"/>
          <w:szCs w:val="32"/>
          <w:shd w:val="clear" w:color="auto" w:fill="FFFFFF"/>
          <w:lang w:val="en-US" w:eastAsia="zh-CN" w:bidi="ar"/>
        </w:rPr>
        <w:t>万元，2025年</w:t>
      </w:r>
      <w:r>
        <w:rPr>
          <w:rFonts w:hint="eastAsia" w:ascii="仿宋" w:hAnsi="仿宋" w:eastAsia="仿宋" w:cs="仿宋"/>
          <w:i w:val="0"/>
          <w:iCs w:val="0"/>
          <w:caps w:val="0"/>
          <w:color w:val="000000"/>
          <w:spacing w:val="11"/>
          <w:kern w:val="0"/>
          <w:sz w:val="32"/>
          <w:szCs w:val="32"/>
          <w:shd w:val="clear" w:color="auto" w:fill="FFFFFF"/>
          <w:lang w:val="en-US" w:eastAsia="zh-CN" w:bidi="ar"/>
        </w:rPr>
        <w:t>移民运转经费42.50万元，2024年监测评估费51.20万元和监测评估费15.66万元，</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全部实行项目支出绩效目标管理。</w:t>
      </w:r>
    </w:p>
    <w:p w14:paraId="6ED854F7">
      <w:pPr>
        <w:keepNext w:val="0"/>
        <w:keepLines w:val="0"/>
        <w:pageBreakBefore w:val="0"/>
        <w:numPr>
          <w:ilvl w:val="0"/>
          <w:numId w:val="0"/>
        </w:numPr>
        <w:kinsoku/>
        <w:wordWrap/>
        <w:overflowPunct/>
        <w:topLinePunct w:val="0"/>
        <w:autoSpaceDE/>
        <w:autoSpaceDN/>
        <w:bidi w:val="0"/>
        <w:adjustRightInd/>
        <w:snapToGrid w:val="0"/>
        <w:spacing w:line="550" w:lineRule="exact"/>
        <w:ind w:left="0" w:firstLine="684" w:firstLineChars="200"/>
        <w:jc w:val="both"/>
        <w:textAlignment w:val="auto"/>
        <w:rPr>
          <w:rFonts w:hint="eastAsia" w:ascii="黑体" w:hAnsi="黑体" w:eastAsia="黑体" w:cs="黑体"/>
          <w:b w:val="0"/>
          <w:bCs w:val="0"/>
          <w:i w:val="0"/>
          <w:iCs w:val="0"/>
          <w:caps w:val="0"/>
          <w:color w:val="000000" w:themeColor="text1"/>
          <w:spacing w:val="11"/>
          <w:kern w:val="0"/>
          <w:sz w:val="32"/>
          <w:szCs w:val="32"/>
          <w:shd w:val="clear" w:fill="FFFFFF"/>
          <w:lang w:val="en-US" w:eastAsia="zh-CN" w:bidi="ar"/>
          <w14:textFill>
            <w14:solidFill>
              <w14:schemeClr w14:val="tx1"/>
            </w14:solidFill>
          </w14:textFill>
        </w:rPr>
      </w:pPr>
      <w:r>
        <w:rPr>
          <w:rFonts w:hint="eastAsia" w:ascii="黑体" w:hAnsi="黑体" w:eastAsia="黑体" w:cs="黑体"/>
          <w:b w:val="0"/>
          <w:bCs w:val="0"/>
          <w:i w:val="0"/>
          <w:iCs w:val="0"/>
          <w:caps w:val="0"/>
          <w:color w:val="000000" w:themeColor="text1"/>
          <w:spacing w:val="11"/>
          <w:kern w:val="0"/>
          <w:sz w:val="32"/>
          <w:szCs w:val="32"/>
          <w:shd w:val="clear" w:fill="FFFFFF"/>
          <w:lang w:val="en-US" w:eastAsia="zh-CN" w:bidi="ar"/>
          <w14:textFill>
            <w14:solidFill>
              <w14:schemeClr w14:val="tx1"/>
            </w14:solidFill>
          </w14:textFill>
        </w:rPr>
        <w:t>二、部门整体支出管理及使用情况</w:t>
      </w:r>
    </w:p>
    <w:p w14:paraId="0D2987F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50" w:lineRule="exact"/>
        <w:ind w:left="0" w:right="0" w:firstLine="684" w:firstLineChars="200"/>
        <w:jc w:val="both"/>
        <w:textAlignment w:val="auto"/>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pPr>
      <w:r>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t>（一）</w:t>
      </w:r>
      <w:r>
        <w:rPr>
          <w:rFonts w:hint="eastAsia"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t>预算执行、使用、管理总体情况。</w:t>
      </w:r>
    </w:p>
    <w:p w14:paraId="1B0FF39C">
      <w:pPr>
        <w:keepNext w:val="0"/>
        <w:keepLines w:val="0"/>
        <w:pageBreakBefore w:val="0"/>
        <w:widowControl w:val="0"/>
        <w:numPr>
          <w:ilvl w:val="0"/>
          <w:numId w:val="0"/>
        </w:numPr>
        <w:kinsoku/>
        <w:wordWrap/>
        <w:overflowPunct/>
        <w:topLinePunct w:val="0"/>
        <w:autoSpaceDE/>
        <w:autoSpaceDN/>
        <w:bidi w:val="0"/>
        <w:adjustRightInd/>
        <w:snapToGrid w:val="0"/>
        <w:spacing w:line="550" w:lineRule="exact"/>
        <w:ind w:left="0" w:firstLine="684" w:firstLineChars="200"/>
        <w:jc w:val="both"/>
        <w:textAlignment w:val="auto"/>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2025年部门预算收入423.41</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万元，</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包括一般公共预算财政拨款收入380.91</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万元、</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其他资</w:t>
      </w:r>
      <w:r>
        <w:rPr>
          <w:rFonts w:hint="eastAsia" w:ascii="仿宋" w:hAnsi="仿宋" w:eastAsia="仿宋" w:cs="仿宋"/>
          <w:b w:val="0"/>
          <w:bCs w:val="0"/>
          <w:color w:val="auto"/>
          <w:spacing w:val="11"/>
          <w:sz w:val="32"/>
          <w:szCs w:val="32"/>
          <w:highlight w:val="none"/>
          <w:lang w:val="en-US" w:eastAsia="zh-CN"/>
        </w:rPr>
        <w:t>金42.5</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万元</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；支出包括基本支出350.91</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万元</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及项目支出72.5</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万元</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w:t>
      </w:r>
    </w:p>
    <w:p w14:paraId="6B1B7711">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left="0" w:firstLine="684" w:firstLineChars="200"/>
        <w:jc w:val="both"/>
        <w:textAlignment w:val="auto"/>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本单位基本支出和项目支出全部实行绩效目标管理。</w:t>
      </w:r>
    </w:p>
    <w:p w14:paraId="0B8D497F">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70" w:firstLineChars="196"/>
        <w:jc w:val="left"/>
        <w:textAlignment w:val="auto"/>
        <w:outlineLvl w:val="9"/>
        <w:rPr>
          <w:rFonts w:hint="eastAsia" w:ascii="仿宋" w:hAnsi="仿宋" w:eastAsia="仿宋" w:cs="仿宋"/>
          <w:b w:val="0"/>
          <w:bCs w:val="0"/>
          <w:color w:val="FF0000"/>
          <w:spacing w:val="11"/>
          <w:sz w:val="32"/>
          <w:szCs w:val="32"/>
          <w:highlight w:val="none"/>
          <w:lang w:val="en-US" w:eastAsia="zh-CN"/>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1.</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收入预算，</w:t>
      </w:r>
      <w:r>
        <w:rPr>
          <w:rFonts w:hint="eastAsia" w:ascii="仿宋" w:hAnsi="仿宋" w:eastAsia="仿宋" w:cs="仿宋"/>
          <w:b w:val="0"/>
          <w:bCs w:val="0"/>
          <w:color w:val="auto"/>
          <w:spacing w:val="11"/>
          <w:sz w:val="32"/>
          <w:szCs w:val="32"/>
          <w:highlight w:val="none"/>
          <w:lang w:val="en-US" w:eastAsia="zh-CN"/>
        </w:rPr>
        <w:t>2025年年初预算数423.41万元，其中，一般公</w:t>
      </w:r>
      <w:r>
        <w:rPr>
          <w:rFonts w:hint="eastAsia" w:ascii="仿宋" w:hAnsi="仿宋" w:eastAsia="仿宋" w:cs="仿宋"/>
          <w:b w:val="0"/>
          <w:bCs w:val="0"/>
          <w:color w:val="auto"/>
          <w:spacing w:val="6"/>
          <w:sz w:val="32"/>
          <w:szCs w:val="32"/>
          <w:highlight w:val="none"/>
          <w:lang w:val="en-US" w:eastAsia="zh-CN"/>
        </w:rPr>
        <w:t>共预算拨款380.91万元，政府性基金预算拨款0万元，纳入财政专户管理的非税收入拨款42.5万元，国有资本经营预算拨款0万元。压减公用经费和专项支出后，同口径对比，收入较上年增加21.75万元，主要原因是</w:t>
      </w:r>
      <w:r>
        <w:rPr>
          <w:rFonts w:hint="eastAsia" w:ascii="仿宋" w:hAnsi="仿宋" w:eastAsia="仿宋" w:cs="仿宋"/>
          <w:color w:val="auto"/>
          <w:sz w:val="32"/>
          <w:szCs w:val="32"/>
          <w:lang w:eastAsia="zh-CN"/>
        </w:rPr>
        <w:t>本年度相比上</w:t>
      </w:r>
      <w:r>
        <w:rPr>
          <w:rFonts w:hint="eastAsia" w:ascii="仿宋" w:hAnsi="仿宋" w:eastAsia="仿宋" w:cs="仿宋"/>
          <w:sz w:val="32"/>
          <w:szCs w:val="32"/>
          <w:lang w:eastAsia="zh-CN"/>
        </w:rPr>
        <w:t>年项目经费预算增加</w:t>
      </w:r>
      <w:r>
        <w:rPr>
          <w:rFonts w:hint="eastAsia" w:ascii="仿宋" w:hAnsi="仿宋" w:eastAsia="仿宋" w:cs="仿宋"/>
          <w:sz w:val="32"/>
          <w:szCs w:val="32"/>
          <w:lang w:val="en-US" w:eastAsia="zh-CN"/>
        </w:rPr>
        <w:t>42.5</w:t>
      </w:r>
      <w:r>
        <w:rPr>
          <w:rFonts w:hint="eastAsia" w:ascii="仿宋" w:hAnsi="仿宋" w:eastAsia="仿宋" w:cs="仿宋"/>
          <w:sz w:val="32"/>
          <w:szCs w:val="32"/>
          <w:lang w:eastAsia="zh-CN"/>
        </w:rPr>
        <w:t>万，同时人员类经费预算减少</w:t>
      </w:r>
      <w:r>
        <w:rPr>
          <w:rFonts w:hint="eastAsia" w:ascii="仿宋" w:hAnsi="仿宋" w:eastAsia="仿宋" w:cs="仿宋"/>
          <w:sz w:val="32"/>
          <w:szCs w:val="32"/>
          <w:lang w:val="en-US" w:eastAsia="zh-CN"/>
        </w:rPr>
        <w:t>5.89</w:t>
      </w:r>
      <w:r>
        <w:rPr>
          <w:rFonts w:hint="eastAsia" w:ascii="仿宋" w:hAnsi="仿宋" w:eastAsia="仿宋" w:cs="仿宋"/>
          <w:sz w:val="32"/>
          <w:szCs w:val="32"/>
          <w:lang w:eastAsia="zh-CN"/>
        </w:rPr>
        <w:t>万、公用经费预算减少</w:t>
      </w:r>
      <w:r>
        <w:rPr>
          <w:rFonts w:hint="eastAsia" w:ascii="仿宋" w:hAnsi="仿宋" w:eastAsia="仿宋" w:cs="仿宋"/>
          <w:sz w:val="32"/>
          <w:szCs w:val="32"/>
          <w:lang w:val="en-US" w:eastAsia="zh-CN"/>
        </w:rPr>
        <w:t>14.86</w:t>
      </w:r>
      <w:r>
        <w:rPr>
          <w:rFonts w:hint="eastAsia" w:ascii="仿宋" w:hAnsi="仿宋" w:eastAsia="仿宋" w:cs="仿宋"/>
          <w:sz w:val="32"/>
          <w:szCs w:val="32"/>
          <w:lang w:eastAsia="zh-CN"/>
        </w:rPr>
        <w:t>万导致</w:t>
      </w:r>
      <w:r>
        <w:rPr>
          <w:rFonts w:hint="eastAsia" w:ascii="仿宋" w:hAnsi="仿宋" w:eastAsia="仿宋" w:cs="仿宋"/>
          <w:b/>
          <w:bCs/>
          <w:color w:val="auto"/>
          <w:sz w:val="32"/>
          <w:szCs w:val="32"/>
        </w:rPr>
        <w:t>。</w:t>
      </w:r>
    </w:p>
    <w:p w14:paraId="6523C2F1">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70" w:firstLineChars="196"/>
        <w:jc w:val="left"/>
        <w:textAlignment w:val="auto"/>
        <w:outlineLvl w:val="9"/>
        <w:rPr>
          <w:rFonts w:hint="eastAsia" w:ascii="仿宋" w:hAnsi="仿宋" w:eastAsia="仿宋" w:cs="仿宋"/>
          <w:b w:val="0"/>
          <w:bCs w:val="0"/>
          <w:color w:val="FF0000"/>
          <w:spacing w:val="11"/>
          <w:sz w:val="32"/>
          <w:szCs w:val="32"/>
          <w:highlight w:val="none"/>
          <w:lang w:val="en-US" w:eastAsia="zh-CN"/>
        </w:rPr>
      </w:pPr>
      <w:r>
        <w:rPr>
          <w:rFonts w:hint="eastAsia" w:ascii="仿宋" w:hAnsi="仿宋" w:eastAsia="仿宋" w:cs="仿宋"/>
          <w:b w:val="0"/>
          <w:bCs w:val="0"/>
          <w:color w:val="auto"/>
          <w:spacing w:val="11"/>
          <w:sz w:val="32"/>
          <w:szCs w:val="32"/>
          <w:highlight w:val="none"/>
          <w:lang w:val="en-US" w:eastAsia="zh-CN"/>
        </w:rPr>
        <w:t>2</w:t>
      </w:r>
      <w:r>
        <w:rPr>
          <w:rFonts w:hint="eastAsia" w:ascii="仿宋" w:hAnsi="仿宋" w:eastAsia="仿宋" w:cs="仿宋"/>
          <w:b w:val="0"/>
          <w:bCs w:val="0"/>
          <w:color w:val="auto"/>
          <w:spacing w:val="11"/>
          <w:sz w:val="32"/>
          <w:szCs w:val="32"/>
          <w:highlight w:val="none"/>
          <w:lang w:eastAsia="zh-CN"/>
        </w:rPr>
        <w:t>.</w:t>
      </w:r>
      <w:r>
        <w:rPr>
          <w:rFonts w:hint="eastAsia" w:ascii="仿宋" w:hAnsi="仿宋" w:eastAsia="仿宋" w:cs="仿宋"/>
          <w:b w:val="0"/>
          <w:bCs w:val="0"/>
          <w:color w:val="auto"/>
          <w:spacing w:val="11"/>
          <w:sz w:val="32"/>
          <w:szCs w:val="32"/>
          <w:highlight w:val="none"/>
          <w:lang w:val="en-US" w:eastAsia="zh-CN"/>
        </w:rPr>
        <w:t>支出预算，2025年年初预算数423.41万元，其中，主要是人员经费300.11万元、公用经费50.8万元、项目支出72.5万元。压减公用经费和专项支出后，同口径对比，支出较</w:t>
      </w:r>
      <w:r>
        <w:rPr>
          <w:rFonts w:hint="eastAsia" w:ascii="仿宋" w:hAnsi="仿宋" w:eastAsia="仿宋" w:cs="仿宋"/>
          <w:b w:val="0"/>
          <w:bCs w:val="0"/>
          <w:color w:val="auto"/>
          <w:spacing w:val="6"/>
          <w:sz w:val="32"/>
          <w:szCs w:val="32"/>
          <w:highlight w:val="none"/>
          <w:lang w:val="en-US" w:eastAsia="zh-CN"/>
        </w:rPr>
        <w:t>上年增加21.75万元，主要原因是</w:t>
      </w:r>
      <w:r>
        <w:rPr>
          <w:rFonts w:hint="eastAsia" w:ascii="仿宋" w:hAnsi="仿宋" w:eastAsia="仿宋" w:cs="仿宋"/>
          <w:color w:val="auto"/>
          <w:sz w:val="32"/>
          <w:szCs w:val="32"/>
          <w:lang w:eastAsia="zh-CN"/>
        </w:rPr>
        <w:t>本年度相比上</w:t>
      </w:r>
      <w:r>
        <w:rPr>
          <w:rFonts w:hint="eastAsia" w:ascii="仿宋" w:hAnsi="仿宋" w:eastAsia="仿宋" w:cs="仿宋"/>
          <w:sz w:val="32"/>
          <w:szCs w:val="32"/>
          <w:lang w:eastAsia="zh-CN"/>
        </w:rPr>
        <w:t>年项目经费预算增加</w:t>
      </w:r>
      <w:r>
        <w:rPr>
          <w:rFonts w:hint="eastAsia" w:ascii="仿宋" w:hAnsi="仿宋" w:eastAsia="仿宋" w:cs="仿宋"/>
          <w:sz w:val="32"/>
          <w:szCs w:val="32"/>
          <w:lang w:val="en-US" w:eastAsia="zh-CN"/>
        </w:rPr>
        <w:t>42.5</w:t>
      </w:r>
      <w:r>
        <w:rPr>
          <w:rFonts w:hint="eastAsia" w:ascii="仿宋" w:hAnsi="仿宋" w:eastAsia="仿宋" w:cs="仿宋"/>
          <w:sz w:val="32"/>
          <w:szCs w:val="32"/>
          <w:lang w:eastAsia="zh-CN"/>
        </w:rPr>
        <w:t>万，同时人员类经费预算减少</w:t>
      </w:r>
      <w:r>
        <w:rPr>
          <w:rFonts w:hint="eastAsia" w:ascii="仿宋" w:hAnsi="仿宋" w:eastAsia="仿宋" w:cs="仿宋"/>
          <w:sz w:val="32"/>
          <w:szCs w:val="32"/>
          <w:lang w:val="en-US" w:eastAsia="zh-CN"/>
        </w:rPr>
        <w:t>5.89</w:t>
      </w:r>
      <w:r>
        <w:rPr>
          <w:rFonts w:hint="eastAsia" w:ascii="仿宋" w:hAnsi="仿宋" w:eastAsia="仿宋" w:cs="仿宋"/>
          <w:sz w:val="32"/>
          <w:szCs w:val="32"/>
          <w:lang w:eastAsia="zh-CN"/>
        </w:rPr>
        <w:t>万、公用经费预算减少</w:t>
      </w:r>
      <w:r>
        <w:rPr>
          <w:rFonts w:hint="eastAsia" w:ascii="仿宋" w:hAnsi="仿宋" w:eastAsia="仿宋" w:cs="仿宋"/>
          <w:sz w:val="32"/>
          <w:szCs w:val="32"/>
          <w:lang w:val="en-US" w:eastAsia="zh-CN"/>
        </w:rPr>
        <w:t>14.86</w:t>
      </w:r>
      <w:r>
        <w:rPr>
          <w:rFonts w:hint="eastAsia" w:ascii="仿宋" w:hAnsi="仿宋" w:eastAsia="仿宋" w:cs="仿宋"/>
          <w:sz w:val="32"/>
          <w:szCs w:val="32"/>
          <w:lang w:eastAsia="zh-CN"/>
        </w:rPr>
        <w:t>万导致</w:t>
      </w:r>
      <w:r>
        <w:rPr>
          <w:rFonts w:hint="eastAsia" w:ascii="仿宋" w:hAnsi="仿宋" w:eastAsia="仿宋" w:cs="仿宋"/>
          <w:b/>
          <w:bCs/>
          <w:color w:val="auto"/>
          <w:sz w:val="32"/>
          <w:szCs w:val="32"/>
        </w:rPr>
        <w:t>。</w:t>
      </w:r>
    </w:p>
    <w:p w14:paraId="7423586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84" w:firstLineChars="200"/>
        <w:jc w:val="both"/>
        <w:textAlignment w:val="auto"/>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pPr>
      <w:r>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t>（二）部门预算执行情况</w:t>
      </w:r>
    </w:p>
    <w:p w14:paraId="085A9EF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84" w:firstLineChars="200"/>
        <w:jc w:val="both"/>
        <w:textAlignment w:val="auto"/>
        <w:rPr>
          <w:rFonts w:hint="eastAsia" w:ascii="仿宋" w:hAnsi="仿宋" w:eastAsia="仿宋" w:cs="仿宋"/>
          <w:b w:val="0"/>
          <w:bCs w:val="0"/>
          <w:i w:val="0"/>
          <w:iCs w:val="0"/>
          <w:caps w:val="0"/>
          <w:color w:val="000000" w:themeColor="text1"/>
          <w:spacing w:val="11"/>
          <w:sz w:val="32"/>
          <w:szCs w:val="32"/>
          <w14:textFill>
            <w14:solidFill>
              <w14:schemeClr w14:val="tx1"/>
            </w14:solidFill>
          </w14:textFill>
        </w:rPr>
      </w:pPr>
      <w:r>
        <w:rPr>
          <w:rFonts w:hint="eastAsia" w:ascii="仿宋" w:hAnsi="仿宋" w:eastAsia="仿宋" w:cs="仿宋"/>
          <w:b w:val="0"/>
          <w:bCs w:val="0"/>
          <w:i w:val="0"/>
          <w:iCs w:val="0"/>
          <w:caps w:val="0"/>
          <w:color w:val="000000" w:themeColor="text1"/>
          <w:spacing w:val="11"/>
          <w:sz w:val="32"/>
          <w:szCs w:val="32"/>
          <w:shd w:val="clear" w:fill="FFFFFF"/>
          <w14:textFill>
            <w14:solidFill>
              <w14:schemeClr w14:val="tx1"/>
            </w14:solidFill>
          </w14:textFill>
        </w:rPr>
        <w:t>1.基本支出情况</w:t>
      </w:r>
    </w:p>
    <w:p w14:paraId="24DE9728">
      <w:pPr>
        <w:keepNext w:val="0"/>
        <w:keepLines w:val="0"/>
        <w:pageBreakBefore w:val="0"/>
        <w:widowControl w:val="0"/>
        <w:numPr>
          <w:ilvl w:val="0"/>
          <w:numId w:val="0"/>
        </w:numPr>
        <w:kinsoku/>
        <w:wordWrap/>
        <w:overflowPunct/>
        <w:topLinePunct w:val="0"/>
        <w:autoSpaceDE/>
        <w:autoSpaceDN/>
        <w:bidi w:val="0"/>
        <w:adjustRightInd/>
        <w:snapToGrid w:val="0"/>
        <w:spacing w:line="550" w:lineRule="exact"/>
        <w:ind w:left="0" w:firstLine="684" w:firstLineChars="200"/>
        <w:jc w:val="both"/>
        <w:textAlignment w:val="auto"/>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2025</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年年初预算</w:t>
      </w:r>
      <w:r>
        <w:rPr>
          <w:rFonts w:hint="eastAsia" w:ascii="仿宋" w:hAnsi="仿宋" w:eastAsia="仿宋" w:cs="仿宋"/>
          <w:b w:val="0"/>
          <w:bCs w:val="0"/>
          <w:color w:val="auto"/>
          <w:spacing w:val="6"/>
          <w:sz w:val="32"/>
          <w:szCs w:val="32"/>
          <w:highlight w:val="none"/>
          <w:lang w:val="en-US" w:eastAsia="zh-CN"/>
        </w:rPr>
        <w:t>423.41</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万元，全年预算数552.92万元，实际支出552.92万元。基本支出是指为保障单位机构正常运转、完成日常工作任务而发生的各项支出，</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全年共计</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443.56</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万元，</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其中：基本工资</w:t>
      </w:r>
      <w:r>
        <w:rPr>
          <w:rFonts w:hint="eastAsia" w:ascii="仿宋" w:hAnsi="仿宋" w:eastAsia="仿宋" w:cs="仿宋"/>
          <w:b w:val="0"/>
          <w:bCs w:val="0"/>
          <w:color w:val="auto"/>
          <w:spacing w:val="6"/>
          <w:sz w:val="32"/>
          <w:szCs w:val="32"/>
          <w:highlight w:val="none"/>
          <w:lang w:val="en-US" w:eastAsia="zh-CN"/>
        </w:rPr>
        <w:t>128.61</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万元、津贴补贴</w:t>
      </w:r>
      <w:r>
        <w:rPr>
          <w:rFonts w:hint="eastAsia" w:ascii="仿宋" w:hAnsi="仿宋" w:eastAsia="仿宋" w:cs="仿宋"/>
          <w:b w:val="0"/>
          <w:bCs w:val="0"/>
          <w:color w:val="auto"/>
          <w:spacing w:val="6"/>
          <w:sz w:val="32"/>
          <w:szCs w:val="32"/>
          <w:highlight w:val="none"/>
          <w:lang w:val="en-US" w:eastAsia="zh-CN"/>
        </w:rPr>
        <w:t>48.27万元、奖金73.07万元、</w:t>
      </w:r>
      <w:r>
        <w:rPr>
          <w:rFonts w:hint="eastAsia" w:ascii="仿宋" w:hAnsi="仿宋" w:eastAsia="仿宋" w:cs="仿宋"/>
          <w:b w:val="0"/>
          <w:bCs w:val="0"/>
          <w:color w:val="auto"/>
          <w:spacing w:val="6"/>
          <w:sz w:val="32"/>
          <w:szCs w:val="32"/>
          <w:highlight w:val="none"/>
          <w:lang w:eastAsia="zh-CN"/>
        </w:rPr>
        <w:t>伙食补助费</w:t>
      </w:r>
      <w:r>
        <w:rPr>
          <w:rFonts w:hint="eastAsia" w:ascii="仿宋" w:hAnsi="仿宋" w:eastAsia="仿宋" w:cs="仿宋"/>
          <w:b w:val="0"/>
          <w:bCs w:val="0"/>
          <w:color w:val="auto"/>
          <w:spacing w:val="6"/>
          <w:sz w:val="32"/>
          <w:szCs w:val="32"/>
          <w:highlight w:val="none"/>
          <w:lang w:val="en-US" w:eastAsia="zh-CN"/>
        </w:rPr>
        <w:t>7.16</w:t>
      </w:r>
      <w:r>
        <w:rPr>
          <w:rFonts w:hint="eastAsia" w:ascii="仿宋" w:hAnsi="仿宋" w:eastAsia="仿宋" w:cs="仿宋"/>
          <w:b w:val="0"/>
          <w:bCs w:val="0"/>
          <w:color w:val="auto"/>
          <w:spacing w:val="6"/>
          <w:sz w:val="32"/>
          <w:szCs w:val="32"/>
          <w:highlight w:val="none"/>
          <w:lang w:eastAsia="zh-CN"/>
        </w:rPr>
        <w:t>万元、绩效工资</w:t>
      </w:r>
      <w:r>
        <w:rPr>
          <w:rFonts w:hint="eastAsia" w:ascii="仿宋" w:hAnsi="仿宋" w:eastAsia="仿宋" w:cs="仿宋"/>
          <w:b w:val="0"/>
          <w:bCs w:val="0"/>
          <w:color w:val="auto"/>
          <w:spacing w:val="6"/>
          <w:sz w:val="32"/>
          <w:szCs w:val="32"/>
          <w:highlight w:val="none"/>
          <w:lang w:val="en-US" w:eastAsia="zh-CN"/>
        </w:rPr>
        <w:t>32.75万元、</w:t>
      </w:r>
      <w:r>
        <w:rPr>
          <w:rFonts w:hint="eastAsia" w:ascii="仿宋" w:hAnsi="仿宋" w:eastAsia="仿宋" w:cs="仿宋"/>
          <w:b w:val="0"/>
          <w:bCs w:val="0"/>
          <w:color w:val="000000" w:themeColor="text1"/>
          <w:spacing w:val="6"/>
          <w:sz w:val="32"/>
          <w:szCs w:val="32"/>
          <w:highlight w:val="none"/>
          <w:lang w:val="en-US" w:eastAsia="zh-CN"/>
          <w14:textFill>
            <w14:solidFill>
              <w14:schemeClr w14:val="tx1"/>
            </w14:solidFill>
          </w14:textFill>
        </w:rPr>
        <w:t>职工基</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本医疗保险缴费</w:t>
      </w:r>
      <w:r>
        <w:rPr>
          <w:rFonts w:hint="eastAsia" w:ascii="仿宋" w:hAnsi="仿宋" w:eastAsia="仿宋" w:cs="仿宋"/>
          <w:b w:val="0"/>
          <w:bCs w:val="0"/>
          <w:color w:val="auto"/>
          <w:spacing w:val="11"/>
          <w:sz w:val="32"/>
          <w:szCs w:val="32"/>
          <w:highlight w:val="none"/>
          <w:lang w:val="en-US" w:eastAsia="zh-CN"/>
        </w:rPr>
        <w:t>13.31</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万元、</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其他社会保障缴费</w:t>
      </w:r>
      <w:r>
        <w:rPr>
          <w:rFonts w:hint="eastAsia" w:ascii="仿宋" w:hAnsi="仿宋" w:eastAsia="仿宋" w:cs="仿宋"/>
          <w:b w:val="0"/>
          <w:bCs w:val="0"/>
          <w:color w:val="auto"/>
          <w:spacing w:val="11"/>
          <w:sz w:val="32"/>
          <w:szCs w:val="32"/>
          <w:highlight w:val="none"/>
          <w:lang w:val="en-US" w:eastAsia="zh-CN"/>
        </w:rPr>
        <w:t>2.3</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万元、住房公积金缴费</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29.47万元、其他工资福利支出14.64万元、对个人和家庭的补助</w:t>
      </w:r>
      <w:r>
        <w:rPr>
          <w:rFonts w:hint="eastAsia" w:ascii="仿宋" w:hAnsi="仿宋" w:eastAsia="仿宋" w:cs="仿宋"/>
          <w:b w:val="0"/>
          <w:bCs w:val="0"/>
          <w:color w:val="auto"/>
          <w:spacing w:val="11"/>
          <w:sz w:val="32"/>
          <w:szCs w:val="32"/>
          <w:highlight w:val="none"/>
          <w:lang w:val="en-US" w:eastAsia="zh-CN"/>
        </w:rPr>
        <w:t>29.39</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万元、</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商品服务支出</w:t>
      </w:r>
      <w:r>
        <w:rPr>
          <w:rFonts w:hint="eastAsia" w:ascii="仿宋" w:hAnsi="仿宋" w:eastAsia="仿宋" w:cs="仿宋"/>
          <w:b w:val="0"/>
          <w:bCs w:val="0"/>
          <w:color w:val="auto"/>
          <w:spacing w:val="11"/>
          <w:sz w:val="32"/>
          <w:szCs w:val="32"/>
          <w:highlight w:val="none"/>
          <w:lang w:val="en-US" w:eastAsia="zh-CN"/>
        </w:rPr>
        <w:t>173.96</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万元等。</w:t>
      </w:r>
    </w:p>
    <w:p w14:paraId="4463044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50" w:lineRule="exact"/>
        <w:ind w:left="0" w:right="0" w:firstLine="684" w:firstLineChars="200"/>
        <w:jc w:val="both"/>
        <w:textAlignment w:val="auto"/>
        <w:rPr>
          <w:rFonts w:hint="eastAsia" w:ascii="仿宋" w:hAnsi="仿宋" w:eastAsia="仿宋" w:cs="仿宋"/>
          <w:b w:val="0"/>
          <w:bCs w:val="0"/>
          <w:i w:val="0"/>
          <w:iCs w:val="0"/>
          <w:caps w:val="0"/>
          <w:color w:val="000000" w:themeColor="text1"/>
          <w:spacing w:val="11"/>
          <w:sz w:val="32"/>
          <w:szCs w:val="32"/>
          <w14:textFill>
            <w14:solidFill>
              <w14:schemeClr w14:val="tx1"/>
            </w14:solidFill>
          </w14:textFill>
        </w:rPr>
      </w:pPr>
      <w:r>
        <w:rPr>
          <w:rFonts w:hint="eastAsia" w:ascii="仿宋" w:hAnsi="仿宋" w:eastAsia="仿宋" w:cs="仿宋"/>
          <w:b w:val="0"/>
          <w:bCs w:val="0"/>
          <w:i w:val="0"/>
          <w:iCs w:val="0"/>
          <w:caps w:val="0"/>
          <w:color w:val="000000" w:themeColor="text1"/>
          <w:spacing w:val="11"/>
          <w:sz w:val="32"/>
          <w:szCs w:val="32"/>
          <w:shd w:val="clear" w:fill="FFFFFF"/>
          <w14:textFill>
            <w14:solidFill>
              <w14:schemeClr w14:val="tx1"/>
            </w14:solidFill>
          </w14:textFill>
        </w:rPr>
        <w:t>2.项目支出情况</w:t>
      </w:r>
    </w:p>
    <w:p w14:paraId="517ECA0F">
      <w:pPr>
        <w:keepNext w:val="0"/>
        <w:keepLines w:val="0"/>
        <w:pageBreakBefore w:val="0"/>
        <w:widowControl w:val="0"/>
        <w:numPr>
          <w:ilvl w:val="0"/>
          <w:numId w:val="0"/>
        </w:numPr>
        <w:kinsoku/>
        <w:wordWrap/>
        <w:overflowPunct/>
        <w:topLinePunct w:val="0"/>
        <w:autoSpaceDE/>
        <w:autoSpaceDN/>
        <w:bidi w:val="0"/>
        <w:adjustRightInd/>
        <w:snapToGrid w:val="0"/>
        <w:spacing w:line="550" w:lineRule="exact"/>
        <w:ind w:left="0" w:firstLine="684" w:firstLineChars="200"/>
        <w:jc w:val="both"/>
        <w:textAlignment w:val="auto"/>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2025年年初预算</w:t>
      </w:r>
      <w:r>
        <w:rPr>
          <w:rFonts w:hint="eastAsia" w:ascii="仿宋" w:hAnsi="仿宋" w:eastAsia="仿宋" w:cs="仿宋"/>
          <w:b w:val="0"/>
          <w:bCs w:val="0"/>
          <w:color w:val="auto"/>
          <w:spacing w:val="11"/>
          <w:sz w:val="32"/>
          <w:szCs w:val="32"/>
          <w:highlight w:val="none"/>
          <w:lang w:val="en-US" w:eastAsia="zh-CN"/>
        </w:rPr>
        <w:t>72.5</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万元，年中追加预算</w:t>
      </w:r>
      <w:r>
        <w:rPr>
          <w:rFonts w:hint="eastAsia" w:ascii="仿宋" w:hAnsi="仿宋" w:eastAsia="仿宋" w:cs="仿宋"/>
          <w:b w:val="0"/>
          <w:bCs w:val="0"/>
          <w:color w:val="auto"/>
          <w:spacing w:val="11"/>
          <w:sz w:val="32"/>
          <w:szCs w:val="32"/>
          <w:highlight w:val="none"/>
          <w:lang w:val="en-US" w:eastAsia="zh-CN"/>
        </w:rPr>
        <w:t>66.84</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万元，全年预算139.34万元，实际支出139.34万元。项目支出是指单位为完成特定行政工作任务或事业发展目标而发生的支出，包括有关事业发展专项、专项业务费等。</w:t>
      </w:r>
    </w:p>
    <w:p w14:paraId="7910DFE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50" w:lineRule="exact"/>
        <w:ind w:left="0" w:right="0" w:firstLine="684" w:firstLineChars="200"/>
        <w:jc w:val="both"/>
        <w:textAlignment w:val="auto"/>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pPr>
      <w:r>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t>（三）</w:t>
      </w:r>
      <w:r>
        <w:rPr>
          <w:rFonts w:hint="eastAsia" w:ascii="楷体_GB2312" w:eastAsia="楷体_GB2312" w:cs="楷体_GB2312"/>
          <w:b/>
          <w:bCs/>
          <w:i w:val="0"/>
          <w:iCs w:val="0"/>
          <w:caps w:val="0"/>
          <w:color w:val="000000" w:themeColor="text1"/>
          <w:spacing w:val="11"/>
          <w:sz w:val="32"/>
          <w:szCs w:val="32"/>
          <w:shd w:val="clear" w:fill="FFFFFF"/>
          <w:lang w:eastAsia="zh-CN"/>
          <w14:textFill>
            <w14:solidFill>
              <w14:schemeClr w14:val="tx1"/>
            </w14:solidFill>
          </w14:textFill>
        </w:rPr>
        <w:t>“</w:t>
      </w:r>
      <w:r>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t>三公</w:t>
      </w:r>
      <w:r>
        <w:rPr>
          <w:rFonts w:hint="eastAsia" w:ascii="楷体_GB2312" w:eastAsia="楷体_GB2312" w:cs="楷体_GB2312"/>
          <w:b/>
          <w:bCs/>
          <w:i w:val="0"/>
          <w:iCs w:val="0"/>
          <w:caps w:val="0"/>
          <w:color w:val="000000" w:themeColor="text1"/>
          <w:spacing w:val="11"/>
          <w:sz w:val="32"/>
          <w:szCs w:val="32"/>
          <w:shd w:val="clear" w:fill="FFFFFF"/>
          <w:lang w:eastAsia="zh-CN"/>
          <w14:textFill>
            <w14:solidFill>
              <w14:schemeClr w14:val="tx1"/>
            </w14:solidFill>
          </w14:textFill>
        </w:rPr>
        <w:t>”</w:t>
      </w:r>
      <w:r>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t>经费使用和管理情况</w:t>
      </w:r>
    </w:p>
    <w:p w14:paraId="7265BD88">
      <w:pPr>
        <w:keepNext w:val="0"/>
        <w:keepLines w:val="0"/>
        <w:pageBreakBefore w:val="0"/>
        <w:widowControl w:val="0"/>
        <w:numPr>
          <w:ilvl w:val="0"/>
          <w:numId w:val="0"/>
        </w:numPr>
        <w:kinsoku/>
        <w:wordWrap/>
        <w:overflowPunct/>
        <w:topLinePunct w:val="0"/>
        <w:autoSpaceDE/>
        <w:autoSpaceDN/>
        <w:bidi w:val="0"/>
        <w:adjustRightInd/>
        <w:snapToGrid w:val="0"/>
        <w:spacing w:line="550" w:lineRule="exact"/>
        <w:ind w:firstLine="960" w:firstLineChars="300"/>
        <w:jc w:val="both"/>
        <w:textAlignment w:val="auto"/>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i w:val="0"/>
          <w:iCs w:val="0"/>
          <w:caps w:val="0"/>
          <w:color w:val="auto"/>
          <w:spacing w:val="0"/>
          <w:sz w:val="32"/>
          <w:szCs w:val="32"/>
          <w:shd w:val="clear" w:fill="FFFFFF"/>
          <w:lang w:val="en-US" w:eastAsia="zh-CN"/>
        </w:rPr>
        <w:t>1.使用情况：</w:t>
      </w:r>
    </w:p>
    <w:p w14:paraId="33A5127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1026" w:firstLineChars="300"/>
        <w:textAlignment w:val="auto"/>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2025年三公经费预算控制数为</w:t>
      </w:r>
      <w:r>
        <w:rPr>
          <w:rFonts w:hint="eastAsia" w:ascii="仿宋" w:hAnsi="仿宋" w:eastAsia="仿宋" w:cs="仿宋"/>
          <w:b w:val="0"/>
          <w:bCs w:val="0"/>
          <w:color w:val="auto"/>
          <w:spacing w:val="11"/>
          <w:sz w:val="32"/>
          <w:szCs w:val="32"/>
          <w:highlight w:val="none"/>
          <w:lang w:val="en-US" w:eastAsia="zh-CN"/>
        </w:rPr>
        <w:t>9.5</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万元,其中:因公出国(境)费预算0万元,公务用车运行维护费6.5万元，公务接待费3万元。本年度我中心实际支出9.5万元，其中:因公出国(境)费0万元，公务用车运行维护费9.16万元，公务接待费0.34万元，比去年节约1.55万元，主要是厉行节约，严控三公经费，为持续严格执行中央八项规定及相关文件精神。公务用车运行维护费比去年增加了1.16万元，主要是因公车使用年限较长，日常维修养护成本增加，以及燃油消耗增加，导致公车运行费较上年增加。</w:t>
      </w:r>
    </w:p>
    <w:p w14:paraId="519E5CA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640" w:firstLineChars="200"/>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lang w:val="en-US" w:eastAsia="zh-CN"/>
        </w:rPr>
        <w:t>2.管理情况</w:t>
      </w:r>
      <w:r>
        <w:rPr>
          <w:rFonts w:hint="eastAsia" w:ascii="仿宋" w:hAnsi="仿宋" w:eastAsia="仿宋" w:cs="仿宋"/>
          <w:i w:val="0"/>
          <w:iCs w:val="0"/>
          <w:caps w:val="0"/>
          <w:color w:val="auto"/>
          <w:spacing w:val="0"/>
          <w:sz w:val="32"/>
          <w:szCs w:val="32"/>
          <w:shd w:val="clear" w:fill="FFFFFF"/>
        </w:rPr>
        <w:t>:</w:t>
      </w:r>
    </w:p>
    <w:p w14:paraId="231C06E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rightChars="0" w:firstLine="320" w:firstLineChars="100"/>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lang w:eastAsia="zh-CN"/>
        </w:rPr>
        <w:t>（</w:t>
      </w:r>
      <w:r>
        <w:rPr>
          <w:rFonts w:hint="eastAsia" w:ascii="仿宋" w:hAnsi="仿宋" w:eastAsia="仿宋" w:cs="仿宋"/>
          <w:i w:val="0"/>
          <w:iCs w:val="0"/>
          <w:caps w:val="0"/>
          <w:color w:val="auto"/>
          <w:spacing w:val="0"/>
          <w:sz w:val="32"/>
          <w:szCs w:val="32"/>
          <w:shd w:val="clear" w:fill="FFFFFF"/>
          <w:lang w:val="en-US" w:eastAsia="zh-CN"/>
        </w:rPr>
        <w:t>1</w:t>
      </w:r>
      <w:r>
        <w:rPr>
          <w:rFonts w:hint="eastAsia" w:ascii="仿宋" w:hAnsi="仿宋" w:eastAsia="仿宋" w:cs="仿宋"/>
          <w:i w:val="0"/>
          <w:iCs w:val="0"/>
          <w:caps w:val="0"/>
          <w:color w:val="auto"/>
          <w:spacing w:val="0"/>
          <w:sz w:val="32"/>
          <w:szCs w:val="32"/>
          <w:shd w:val="clear" w:fill="FFFFFF"/>
          <w:lang w:eastAsia="zh-CN"/>
        </w:rPr>
        <w:t>）</w:t>
      </w:r>
      <w:r>
        <w:rPr>
          <w:rFonts w:hint="eastAsia" w:ascii="仿宋" w:hAnsi="仿宋" w:eastAsia="仿宋" w:cs="仿宋"/>
          <w:i w:val="0"/>
          <w:iCs w:val="0"/>
          <w:caps w:val="0"/>
          <w:color w:val="auto"/>
          <w:spacing w:val="0"/>
          <w:sz w:val="32"/>
          <w:szCs w:val="32"/>
          <w:shd w:val="clear" w:fill="FFFFFF"/>
        </w:rPr>
        <w:t>严格预算编制，强化预算节约:将“三公”经费预算编制细化到具体项目，从严控制预算支出，杜绝无预算和超预算开支，增强预算约束力。</w:t>
      </w:r>
    </w:p>
    <w:p w14:paraId="5633861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rightChars="0" w:firstLine="320" w:firstLineChars="100"/>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lang w:eastAsia="zh-CN"/>
        </w:rPr>
        <w:t>（</w:t>
      </w:r>
      <w:r>
        <w:rPr>
          <w:rFonts w:hint="eastAsia" w:ascii="仿宋" w:hAnsi="仿宋" w:eastAsia="仿宋" w:cs="仿宋"/>
          <w:i w:val="0"/>
          <w:iCs w:val="0"/>
          <w:caps w:val="0"/>
          <w:color w:val="auto"/>
          <w:spacing w:val="0"/>
          <w:sz w:val="32"/>
          <w:szCs w:val="32"/>
          <w:shd w:val="clear" w:fill="FFFFFF"/>
          <w:lang w:val="en-US" w:eastAsia="zh-CN"/>
        </w:rPr>
        <w:t>2</w:t>
      </w:r>
      <w:r>
        <w:rPr>
          <w:rFonts w:hint="eastAsia" w:ascii="仿宋" w:hAnsi="仿宋" w:eastAsia="仿宋" w:cs="仿宋"/>
          <w:i w:val="0"/>
          <w:iCs w:val="0"/>
          <w:caps w:val="0"/>
          <w:color w:val="auto"/>
          <w:spacing w:val="0"/>
          <w:sz w:val="32"/>
          <w:szCs w:val="32"/>
          <w:shd w:val="clear" w:fill="FFFFFF"/>
          <w:lang w:eastAsia="zh-CN"/>
        </w:rPr>
        <w:t>）</w:t>
      </w:r>
      <w:r>
        <w:rPr>
          <w:rFonts w:hint="eastAsia" w:ascii="仿宋" w:hAnsi="仿宋" w:eastAsia="仿宋" w:cs="仿宋"/>
          <w:i w:val="0"/>
          <w:iCs w:val="0"/>
          <w:caps w:val="0"/>
          <w:color w:val="auto"/>
          <w:spacing w:val="0"/>
          <w:sz w:val="32"/>
          <w:szCs w:val="32"/>
          <w:shd w:val="clear" w:fill="FFFFFF"/>
          <w:lang w:val="en-US" w:eastAsia="zh-CN"/>
        </w:rPr>
        <w:t>控制</w:t>
      </w:r>
      <w:r>
        <w:rPr>
          <w:rFonts w:hint="eastAsia" w:ascii="仿宋" w:hAnsi="仿宋" w:eastAsia="仿宋" w:cs="仿宋"/>
          <w:i w:val="0"/>
          <w:iCs w:val="0"/>
          <w:caps w:val="0"/>
          <w:color w:val="auto"/>
          <w:spacing w:val="0"/>
          <w:sz w:val="32"/>
          <w:szCs w:val="32"/>
          <w:shd w:val="clear" w:fill="FFFFFF"/>
        </w:rPr>
        <w:t>支出标准，严格执行制度:对公务用车、公务接待等支出</w:t>
      </w:r>
      <w:r>
        <w:rPr>
          <w:rFonts w:hint="eastAsia" w:ascii="仿宋" w:hAnsi="仿宋" w:eastAsia="仿宋" w:cs="仿宋"/>
          <w:i w:val="0"/>
          <w:iCs w:val="0"/>
          <w:caps w:val="0"/>
          <w:color w:val="auto"/>
          <w:spacing w:val="0"/>
          <w:sz w:val="32"/>
          <w:szCs w:val="32"/>
          <w:shd w:val="clear" w:fill="FFFFFF"/>
          <w:lang w:val="en-US" w:eastAsia="zh-CN"/>
        </w:rPr>
        <w:t>严格控制</w:t>
      </w:r>
      <w:r>
        <w:rPr>
          <w:rFonts w:hint="eastAsia" w:ascii="仿宋" w:hAnsi="仿宋" w:eastAsia="仿宋" w:cs="仿宋"/>
          <w:i w:val="0"/>
          <w:iCs w:val="0"/>
          <w:caps w:val="0"/>
          <w:color w:val="auto"/>
          <w:spacing w:val="0"/>
          <w:sz w:val="32"/>
          <w:szCs w:val="32"/>
          <w:shd w:val="clear" w:fill="FFFFFF"/>
        </w:rPr>
        <w:t>，按规定</w:t>
      </w:r>
      <w:r>
        <w:rPr>
          <w:rFonts w:hint="eastAsia" w:ascii="仿宋" w:hAnsi="仿宋" w:eastAsia="仿宋" w:cs="仿宋"/>
          <w:i w:val="0"/>
          <w:iCs w:val="0"/>
          <w:caps w:val="0"/>
          <w:color w:val="auto"/>
          <w:spacing w:val="0"/>
          <w:sz w:val="32"/>
          <w:szCs w:val="32"/>
          <w:shd w:val="clear" w:fill="FFFFFF"/>
          <w:lang w:val="en-US" w:eastAsia="zh-CN"/>
        </w:rPr>
        <w:t>标准</w:t>
      </w:r>
      <w:r>
        <w:rPr>
          <w:rFonts w:hint="eastAsia" w:ascii="仿宋" w:hAnsi="仿宋" w:eastAsia="仿宋" w:cs="仿宋"/>
          <w:i w:val="0"/>
          <w:iCs w:val="0"/>
          <w:caps w:val="0"/>
          <w:color w:val="auto"/>
          <w:spacing w:val="0"/>
          <w:sz w:val="32"/>
          <w:szCs w:val="32"/>
          <w:shd w:val="clear" w:fill="FFFFFF"/>
        </w:rPr>
        <w:t>额度报销，</w:t>
      </w:r>
      <w:r>
        <w:rPr>
          <w:rFonts w:hint="eastAsia" w:ascii="仿宋" w:hAnsi="仿宋" w:eastAsia="仿宋" w:cs="仿宋"/>
          <w:i w:val="0"/>
          <w:iCs w:val="0"/>
          <w:caps w:val="0"/>
          <w:color w:val="auto"/>
          <w:spacing w:val="0"/>
          <w:sz w:val="32"/>
          <w:szCs w:val="32"/>
          <w:shd w:val="clear" w:fill="FFFFFF"/>
          <w:lang w:val="en-US" w:eastAsia="zh-CN"/>
        </w:rPr>
        <w:t>杜绝超支</w:t>
      </w:r>
      <w:r>
        <w:rPr>
          <w:rFonts w:hint="eastAsia" w:ascii="仿宋" w:hAnsi="仿宋" w:eastAsia="仿宋" w:cs="仿宋"/>
          <w:i w:val="0"/>
          <w:iCs w:val="0"/>
          <w:caps w:val="0"/>
          <w:color w:val="auto"/>
          <w:spacing w:val="0"/>
          <w:sz w:val="32"/>
          <w:szCs w:val="32"/>
          <w:shd w:val="clear" w:fill="FFFFFF"/>
        </w:rPr>
        <w:t>。</w:t>
      </w:r>
    </w:p>
    <w:p w14:paraId="426AB7F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rightChars="0" w:firstLine="320" w:firstLineChars="100"/>
        <w:textAlignment w:val="auto"/>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i w:val="0"/>
          <w:iCs w:val="0"/>
          <w:caps w:val="0"/>
          <w:color w:val="auto"/>
          <w:spacing w:val="0"/>
          <w:sz w:val="32"/>
          <w:szCs w:val="32"/>
          <w:shd w:val="clear" w:fill="FFFFFF"/>
          <w:lang w:eastAsia="zh-CN"/>
        </w:rPr>
        <w:t>（</w:t>
      </w:r>
      <w:r>
        <w:rPr>
          <w:rFonts w:hint="eastAsia" w:ascii="仿宋" w:hAnsi="仿宋" w:eastAsia="仿宋" w:cs="仿宋"/>
          <w:i w:val="0"/>
          <w:iCs w:val="0"/>
          <w:caps w:val="0"/>
          <w:color w:val="auto"/>
          <w:spacing w:val="0"/>
          <w:sz w:val="32"/>
          <w:szCs w:val="32"/>
          <w:shd w:val="clear" w:fill="FFFFFF"/>
          <w:lang w:val="en-US" w:eastAsia="zh-CN"/>
        </w:rPr>
        <w:t>3</w:t>
      </w:r>
      <w:r>
        <w:rPr>
          <w:rFonts w:hint="eastAsia" w:ascii="仿宋" w:hAnsi="仿宋" w:eastAsia="仿宋" w:cs="仿宋"/>
          <w:i w:val="0"/>
          <w:iCs w:val="0"/>
          <w:caps w:val="0"/>
          <w:color w:val="auto"/>
          <w:spacing w:val="0"/>
          <w:sz w:val="32"/>
          <w:szCs w:val="32"/>
          <w:shd w:val="clear" w:fill="FFFFFF"/>
          <w:lang w:eastAsia="zh-CN"/>
        </w:rPr>
        <w:t>）</w:t>
      </w:r>
      <w:r>
        <w:rPr>
          <w:rFonts w:hint="eastAsia" w:ascii="仿宋" w:hAnsi="仿宋" w:eastAsia="仿宋" w:cs="仿宋"/>
          <w:i w:val="0"/>
          <w:iCs w:val="0"/>
          <w:caps w:val="0"/>
          <w:color w:val="auto"/>
          <w:spacing w:val="0"/>
          <w:sz w:val="32"/>
          <w:szCs w:val="32"/>
          <w:shd w:val="clear" w:fill="FFFFFF"/>
        </w:rPr>
        <w:t>规范财务制度，加强日常管理:公务费用支出一律履行报批手续。对接待支出，填写公务接单审批单并控制接待标准及参陪人数。</w:t>
      </w:r>
    </w:p>
    <w:p w14:paraId="774F7FC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84" w:firstLineChars="200"/>
        <w:jc w:val="both"/>
        <w:textAlignment w:val="auto"/>
        <w:rPr>
          <w:rFonts w:hint="eastAsia" w:ascii="黑体" w:hAnsi="黑体" w:eastAsia="黑体" w:cs="黑体"/>
          <w:b/>
          <w:bCs/>
          <w:i w:val="0"/>
          <w:iCs w:val="0"/>
          <w:caps w:val="0"/>
          <w:color w:val="000000" w:themeColor="text1"/>
          <w:spacing w:val="11"/>
          <w:sz w:val="32"/>
          <w:szCs w:val="32"/>
          <w:shd w:val="clear" w:fill="FFFFFF"/>
          <w:lang w:eastAsia="zh-CN"/>
          <w14:textFill>
            <w14:solidFill>
              <w14:schemeClr w14:val="tx1"/>
            </w14:solidFill>
          </w14:textFill>
        </w:rPr>
      </w:pPr>
      <w:r>
        <w:rPr>
          <w:rFonts w:hint="eastAsia" w:ascii="黑体" w:hAnsi="黑体" w:eastAsia="黑体" w:cs="黑体"/>
          <w:b/>
          <w:bCs/>
          <w:i w:val="0"/>
          <w:iCs w:val="0"/>
          <w:caps w:val="0"/>
          <w:color w:val="000000" w:themeColor="text1"/>
          <w:spacing w:val="11"/>
          <w:sz w:val="32"/>
          <w:szCs w:val="32"/>
          <w:shd w:val="clear" w:fill="FFFFFF"/>
          <w:lang w:eastAsia="zh-CN"/>
          <w14:textFill>
            <w14:solidFill>
              <w14:schemeClr w14:val="tx1"/>
            </w14:solidFill>
          </w14:textFill>
        </w:rPr>
        <w:t>三、项目组织实施情况</w:t>
      </w:r>
    </w:p>
    <w:p w14:paraId="3D76C703">
      <w:pPr>
        <w:pStyle w:val="20"/>
        <w:keepNext w:val="0"/>
        <w:keepLines w:val="0"/>
        <w:pageBreakBefore w:val="0"/>
        <w:wordWrap/>
        <w:overflowPunct/>
        <w:topLinePunct w:val="0"/>
        <w:bidi w:val="0"/>
        <w:spacing w:line="360" w:lineRule="auto"/>
        <w:ind w:firstLine="640" w:firstLineChars="200"/>
        <w:rPr>
          <w:rFonts w:hint="eastAsia" w:ascii="黑体" w:hAnsi="黑体" w:eastAsia="黑体" w:cs="黑体"/>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olor w:val="000000"/>
          <w:sz w:val="32"/>
          <w:szCs w:val="32"/>
        </w:rPr>
        <w:t>建立以</w:t>
      </w:r>
      <w:r>
        <w:rPr>
          <w:rFonts w:hint="eastAsia" w:ascii="仿宋" w:hAnsi="仿宋" w:eastAsia="仿宋"/>
          <w:color w:val="000000"/>
          <w:sz w:val="32"/>
          <w:szCs w:val="32"/>
          <w:lang w:eastAsia="zh-CN"/>
        </w:rPr>
        <w:t>主任</w:t>
      </w:r>
      <w:r>
        <w:rPr>
          <w:rFonts w:hint="eastAsia" w:ascii="仿宋" w:hAnsi="仿宋" w:eastAsia="仿宋"/>
          <w:color w:val="000000"/>
          <w:sz w:val="32"/>
          <w:szCs w:val="32"/>
        </w:rPr>
        <w:t>为组长，</w:t>
      </w:r>
      <w:r>
        <w:rPr>
          <w:rFonts w:hint="eastAsia" w:ascii="仿宋" w:hAnsi="仿宋" w:eastAsia="仿宋"/>
          <w:color w:val="000000"/>
          <w:sz w:val="32"/>
          <w:szCs w:val="32"/>
          <w:lang w:eastAsia="zh-CN"/>
        </w:rPr>
        <w:t>资金财务部</w:t>
      </w:r>
      <w:r>
        <w:rPr>
          <w:rFonts w:hint="eastAsia" w:ascii="仿宋" w:hAnsi="仿宋" w:eastAsia="仿宋"/>
          <w:color w:val="000000"/>
          <w:sz w:val="32"/>
          <w:szCs w:val="32"/>
        </w:rPr>
        <w:t>等有关人员组成评价工作组。实施项目过程严格按照我单位制定的管理制度执行。</w:t>
      </w:r>
      <w:r>
        <w:rPr>
          <w:rFonts w:hint="eastAsia" w:ascii="仿宋" w:hAnsi="仿宋" w:eastAsia="仿宋" w:cs="楷体"/>
          <w:bCs/>
          <w:spacing w:val="10"/>
          <w:sz w:val="32"/>
          <w:szCs w:val="32"/>
          <w:lang w:eastAsia="zh-CN"/>
        </w:rPr>
        <w:t>通过对整体绩效与项目绩效评价，提高资金使用效率。</w:t>
      </w:r>
    </w:p>
    <w:p w14:paraId="78C43259">
      <w:pPr>
        <w:keepNext w:val="0"/>
        <w:keepLines w:val="0"/>
        <w:pageBreakBefore w:val="0"/>
        <w:widowControl w:val="0"/>
        <w:numPr>
          <w:ilvl w:val="0"/>
          <w:numId w:val="1"/>
        </w:numPr>
        <w:kinsoku/>
        <w:wordWrap/>
        <w:overflowPunct/>
        <w:topLinePunct w:val="0"/>
        <w:autoSpaceDE/>
        <w:autoSpaceDN/>
        <w:bidi w:val="0"/>
        <w:adjustRightInd/>
        <w:snapToGrid w:val="0"/>
        <w:spacing w:line="550" w:lineRule="exact"/>
        <w:ind w:left="0" w:firstLine="684" w:firstLineChars="200"/>
        <w:jc w:val="both"/>
        <w:textAlignment w:val="auto"/>
        <w:rPr>
          <w:rFonts w:hint="eastAsia" w:ascii="黑体" w:hAnsi="黑体" w:eastAsia="黑体" w:cs="黑体"/>
          <w:b w:val="0"/>
          <w:bCs w:val="0"/>
          <w:color w:val="000000" w:themeColor="text1"/>
          <w:spacing w:val="11"/>
          <w:sz w:val="32"/>
          <w:szCs w:val="32"/>
          <w:highlight w:val="none"/>
          <w:lang w:eastAsia="zh-CN"/>
          <w14:textFill>
            <w14:solidFill>
              <w14:schemeClr w14:val="tx1"/>
            </w14:solidFill>
          </w14:textFill>
        </w:rPr>
      </w:pPr>
      <w:r>
        <w:rPr>
          <w:rFonts w:hint="eastAsia" w:ascii="黑体" w:hAnsi="黑体" w:eastAsia="黑体" w:cs="黑体"/>
          <w:b w:val="0"/>
          <w:bCs w:val="0"/>
          <w:color w:val="000000" w:themeColor="text1"/>
          <w:spacing w:val="11"/>
          <w:sz w:val="32"/>
          <w:szCs w:val="32"/>
          <w:highlight w:val="none"/>
          <w:lang w:eastAsia="zh-CN"/>
          <w14:textFill>
            <w14:solidFill>
              <w14:schemeClr w14:val="tx1"/>
            </w14:solidFill>
          </w14:textFill>
        </w:rPr>
        <w:t>资产管理情况</w:t>
      </w:r>
    </w:p>
    <w:p w14:paraId="525F77A8">
      <w:pPr>
        <w:widowControl/>
        <w:shd w:val="clear" w:color="auto" w:fill="FFFFFF"/>
        <w:spacing w:line="600" w:lineRule="atLeast"/>
        <w:ind w:firstLine="640"/>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color w:val="000000"/>
          <w:kern w:val="0"/>
          <w:sz w:val="32"/>
          <w:szCs w:val="32"/>
          <w:lang w:eastAsia="zh-CN"/>
        </w:rPr>
        <w:t>为了搞好单位资产的配置、管理、处置等特制定了《资产管理制度》，我单位固定资产由</w:t>
      </w:r>
      <w:r>
        <w:rPr>
          <w:rFonts w:hint="eastAsia" w:ascii="仿宋" w:hAnsi="仿宋" w:eastAsia="仿宋" w:cs="仿宋"/>
          <w:color w:val="auto"/>
          <w:kern w:val="0"/>
          <w:sz w:val="32"/>
          <w:szCs w:val="32"/>
          <w:lang w:eastAsia="zh-CN"/>
        </w:rPr>
        <w:t>办公室</w:t>
      </w:r>
      <w:r>
        <w:rPr>
          <w:rFonts w:hint="eastAsia" w:ascii="仿宋" w:hAnsi="仿宋" w:eastAsia="仿宋" w:cs="仿宋"/>
          <w:color w:val="000000"/>
          <w:kern w:val="0"/>
          <w:sz w:val="32"/>
          <w:szCs w:val="32"/>
          <w:lang w:eastAsia="zh-CN"/>
        </w:rPr>
        <w:t>统一登记和管理。购置办公用品和设备，需经上级资产相关管理部门审批后，经由单位分管采购领导同意后方可采购。</w:t>
      </w:r>
      <w:r>
        <w:rPr>
          <w:rFonts w:hint="eastAsia" w:ascii="仿宋" w:hAnsi="仿宋" w:eastAsia="仿宋" w:cs="仿宋"/>
          <w:color w:val="auto"/>
          <w:kern w:val="0"/>
          <w:sz w:val="32"/>
          <w:szCs w:val="32"/>
          <w:lang w:eastAsia="zh-CN"/>
        </w:rPr>
        <w:t>办公室</w:t>
      </w:r>
      <w:r>
        <w:rPr>
          <w:rFonts w:hint="eastAsia" w:ascii="仿宋" w:hAnsi="仿宋" w:eastAsia="仿宋" w:cs="仿宋"/>
          <w:color w:val="000000"/>
          <w:kern w:val="0"/>
          <w:sz w:val="32"/>
          <w:szCs w:val="32"/>
          <w:lang w:eastAsia="zh-CN"/>
        </w:rPr>
        <w:t>定期清点公物，按年度列出清单。</w:t>
      </w:r>
    </w:p>
    <w:p w14:paraId="7BEB67E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50" w:lineRule="exact"/>
        <w:ind w:left="0" w:right="0" w:firstLine="684" w:firstLineChars="200"/>
        <w:jc w:val="both"/>
        <w:textAlignment w:val="auto"/>
        <w:rPr>
          <w:rFonts w:hint="eastAsia" w:ascii="黑体" w:hAnsi="黑体" w:eastAsia="黑体" w:cs="黑体"/>
          <w:b w:val="0"/>
          <w:bCs w:val="0"/>
          <w:i w:val="0"/>
          <w:iCs w:val="0"/>
          <w:caps w:val="0"/>
          <w:color w:val="000000" w:themeColor="text1"/>
          <w:spacing w:val="11"/>
          <w:sz w:val="32"/>
          <w:szCs w:val="32"/>
          <w14:textFill>
            <w14:solidFill>
              <w14:schemeClr w14:val="tx1"/>
            </w14:solidFill>
          </w14:textFill>
        </w:rPr>
      </w:pPr>
      <w:r>
        <w:rPr>
          <w:rFonts w:hint="eastAsia" w:ascii="黑体" w:hAnsi="黑体" w:eastAsia="黑体" w:cs="黑体"/>
          <w:b w:val="0"/>
          <w:bCs w:val="0"/>
          <w:i w:val="0"/>
          <w:iCs w:val="0"/>
          <w:caps w:val="0"/>
          <w:color w:val="000000" w:themeColor="text1"/>
          <w:spacing w:val="11"/>
          <w:sz w:val="32"/>
          <w:szCs w:val="32"/>
          <w:shd w:val="clear" w:fill="FFFFFF"/>
          <w:lang w:eastAsia="zh-CN"/>
          <w14:textFill>
            <w14:solidFill>
              <w14:schemeClr w14:val="tx1"/>
            </w14:solidFill>
          </w14:textFill>
        </w:rPr>
        <w:t>五</w:t>
      </w:r>
      <w:r>
        <w:rPr>
          <w:rFonts w:hint="eastAsia"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t>、政府性基金预算支出情况</w:t>
      </w:r>
    </w:p>
    <w:p w14:paraId="394F1691">
      <w:pPr>
        <w:keepNext w:val="0"/>
        <w:keepLines w:val="0"/>
        <w:pageBreakBefore w:val="0"/>
        <w:widowControl w:val="0"/>
        <w:numPr>
          <w:ilvl w:val="0"/>
          <w:numId w:val="0"/>
        </w:numPr>
        <w:kinsoku/>
        <w:wordWrap/>
        <w:overflowPunct/>
        <w:topLinePunct w:val="0"/>
        <w:autoSpaceDE/>
        <w:autoSpaceDN/>
        <w:bidi w:val="0"/>
        <w:adjustRightInd/>
        <w:snapToGrid w:val="0"/>
        <w:spacing w:line="550" w:lineRule="exact"/>
        <w:ind w:left="0" w:firstLine="684" w:firstLineChars="200"/>
        <w:jc w:val="both"/>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我单位202</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5</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年无政府性基金预算支出。</w:t>
      </w:r>
    </w:p>
    <w:p w14:paraId="5AE95B6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84" w:firstLineChars="200"/>
        <w:jc w:val="both"/>
        <w:textAlignment w:val="auto"/>
        <w:rPr>
          <w:rFonts w:hint="eastAsia" w:ascii="黑体" w:hAnsi="黑体" w:eastAsia="黑体" w:cs="黑体"/>
          <w:b w:val="0"/>
          <w:bCs w:val="0"/>
          <w:i w:val="0"/>
          <w:iCs w:val="0"/>
          <w:caps w:val="0"/>
          <w:color w:val="000000" w:themeColor="text1"/>
          <w:spacing w:val="11"/>
          <w:sz w:val="32"/>
          <w:szCs w:val="32"/>
          <w14:textFill>
            <w14:solidFill>
              <w14:schemeClr w14:val="tx1"/>
            </w14:solidFill>
          </w14:textFill>
        </w:rPr>
      </w:pPr>
      <w:r>
        <w:rPr>
          <w:rFonts w:hint="eastAsia" w:ascii="黑体" w:hAnsi="黑体" w:eastAsia="黑体" w:cs="黑体"/>
          <w:b w:val="0"/>
          <w:bCs w:val="0"/>
          <w:i w:val="0"/>
          <w:iCs w:val="0"/>
          <w:caps w:val="0"/>
          <w:color w:val="000000" w:themeColor="text1"/>
          <w:spacing w:val="11"/>
          <w:sz w:val="32"/>
          <w:szCs w:val="32"/>
          <w:shd w:val="clear" w:fill="FFFFFF"/>
          <w:lang w:eastAsia="zh-CN"/>
          <w14:textFill>
            <w14:solidFill>
              <w14:schemeClr w14:val="tx1"/>
            </w14:solidFill>
          </w14:textFill>
        </w:rPr>
        <w:t>六</w:t>
      </w:r>
      <w:r>
        <w:rPr>
          <w:rFonts w:hint="eastAsia"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t>、国有资本经营预算支出情况</w:t>
      </w:r>
    </w:p>
    <w:p w14:paraId="718B5EEE">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left="0" w:firstLine="684" w:firstLineChars="200"/>
        <w:jc w:val="both"/>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我单位202</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5</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年无国有资本经营预算支出。</w:t>
      </w:r>
    </w:p>
    <w:p w14:paraId="522B30F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84" w:firstLineChars="200"/>
        <w:jc w:val="both"/>
        <w:textAlignment w:val="auto"/>
        <w:rPr>
          <w:rFonts w:hint="eastAsia" w:ascii="黑体" w:hAnsi="黑体" w:eastAsia="黑体" w:cs="黑体"/>
          <w:b w:val="0"/>
          <w:bCs w:val="0"/>
          <w:i w:val="0"/>
          <w:iCs w:val="0"/>
          <w:caps w:val="0"/>
          <w:color w:val="000000" w:themeColor="text1"/>
          <w:spacing w:val="11"/>
          <w:sz w:val="32"/>
          <w:szCs w:val="32"/>
          <w14:textFill>
            <w14:solidFill>
              <w14:schemeClr w14:val="tx1"/>
            </w14:solidFill>
          </w14:textFill>
        </w:rPr>
      </w:pPr>
      <w:r>
        <w:rPr>
          <w:rFonts w:hint="eastAsia" w:ascii="黑体" w:hAnsi="黑体" w:eastAsia="黑体" w:cs="黑体"/>
          <w:b w:val="0"/>
          <w:bCs w:val="0"/>
          <w:i w:val="0"/>
          <w:iCs w:val="0"/>
          <w:caps w:val="0"/>
          <w:color w:val="000000" w:themeColor="text1"/>
          <w:spacing w:val="11"/>
          <w:sz w:val="32"/>
          <w:szCs w:val="32"/>
          <w:shd w:val="clear" w:fill="FFFFFF"/>
          <w:lang w:eastAsia="zh-CN"/>
          <w14:textFill>
            <w14:solidFill>
              <w14:schemeClr w14:val="tx1"/>
            </w14:solidFill>
          </w14:textFill>
        </w:rPr>
        <w:t>七</w:t>
      </w:r>
      <w:r>
        <w:rPr>
          <w:rFonts w:hint="eastAsia"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t>、社会保险基金预算支出情况</w:t>
      </w:r>
    </w:p>
    <w:p w14:paraId="21D897D1">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firstLine="684" w:firstLineChars="200"/>
        <w:jc w:val="both"/>
        <w:textAlignment w:val="auto"/>
        <w:rPr>
          <w:rFonts w:hint="eastAsia" w:ascii="仿宋_GB2312" w:hAnsi="仿宋_GB2312" w:eastAsia="仿宋_GB2312" w:cs="仿宋_GB2312"/>
          <w:b w:val="0"/>
          <w:bCs w:val="0"/>
          <w:color w:val="000000" w:themeColor="text1"/>
          <w:spacing w:val="11"/>
          <w:sz w:val="32"/>
          <w:szCs w:val="32"/>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pacing w:val="11"/>
          <w:sz w:val="32"/>
          <w:szCs w:val="32"/>
          <w:highlight w:val="none"/>
          <w:lang w:eastAsia="zh-CN"/>
          <w14:textFill>
            <w14:solidFill>
              <w14:schemeClr w14:val="tx1"/>
            </w14:solidFill>
          </w14:textFill>
        </w:rPr>
        <w:t>我单位202</w:t>
      </w:r>
      <w:r>
        <w:rPr>
          <w:rFonts w:hint="eastAsia" w:ascii="仿宋_GB2312" w:hAnsi="仿宋_GB2312" w:eastAsia="仿宋_GB2312" w:cs="仿宋_GB2312"/>
          <w:b w:val="0"/>
          <w:bCs w:val="0"/>
          <w:color w:val="000000" w:themeColor="text1"/>
          <w:spacing w:val="11"/>
          <w:sz w:val="32"/>
          <w:szCs w:val="32"/>
          <w:highlight w:val="none"/>
          <w:lang w:val="en-US" w:eastAsia="zh-CN"/>
          <w14:textFill>
            <w14:solidFill>
              <w14:schemeClr w14:val="tx1"/>
            </w14:solidFill>
          </w14:textFill>
        </w:rPr>
        <w:t>5</w:t>
      </w:r>
      <w:r>
        <w:rPr>
          <w:rFonts w:hint="eastAsia" w:ascii="仿宋_GB2312" w:hAnsi="仿宋_GB2312" w:eastAsia="仿宋_GB2312" w:cs="仿宋_GB2312"/>
          <w:b w:val="0"/>
          <w:bCs w:val="0"/>
          <w:color w:val="000000" w:themeColor="text1"/>
          <w:spacing w:val="11"/>
          <w:sz w:val="32"/>
          <w:szCs w:val="32"/>
          <w:highlight w:val="none"/>
          <w:lang w:eastAsia="zh-CN"/>
          <w14:textFill>
            <w14:solidFill>
              <w14:schemeClr w14:val="tx1"/>
            </w14:solidFill>
          </w14:textFill>
        </w:rPr>
        <w:t>年无社会保险基金预算支出。</w:t>
      </w:r>
    </w:p>
    <w:p w14:paraId="4E9B2B9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left="0" w:right="0" w:firstLine="684" w:firstLineChars="200"/>
        <w:jc w:val="both"/>
        <w:textAlignment w:val="auto"/>
        <w:rPr>
          <w:rFonts w:hint="eastAsia" w:ascii="黑体" w:hAnsi="黑体" w:eastAsia="黑体" w:cs="黑体"/>
          <w:b w:val="0"/>
          <w:bCs w:val="0"/>
          <w:i w:val="0"/>
          <w:iCs w:val="0"/>
          <w:caps w:val="0"/>
          <w:color w:val="000000" w:themeColor="text1"/>
          <w:spacing w:val="11"/>
          <w:sz w:val="32"/>
          <w:szCs w:val="32"/>
          <w14:textFill>
            <w14:solidFill>
              <w14:schemeClr w14:val="tx1"/>
            </w14:solidFill>
          </w14:textFill>
        </w:rPr>
      </w:pPr>
      <w:r>
        <w:rPr>
          <w:rFonts w:hint="eastAsia" w:ascii="黑体" w:hAnsi="黑体" w:eastAsia="黑体" w:cs="黑体"/>
          <w:b w:val="0"/>
          <w:bCs w:val="0"/>
          <w:i w:val="0"/>
          <w:iCs w:val="0"/>
          <w:caps w:val="0"/>
          <w:color w:val="000000" w:themeColor="text1"/>
          <w:spacing w:val="11"/>
          <w:sz w:val="32"/>
          <w:szCs w:val="32"/>
          <w:shd w:val="clear" w:fill="FFFFFF"/>
          <w:lang w:eastAsia="zh-CN"/>
          <w14:textFill>
            <w14:solidFill>
              <w14:schemeClr w14:val="tx1"/>
            </w14:solidFill>
          </w14:textFill>
        </w:rPr>
        <w:t>八</w:t>
      </w:r>
      <w:r>
        <w:rPr>
          <w:rFonts w:hint="eastAsia"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t>、部门整体支出绩效情况</w:t>
      </w:r>
    </w:p>
    <w:p w14:paraId="08DDF57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left="0" w:right="0" w:firstLine="684" w:firstLineChars="200"/>
        <w:jc w:val="both"/>
        <w:textAlignment w:val="auto"/>
        <w:rPr>
          <w:rFonts w:hint="eastAsia" w:ascii="仿宋" w:hAnsi="仿宋" w:eastAsia="仿宋" w:cs="仿宋"/>
          <w:b w:val="0"/>
          <w:bCs w:val="0"/>
          <w:i w:val="0"/>
          <w:iCs w:val="0"/>
          <w:caps w:val="0"/>
          <w:color w:val="000000" w:themeColor="text1"/>
          <w:spacing w:val="11"/>
          <w:sz w:val="32"/>
          <w:szCs w:val="32"/>
          <w14:textFill>
            <w14:solidFill>
              <w14:schemeClr w14:val="tx1"/>
            </w14:solidFill>
          </w14:textFill>
        </w:rPr>
      </w:pPr>
      <w:r>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t>（一）综合评价结论。</w:t>
      </w:r>
      <w:r>
        <w:rPr>
          <w:rFonts w:hint="eastAsia" w:ascii="仿宋" w:hAnsi="仿宋" w:eastAsia="仿宋" w:cs="仿宋"/>
          <w:b w:val="0"/>
          <w:bCs w:val="0"/>
          <w:i w:val="0"/>
          <w:iCs w:val="0"/>
          <w:caps w:val="0"/>
          <w:color w:val="000000" w:themeColor="text1"/>
          <w:spacing w:val="11"/>
          <w:sz w:val="32"/>
          <w:szCs w:val="32"/>
          <w:shd w:val="clear" w:fill="FFFFFF"/>
          <w14:textFill>
            <w14:solidFill>
              <w14:schemeClr w14:val="tx1"/>
            </w14:solidFill>
          </w14:textFill>
        </w:rPr>
        <w:t>反映自评得分及评价等级。</w:t>
      </w:r>
    </w:p>
    <w:p w14:paraId="1967DF9B">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firstLine="684" w:firstLineChars="200"/>
        <w:jc w:val="both"/>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根据部门整体支出绩效评价指标规定的内容，经我单位认真自评，总评分为100分，实际得分9</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8</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分，202</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5</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年度部门整体绩效评价为优秀。</w:t>
      </w:r>
    </w:p>
    <w:p w14:paraId="59962511">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firstLine="684" w:firstLineChars="200"/>
        <w:jc w:val="both"/>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按照市</w:t>
      </w:r>
      <w:r>
        <w:rPr>
          <w:rFonts w:hint="eastAsia" w:ascii="仿宋" w:hAnsi="仿宋" w:eastAsia="仿宋" w:cs="仿宋"/>
          <w:b w:val="0"/>
          <w:bCs w:val="0"/>
          <w:color w:val="000000" w:themeColor="text1"/>
          <w:spacing w:val="6"/>
          <w:sz w:val="32"/>
          <w:szCs w:val="32"/>
          <w:highlight w:val="none"/>
          <w:lang w:eastAsia="zh-CN"/>
          <w14:textFill>
            <w14:solidFill>
              <w14:schemeClr w14:val="tx1"/>
            </w14:solidFill>
          </w14:textFill>
        </w:rPr>
        <w:t>级部门预决算编制通知和有关要求，按时完成预决算编制工作，并及时在网上进行预决算公开。部门整体绩效目标编制完整、合理，项目绩效目标编制明确、量化。按要求严格预算执行管理，及时足额将专项资金按标准拨付。严格执行“三公经</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费”预算，按要求及时公开预算、决算、绩效等信息。按要求及时、准确、全面开展资产清查工作，上报国有资产报表数据真实、准确、全面。内部控制制度健全完整并执行良好，在本年度内未出现廉政风险。</w:t>
      </w:r>
    </w:p>
    <w:p w14:paraId="1492ABC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left="0" w:right="0" w:firstLine="684" w:firstLineChars="200"/>
        <w:jc w:val="both"/>
        <w:textAlignment w:val="auto"/>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pPr>
      <w:r>
        <w:rPr>
          <w:rFonts w:hint="default" w:ascii="楷体_GB2312" w:eastAsia="楷体_GB2312" w:cs="楷体_GB2312"/>
          <w:b/>
          <w:bCs/>
          <w:i w:val="0"/>
          <w:iCs w:val="0"/>
          <w:caps w:val="0"/>
          <w:color w:val="000000" w:themeColor="text1"/>
          <w:spacing w:val="11"/>
          <w:sz w:val="32"/>
          <w:szCs w:val="32"/>
          <w:shd w:val="clear" w:fill="FFFFFF"/>
          <w14:textFill>
            <w14:solidFill>
              <w14:schemeClr w14:val="tx1"/>
            </w14:solidFill>
          </w14:textFill>
        </w:rPr>
        <w:t>（二）评价指标分析（或综合评价情况）。</w:t>
      </w:r>
    </w:p>
    <w:p w14:paraId="3763F76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0" w:right="0" w:firstLine="684" w:firstLineChars="200"/>
        <w:jc w:val="both"/>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我单位围绕部门职责、行业发展规划，以预算资金管理为主线，从整体绩效目标设定、预算配置、预算执行、预算管理、资产管理、职责履行、履职效益等方面综合分析。总结归纳本部门“四本预算”支出的绩效目标完成情况，实现产出和取得效益的情况。</w:t>
      </w:r>
    </w:p>
    <w:p w14:paraId="15B451AD">
      <w:pPr>
        <w:pStyle w:val="9"/>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84" w:firstLineChars="200"/>
        <w:jc w:val="both"/>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绩效目标完成情况</w:t>
      </w:r>
    </w:p>
    <w:p w14:paraId="79DDB21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right="0" w:rightChars="0" w:firstLine="684" w:firstLineChars="200"/>
        <w:jc w:val="both"/>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完成全年绩效目标，做到：切实规范移民安置管理，有效抓好移民安置验收工作，抓实遗留问题调处力度；拓展移民后期扶持工作，有效加快移民美丽家园建设，扎实推进后扶项目实施，全力促进移民产业发展，提升移民培训效果，加强移民后扶信息管理，抓实移民直补资金“一卡通”发放工作，抓好移民返乡创业工作；规范移民资金项目管理，提升移民资金使用效益，持续化解存量资金，加强项目资金监管，强化项目管理；抓实库区移民信访工作，确保库区经济社会稳定。</w:t>
      </w:r>
    </w:p>
    <w:p w14:paraId="6978581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50" w:lineRule="exact"/>
        <w:ind w:left="0" w:right="0" w:firstLine="684" w:firstLineChars="200"/>
        <w:jc w:val="both"/>
        <w:textAlignment w:val="auto"/>
        <w:rPr>
          <w:rFonts w:hint="default"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pPr>
      <w:r>
        <w:rPr>
          <w:rFonts w:hint="default"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t>2.</w:t>
      </w:r>
      <w:r>
        <w:rPr>
          <w:rFonts w:hint="eastAsia" w:ascii="仿宋_GB2312" w:hAnsi="仿宋_GB2312" w:eastAsia="仿宋_GB2312" w:cs="仿宋_GB2312"/>
          <w:b w:val="0"/>
          <w:bCs w:val="0"/>
          <w:color w:val="000000" w:themeColor="text1"/>
          <w:spacing w:val="11"/>
          <w:sz w:val="32"/>
          <w:szCs w:val="32"/>
          <w:highlight w:val="none"/>
          <w:lang w:eastAsia="zh-CN"/>
          <w14:textFill>
            <w14:solidFill>
              <w14:schemeClr w14:val="tx1"/>
            </w14:solidFill>
          </w14:textFill>
        </w:rPr>
        <w:t>实现产出</w:t>
      </w:r>
    </w:p>
    <w:p w14:paraId="4DC7A6F9">
      <w:pPr>
        <w:keepNext w:val="0"/>
        <w:keepLines w:val="0"/>
        <w:pageBreakBefore w:val="0"/>
        <w:widowControl w:val="0"/>
        <w:numPr>
          <w:ilvl w:val="0"/>
          <w:numId w:val="0"/>
        </w:numPr>
        <w:kinsoku/>
        <w:wordWrap/>
        <w:overflowPunct/>
        <w:topLinePunct w:val="0"/>
        <w:autoSpaceDE/>
        <w:autoSpaceDN/>
        <w:bidi w:val="0"/>
        <w:adjustRightInd/>
        <w:snapToGrid w:val="0"/>
        <w:spacing w:line="550" w:lineRule="exact"/>
        <w:ind w:left="0" w:firstLine="684" w:firstLineChars="200"/>
        <w:jc w:val="both"/>
        <w:textAlignment w:val="auto"/>
        <w:rPr>
          <w:rFonts w:hint="default" w:ascii="Times New Roman" w:hAnsi="Times New Roman" w:eastAsia="仿宋_GB2312" w:cs="Times New Roman"/>
          <w:spacing w:val="0"/>
          <w:sz w:val="32"/>
          <w:szCs w:val="32"/>
          <w:lang w:val="en-US" w:eastAsia="zh-CN"/>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（1）数量指标：</w:t>
      </w:r>
      <w:r>
        <w:rPr>
          <w:rFonts w:hint="eastAsia" w:ascii="仿宋" w:hAnsi="仿宋" w:eastAsia="仿宋" w:cs="仿宋"/>
          <w:color w:val="auto"/>
          <w:spacing w:val="0"/>
          <w:sz w:val="32"/>
          <w:szCs w:val="32"/>
          <w:lang w:val="en-US" w:eastAsia="zh-CN"/>
        </w:rPr>
        <w:t>坚持以移民为中心，多</w:t>
      </w:r>
      <w:bookmarkStart w:id="3" w:name="_GoBack"/>
      <w:bookmarkEnd w:id="3"/>
      <w:r>
        <w:rPr>
          <w:rFonts w:hint="eastAsia" w:ascii="仿宋" w:hAnsi="仿宋" w:eastAsia="仿宋" w:cs="仿宋"/>
          <w:color w:val="auto"/>
          <w:spacing w:val="0"/>
          <w:sz w:val="32"/>
          <w:szCs w:val="32"/>
          <w:lang w:val="en-US" w:eastAsia="zh-CN"/>
        </w:rPr>
        <w:t>措并举解难题办实事。切实解决库区群众安全出行和消除水上交通重大安全隐患,帮助库区群众解决出行难、乘船难、运输难问题,安排400万元支持托口库区洪江市托口镇三里村、杨柳村、阳岫村、马田村,会同县漠滨乡金子村、洞头冲村,芷江县碧涌镇清江村、大龙村等8个移民村购置符合航道升级要求的标准化农村客运船舶。</w:t>
      </w:r>
      <w:r>
        <w:rPr>
          <w:rFonts w:hint="default" w:ascii="Times New Roman" w:hAnsi="Times New Roman" w:eastAsia="仿宋_GB2312" w:cs="Times New Roman"/>
          <w:spacing w:val="0"/>
          <w:sz w:val="32"/>
          <w:szCs w:val="32"/>
          <w:lang w:val="en-US" w:eastAsia="zh-CN"/>
        </w:rPr>
        <w:t>大力发展乡村旅游和绿色农业，带动特色产业、农家乐、精品民宿等“文旅经济”发展，移民新村焕新颜，涌现了芷江县清江村、洪江市下坪村</w:t>
      </w:r>
      <w:r>
        <w:rPr>
          <w:rFonts w:hint="eastAsia" w:ascii="Times New Roman" w:hAnsi="Times New Roman" w:eastAsia="仿宋_GB2312" w:cs="Times New Roman"/>
          <w:spacing w:val="0"/>
          <w:sz w:val="32"/>
          <w:szCs w:val="32"/>
          <w:lang w:val="en-US" w:eastAsia="zh-CN"/>
        </w:rPr>
        <w:t>、辰溪县溪口村</w:t>
      </w:r>
      <w:r>
        <w:rPr>
          <w:rFonts w:hint="default" w:ascii="Times New Roman" w:hAnsi="Times New Roman" w:eastAsia="仿宋_GB2312" w:cs="Times New Roman"/>
          <w:spacing w:val="0"/>
          <w:sz w:val="32"/>
          <w:szCs w:val="32"/>
          <w:lang w:val="en-US" w:eastAsia="zh-CN"/>
        </w:rPr>
        <w:t>等一批网红“打卡地”。大力推进“光伏+”移民产业三年行动计划，</w:t>
      </w:r>
      <w:r>
        <w:rPr>
          <w:rFonts w:hint="default" w:ascii="Times New Roman" w:hAnsi="Times New Roman" w:eastAsia="仿宋_GB2312" w:cs="Times New Roman"/>
          <w:spacing w:val="0"/>
          <w:sz w:val="32"/>
          <w:szCs w:val="32"/>
          <w:lang w:val="en" w:eastAsia="zh-CN"/>
        </w:rPr>
        <w:t>积极引导各县市区</w:t>
      </w:r>
      <w:r>
        <w:rPr>
          <w:rFonts w:hint="default" w:ascii="Times New Roman" w:hAnsi="Times New Roman" w:eastAsia="仿宋_GB2312" w:cs="Times New Roman"/>
          <w:spacing w:val="0"/>
          <w:sz w:val="32"/>
          <w:szCs w:val="32"/>
          <w:lang w:val="en-US" w:eastAsia="zh-CN"/>
        </w:rPr>
        <w:t>与怀化高新区、县工业园战略合作，大力发展屋顶光伏。2023年，完成项目装机12.5兆瓦，投资5000万元，涉及10个县（市、区）45个村经济合作社，年收益率11%以上，新增村集体经济收入500万元以上。2024年，投入光伏产业7000万元，实现收益700万元以上，全市70个移民村每村每年村集体经济收入增加10万元，持续分红25年以上。</w:t>
      </w:r>
      <w:r>
        <w:rPr>
          <w:rFonts w:hint="eastAsia" w:ascii="Times New Roman" w:hAnsi="Times New Roman" w:eastAsia="仿宋_GB2312" w:cs="Times New Roman"/>
          <w:spacing w:val="0"/>
          <w:sz w:val="32"/>
          <w:szCs w:val="32"/>
          <w:lang w:val="en-US" w:eastAsia="zh-CN"/>
        </w:rPr>
        <w:t>2025年，怀化高新区移民光伏产业园</w:t>
      </w:r>
      <w:r>
        <w:rPr>
          <w:rFonts w:hint="default" w:ascii="Times New Roman" w:hAnsi="Times New Roman" w:eastAsia="仿宋_GB2312" w:cs="Times New Roman"/>
          <w:spacing w:val="0"/>
          <w:sz w:val="32"/>
          <w:szCs w:val="32"/>
          <w:highlight w:val="none"/>
          <w:lang w:val="en-US" w:eastAsia="zh-CN"/>
        </w:rPr>
        <w:t>已完成投资</w:t>
      </w:r>
      <w:r>
        <w:rPr>
          <w:rFonts w:hint="eastAsia" w:ascii="Times New Roman" w:hAnsi="Times New Roman" w:eastAsia="仿宋_GB2312" w:cs="Times New Roman"/>
          <w:spacing w:val="0"/>
          <w:sz w:val="32"/>
          <w:szCs w:val="32"/>
          <w:highlight w:val="none"/>
          <w:lang w:val="en-US" w:eastAsia="zh-CN"/>
        </w:rPr>
        <w:t>82</w:t>
      </w:r>
      <w:r>
        <w:rPr>
          <w:rFonts w:hint="default" w:ascii="Times New Roman" w:hAnsi="Times New Roman" w:eastAsia="仿宋_GB2312" w:cs="Times New Roman"/>
          <w:spacing w:val="0"/>
          <w:sz w:val="32"/>
          <w:szCs w:val="32"/>
          <w:highlight w:val="none"/>
          <w:lang w:val="en-US" w:eastAsia="zh-CN"/>
        </w:rPr>
        <w:t>00万元、</w:t>
      </w:r>
      <w:r>
        <w:rPr>
          <w:rFonts w:hint="eastAsia" w:ascii="Times New Roman" w:hAnsi="Times New Roman" w:eastAsia="仿宋_GB2312" w:cs="Times New Roman"/>
          <w:spacing w:val="0"/>
          <w:sz w:val="32"/>
          <w:szCs w:val="32"/>
          <w:highlight w:val="none"/>
          <w:lang w:val="en-US" w:eastAsia="zh-CN"/>
        </w:rPr>
        <w:t>21</w:t>
      </w:r>
      <w:r>
        <w:rPr>
          <w:rFonts w:hint="default" w:ascii="Times New Roman" w:hAnsi="Times New Roman" w:eastAsia="仿宋_GB2312" w:cs="Times New Roman"/>
          <w:spacing w:val="0"/>
          <w:sz w:val="32"/>
          <w:szCs w:val="32"/>
          <w:highlight w:val="none"/>
          <w:lang w:val="en-US" w:eastAsia="zh-CN"/>
        </w:rPr>
        <w:t>兆瓦的建设任务</w:t>
      </w:r>
      <w:r>
        <w:rPr>
          <w:rFonts w:hint="eastAsia" w:ascii="Times New Roman" w:hAnsi="Times New Roman" w:eastAsia="仿宋_GB2312" w:cs="Times New Roman"/>
          <w:spacing w:val="0"/>
          <w:sz w:val="32"/>
          <w:szCs w:val="32"/>
          <w:highlight w:val="none"/>
          <w:lang w:val="en-US" w:eastAsia="zh-CN"/>
        </w:rPr>
        <w:t>，三年行动计划圆满收官。</w:t>
      </w:r>
      <w:r>
        <w:rPr>
          <w:rFonts w:hint="default" w:ascii="Times New Roman" w:hAnsi="Times New Roman" w:eastAsia="仿宋_GB2312" w:cs="Times New Roman"/>
          <w:spacing w:val="0"/>
          <w:sz w:val="32"/>
          <w:szCs w:val="32"/>
          <w:highlight w:val="none"/>
          <w:lang w:val="en" w:eastAsia="zh-CN"/>
        </w:rPr>
        <w:t>通过发挥园区集聚</w:t>
      </w:r>
      <w:r>
        <w:rPr>
          <w:rFonts w:hint="default" w:ascii="Times New Roman" w:hAnsi="Times New Roman" w:eastAsia="仿宋_GB2312" w:cs="Times New Roman"/>
          <w:spacing w:val="0"/>
          <w:sz w:val="32"/>
          <w:szCs w:val="32"/>
          <w:lang w:val="en" w:eastAsia="zh-CN"/>
        </w:rPr>
        <w:t>示范和“洼地”效应，把“光伏</w:t>
      </w:r>
      <w:r>
        <w:rPr>
          <w:rFonts w:hint="default" w:ascii="Times New Roman" w:hAnsi="Times New Roman" w:eastAsia="仿宋_GB2312" w:cs="Times New Roman"/>
          <w:spacing w:val="0"/>
          <w:sz w:val="32"/>
          <w:szCs w:val="32"/>
          <w:lang w:val="en-US" w:eastAsia="zh-CN"/>
        </w:rPr>
        <w:t>+</w:t>
      </w:r>
      <w:r>
        <w:rPr>
          <w:rFonts w:hint="default" w:ascii="Times New Roman" w:hAnsi="Times New Roman" w:eastAsia="仿宋_GB2312" w:cs="Times New Roman"/>
          <w:spacing w:val="0"/>
          <w:sz w:val="32"/>
          <w:szCs w:val="32"/>
          <w:lang w:val="en" w:eastAsia="zh-CN"/>
        </w:rPr>
        <w:t>”产业打造成移民长期稳定增收的支柱产业。今年</w:t>
      </w:r>
      <w:r>
        <w:rPr>
          <w:rFonts w:hint="default" w:ascii="Times New Roman" w:hAnsi="Times New Roman" w:eastAsia="仿宋_GB2312" w:cs="Times New Roman"/>
          <w:spacing w:val="0"/>
          <w:sz w:val="32"/>
          <w:szCs w:val="32"/>
          <w:lang w:val="en-US" w:eastAsia="zh-CN"/>
        </w:rPr>
        <w:t>6月，水利部移民司司长谭文到怀化高新区移民光伏产业园调研指导，对怀化创新“光伏+”移民产业发展的做法给予高度肯定。怀化创新“光伏+”移民产业发展的做法，中宣部《学习强国》《中国水利报》《新湘评论》等媒体予以推介。扎实开展信访接待办理工作。全年收到上级交办函、市长热线电话、群众来信来访共154批/297人次，已办结154批/297人次，办结率100%</w:t>
      </w:r>
      <w:r>
        <w:rPr>
          <w:rFonts w:hint="eastAsia" w:ascii="Times New Roman" w:hAnsi="Times New Roman" w:eastAsia="仿宋_GB2312" w:cs="Times New Roman"/>
          <w:spacing w:val="0"/>
          <w:sz w:val="32"/>
          <w:szCs w:val="32"/>
          <w:lang w:val="en-US" w:eastAsia="zh-CN"/>
        </w:rPr>
        <w:t>，</w:t>
      </w:r>
      <w:r>
        <w:rPr>
          <w:rFonts w:hint="default" w:ascii="Times New Roman" w:hAnsi="Times New Roman" w:eastAsia="仿宋_GB2312" w:cs="Times New Roman"/>
          <w:spacing w:val="0"/>
          <w:sz w:val="32"/>
          <w:szCs w:val="32"/>
          <w:lang w:val="en-US" w:eastAsia="zh-CN"/>
        </w:rPr>
        <w:t>信访量同比去年下降24%，没有发生进京上访的情况。</w:t>
      </w:r>
    </w:p>
    <w:p w14:paraId="28507DBF">
      <w:pPr>
        <w:keepNext w:val="0"/>
        <w:keepLines w:val="0"/>
        <w:pageBreakBefore w:val="0"/>
        <w:widowControl w:val="0"/>
        <w:numPr>
          <w:ilvl w:val="0"/>
          <w:numId w:val="0"/>
        </w:numPr>
        <w:kinsoku/>
        <w:wordWrap/>
        <w:overflowPunct/>
        <w:topLinePunct w:val="0"/>
        <w:autoSpaceDE/>
        <w:autoSpaceDN/>
        <w:bidi w:val="0"/>
        <w:adjustRightInd/>
        <w:snapToGrid w:val="0"/>
        <w:spacing w:line="550" w:lineRule="exact"/>
        <w:ind w:left="0" w:firstLine="684" w:firstLineChars="200"/>
        <w:jc w:val="both"/>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（2）质量指标：达标完成率100%。</w:t>
      </w:r>
    </w:p>
    <w:p w14:paraId="49DFE433">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left="0" w:firstLine="684" w:firstLineChars="200"/>
        <w:jc w:val="both"/>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（3）时效指标：202</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5</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年12月31日之前已完成。</w:t>
      </w:r>
    </w:p>
    <w:p w14:paraId="67C49E25">
      <w:pPr>
        <w:keepNext w:val="0"/>
        <w:keepLines w:val="0"/>
        <w:pageBreakBefore w:val="0"/>
        <w:widowControl w:val="0"/>
        <w:numPr>
          <w:ilvl w:val="0"/>
          <w:numId w:val="0"/>
        </w:numPr>
        <w:kinsoku/>
        <w:wordWrap/>
        <w:overflowPunct/>
        <w:topLinePunct w:val="0"/>
        <w:autoSpaceDE/>
        <w:autoSpaceDN/>
        <w:bidi w:val="0"/>
        <w:adjustRightInd/>
        <w:snapToGrid w:val="0"/>
        <w:spacing w:line="550" w:lineRule="exact"/>
        <w:ind w:left="0" w:firstLine="684" w:firstLineChars="200"/>
        <w:jc w:val="both"/>
        <w:textAlignment w:val="auto"/>
        <w:rPr>
          <w:rFonts w:hint="default" w:ascii="仿宋" w:hAnsi="仿宋" w:eastAsia="仿宋" w:cs="仿宋"/>
          <w:b w:val="0"/>
          <w:bCs w:val="0"/>
          <w:color w:val="FF0000"/>
          <w:spacing w:val="11"/>
          <w:sz w:val="32"/>
          <w:szCs w:val="32"/>
          <w:highlight w:val="none"/>
          <w:lang w:val="en-US" w:eastAsia="zh-CN"/>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（4）成本指标：</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552.92万元。</w:t>
      </w:r>
    </w:p>
    <w:p w14:paraId="7C63E61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50" w:lineRule="exact"/>
        <w:ind w:left="0" w:right="0" w:firstLine="684" w:firstLineChars="200"/>
        <w:jc w:val="both"/>
        <w:textAlignment w:val="auto"/>
        <w:rPr>
          <w:rFonts w:hint="eastAsia" w:ascii="仿宋_GB2312" w:hAnsi="仿宋_GB2312" w:eastAsia="仿宋_GB2312" w:cs="仿宋_GB2312"/>
          <w:b w:val="0"/>
          <w:bCs w:val="0"/>
          <w:color w:val="000000" w:themeColor="text1"/>
          <w:spacing w:val="11"/>
          <w:sz w:val="32"/>
          <w:szCs w:val="32"/>
          <w:highlight w:val="none"/>
          <w:lang w:eastAsia="zh-CN"/>
          <w14:textFill>
            <w14:solidFill>
              <w14:schemeClr w14:val="tx1"/>
            </w14:solidFill>
          </w14:textFill>
        </w:rPr>
      </w:pPr>
      <w:r>
        <w:rPr>
          <w:rFonts w:hint="default"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t>3.</w:t>
      </w:r>
      <w:r>
        <w:rPr>
          <w:rFonts w:hint="eastAsia" w:ascii="仿宋_GB2312" w:hAnsi="仿宋_GB2312" w:eastAsia="仿宋_GB2312" w:cs="仿宋_GB2312"/>
          <w:b w:val="0"/>
          <w:bCs w:val="0"/>
          <w:color w:val="000000" w:themeColor="text1"/>
          <w:spacing w:val="11"/>
          <w:sz w:val="32"/>
          <w:szCs w:val="32"/>
          <w:highlight w:val="none"/>
          <w:lang w:eastAsia="zh-CN"/>
          <w14:textFill>
            <w14:solidFill>
              <w14:schemeClr w14:val="tx1"/>
            </w14:solidFill>
          </w14:textFill>
        </w:rPr>
        <w:t>取得效益</w:t>
      </w:r>
    </w:p>
    <w:p w14:paraId="330275EF">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1.理论武装持续深化。</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严格落实“第一议题”学习制度，把学习贯彻习近平新时代中国特色社会主义思想作为党组首要政治任务，深刻领悟“两个确立”的决定性意义，坚决做到“两个维护”。今年来，组织党组（扩大）会学习</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23</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次，党组理论中心组集中（扩大）学习</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12</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次，党员干部集中学习7次。</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邀请市委讲师团成员及市委组织部、市委宣传部、市委政法委、市直机关工委等领导讲授专题党课，充分利用“学习强国”等线上平台，线下参观红色教育基地、观看教育片等方式，增强理论学习的吸引力和实效性，推动理论学习往深里走、往实里走、往心里走。</w:t>
      </w:r>
    </w:p>
    <w:p w14:paraId="52B77092">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default" w:ascii="仿宋" w:hAnsi="仿宋" w:eastAsia="仿宋" w:cs="仿宋"/>
          <w:b w:val="0"/>
          <w:bCs w:val="0"/>
          <w:color w:val="000000" w:themeColor="text1"/>
          <w:spacing w:val="11"/>
          <w:sz w:val="32"/>
          <w:szCs w:val="32"/>
          <w:highlight w:val="none"/>
          <w:lang w:val="en-GB"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2.</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坚定不移落实移民后扶政策。严格直补资金“一卡通”发放。认真做好移民后扶人口核增、核减工作，杜绝虚报、冒领、套取和死人</w:t>
      </w:r>
      <w:r>
        <w:rPr>
          <w:rFonts w:hint="default" w:ascii="仿宋" w:hAnsi="仿宋" w:eastAsia="仿宋" w:cs="仿宋"/>
          <w:b w:val="0"/>
          <w:bCs w:val="0"/>
          <w:color w:val="000000" w:themeColor="text1"/>
          <w:spacing w:val="11"/>
          <w:sz w:val="32"/>
          <w:szCs w:val="32"/>
          <w:highlight w:val="none"/>
          <w:lang w:eastAsia="zh-CN"/>
          <w14:textFill>
            <w14:solidFill>
              <w14:schemeClr w14:val="tx1"/>
            </w14:solidFill>
          </w14:textFill>
        </w:rPr>
        <w:t>领直补资金等现象发生，全市发放直补资金</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1.62亿元</w:t>
      </w:r>
      <w:r>
        <w:rPr>
          <w:rFonts w:hint="default" w:ascii="仿宋" w:hAnsi="仿宋" w:eastAsia="仿宋" w:cs="仿宋"/>
          <w:b w:val="0"/>
          <w:bCs w:val="0"/>
          <w:color w:val="000000" w:themeColor="text1"/>
          <w:spacing w:val="11"/>
          <w:sz w:val="32"/>
          <w:szCs w:val="32"/>
          <w:highlight w:val="none"/>
          <w:lang w:eastAsia="zh-CN"/>
          <w14:textFill>
            <w14:solidFill>
              <w14:schemeClr w14:val="tx1"/>
            </w14:solidFill>
          </w14:textFill>
        </w:rPr>
        <w:t>。认真开展违规领取直补资金专项清理。针对审计署大数据反馈的495人违规领取直补资金问题，今年9月中旬全部追缴到位，共追缴资金153.19万元，名列全省第一，水利部移民司、省库区移民事务中心予以充分肯定，《学习强国》《红网》等媒体推荐了怀化经验。</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持续推进美丽移民村建设。</w:t>
      </w:r>
      <w:r>
        <w:rPr>
          <w:rFonts w:hint="default" w:ascii="仿宋" w:hAnsi="仿宋" w:eastAsia="仿宋" w:cs="仿宋"/>
          <w:b w:val="0"/>
          <w:bCs w:val="0"/>
          <w:color w:val="000000" w:themeColor="text1"/>
          <w:spacing w:val="11"/>
          <w:sz w:val="32"/>
          <w:szCs w:val="32"/>
          <w:highlight w:val="none"/>
          <w:lang w:val="en" w:eastAsia="zh-CN"/>
          <w14:textFill>
            <w14:solidFill>
              <w14:schemeClr w14:val="tx1"/>
            </w14:solidFill>
          </w14:textFill>
        </w:rPr>
        <w:t>抓好重点村、示范村建设</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，今年底全面完成纳入“十四五”规划的211个重点村、11个示范村建设任务，打造一批宜居、宜业、和美移民乡村，助力库区乡村振兴。提升移民培训质效。</w:t>
      </w:r>
      <w:r>
        <w:rPr>
          <w:rFonts w:hint="default" w:ascii="仿宋" w:hAnsi="仿宋" w:eastAsia="仿宋" w:cs="仿宋"/>
          <w:b w:val="0"/>
          <w:bCs w:val="0"/>
          <w:color w:val="000000" w:themeColor="text1"/>
          <w:spacing w:val="11"/>
          <w:sz w:val="32"/>
          <w:szCs w:val="32"/>
          <w:highlight w:val="none"/>
          <w:lang w:val="en-GB" w:eastAsia="zh-CN"/>
          <w14:textFill>
            <w14:solidFill>
              <w14:schemeClr w14:val="tx1"/>
            </w14:solidFill>
          </w14:textFill>
        </w:rPr>
        <w:t>坚持扶智与扶志相结合，</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深度对接移民就业创业意向、市场用工需求和库区产业发展方向，分类实施移民培训，帮助更多的移民提升技能、实现就业。开展订单培训，</w:t>
      </w:r>
      <w:r>
        <w:rPr>
          <w:rFonts w:hint="default" w:ascii="仿宋" w:hAnsi="仿宋" w:eastAsia="仿宋" w:cs="仿宋"/>
          <w:b w:val="0"/>
          <w:bCs w:val="0"/>
          <w:color w:val="000000" w:themeColor="text1"/>
          <w:spacing w:val="11"/>
          <w:sz w:val="32"/>
          <w:szCs w:val="32"/>
          <w:highlight w:val="none"/>
          <w:lang w:val="en" w:eastAsia="zh-CN"/>
          <w14:textFill>
            <w14:solidFill>
              <w14:schemeClr w14:val="tx1"/>
            </w14:solidFill>
          </w14:textFill>
        </w:rPr>
        <w:t>主动对接国际陆港企业用工需求，开办市级培训示范班输送移民人才，</w:t>
      </w:r>
      <w:r>
        <w:rPr>
          <w:rFonts w:hint="default" w:ascii="仿宋" w:hAnsi="仿宋" w:eastAsia="仿宋" w:cs="仿宋"/>
          <w:b w:val="0"/>
          <w:bCs w:val="0"/>
          <w:color w:val="000000" w:themeColor="text1"/>
          <w:spacing w:val="11"/>
          <w:sz w:val="32"/>
          <w:szCs w:val="32"/>
          <w:highlight w:val="none"/>
          <w:lang w:val="en-GB" w:eastAsia="zh-CN"/>
          <w14:textFill>
            <w14:solidFill>
              <w14:schemeClr w14:val="tx1"/>
            </w14:solidFill>
          </w14:textFill>
        </w:rPr>
        <w:t>助推全市箱包产业发展。</w:t>
      </w:r>
    </w:p>
    <w:p w14:paraId="59AD036E">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3.</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千方百计</w:t>
      </w:r>
      <w:r>
        <w:rPr>
          <w:rFonts w:hint="default" w:ascii="仿宋" w:hAnsi="仿宋" w:eastAsia="仿宋" w:cs="仿宋"/>
          <w:b w:val="0"/>
          <w:bCs w:val="0"/>
          <w:color w:val="000000" w:themeColor="text1"/>
          <w:spacing w:val="11"/>
          <w:sz w:val="32"/>
          <w:szCs w:val="32"/>
          <w:highlight w:val="none"/>
          <w:lang w:val="en-GB" w:eastAsia="zh-CN"/>
          <w14:textFill>
            <w14:solidFill>
              <w14:schemeClr w14:val="tx1"/>
            </w14:solidFill>
          </w14:textFill>
        </w:rPr>
        <w:t>争资争项争政策。积极向省水利厅、省库区移民事务中心汇报衔接，</w:t>
      </w:r>
      <w:r>
        <w:rPr>
          <w:rFonts w:hint="eastAsia" w:ascii="仿宋" w:hAnsi="仿宋" w:eastAsia="仿宋" w:cs="仿宋"/>
          <w:b w:val="0"/>
          <w:bCs w:val="0"/>
          <w:color w:val="000000" w:themeColor="text1"/>
          <w:spacing w:val="11"/>
          <w:sz w:val="32"/>
          <w:szCs w:val="32"/>
          <w:highlight w:val="none"/>
          <w:lang w:val="en-GB" w:eastAsia="zh-CN"/>
          <w14:textFill>
            <w14:solidFill>
              <w14:schemeClr w14:val="tx1"/>
            </w14:solidFill>
          </w14:textFill>
        </w:rPr>
        <w:t>全年</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争取</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中央及省级各类水库移民扶持资金4.83亿元，全省占比12.51%，其中成功争取</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计划外移民专项资金</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1.82亿元，同比增长13.75%。特别是争取的</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省第五届旅发大会移民文旅项目资金3000万元</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新晃县库区和移民安置区农村集中供水“三化”建设项目资金1040万元</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麻阳县移民支柱产业抗灾防返贫促增收项目资金725万元</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w:t>
      </w:r>
      <w:r>
        <w:rPr>
          <w:rFonts w:hint="default" w:ascii="仿宋" w:hAnsi="仿宋" w:eastAsia="仿宋" w:cs="仿宋"/>
          <w:b w:val="0"/>
          <w:bCs w:val="0"/>
          <w:color w:val="000000" w:themeColor="text1"/>
          <w:spacing w:val="11"/>
          <w:sz w:val="32"/>
          <w:szCs w:val="32"/>
          <w:highlight w:val="none"/>
          <w:lang w:eastAsia="zh-CN"/>
          <w14:textFill>
            <w14:solidFill>
              <w14:schemeClr w14:val="tx1"/>
            </w14:solidFill>
          </w14:textFill>
        </w:rPr>
        <w:t>洪江市争取水利部</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2025年度移民后扶重点项目</w:t>
      </w:r>
      <w:r>
        <w:rPr>
          <w:rFonts w:hint="default" w:ascii="仿宋" w:hAnsi="仿宋" w:eastAsia="仿宋" w:cs="仿宋"/>
          <w:b w:val="0"/>
          <w:bCs w:val="0"/>
          <w:color w:val="000000" w:themeColor="text1"/>
          <w:spacing w:val="11"/>
          <w:sz w:val="32"/>
          <w:szCs w:val="32"/>
          <w:highlight w:val="none"/>
          <w:lang w:eastAsia="zh-CN"/>
          <w14:textFill>
            <w14:solidFill>
              <w14:schemeClr w14:val="tx1"/>
            </w14:solidFill>
          </w14:textFill>
        </w:rPr>
        <w:t>资金</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5000</w:t>
      </w:r>
      <w:r>
        <w:rPr>
          <w:rFonts w:hint="default" w:ascii="仿宋" w:hAnsi="仿宋" w:eastAsia="仿宋" w:cs="仿宋"/>
          <w:b w:val="0"/>
          <w:bCs w:val="0"/>
          <w:color w:val="000000" w:themeColor="text1"/>
          <w:spacing w:val="11"/>
          <w:sz w:val="32"/>
          <w:szCs w:val="32"/>
          <w:highlight w:val="none"/>
          <w:lang w:eastAsia="zh-CN"/>
          <w14:textFill>
            <w14:solidFill>
              <w14:schemeClr w14:val="tx1"/>
            </w14:solidFill>
          </w14:textFill>
        </w:rPr>
        <w:t>万元</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，为库区经济社会事业发展注入了新动力</w:t>
      </w:r>
      <w:r>
        <w:rPr>
          <w:rFonts w:hint="default" w:ascii="仿宋" w:hAnsi="仿宋" w:eastAsia="仿宋" w:cs="仿宋"/>
          <w:b w:val="0"/>
          <w:bCs w:val="0"/>
          <w:color w:val="000000" w:themeColor="text1"/>
          <w:spacing w:val="11"/>
          <w:sz w:val="32"/>
          <w:szCs w:val="32"/>
          <w:highlight w:val="none"/>
          <w:lang w:eastAsia="zh-CN"/>
          <w14:textFill>
            <w14:solidFill>
              <w14:schemeClr w14:val="tx1"/>
            </w14:solidFill>
          </w14:textFill>
        </w:rPr>
        <w:t>。</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通过驻怀全国人大代表杨理、龙荣，向全国“两会”提出《关于延续大中型水库移民后期扶持政策的建议》，积极争取移民后扶政策再延续。</w:t>
      </w:r>
    </w:p>
    <w:p w14:paraId="4145361C">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4</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.大力推动移民产业发展。认真做好山水特色文章，大力发展乡村旅游和绿色农业，带动特色产业、农家乐、精品民宿等“文旅经济”发展，移民新村焕新颜，涌现了芷江县清江村、洪江市下坪村</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、辰溪县溪口村</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等一批网红“打卡地”。大力推进“光伏+”移民产业三年行动计划，</w:t>
      </w:r>
      <w:r>
        <w:rPr>
          <w:rFonts w:hint="default" w:ascii="仿宋" w:hAnsi="仿宋" w:eastAsia="仿宋" w:cs="仿宋"/>
          <w:b w:val="0"/>
          <w:bCs w:val="0"/>
          <w:color w:val="000000" w:themeColor="text1"/>
          <w:spacing w:val="11"/>
          <w:sz w:val="32"/>
          <w:szCs w:val="32"/>
          <w:highlight w:val="none"/>
          <w:lang w:val="en" w:eastAsia="zh-CN"/>
          <w14:textFill>
            <w14:solidFill>
              <w14:schemeClr w14:val="tx1"/>
            </w14:solidFill>
          </w14:textFill>
        </w:rPr>
        <w:t>积极引导各县市区</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与怀化高新区、县工业园战略合作，大力发展屋顶光伏。2023年，完成项目装机12.5兆瓦，投资5000万元，涉及10个县（市、区）45个村经济合作社，年收益率11%以上，新增村集体经济收入500万元以上。2024年，投入光伏产业7000万元，实现收益700万元以上，全市70个移民村每村每年村集体经济收入增加10万元，持续分红25年以上。</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2025年，怀化高新区移民光伏产业园</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已完成投资</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82</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00万元、</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21</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兆瓦的建设任务</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，三年行动计划圆满收官。</w:t>
      </w:r>
      <w:r>
        <w:rPr>
          <w:rFonts w:hint="default" w:ascii="仿宋" w:hAnsi="仿宋" w:eastAsia="仿宋" w:cs="仿宋"/>
          <w:b w:val="0"/>
          <w:bCs w:val="0"/>
          <w:color w:val="000000" w:themeColor="text1"/>
          <w:spacing w:val="11"/>
          <w:sz w:val="32"/>
          <w:szCs w:val="32"/>
          <w:highlight w:val="none"/>
          <w:lang w:val="en" w:eastAsia="zh-CN"/>
          <w14:textFill>
            <w14:solidFill>
              <w14:schemeClr w14:val="tx1"/>
            </w14:solidFill>
          </w14:textFill>
        </w:rPr>
        <w:t>通过发挥园区集聚示范和“洼地”效应，把“光伏</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w:t>
      </w:r>
      <w:r>
        <w:rPr>
          <w:rFonts w:hint="default" w:ascii="仿宋" w:hAnsi="仿宋" w:eastAsia="仿宋" w:cs="仿宋"/>
          <w:b w:val="0"/>
          <w:bCs w:val="0"/>
          <w:color w:val="000000" w:themeColor="text1"/>
          <w:spacing w:val="11"/>
          <w:sz w:val="32"/>
          <w:szCs w:val="32"/>
          <w:highlight w:val="none"/>
          <w:lang w:val="en" w:eastAsia="zh-CN"/>
          <w14:textFill>
            <w14:solidFill>
              <w14:schemeClr w14:val="tx1"/>
            </w14:solidFill>
          </w14:textFill>
        </w:rPr>
        <w:t>”产业打造成移民长期稳定增收的支柱产业。今年</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6月，水利部移民司司长谭文到怀化高新区移民光伏产业园调研指导，对怀化创新“光伏+”移民产业发展的做法给予高度肯定。怀化创新“光伏+”移民产业发展的做法，中宣部《学习强国》、《中国水利报》、《新湘评论》等媒体予以推介。</w:t>
      </w:r>
    </w:p>
    <w:p w14:paraId="162077BE">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5</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扎实抓好移民安置工作。认真做好辰溪抽水蓄能电站、㵲水大型灌区等重点工程的前期工作，扎实推进移民搬迁安置工作，为保障重点项目实施打下坚实基础。一是认真做好㵲水大型灌区工程移民安置工作。起草《㵲水大型灌区工程建设征地移民安置协议》，组织开展</w:t>
      </w:r>
      <w:r>
        <w:rPr>
          <w:rFonts w:hint="default" w:ascii="仿宋" w:hAnsi="仿宋" w:eastAsia="仿宋" w:cs="仿宋"/>
          <w:b w:val="0"/>
          <w:bCs w:val="0"/>
          <w:color w:val="000000" w:themeColor="text1"/>
          <w:spacing w:val="11"/>
          <w:sz w:val="32"/>
          <w:szCs w:val="32"/>
          <w:highlight w:val="none"/>
          <w:lang w:val="en" w:eastAsia="zh-CN"/>
          <w14:textFill>
            <w14:solidFill>
              <w14:schemeClr w14:val="tx1"/>
            </w14:solidFill>
          </w14:textFill>
        </w:rPr>
        <w:t>㵲水大型灌区工程建设征地实物指标复核工作，完成调查范围内的人口、房屋、土地复核工作，为</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㵲水大型灌区工程开工建设提供</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了</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坚实保障</w:t>
      </w:r>
      <w:r>
        <w:rPr>
          <w:rFonts w:hint="default" w:ascii="仿宋" w:hAnsi="仿宋" w:eastAsia="仿宋" w:cs="仿宋"/>
          <w:b w:val="0"/>
          <w:bCs w:val="0"/>
          <w:color w:val="000000" w:themeColor="text1"/>
          <w:spacing w:val="11"/>
          <w:sz w:val="32"/>
          <w:szCs w:val="32"/>
          <w:highlight w:val="none"/>
          <w:lang w:val="en" w:eastAsia="zh-CN"/>
          <w14:textFill>
            <w14:solidFill>
              <w14:schemeClr w14:val="tx1"/>
            </w14:solidFill>
          </w14:textFill>
        </w:rPr>
        <w:t>。</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二是扎实推进辰溪抽水蓄能电站工程移民安置工作。完成对辰溪抽水蓄能电站2025年度建设征地移民安置资金计划的审批、《辰溪抽水蓄能电站工程截流阶段移民安置实施方案专题报告》的审查和移民安置初（自）验工作，印发《辰溪抽水蓄能电站工程截流阶段移民安置初验报告》。7月9日，省水利厅对辰溪抽水蓄能电站导（截）流阶段建设征地移民安置进行了验收，并通过《辰溪抽水蓄能电站工程导（截）流阶段建设征地移民安置验收报告》。三是稳妥推进托口水电站验收后续问题处理，推进托口水电站会同、芷江库区滑坡塌岸治理工作。</w:t>
      </w:r>
    </w:p>
    <w:p w14:paraId="1CF5C4EA">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6</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严格监管资金项目安全。严抓移民资金监督管理，严把资金投向、结构比例、项目绩效关，狠抓移民资金预算执行，加强监督检查，防范化解风险隐患。积极推动水库移民资金动态监管，全力消减存量资金，截至1</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2</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月3</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1</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日，全市存量资金</w:t>
      </w:r>
      <w:r>
        <w:rPr>
          <w:rFonts w:hint="default" w:ascii="仿宋" w:hAnsi="仿宋" w:eastAsia="仿宋" w:cs="仿宋"/>
          <w:b w:val="0"/>
          <w:bCs w:val="0"/>
          <w:color w:val="000000" w:themeColor="text1"/>
          <w:spacing w:val="11"/>
          <w:sz w:val="32"/>
          <w:szCs w:val="32"/>
          <w:highlight w:val="none"/>
          <w:lang w:eastAsia="zh-CN"/>
          <w14:textFill>
            <w14:solidFill>
              <w14:schemeClr w14:val="tx1"/>
            </w14:solidFill>
          </w14:textFill>
        </w:rPr>
        <w:t>由年初的</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5.19</w:t>
      </w:r>
      <w:r>
        <w:rPr>
          <w:rFonts w:hint="default" w:ascii="仿宋" w:hAnsi="仿宋" w:eastAsia="仿宋" w:cs="仿宋"/>
          <w:b w:val="0"/>
          <w:bCs w:val="0"/>
          <w:color w:val="000000" w:themeColor="text1"/>
          <w:spacing w:val="11"/>
          <w:sz w:val="32"/>
          <w:szCs w:val="32"/>
          <w:highlight w:val="none"/>
          <w:lang w:eastAsia="zh-CN"/>
          <w14:textFill>
            <w14:solidFill>
              <w14:schemeClr w14:val="tx1"/>
            </w14:solidFill>
          </w14:textFill>
        </w:rPr>
        <w:t>亿元消减至</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2.</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4</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5亿元。督促各县市区按时完成2006-2024年大中型水库移民后期扶持政策实施情况总结梳理工作。认真开展移民后期扶持资金使用情况监督检查、移民后期扶持政策实施情况监测评估和绩效评价，抓实上年度监督检查发现问题整改及“回头看”。对</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沅陵</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等8个县市区2024年度大中型水库移民后期扶持政策实施情况开展监督检查，以市政府督查室名义给相关县市区人民政府下发书面提示函，督促8个县市区人民政府切实抓好反馈问题整改。</w:t>
      </w:r>
    </w:p>
    <w:p w14:paraId="52616383">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7</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.切实抓好信访维稳、安全生产工作。攻坚克难解决历史遗留问题，依法化解库区矛盾</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推进平安库区建设，着力加强信访隐患排查，及时发现潜在矛盾纠纷，主动加大信访积案和遗留问题化解力度，重点对托口库区“不签协议、不领款、不建房”群体、五强溪库区移民带资进厂人员信访问题进行督办化解。扎实开展信访接待办理工作。全年收到上级交办函、市长热线电话、群众来信来访共154批/297人次，已办结154批/297人次，办结率100%</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信访量同比去年下降24%，没有发生进京上访的情况。</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认真抓好</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沅陵“2·25”</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事件移民领域整改工作，</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开展全市水库移民领域安全隐患大排查大整治，加强地质灾害防范工作。督促落实“一库一策”，指导五强溪电站、凤滩电站、托口电站、柘溪水库所涉及的沅陵县、辰溪县、洪江市、会同县、芷江县、溆浦县建立完善水库防洪运用库区群众临时转移预案，确保库区一方安澜。</w:t>
      </w:r>
    </w:p>
    <w:p w14:paraId="19DD9363">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8.强力推进</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乡村振兴工作。</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选优配强驻村工作队，扎实推进靖州县新厂镇八亚村（1月至5月）、洪江市茅渡乡茅渡村（5月至今）乡村振兴工作。聚焦产业发展促增收，八亚村集体经济纯收入从2023年的4万元提升到2025年15万元。今年村集体经济预计可实现收入15.14万元，其中投入洒溪光伏项目收入6.2万元、房屋出租2.7万元、怀化高新区光伏产业项目收入5.88万元、柑橘产业园收入0.36万元。全年落实乡村振兴工作经费15万元，其中驻村工作队工作经费</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7</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万元、茅渡村项目帮扶经费8万元。协调行业帮扶资金70万元（其中省移民中心30万元、洪江市移民中心40万元），支持茅渡村集体经济发展、基础设施建设、人居环境整治、饮水工程建设等</w:t>
      </w:r>
      <w:r>
        <w:rPr>
          <w:rFonts w:hint="default" w:ascii="仿宋" w:hAnsi="仿宋" w:eastAsia="仿宋" w:cs="仿宋"/>
          <w:b w:val="0"/>
          <w:bCs w:val="0"/>
          <w:color w:val="000000" w:themeColor="text1"/>
          <w:spacing w:val="11"/>
          <w:sz w:val="32"/>
          <w:szCs w:val="32"/>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用心用情为民办实事，帮助村民销售菜油420斤、柚子2000斤等，为村民购买雄黄、创可贴、风油精、红霉素等常用药品，群众满意度较高。扎实开展脱贫攻坚以来驻村帮扶产业和项目跟踪管理工作。先后对原驻村帮扶点靖州县新江村、八亚村，辰溪县沙帽坪村，沅陵县杨家潭村，芷江县的千公牛村等5个帮扶村的帮扶产业及项目进行“回访”，未发现原帮扶的产业和项目弄虚作假和失管失控，目前均发挥较好的效益。靖州县新江村村集体经济可达到12万元、八亚村村集体经济可达到14万元，辰溪县沙帽坪村村集体经济可达到12万元，沅陵县杨家潭村村集体经济可达到13.28万元，芷江县的千公牛村村集体经济可达到16.2万元，村容村貌和集体产业都保持着良好的发展势头，成效明显。</w:t>
      </w:r>
    </w:p>
    <w:p w14:paraId="56432977">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eastAsia"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pPr>
      <w:r>
        <w:rPr>
          <w:rFonts w:hint="eastAsia" w:ascii="黑体" w:hAnsi="黑体" w:eastAsia="黑体" w:cs="黑体"/>
          <w:b w:val="0"/>
          <w:bCs w:val="0"/>
          <w:i w:val="0"/>
          <w:iCs w:val="0"/>
          <w:caps w:val="0"/>
          <w:color w:val="000000" w:themeColor="text1"/>
          <w:spacing w:val="11"/>
          <w:sz w:val="32"/>
          <w:szCs w:val="32"/>
          <w:shd w:val="clear" w:fill="FFFFFF"/>
          <w:lang w:eastAsia="zh-CN"/>
          <w14:textFill>
            <w14:solidFill>
              <w14:schemeClr w14:val="tx1"/>
            </w14:solidFill>
          </w14:textFill>
        </w:rPr>
        <w:t>九</w:t>
      </w:r>
      <w:r>
        <w:rPr>
          <w:rFonts w:hint="eastAsia"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t>、存在的问题及原因分析</w:t>
      </w:r>
    </w:p>
    <w:p w14:paraId="58B37EBE">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1</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全面预算绩效管理工作经验不太丰富，绩效管理专业人员匮乏，规范管理有盲点。</w:t>
      </w:r>
    </w:p>
    <w:p w14:paraId="7D018B93">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2</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部门预算编制的科学化、精细化有待提高。目前，预算编制要求经济科目细化到款级，但在实际编制过程中，由于有的预算支出项目具有预测性和不确定性等特点，造成实际支出与预算编制不太相符。</w:t>
      </w:r>
    </w:p>
    <w:p w14:paraId="56EB45BE">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eastAsia"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pPr>
      <w:r>
        <w:rPr>
          <w:rFonts w:hint="eastAsia" w:ascii="黑体" w:hAnsi="黑体" w:eastAsia="黑体" w:cs="黑体"/>
          <w:b w:val="0"/>
          <w:bCs w:val="0"/>
          <w:i w:val="0"/>
          <w:iCs w:val="0"/>
          <w:caps w:val="0"/>
          <w:color w:val="000000" w:themeColor="text1"/>
          <w:spacing w:val="11"/>
          <w:sz w:val="32"/>
          <w:szCs w:val="32"/>
          <w:shd w:val="clear" w:fill="FFFFFF"/>
          <w:lang w:eastAsia="zh-CN"/>
          <w14:textFill>
            <w14:solidFill>
              <w14:schemeClr w14:val="tx1"/>
            </w14:solidFill>
          </w14:textFill>
        </w:rPr>
        <w:t>十</w:t>
      </w:r>
      <w:r>
        <w:rPr>
          <w:rFonts w:hint="eastAsia"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t>、下一步改进措施</w:t>
      </w:r>
    </w:p>
    <w:p w14:paraId="2FA3907B">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1</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我们将更加全面、细致地制定绩效目标，进一步严肃财经纪律，在实施过程中遵循“实事求是、尊重客观、力求精准”的原则，努力使项目资金落到实处。</w:t>
      </w:r>
    </w:p>
    <w:p w14:paraId="690C28D5">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2</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我们将落实内控制度，严肃执行“三重一大”的原则，深入开展政府购买社会化服务，切实引进社会化竞争机制，引进相关专业人才，保障项目在公开、公平、公正的监督环境中实施，有效节约项目资金，把有限的资金用在刀刃上。</w:t>
      </w:r>
    </w:p>
    <w:p w14:paraId="1FD63025">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3</w:t>
      </w:r>
      <w:r>
        <w:rPr>
          <w:rFonts w:hint="eastAsia" w:ascii="仿宋" w:hAnsi="仿宋" w:eastAsia="仿宋" w:cs="仿宋"/>
          <w:b w:val="0"/>
          <w:bCs w:val="0"/>
          <w:color w:val="000000" w:themeColor="text1"/>
          <w:spacing w:val="11"/>
          <w:sz w:val="32"/>
          <w:szCs w:val="32"/>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加强对财政资金的拨付和使用管理，加强对财务干部职工的业务培训，强化预算管理意识，严格执行预算，做到专账核算，确保专款专用。</w:t>
      </w:r>
    </w:p>
    <w:p w14:paraId="6BD403C2">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eastAsia"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pPr>
      <w:r>
        <w:rPr>
          <w:rFonts w:hint="eastAsia" w:ascii="黑体" w:hAnsi="黑体" w:eastAsia="黑体" w:cs="黑体"/>
          <w:b w:val="0"/>
          <w:bCs w:val="0"/>
          <w:i w:val="0"/>
          <w:iCs w:val="0"/>
          <w:caps w:val="0"/>
          <w:color w:val="000000" w:themeColor="text1"/>
          <w:spacing w:val="11"/>
          <w:sz w:val="32"/>
          <w:szCs w:val="32"/>
          <w:shd w:val="clear" w:fill="FFFFFF"/>
          <w:lang w:eastAsia="zh-CN"/>
          <w14:textFill>
            <w14:solidFill>
              <w14:schemeClr w14:val="tx1"/>
            </w14:solidFill>
          </w14:textFill>
        </w:rPr>
        <w:t>十一</w:t>
      </w:r>
      <w:r>
        <w:rPr>
          <w:rFonts w:hint="eastAsia"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t>、</w:t>
      </w:r>
      <w:r>
        <w:rPr>
          <w:rFonts w:hint="eastAsia" w:ascii="黑体" w:hAnsi="黑体" w:eastAsia="黑体" w:cs="黑体"/>
          <w:b w:val="0"/>
          <w:bCs w:val="0"/>
          <w:i w:val="0"/>
          <w:iCs w:val="0"/>
          <w:caps w:val="0"/>
          <w:color w:val="000000" w:themeColor="text1"/>
          <w:spacing w:val="11"/>
          <w:sz w:val="32"/>
          <w:szCs w:val="32"/>
          <w:shd w:val="clear" w:fill="FFFFFF"/>
          <w:lang w:eastAsia="zh-CN"/>
          <w14:textFill>
            <w14:solidFill>
              <w14:schemeClr w14:val="tx1"/>
            </w14:solidFill>
          </w14:textFill>
        </w:rPr>
        <w:t>绩效自评结果拟应用和公开</w:t>
      </w:r>
      <w:r>
        <w:rPr>
          <w:rFonts w:hint="eastAsia"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t>情况</w:t>
      </w:r>
    </w:p>
    <w:p w14:paraId="58C7CF91">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2025年度我单位整体支出</w:t>
      </w:r>
      <w:r>
        <w:rPr>
          <w:rFonts w:hint="eastAsia" w:ascii="仿宋" w:hAnsi="仿宋" w:eastAsia="仿宋" w:cs="仿宋"/>
          <w:sz w:val="32"/>
          <w:szCs w:val="32"/>
          <w:lang w:eastAsia="zh-CN"/>
        </w:rPr>
        <w:t>达到预期绩效目标。</w:t>
      </w:r>
    </w:p>
    <w:p w14:paraId="356F6BFA">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40" w:firstLineChars="200"/>
        <w:textAlignment w:val="auto"/>
        <w:rPr>
          <w:rFonts w:hint="eastAsia" w:ascii="仿宋" w:hAnsi="仿宋" w:eastAsia="仿宋" w:cs="仿宋"/>
          <w:bCs/>
          <w:sz w:val="32"/>
          <w:szCs w:val="32"/>
          <w:lang w:eastAsia="zh-CN"/>
        </w:rPr>
      </w:pPr>
      <w:r>
        <w:rPr>
          <w:rFonts w:hint="eastAsia" w:ascii="仿宋" w:hAnsi="仿宋" w:eastAsia="仿宋" w:cs="仿宋"/>
          <w:b/>
          <w:sz w:val="32"/>
          <w:szCs w:val="32"/>
          <w:lang w:eastAsia="zh-CN"/>
        </w:rPr>
        <w:t>建议：</w:t>
      </w:r>
      <w:r>
        <w:rPr>
          <w:rFonts w:hint="eastAsia" w:ascii="仿宋" w:hAnsi="仿宋" w:eastAsia="仿宋" w:cs="仿宋"/>
          <w:bCs/>
          <w:sz w:val="32"/>
          <w:szCs w:val="32"/>
          <w:lang w:eastAsia="zh-CN"/>
        </w:rPr>
        <w:t>绩效自评结果作为我单位改进管理，安排以后年度预算的重要参考依据，把绩效自评结果依法予以公开。</w:t>
      </w:r>
    </w:p>
    <w:p w14:paraId="3B1C15DB">
      <w:pPr>
        <w:keepNext w:val="0"/>
        <w:keepLines w:val="0"/>
        <w:pageBreakBefore w:val="0"/>
        <w:widowControl w:val="0"/>
        <w:numPr>
          <w:ilvl w:val="0"/>
          <w:numId w:val="3"/>
        </w:numPr>
        <w:pBdr>
          <w:bottom w:val="single" w:color="FFFFFF" w:sz="4" w:space="31"/>
        </w:pBdr>
        <w:tabs>
          <w:tab w:val="left" w:pos="1440"/>
        </w:tabs>
        <w:kinsoku/>
        <w:wordWrap/>
        <w:overflowPunct/>
        <w:topLinePunct w:val="0"/>
        <w:autoSpaceDE/>
        <w:autoSpaceDN/>
        <w:bidi w:val="0"/>
        <w:adjustRightInd/>
        <w:snapToGrid w:val="0"/>
        <w:spacing w:line="600" w:lineRule="exact"/>
        <w:ind w:left="0" w:leftChars="0" w:right="0" w:firstLine="684" w:firstLineChars="200"/>
        <w:textAlignment w:val="auto"/>
        <w:rPr>
          <w:rFonts w:hint="eastAsia"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pPr>
      <w:r>
        <w:rPr>
          <w:rFonts w:hint="eastAsia" w:ascii="黑体" w:hAnsi="黑体" w:eastAsia="黑体" w:cs="黑体"/>
          <w:b w:val="0"/>
          <w:bCs w:val="0"/>
          <w:i w:val="0"/>
          <w:iCs w:val="0"/>
          <w:caps w:val="0"/>
          <w:color w:val="000000" w:themeColor="text1"/>
          <w:spacing w:val="11"/>
          <w:sz w:val="32"/>
          <w:szCs w:val="32"/>
          <w:shd w:val="clear" w:fill="FFFFFF"/>
          <w14:textFill>
            <w14:solidFill>
              <w14:schemeClr w14:val="tx1"/>
            </w14:solidFill>
          </w14:textFill>
        </w:rPr>
        <w:t>其他需要说明的情况</w:t>
      </w:r>
    </w:p>
    <w:p w14:paraId="671DB13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240" w:lineRule="auto"/>
        <w:ind w:left="0" w:leftChars="0" w:right="0" w:rightChars="0" w:firstLine="684" w:firstLineChars="200"/>
        <w:textAlignment w:val="auto"/>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pacing w:val="11"/>
          <w:sz w:val="32"/>
          <w:szCs w:val="32"/>
          <w:highlight w:val="none"/>
          <w:lang w:eastAsia="zh-CN"/>
          <w14:textFill>
            <w14:solidFill>
              <w14:schemeClr w14:val="tx1"/>
            </w14:solidFill>
          </w14:textFill>
        </w:rPr>
        <w:t>无。</w:t>
      </w:r>
    </w:p>
    <w:p w14:paraId="68AE9AF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240" w:lineRule="auto"/>
        <w:ind w:left="0" w:leftChars="0" w:right="0" w:rightChars="0" w:firstLine="684" w:firstLineChars="200"/>
        <w:textAlignment w:val="auto"/>
        <w:rPr>
          <w:rFonts w:hint="eastAsia" w:ascii="仿宋" w:hAnsi="仿宋" w:eastAsia="仿宋" w:cs="仿宋"/>
          <w:b w:val="0"/>
          <w:bCs w:val="0"/>
          <w:color w:val="000000" w:themeColor="text1"/>
          <w:spacing w:val="11"/>
          <w:sz w:val="32"/>
          <w:szCs w:val="32"/>
          <w14:textFill>
            <w14:solidFill>
              <w14:schemeClr w14:val="tx1"/>
            </w14:solidFill>
          </w14:textFill>
        </w:rPr>
      </w:pPr>
      <w:r>
        <w:rPr>
          <w:rFonts w:hint="eastAsia" w:ascii="仿宋" w:hAnsi="仿宋" w:eastAsia="仿宋" w:cs="仿宋"/>
          <w:b w:val="0"/>
          <w:bCs w:val="0"/>
          <w:i w:val="0"/>
          <w:iCs w:val="0"/>
          <w:caps w:val="0"/>
          <w:color w:val="000000" w:themeColor="text1"/>
          <w:spacing w:val="11"/>
          <w:sz w:val="32"/>
          <w:szCs w:val="32"/>
          <w:shd w:val="clear" w:fill="FFFFFF"/>
          <w:lang w:eastAsia="zh-CN"/>
          <w14:textFill>
            <w14:solidFill>
              <w14:schemeClr w14:val="tx1"/>
            </w14:solidFill>
          </w14:textFill>
        </w:rPr>
        <w:t>整体支出报告需要以下</w:t>
      </w:r>
      <w:r>
        <w:rPr>
          <w:rFonts w:hint="eastAsia" w:ascii="仿宋" w:hAnsi="仿宋" w:eastAsia="仿宋" w:cs="仿宋"/>
          <w:b w:val="0"/>
          <w:bCs w:val="0"/>
          <w:color w:val="000000" w:themeColor="text1"/>
          <w:spacing w:val="11"/>
          <w:sz w:val="32"/>
          <w:szCs w:val="32"/>
          <w14:textFill>
            <w14:solidFill>
              <w14:schemeClr w14:val="tx1"/>
            </w14:solidFill>
          </w14:textFill>
        </w:rPr>
        <w:t>附件：</w:t>
      </w:r>
    </w:p>
    <w:p w14:paraId="7F198AA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240" w:lineRule="auto"/>
        <w:ind w:right="0" w:rightChars="0" w:firstLine="684" w:firstLineChars="200"/>
        <w:textAlignment w:val="auto"/>
        <w:rPr>
          <w:rFonts w:hint="eastAsia" w:ascii="仿宋" w:hAnsi="仿宋" w:eastAsia="仿宋" w:cs="仿宋"/>
          <w:b w:val="0"/>
          <w:bCs w:val="0"/>
          <w:color w:val="000000" w:themeColor="text1"/>
          <w:spacing w:val="11"/>
          <w:sz w:val="32"/>
          <w:szCs w:val="32"/>
          <w14:textFill>
            <w14:solidFill>
              <w14:schemeClr w14:val="tx1"/>
            </w14:solidFill>
          </w14:textFill>
        </w:rPr>
      </w:pPr>
      <w:r>
        <w:rPr>
          <w:rFonts w:hint="eastAsia" w:ascii="仿宋" w:hAnsi="仿宋" w:eastAsia="仿宋" w:cs="仿宋"/>
          <w:b w:val="0"/>
          <w:bCs w:val="0"/>
          <w:color w:val="000000" w:themeColor="text1"/>
          <w:spacing w:val="11"/>
          <w:sz w:val="32"/>
          <w:szCs w:val="32"/>
          <w:lang w:val="en-US" w:eastAsia="zh-CN"/>
          <w14:textFill>
            <w14:solidFill>
              <w14:schemeClr w14:val="tx1"/>
            </w14:solidFill>
          </w14:textFill>
        </w:rPr>
        <w:t>1.</w:t>
      </w:r>
      <w:r>
        <w:rPr>
          <w:rFonts w:hint="eastAsia" w:ascii="仿宋" w:hAnsi="仿宋" w:eastAsia="仿宋" w:cs="仿宋"/>
          <w:b w:val="0"/>
          <w:bCs w:val="0"/>
          <w:color w:val="000000" w:themeColor="text1"/>
          <w:spacing w:val="11"/>
          <w:sz w:val="32"/>
          <w:szCs w:val="32"/>
          <w14:textFill>
            <w14:solidFill>
              <w14:schemeClr w14:val="tx1"/>
            </w14:solidFill>
          </w14:textFill>
        </w:rPr>
        <w:t>部门整体支出绩效评价基础数据表</w:t>
      </w:r>
    </w:p>
    <w:p w14:paraId="1A096E2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240" w:lineRule="auto"/>
        <w:ind w:right="0" w:rightChars="0" w:firstLine="684" w:firstLineChars="200"/>
        <w:textAlignment w:val="auto"/>
        <w:rPr>
          <w:rFonts w:hint="eastAsia" w:ascii="仿宋" w:hAnsi="仿宋" w:eastAsia="仿宋" w:cs="仿宋"/>
          <w:b w:val="0"/>
          <w:bCs w:val="0"/>
          <w:color w:val="000000" w:themeColor="text1"/>
          <w:spacing w:val="11"/>
          <w:sz w:val="32"/>
          <w:szCs w:val="32"/>
          <w14:textFill>
            <w14:solidFill>
              <w14:schemeClr w14:val="tx1"/>
            </w14:solidFill>
          </w14:textFill>
        </w:rPr>
      </w:pPr>
      <w:r>
        <w:rPr>
          <w:rFonts w:hint="eastAsia" w:ascii="仿宋" w:hAnsi="仿宋" w:eastAsia="仿宋" w:cs="仿宋"/>
          <w:b w:val="0"/>
          <w:bCs w:val="0"/>
          <w:color w:val="000000" w:themeColor="text1"/>
          <w:spacing w:val="11"/>
          <w:sz w:val="32"/>
          <w:szCs w:val="32"/>
          <w:lang w:val="en-US" w:eastAsia="zh-CN"/>
          <w14:textFill>
            <w14:solidFill>
              <w14:schemeClr w14:val="tx1"/>
            </w14:solidFill>
          </w14:textFill>
        </w:rPr>
        <w:t>2.</w:t>
      </w:r>
      <w:r>
        <w:rPr>
          <w:rFonts w:hint="eastAsia" w:ascii="仿宋" w:hAnsi="仿宋" w:eastAsia="仿宋" w:cs="仿宋"/>
          <w:b w:val="0"/>
          <w:bCs w:val="0"/>
          <w:color w:val="000000" w:themeColor="text1"/>
          <w:spacing w:val="11"/>
          <w:sz w:val="32"/>
          <w:szCs w:val="32"/>
          <w14:textFill>
            <w14:solidFill>
              <w14:schemeClr w14:val="tx1"/>
            </w14:solidFill>
          </w14:textFill>
        </w:rPr>
        <w:t>部门整体支出绩效自评表</w:t>
      </w:r>
    </w:p>
    <w:p w14:paraId="2583A1EE">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240" w:lineRule="auto"/>
        <w:ind w:right="0" w:rightChars="0" w:firstLine="684" w:firstLineChars="200"/>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b w:val="0"/>
          <w:bCs w:val="0"/>
          <w:color w:val="000000" w:themeColor="text1"/>
          <w:spacing w:val="11"/>
          <w:sz w:val="32"/>
          <w:szCs w:val="32"/>
          <w:lang w:val="en-US" w:eastAsia="zh-CN"/>
          <w14:textFill>
            <w14:solidFill>
              <w14:schemeClr w14:val="tx1"/>
            </w14:solidFill>
          </w14:textFill>
        </w:rPr>
        <w:t>3.</w:t>
      </w:r>
      <w:r>
        <w:rPr>
          <w:rFonts w:hint="eastAsia" w:ascii="仿宋" w:hAnsi="仿宋" w:eastAsia="仿宋" w:cs="仿宋"/>
          <w:b w:val="0"/>
          <w:bCs w:val="0"/>
          <w:color w:val="000000" w:themeColor="text1"/>
          <w:spacing w:val="11"/>
          <w:sz w:val="32"/>
          <w:szCs w:val="32"/>
          <w:lang w:eastAsia="zh-CN"/>
          <w14:textFill>
            <w14:solidFill>
              <w14:schemeClr w14:val="tx1"/>
            </w14:solidFill>
          </w14:textFill>
        </w:rPr>
        <w:t>项目支出绩效自评表（每个一级项目支出一张表）</w:t>
      </w:r>
      <w:r>
        <w:rPr>
          <w:rFonts w:hint="eastAsia" w:ascii="仿宋" w:hAnsi="仿宋" w:eastAsia="仿宋" w:cs="仿宋"/>
          <w:i w:val="0"/>
          <w:iCs w:val="0"/>
          <w:caps w:val="0"/>
          <w:color w:val="000000"/>
          <w:spacing w:val="0"/>
          <w:sz w:val="32"/>
          <w:szCs w:val="32"/>
          <w:shd w:val="clear" w:fill="FFFFFF"/>
          <w:lang w:val="en-US" w:eastAsia="zh-CN"/>
        </w:rPr>
        <w:t xml:space="preserve"> </w:t>
      </w:r>
    </w:p>
    <w:p w14:paraId="1E334785">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240" w:lineRule="auto"/>
        <w:ind w:right="0" w:rightChars="0" w:firstLine="640" w:firstLineChars="200"/>
        <w:textAlignment w:val="auto"/>
        <w:rPr>
          <w:rFonts w:hint="eastAsia" w:ascii="仿宋" w:hAnsi="仿宋" w:eastAsia="仿宋" w:cs="仿宋"/>
          <w:b w:val="0"/>
          <w:bCs w:val="0"/>
          <w:i w:val="0"/>
          <w:iCs w:val="0"/>
          <w:caps w:val="0"/>
          <w:color w:val="000000" w:themeColor="text1"/>
          <w:spacing w:val="11"/>
          <w:sz w:val="32"/>
          <w:szCs w:val="32"/>
          <w:shd w:val="clear" w:fill="FFFFFF"/>
          <w:lang w:eastAsia="zh-CN"/>
          <w14:textFill>
            <w14:solidFill>
              <w14:schemeClr w14:val="tx1"/>
            </w14:solidFill>
          </w14:textFill>
        </w:rPr>
      </w:pPr>
      <w:r>
        <w:rPr>
          <w:rFonts w:hint="eastAsia" w:ascii="仿宋" w:hAnsi="仿宋" w:eastAsia="仿宋" w:cs="仿宋"/>
          <w:i w:val="0"/>
          <w:iCs w:val="0"/>
          <w:caps w:val="0"/>
          <w:color w:val="000000"/>
          <w:spacing w:val="0"/>
          <w:sz w:val="32"/>
          <w:szCs w:val="32"/>
          <w:shd w:val="clear" w:fill="FFFFFF"/>
          <w:lang w:val="en-US" w:eastAsia="zh-CN"/>
        </w:rPr>
        <w:t>如有政府性基金预算、</w:t>
      </w:r>
      <w:r>
        <w:rPr>
          <w:rFonts w:hint="eastAsia" w:ascii="仿宋" w:hAnsi="仿宋" w:eastAsia="仿宋" w:cs="仿宋"/>
          <w:b w:val="0"/>
          <w:bCs w:val="0"/>
          <w:i w:val="0"/>
          <w:iCs w:val="0"/>
          <w:caps w:val="0"/>
          <w:color w:val="000000" w:themeColor="text1"/>
          <w:spacing w:val="11"/>
          <w:sz w:val="32"/>
          <w:szCs w:val="32"/>
          <w:shd w:val="clear" w:fill="FFFFFF"/>
          <w14:textFill>
            <w14:solidFill>
              <w14:schemeClr w14:val="tx1"/>
            </w14:solidFill>
          </w14:textFill>
        </w:rPr>
        <w:t>国有资本经营预算</w:t>
      </w:r>
      <w:r>
        <w:rPr>
          <w:rFonts w:hint="eastAsia" w:ascii="仿宋" w:hAnsi="仿宋" w:eastAsia="仿宋" w:cs="仿宋"/>
          <w:b w:val="0"/>
          <w:bCs w:val="0"/>
          <w:i w:val="0"/>
          <w:iCs w:val="0"/>
          <w:caps w:val="0"/>
          <w:color w:val="000000" w:themeColor="text1"/>
          <w:spacing w:val="11"/>
          <w:sz w:val="32"/>
          <w:szCs w:val="32"/>
          <w:shd w:val="clear" w:fill="FFFFFF"/>
          <w:lang w:eastAsia="zh-CN"/>
          <w14:textFill>
            <w14:solidFill>
              <w14:schemeClr w14:val="tx1"/>
            </w14:solidFill>
          </w14:textFill>
        </w:rPr>
        <w:t>和社会保险</w:t>
      </w:r>
      <w:r>
        <w:rPr>
          <w:rFonts w:hint="eastAsia" w:ascii="仿宋" w:hAnsi="仿宋" w:eastAsia="仿宋" w:cs="仿宋"/>
          <w:b w:val="0"/>
          <w:bCs w:val="0"/>
          <w:i w:val="0"/>
          <w:iCs w:val="0"/>
          <w:caps w:val="0"/>
          <w:color w:val="000000" w:themeColor="text1"/>
          <w:spacing w:val="11"/>
          <w:sz w:val="32"/>
          <w:szCs w:val="32"/>
          <w:shd w:val="clear" w:fill="FFFFFF"/>
          <w:lang w:val="en-US" w:eastAsia="zh-CN"/>
          <w14:textFill>
            <w14:solidFill>
              <w14:schemeClr w14:val="tx1"/>
            </w14:solidFill>
          </w14:textFill>
        </w:rPr>
        <w:t xml:space="preserve"> 基</w:t>
      </w:r>
      <w:r>
        <w:rPr>
          <w:rFonts w:hint="eastAsia" w:ascii="仿宋" w:hAnsi="仿宋" w:eastAsia="仿宋" w:cs="仿宋"/>
          <w:b w:val="0"/>
          <w:bCs w:val="0"/>
          <w:i w:val="0"/>
          <w:iCs w:val="0"/>
          <w:caps w:val="0"/>
          <w:color w:val="000000" w:themeColor="text1"/>
          <w:spacing w:val="11"/>
          <w:sz w:val="32"/>
          <w:szCs w:val="32"/>
          <w:shd w:val="clear" w:fill="FFFFFF"/>
          <w:lang w:eastAsia="zh-CN"/>
          <w14:textFill>
            <w14:solidFill>
              <w14:schemeClr w14:val="tx1"/>
            </w14:solidFill>
          </w14:textFill>
        </w:rPr>
        <w:t>金预算支出，还需对应提供以下附件：</w:t>
      </w:r>
    </w:p>
    <w:p w14:paraId="3E384CAF">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240" w:lineRule="auto"/>
        <w:ind w:right="0" w:rightChars="0" w:firstLine="640" w:firstLineChars="200"/>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4.政府性基金预算支出情况表</w:t>
      </w:r>
    </w:p>
    <w:p w14:paraId="6D1AAA6E">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240" w:lineRule="auto"/>
        <w:ind w:right="0" w:rightChars="0" w:firstLine="640" w:firstLineChars="200"/>
        <w:textAlignment w:val="auto"/>
        <w:rPr>
          <w:rFonts w:hint="eastAsia" w:ascii="仿宋" w:hAnsi="仿宋" w:eastAsia="仿宋" w:cs="仿宋"/>
          <w:b w:val="0"/>
          <w:bCs w:val="0"/>
          <w:i w:val="0"/>
          <w:iCs w:val="0"/>
          <w:caps w:val="0"/>
          <w:color w:val="000000" w:themeColor="text1"/>
          <w:spacing w:val="11"/>
          <w:sz w:val="32"/>
          <w:szCs w:val="32"/>
          <w:shd w:val="clear" w:fill="FFFFFF"/>
          <w:lang w:eastAsia="zh-CN"/>
          <w14:textFill>
            <w14:solidFill>
              <w14:schemeClr w14:val="tx1"/>
            </w14:solidFill>
          </w14:textFill>
        </w:rPr>
      </w:pPr>
      <w:r>
        <w:rPr>
          <w:rFonts w:hint="eastAsia" w:ascii="仿宋" w:hAnsi="仿宋" w:eastAsia="仿宋" w:cs="仿宋"/>
          <w:i w:val="0"/>
          <w:iCs w:val="0"/>
          <w:caps w:val="0"/>
          <w:color w:val="000000"/>
          <w:spacing w:val="0"/>
          <w:sz w:val="32"/>
          <w:szCs w:val="32"/>
          <w:shd w:val="clear" w:fill="FFFFFF"/>
          <w:lang w:val="en-US" w:eastAsia="zh-CN"/>
        </w:rPr>
        <w:t>5.</w:t>
      </w:r>
      <w:r>
        <w:rPr>
          <w:rFonts w:hint="eastAsia" w:ascii="仿宋" w:hAnsi="仿宋" w:eastAsia="仿宋" w:cs="仿宋"/>
          <w:b w:val="0"/>
          <w:bCs w:val="0"/>
          <w:i w:val="0"/>
          <w:iCs w:val="0"/>
          <w:caps w:val="0"/>
          <w:color w:val="000000" w:themeColor="text1"/>
          <w:spacing w:val="11"/>
          <w:sz w:val="32"/>
          <w:szCs w:val="32"/>
          <w:shd w:val="clear" w:fill="FFFFFF"/>
          <w14:textFill>
            <w14:solidFill>
              <w14:schemeClr w14:val="tx1"/>
            </w14:solidFill>
          </w14:textFill>
        </w:rPr>
        <w:t>国有资本经营预算</w:t>
      </w:r>
      <w:r>
        <w:rPr>
          <w:rFonts w:hint="eastAsia" w:ascii="仿宋" w:hAnsi="仿宋" w:eastAsia="仿宋" w:cs="仿宋"/>
          <w:b w:val="0"/>
          <w:bCs w:val="0"/>
          <w:i w:val="0"/>
          <w:iCs w:val="0"/>
          <w:caps w:val="0"/>
          <w:color w:val="000000" w:themeColor="text1"/>
          <w:spacing w:val="11"/>
          <w:sz w:val="32"/>
          <w:szCs w:val="32"/>
          <w:shd w:val="clear" w:fill="FFFFFF"/>
          <w:lang w:eastAsia="zh-CN"/>
          <w14:textFill>
            <w14:solidFill>
              <w14:schemeClr w14:val="tx1"/>
            </w14:solidFill>
          </w14:textFill>
        </w:rPr>
        <w:t>支出情况表</w:t>
      </w:r>
    </w:p>
    <w:p w14:paraId="60F951A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240" w:lineRule="auto"/>
        <w:ind w:right="0" w:rightChars="0" w:firstLine="684" w:firstLineChars="200"/>
        <w:textAlignment w:val="auto"/>
        <w:rPr>
          <w:rFonts w:hint="default" w:ascii="仿宋" w:hAnsi="仿宋" w:eastAsia="仿宋" w:cs="仿宋"/>
          <w:b w:val="0"/>
          <w:bCs w:val="0"/>
          <w:i w:val="0"/>
          <w:iCs w:val="0"/>
          <w:caps w:val="0"/>
          <w:color w:val="000000" w:themeColor="text1"/>
          <w:spacing w:val="11"/>
          <w:sz w:val="32"/>
          <w:szCs w:val="32"/>
          <w:shd w:val="clear" w:fill="FFFFFF"/>
          <w:lang w:val="en-US" w:eastAsia="zh-CN"/>
          <w14:textFill>
            <w14:solidFill>
              <w14:schemeClr w14:val="tx1"/>
            </w14:solidFill>
          </w14:textFill>
        </w:rPr>
      </w:pPr>
      <w:r>
        <w:rPr>
          <w:rFonts w:hint="eastAsia" w:ascii="仿宋" w:hAnsi="仿宋" w:eastAsia="仿宋" w:cs="仿宋"/>
          <w:b w:val="0"/>
          <w:bCs w:val="0"/>
          <w:i w:val="0"/>
          <w:iCs w:val="0"/>
          <w:caps w:val="0"/>
          <w:color w:val="000000" w:themeColor="text1"/>
          <w:spacing w:val="11"/>
          <w:sz w:val="32"/>
          <w:szCs w:val="32"/>
          <w:shd w:val="clear" w:fill="FFFFFF"/>
          <w:lang w:val="en-US" w:eastAsia="zh-CN"/>
          <w14:textFill>
            <w14:solidFill>
              <w14:schemeClr w14:val="tx1"/>
            </w14:solidFill>
          </w14:textFill>
        </w:rPr>
        <w:t>6.</w:t>
      </w:r>
      <w:r>
        <w:rPr>
          <w:rFonts w:hint="eastAsia" w:ascii="仿宋" w:hAnsi="仿宋" w:eastAsia="仿宋" w:cs="仿宋"/>
          <w:b w:val="0"/>
          <w:bCs w:val="0"/>
          <w:i w:val="0"/>
          <w:iCs w:val="0"/>
          <w:caps w:val="0"/>
          <w:color w:val="000000" w:themeColor="text1"/>
          <w:spacing w:val="11"/>
          <w:sz w:val="32"/>
          <w:szCs w:val="32"/>
          <w:shd w:val="clear" w:fill="FFFFFF"/>
          <w:lang w:eastAsia="zh-CN"/>
          <w14:textFill>
            <w14:solidFill>
              <w14:schemeClr w14:val="tx1"/>
            </w14:solidFill>
          </w14:textFill>
        </w:rPr>
        <w:t>社会保险基金预算支出情况表</w:t>
      </w:r>
    </w:p>
    <w:p w14:paraId="2C9CED33">
      <w:pPr>
        <w:pStyle w:val="14"/>
        <w:spacing w:line="600" w:lineRule="exact"/>
        <w:ind w:firstLine="640" w:firstLineChars="200"/>
        <w:rPr>
          <w:rFonts w:ascii="Times New Roman" w:hAnsi="Times New Roman" w:eastAsia="仿宋_GB2312" w:cs="Times New Roman"/>
          <w:sz w:val="32"/>
          <w:szCs w:val="32"/>
        </w:rPr>
      </w:pPr>
    </w:p>
    <w:p w14:paraId="73D3FBCA">
      <w:pPr>
        <w:pStyle w:val="14"/>
        <w:jc w:val="center"/>
        <w:rPr>
          <w:rFonts w:ascii="Times New Roman" w:hAnsi="Times New Roman" w:cs="Times New Roman"/>
          <w:sz w:val="72"/>
          <w:szCs w:val="72"/>
        </w:rPr>
      </w:pPr>
    </w:p>
    <w:p w14:paraId="369C362B">
      <w:pPr>
        <w:pStyle w:val="14"/>
        <w:jc w:val="center"/>
        <w:rPr>
          <w:rFonts w:ascii="Times New Roman" w:hAnsi="Times New Roman" w:cs="Times New Roman"/>
          <w:sz w:val="72"/>
          <w:szCs w:val="72"/>
        </w:rPr>
      </w:pPr>
    </w:p>
    <w:p w14:paraId="547ABA15">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8E259">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5EE8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12F9F">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075FC">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84BBF7">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284BBF7">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330ADE"/>
    <w:multiLevelType w:val="singleLevel"/>
    <w:tmpl w:val="B0330ADE"/>
    <w:lvl w:ilvl="0" w:tentative="0">
      <w:start w:val="4"/>
      <w:numFmt w:val="chineseCounting"/>
      <w:suff w:val="nothing"/>
      <w:lvlText w:val="%1、"/>
      <w:lvlJc w:val="left"/>
      <w:rPr>
        <w:rFonts w:hint="eastAsia"/>
      </w:rPr>
    </w:lvl>
  </w:abstractNum>
  <w:abstractNum w:abstractNumId="1">
    <w:nsid w:val="DC793AB1"/>
    <w:multiLevelType w:val="singleLevel"/>
    <w:tmpl w:val="DC793AB1"/>
    <w:lvl w:ilvl="0" w:tentative="0">
      <w:start w:val="1"/>
      <w:numFmt w:val="decimal"/>
      <w:lvlText w:val="%1."/>
      <w:lvlJc w:val="left"/>
      <w:pPr>
        <w:tabs>
          <w:tab w:val="left" w:pos="312"/>
        </w:tabs>
      </w:pPr>
    </w:lvl>
  </w:abstractNum>
  <w:abstractNum w:abstractNumId="2">
    <w:nsid w:val="F7D7745F"/>
    <w:multiLevelType w:val="singleLevel"/>
    <w:tmpl w:val="F7D7745F"/>
    <w:lvl w:ilvl="0" w:tentative="0">
      <w:start w:val="12"/>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2FDF85B8"/>
    <w:rsid w:val="2FFFEE04"/>
    <w:rsid w:val="34DF85B0"/>
    <w:rsid w:val="39EFC8FB"/>
    <w:rsid w:val="3B8F36BC"/>
    <w:rsid w:val="3EFF736C"/>
    <w:rsid w:val="491FF225"/>
    <w:rsid w:val="4FFD214C"/>
    <w:rsid w:val="5777D4F5"/>
    <w:rsid w:val="59DD8326"/>
    <w:rsid w:val="5DEF592A"/>
    <w:rsid w:val="5FC6BB1E"/>
    <w:rsid w:val="5FF720F1"/>
    <w:rsid w:val="67B92E8F"/>
    <w:rsid w:val="67FF5C0B"/>
    <w:rsid w:val="6EFC0924"/>
    <w:rsid w:val="6FB74722"/>
    <w:rsid w:val="6FEF8B7E"/>
    <w:rsid w:val="71A6591B"/>
    <w:rsid w:val="737D59BA"/>
    <w:rsid w:val="77C37683"/>
    <w:rsid w:val="79D19834"/>
    <w:rsid w:val="79FF515B"/>
    <w:rsid w:val="7BF549BF"/>
    <w:rsid w:val="7E9E1962"/>
    <w:rsid w:val="7E9F11B4"/>
    <w:rsid w:val="7F37EC1E"/>
    <w:rsid w:val="7F7DCD9D"/>
    <w:rsid w:val="7F7FC50E"/>
    <w:rsid w:val="7F970A6F"/>
    <w:rsid w:val="7FC1FFF3"/>
    <w:rsid w:val="7FC69637"/>
    <w:rsid w:val="7FDF8620"/>
    <w:rsid w:val="7FE8C8F7"/>
    <w:rsid w:val="7FFB242F"/>
    <w:rsid w:val="7FFDB408"/>
    <w:rsid w:val="7FFE4EEB"/>
    <w:rsid w:val="7FFFB843"/>
    <w:rsid w:val="95FB2B98"/>
    <w:rsid w:val="9A639BC2"/>
    <w:rsid w:val="9BFA491D"/>
    <w:rsid w:val="9FF7D786"/>
    <w:rsid w:val="ABBFB23D"/>
    <w:rsid w:val="B6AFFE39"/>
    <w:rsid w:val="C3B4DA5A"/>
    <w:rsid w:val="CBFF70E0"/>
    <w:rsid w:val="CFF50B82"/>
    <w:rsid w:val="CFFFAD89"/>
    <w:rsid w:val="D28FE68D"/>
    <w:rsid w:val="DFFE359E"/>
    <w:rsid w:val="DFFE4FFD"/>
    <w:rsid w:val="EEABED75"/>
    <w:rsid w:val="EF5FB846"/>
    <w:rsid w:val="F2E6D886"/>
    <w:rsid w:val="F56FDF51"/>
    <w:rsid w:val="F6B69F17"/>
    <w:rsid w:val="F77F1D61"/>
    <w:rsid w:val="F7FED3A9"/>
    <w:rsid w:val="F8C9DB26"/>
    <w:rsid w:val="F97E8EAE"/>
    <w:rsid w:val="FB36E1A6"/>
    <w:rsid w:val="FB3BE134"/>
    <w:rsid w:val="FCFF4275"/>
    <w:rsid w:val="FD7FEEEA"/>
    <w:rsid w:val="FDFFB577"/>
    <w:rsid w:val="FEEA50FE"/>
    <w:rsid w:val="FEFF4FF8"/>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36"/>
      <w:szCs w:val="48"/>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styleId="20">
    <w:name w:val="No Spacing"/>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48</Pages>
  <Words>1463</Words>
  <Characters>8342</Characters>
  <Lines>69</Lines>
  <Paragraphs>19</Paragraphs>
  <TotalTime>1</TotalTime>
  <ScaleCrop>false</ScaleCrop>
  <LinksUpToDate>false</LinksUpToDate>
  <CharactersWithSpaces>9786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2025-08-21T10:17:00Z</dcterms:created>
  <dc:creator>李航 null</dc:creator>
  <cp:lastModifiedBy>A梦</cp:lastModifiedBy>
  <cp:lastPrinted>2024-08-11T18:20:00Z</cp:lastPrinted>
  <dcterms:modified xsi:type="dcterms:W3CDTF">2026-10-12T17:01:31Z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ies>
</file>