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Ansi="黑体"/>
          <w:color w:val="auto"/>
          <w:sz w:val="36"/>
          <w:szCs w:val="36"/>
        </w:rPr>
      </w:pPr>
      <w:r>
        <w:rPr>
          <w:rFonts w:hint="eastAsia" w:hAnsi="黑体"/>
          <w:color w:val="auto"/>
          <w:sz w:val="36"/>
          <w:szCs w:val="36"/>
        </w:rPr>
        <w:t>附件1</w:t>
      </w:r>
    </w:p>
    <w:p>
      <w:pPr>
        <w:pStyle w:val="14"/>
        <w:jc w:val="center"/>
        <w:rPr>
          <w:rFonts w:ascii="Times New Roman" w:hAnsi="Times New Roman" w:cs="Times New Roman"/>
          <w:color w:val="auto"/>
          <w:sz w:val="56"/>
          <w:szCs w:val="56"/>
        </w:rPr>
      </w:pPr>
    </w:p>
    <w:p>
      <w:pPr>
        <w:pStyle w:val="14"/>
        <w:jc w:val="center"/>
        <w:rPr>
          <w:rFonts w:ascii="Times New Roman" w:hAnsi="Times New Roman" w:cs="Times New Roman"/>
          <w:color w:val="auto"/>
          <w:sz w:val="84"/>
          <w:szCs w:val="84"/>
        </w:rPr>
      </w:pPr>
    </w:p>
    <w:p>
      <w:pPr>
        <w:pStyle w:val="14"/>
        <w:jc w:val="center"/>
        <w:rPr>
          <w:rFonts w:ascii="Times New Roman" w:hAnsi="Times New Roman" w:cs="Times New Roman"/>
          <w:color w:val="auto"/>
          <w:sz w:val="84"/>
          <w:szCs w:val="84"/>
        </w:rPr>
      </w:pPr>
    </w:p>
    <w:p>
      <w:pPr>
        <w:pStyle w:val="14"/>
        <w:jc w:val="center"/>
        <w:rPr>
          <w:rFonts w:ascii="Times New Roman" w:hAnsi="Times New Roman" w:eastAsia="方正小标宋简体" w:cs="Times New Roman"/>
          <w:color w:val="auto"/>
          <w:sz w:val="72"/>
          <w:szCs w:val="72"/>
        </w:rPr>
      </w:pPr>
      <w:r>
        <w:rPr>
          <w:rFonts w:ascii="Times New Roman" w:hAnsi="Times New Roman" w:eastAsia="方正小标宋简体" w:cs="Times New Roman"/>
          <w:color w:val="auto"/>
          <w:sz w:val="72"/>
          <w:szCs w:val="72"/>
        </w:rPr>
        <w:t>2024年度</w:t>
      </w:r>
    </w:p>
    <w:p>
      <w:pPr>
        <w:pStyle w:val="14"/>
        <w:jc w:val="center"/>
        <w:rPr>
          <w:rFonts w:ascii="Times New Roman" w:hAnsi="Times New Roman" w:eastAsia="方正小标宋简体" w:cs="Times New Roman"/>
          <w:color w:val="auto"/>
          <w:sz w:val="72"/>
          <w:szCs w:val="72"/>
        </w:rPr>
      </w:pPr>
      <w:r>
        <w:rPr>
          <w:rFonts w:ascii="Times New Roman" w:hAnsi="Times New Roman" w:eastAsia="方正小标宋简体" w:cs="Times New Roman"/>
          <w:color w:val="auto"/>
          <w:sz w:val="72"/>
          <w:szCs w:val="72"/>
        </w:rPr>
        <w:t>怀化市库区移民事务中心</w:t>
      </w:r>
      <w:r>
        <w:rPr>
          <w:rFonts w:hint="default" w:ascii="Times New Roman" w:hAnsi="Times New Roman" w:eastAsia="方正小标宋简体" w:cs="Times New Roman"/>
          <w:color w:val="auto"/>
          <w:sz w:val="72"/>
          <w:szCs w:val="72"/>
        </w:rPr>
        <w:t xml:space="preserve"> </w:t>
      </w:r>
      <w:r>
        <w:rPr>
          <w:rFonts w:ascii="Times New Roman" w:hAnsi="Times New Roman" w:eastAsia="方正小标宋简体" w:cs="Times New Roman"/>
          <w:color w:val="auto"/>
          <w:sz w:val="72"/>
          <w:szCs w:val="72"/>
        </w:rPr>
        <w:t>部门决算</w:t>
      </w:r>
    </w:p>
    <w:p>
      <w:pPr>
        <w:pStyle w:val="14"/>
        <w:jc w:val="center"/>
        <w:rPr>
          <w:rFonts w:ascii="Times New Roman" w:hAnsi="Times New Roman" w:eastAsia="方正小标宋_GBK" w:cs="Times New Roman"/>
          <w:color w:val="auto"/>
          <w:sz w:val="56"/>
          <w:szCs w:val="56"/>
        </w:rPr>
      </w:pPr>
    </w:p>
    <w:p>
      <w:pPr>
        <w:pStyle w:val="14"/>
        <w:jc w:val="center"/>
        <w:rPr>
          <w:rFonts w:ascii="Times New Roman" w:hAnsi="Times New Roman" w:cs="Times New Roman"/>
          <w:color w:val="auto"/>
          <w:sz w:val="56"/>
          <w:szCs w:val="56"/>
        </w:rPr>
      </w:pPr>
    </w:p>
    <w:p>
      <w:pPr>
        <w:pStyle w:val="14"/>
        <w:rPr>
          <w:rFonts w:ascii="Times New Roman" w:hAnsi="Times New Roman" w:cs="Times New Roman"/>
          <w:color w:val="auto"/>
          <w:sz w:val="56"/>
          <w:szCs w:val="56"/>
        </w:rPr>
      </w:pPr>
    </w:p>
    <w:p>
      <w:pPr>
        <w:pStyle w:val="14"/>
        <w:jc w:val="center"/>
        <w:rPr>
          <w:rFonts w:ascii="Times New Roman" w:hAnsi="Times New Roman" w:cs="Times New Roman"/>
          <w:color w:val="auto"/>
          <w:sz w:val="32"/>
          <w:szCs w:val="32"/>
        </w:rPr>
      </w:pPr>
    </w:p>
    <w:p>
      <w:pPr>
        <w:pStyle w:val="14"/>
        <w:jc w:val="center"/>
        <w:rPr>
          <w:rFonts w:ascii="Times New Roman" w:hAnsi="Times New Roman" w:cs="Times New Roman"/>
          <w:color w:val="auto"/>
          <w:sz w:val="32"/>
          <w:szCs w:val="32"/>
        </w:rPr>
      </w:pPr>
    </w:p>
    <w:p>
      <w:pPr>
        <w:pStyle w:val="14"/>
        <w:jc w:val="center"/>
        <w:rPr>
          <w:rFonts w:ascii="Times New Roman" w:hAnsi="Times New Roman" w:cs="Times New Roman"/>
          <w:color w:val="auto"/>
          <w:sz w:val="32"/>
          <w:szCs w:val="32"/>
        </w:rPr>
      </w:pPr>
    </w:p>
    <w:p>
      <w:pPr>
        <w:pStyle w:val="14"/>
        <w:jc w:val="center"/>
        <w:rPr>
          <w:rFonts w:ascii="Times New Roman" w:hAnsi="Times New Roman" w:cs="Times New Roman"/>
          <w:color w:val="auto"/>
          <w:sz w:val="32"/>
          <w:szCs w:val="32"/>
        </w:rPr>
      </w:pPr>
    </w:p>
    <w:p>
      <w:pPr>
        <w:pStyle w:val="14"/>
        <w:spacing w:line="600" w:lineRule="exact"/>
        <w:jc w:val="both"/>
        <w:rPr>
          <w:rFonts w:ascii="Times New Roman" w:hAnsi="Times New Roman" w:cs="Times New Roman"/>
          <w:b/>
          <w:color w:val="auto"/>
          <w:sz w:val="36"/>
          <w:szCs w:val="28"/>
        </w:rPr>
      </w:pPr>
    </w:p>
    <w:p>
      <w:pPr>
        <w:pStyle w:val="14"/>
        <w:spacing w:line="600" w:lineRule="exact"/>
        <w:jc w:val="center"/>
        <w:rPr>
          <w:rFonts w:ascii="Times New Roman" w:hAnsi="Times New Roman" w:cs="Times New Roman"/>
          <w:bCs/>
          <w:color w:val="auto"/>
          <w:sz w:val="36"/>
          <w:szCs w:val="28"/>
        </w:rPr>
      </w:pPr>
      <w:r>
        <w:rPr>
          <w:rFonts w:ascii="Times New Roman" w:hAnsi="Times New Roman" w:cs="Times New Roman"/>
          <w:bCs/>
          <w:color w:val="auto"/>
          <w:sz w:val="36"/>
          <w:szCs w:val="28"/>
        </w:rPr>
        <w:t>目  录</w:t>
      </w:r>
    </w:p>
    <w:p>
      <w:pPr>
        <w:pStyle w:val="14"/>
        <w:spacing w:line="600" w:lineRule="exact"/>
        <w:jc w:val="center"/>
        <w:rPr>
          <w:rFonts w:ascii="Times New Roman" w:hAnsi="Times New Roman" w:cs="Times New Roman"/>
          <w:b/>
          <w:color w:val="auto"/>
          <w:sz w:val="36"/>
          <w:szCs w:val="28"/>
        </w:rPr>
      </w:pPr>
    </w:p>
    <w:p>
      <w:pPr>
        <w:pStyle w:val="14"/>
        <w:spacing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第一部分 怀化市库区移民事务中心概况</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一、部门职责</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二、机构设置及决算单位构成</w:t>
      </w:r>
    </w:p>
    <w:p>
      <w:pPr>
        <w:pStyle w:val="14"/>
        <w:spacing w:before="156" w:beforeLines="50"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第二部分 部门决算表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三、支出决算表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四、财政拨款收入支出决算总表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五、一般公共预算财政拨款支出决算表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六、一般公共预算财政拨款基本支出决算明细表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七、政府性基金预算财政拨款收入支出决算表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八、国有资本经营预算财政拨款支出决算表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九、财政拨款“三公”经费支出决算表</w:t>
      </w:r>
    </w:p>
    <w:p>
      <w:pPr>
        <w:pStyle w:val="14"/>
        <w:spacing w:before="156" w:beforeLines="50"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第三部分 部门决算情况说明</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一、收入支出决算总体情况说明</w:t>
      </w:r>
    </w:p>
    <w:p>
      <w:pPr>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八、政府性基金预算收入支出决算情况</w:t>
      </w:r>
    </w:p>
    <w:p>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九、国有资本经营预算收入支出决算情况</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十、关于机关运行经费支出说明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十一、一般性支出情况说明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sz w:val="32"/>
          <w:szCs w:val="32"/>
        </w:rPr>
        <w:t>十二、</w:t>
      </w:r>
      <w:r>
        <w:rPr>
          <w:rFonts w:ascii="Times New Roman" w:hAnsi="Times New Roman" w:eastAsia="仿宋_GB2312" w:cs="Times New Roman"/>
          <w:color w:val="auto"/>
          <w:kern w:val="0"/>
          <w:sz w:val="32"/>
          <w:szCs w:val="32"/>
        </w:rPr>
        <w:t>关于政府采购支出说明</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十三、关于国有资产占用情况说明</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十四、关于2024年度预算绩效管理情况的说明</w:t>
      </w:r>
    </w:p>
    <w:p>
      <w:pPr>
        <w:pStyle w:val="14"/>
        <w:spacing w:before="156" w:beforeLines="50"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第四部分 名词解释</w:t>
      </w:r>
    </w:p>
    <w:p>
      <w:pPr>
        <w:pStyle w:val="14"/>
        <w:spacing w:before="156" w:beforeLines="50"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第五部分 附件</w:t>
      </w:r>
    </w:p>
    <w:p>
      <w:pPr>
        <w:pStyle w:val="14"/>
        <w:spacing w:line="600" w:lineRule="exact"/>
        <w:rPr>
          <w:rFonts w:ascii="Times New Roman" w:hAnsi="Times New Roman" w:cs="Times New Roman"/>
          <w:bCs/>
          <w:color w:val="auto"/>
          <w:sz w:val="28"/>
          <w:szCs w:val="28"/>
        </w:rPr>
      </w:pPr>
    </w:p>
    <w:p>
      <w:pPr>
        <w:jc w:val="center"/>
        <w:rPr>
          <w:rFonts w:ascii="Times New Roman" w:hAnsi="Times New Roman" w:cs="Times New Roman"/>
          <w:color w:val="auto"/>
          <w:sz w:val="72"/>
          <w:szCs w:val="72"/>
        </w:rPr>
      </w:pPr>
    </w:p>
    <w:p>
      <w:pPr>
        <w:jc w:val="center"/>
        <w:rPr>
          <w:rFonts w:ascii="Times New Roman" w:hAnsi="Times New Roman" w:cs="Times New Roman"/>
          <w:color w:val="auto"/>
          <w:sz w:val="72"/>
          <w:szCs w:val="72"/>
        </w:rPr>
      </w:pPr>
    </w:p>
    <w:p>
      <w:pPr>
        <w:jc w:val="center"/>
        <w:rPr>
          <w:rFonts w:ascii="Times New Roman" w:hAnsi="Times New Roman" w:cs="Times New Roman"/>
          <w:color w:val="auto"/>
          <w:sz w:val="72"/>
          <w:szCs w:val="72"/>
        </w:rPr>
      </w:pPr>
    </w:p>
    <w:p>
      <w:pPr>
        <w:pStyle w:val="8"/>
        <w:rPr>
          <w:rFonts w:ascii="Times New Roman" w:hAnsi="Times New Roman" w:cs="Times New Roman"/>
          <w:color w:val="auto"/>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color w:val="auto"/>
          <w:sz w:val="72"/>
          <w:szCs w:val="72"/>
        </w:rPr>
      </w:pP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第一部分</w:t>
      </w: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怀化市库区移民事务中心概况</w:t>
      </w:r>
    </w:p>
    <w:p>
      <w:pPr>
        <w:pStyle w:val="4"/>
        <w:ind w:left="0" w:leftChars="0" w:firstLine="0" w:firstLineChars="0"/>
        <w:rPr>
          <w:rFonts w:ascii="Times New Roman" w:hAnsi="Times New Roman" w:cs="Times New Roman"/>
          <w:color w:val="auto"/>
        </w:rPr>
      </w:pPr>
    </w:p>
    <w:p>
      <w:pPr>
        <w:pStyle w:val="15"/>
        <w:spacing w:line="600" w:lineRule="exact"/>
        <w:ind w:firstLine="0" w:firstLineChars="0"/>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w:t>
      </w:r>
      <w:r>
        <w:rPr>
          <w:rFonts w:ascii="Times New Roman" w:hAnsi="Times New Roman" w:eastAsia="黑体" w:cs="Times New Roman"/>
          <w:color w:val="auto"/>
          <w:sz w:val="32"/>
          <w:szCs w:val="32"/>
        </w:rPr>
        <w:t>部门职责</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（一）为大中型水库工程建设征地实物调查细则、移民安置规划大纲、移民安置规划、移民后期扶持规划审查提供技术支持;承担大中型水库移民安置阶段验收及竣工验收的事务性工作。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（二）承担移民系统信息化管理和综合统计工作。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（三）承担大中型水库移民安置和后期扶持的事务性工作。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协助有关部门拟订市本级水库移民资金年度预算方案和安排方案；承担移民资金内部审计和绩效评价的事务性工作;承担水库移民后期扶持政策实施情况监测评估、稽察的事务性工作;为水库移民资金管理提供服务保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（五）协助开展水库移民工作法规、规章的研究和起草工作;承担大中型水库移民信访维权、行政复议、行政诉讼的事务性工作。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（六）协助推动水库移民对口帮扶工作;承担水库移民计划生育、综合治理、扶贫攻坚、安全生产的事务性工作。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（七）协助协调三峡移民工作。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（八）承担大中型水库移民培训的事务性工作。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（九）承担市水利局交办的其他工作。</w:t>
      </w:r>
    </w:p>
    <w:p>
      <w:pPr>
        <w:widowControl/>
        <w:spacing w:line="600" w:lineRule="exac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（一）内设机构设置。怀化市库区移民事务中心内设机构包括：办公室（人事部）、搬迁安置部、后期扶持部、资金财务部、信访维权部。</w:t>
      </w:r>
    </w:p>
    <w:p>
      <w:pPr>
        <w:pStyle w:val="14"/>
        <w:jc w:val="left"/>
        <w:rPr>
          <w:rFonts w:hint="eastAsia" w:ascii="Times New Roman" w:hAnsi="Times New Roman" w:eastAsia="仿宋_GB2312" w:cs="仿宋_GB2312"/>
          <w:bCs/>
          <w:color w:val="auto"/>
          <w:kern w:val="0"/>
          <w:sz w:val="32"/>
          <w:szCs w:val="32"/>
          <w:lang w:val="en-US" w:eastAsia="zh-CN"/>
        </w:rPr>
      </w:pPr>
      <w:r>
        <w:rPr>
          <w:rFonts w:hint="eastAsia" w:ascii="Times New Roman" w:hAnsi="Times New Roman" w:eastAsia="仿宋_GB2312" w:cs="仿宋_GB2312"/>
          <w:bCs/>
          <w:color w:val="auto"/>
          <w:kern w:val="0"/>
          <w:sz w:val="32"/>
          <w:szCs w:val="32"/>
          <w:lang w:val="en-US" w:eastAsia="zh-CN"/>
        </w:rPr>
        <w:t xml:space="preserve">    </w:t>
      </w:r>
      <w:r>
        <w:rPr>
          <w:rFonts w:hint="eastAsia" w:ascii="Times New Roman" w:hAnsi="Times New Roman" w:eastAsia="仿宋_GB2312" w:cs="仿宋_GB2312"/>
          <w:bCs/>
          <w:color w:val="auto"/>
          <w:kern w:val="0"/>
          <w:sz w:val="32"/>
          <w:szCs w:val="32"/>
        </w:rPr>
        <w:t>（二）决算单位构成。怀化市库区移民事务中心202</w:t>
      </w:r>
      <w:r>
        <w:rPr>
          <w:rFonts w:hint="default" w:ascii="Times New Roman" w:hAnsi="Times New Roman" w:eastAsia="仿宋_GB2312" w:cs="仿宋_GB2312"/>
          <w:bCs/>
          <w:color w:val="auto"/>
          <w:kern w:val="0"/>
          <w:sz w:val="32"/>
          <w:szCs w:val="32"/>
        </w:rPr>
        <w:t>4</w:t>
      </w:r>
      <w:r>
        <w:rPr>
          <w:rFonts w:hint="eastAsia" w:ascii="Times New Roman" w:hAnsi="Times New Roman" w:eastAsia="仿宋_GB2312" w:cs="仿宋_GB2312"/>
          <w:bCs/>
          <w:color w:val="auto"/>
          <w:kern w:val="0"/>
          <w:sz w:val="32"/>
          <w:szCs w:val="32"/>
        </w:rPr>
        <w:t>年部门决算汇总公开单位构成包括：怀化市库区移民事务中心本级</w:t>
      </w:r>
      <w:r>
        <w:rPr>
          <w:rFonts w:hint="eastAsia" w:ascii="Times New Roman" w:hAnsi="Times New Roman" w:eastAsia="仿宋_GB2312" w:cs="仿宋_GB2312"/>
          <w:bCs/>
          <w:color w:val="auto"/>
          <w:kern w:val="0"/>
          <w:sz w:val="32"/>
          <w:szCs w:val="32"/>
          <w:lang w:eastAsia="zh-CN"/>
        </w:rPr>
        <w:t>。</w:t>
      </w:r>
    </w:p>
    <w:p>
      <w:pPr>
        <w:jc w:val="cente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rPr>
      </w:pPr>
    </w:p>
    <w:p>
      <w:pPr>
        <w:pStyle w:val="8"/>
        <w:rPr>
          <w:rFonts w:ascii="Times New Roman" w:hAnsi="Times New Roman" w:cs="Times New Roman"/>
          <w:color w:val="auto"/>
        </w:rPr>
        <w:sectPr>
          <w:footerReference r:id="rId5" w:type="default"/>
          <w:pgSz w:w="11906" w:h="16838"/>
          <w:pgMar w:top="1417" w:right="1588" w:bottom="1417" w:left="1588" w:header="851" w:footer="992" w:gutter="0"/>
          <w:pgNumType w:start="1"/>
          <w:cols w:space="425" w:num="1"/>
          <w:docGrid w:type="lines" w:linePitch="312" w:charSpace="0"/>
        </w:sectPr>
      </w:pPr>
    </w:p>
    <w:p>
      <w:pPr>
        <w:pStyle w:val="14"/>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第二部分    部门决算表</w:t>
      </w:r>
    </w:p>
    <w:p>
      <w:pPr>
        <w:widowControl/>
        <w:spacing w:after="156" w:afterLines="50"/>
        <w:jc w:val="center"/>
        <w:textAlignment w:val="center"/>
        <w:rPr>
          <w:rFonts w:ascii="Times New Roman" w:hAnsi="Times New Roman" w:eastAsia="黑体" w:cs="Times New Roman"/>
          <w:color w:val="auto"/>
          <w:sz w:val="36"/>
          <w:szCs w:val="36"/>
        </w:rPr>
      </w:pPr>
      <w:r>
        <w:rPr>
          <w:rFonts w:ascii="Times New Roman" w:hAnsi="Times New Roman" w:eastAsia="黑体" w:cs="Times New Roman"/>
          <w:color w:val="auto"/>
          <w:kern w:val="0"/>
          <w:sz w:val="36"/>
          <w:szCs w:val="36"/>
          <w:lang w:bidi="ar"/>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kern w:val="0"/>
          <w:sz w:val="20"/>
          <w:szCs w:val="20"/>
          <w:lang w:bidi="ar"/>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lang w:bidi="ar"/>
        </w:rPr>
        <w:t>部门：</w:t>
      </w:r>
      <w:r>
        <w:rPr>
          <w:rFonts w:hint="eastAsia" w:ascii="Times New Roman" w:hAnsi="Times New Roman" w:eastAsia="仿宋_GB2312" w:cs="Times New Roman"/>
          <w:color w:val="auto"/>
          <w:kern w:val="0"/>
          <w:sz w:val="20"/>
          <w:szCs w:val="20"/>
          <w:lang w:bidi="ar"/>
        </w:rPr>
        <w:t>怀化市库区移民事务中心</w:t>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kern w:val="0"/>
          <w:sz w:val="20"/>
          <w:szCs w:val="20"/>
          <w:lang w:bidi="ar"/>
        </w:rPr>
        <w:t>单位：万元</w:t>
      </w:r>
    </w:p>
    <w:tbl>
      <w:tblPr>
        <w:tblStyle w:val="10"/>
        <w:tblW w:w="13899" w:type="dxa"/>
        <w:jc w:val="center"/>
        <w:tblLayout w:type="autofit"/>
        <w:tblCellMar>
          <w:top w:w="0" w:type="dxa"/>
          <w:left w:w="108" w:type="dxa"/>
          <w:bottom w:w="0" w:type="dxa"/>
          <w:right w:w="108" w:type="dxa"/>
        </w:tblCellMar>
      </w:tblPr>
      <w:tblGrid>
        <w:gridCol w:w="5376"/>
        <w:gridCol w:w="793"/>
        <w:gridCol w:w="1205"/>
        <w:gridCol w:w="4527"/>
        <w:gridCol w:w="793"/>
        <w:gridCol w:w="1205"/>
      </w:tblGrid>
      <w:tr>
        <w:tblPrEx>
          <w:tblCellMar>
            <w:top w:w="0" w:type="dxa"/>
            <w:left w:w="108" w:type="dxa"/>
            <w:bottom w:w="0" w:type="dxa"/>
            <w:right w:w="108" w:type="dxa"/>
          </w:tblCellMar>
        </w:tblPrEx>
        <w:trPr>
          <w:trHeight w:val="311"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支出</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决算数</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473.27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371.04</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60.05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color w:val="auto"/>
                <w:sz w:val="22"/>
              </w:rPr>
            </w:pPr>
            <w:r>
              <w:rPr>
                <w:rFonts w:ascii="Times New Roman" w:hAnsi="Times New Roman" w:eastAsia="仿宋_GB2312" w:cs="Times New Roman"/>
                <w:color w:val="auto"/>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color w:val="auto"/>
                <w:sz w:val="22"/>
              </w:rPr>
            </w:pPr>
            <w:r>
              <w:rPr>
                <w:rFonts w:ascii="Times New Roman" w:hAnsi="Times New Roman" w:eastAsia="仿宋_GB2312" w:cs="Times New Roman"/>
                <w:color w:val="auto"/>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color w:val="auto"/>
                <w:sz w:val="22"/>
              </w:rPr>
            </w:pPr>
            <w:r>
              <w:rPr>
                <w:rFonts w:ascii="Times New Roman" w:hAnsi="Times New Roman" w:eastAsia="仿宋_GB2312" w:cs="Times New Roman"/>
                <w:color w:val="auto"/>
                <w:sz w:val="22"/>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color w:val="auto"/>
                <w:sz w:val="22"/>
                <w:lang w:eastAsia="zh-CN"/>
              </w:rPr>
            </w:pPr>
            <w:r>
              <w:rPr>
                <w:rFonts w:ascii="Times New Roman" w:hAnsi="Times New Roman" w:eastAsia="仿宋_GB2312" w:cs="Times New Roman"/>
                <w:color w:val="auto"/>
                <w:sz w:val="22"/>
                <w:lang w:eastAsia="zh-CN"/>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color w:val="auto"/>
                <w:sz w:val="22"/>
                <w:lang w:eastAsia="zh-CN"/>
              </w:rPr>
            </w:pPr>
            <w:r>
              <w:rPr>
                <w:rFonts w:ascii="Times New Roman" w:hAnsi="Times New Roman" w:eastAsia="仿宋_GB2312" w:cs="Times New Roman"/>
                <w:color w:val="auto"/>
                <w:sz w:val="22"/>
                <w:lang w:eastAsia="zh-CN"/>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112.11</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b/>
                <w:color w:val="auto"/>
                <w:kern w:val="2"/>
                <w:sz w:val="22"/>
                <w:szCs w:val="22"/>
                <w:lang w:val="en-US" w:eastAsia="zh-CN" w:bidi="ar-SA"/>
              </w:rPr>
            </w:pPr>
            <w:r>
              <w:rPr>
                <w:rFonts w:ascii="Times New Roman" w:hAnsi="Times New Roman" w:eastAsia="仿宋_GB2312" w:cs="Times New Roman"/>
                <w:color w:val="auto"/>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auto"/>
                <w:kern w:val="2"/>
                <w:sz w:val="22"/>
                <w:szCs w:val="22"/>
                <w:lang w:val="en-US" w:eastAsia="zh-CN" w:bidi="ar-SA"/>
              </w:rPr>
            </w:pPr>
            <w:r>
              <w:rPr>
                <w:rFonts w:ascii="Times New Roman" w:hAnsi="Times New Roman" w:eastAsia="仿宋_GB2312" w:cs="Times New Roman"/>
                <w:b/>
                <w:color w:val="auto"/>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533.33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auto"/>
                <w:kern w:val="2"/>
                <w:sz w:val="22"/>
                <w:szCs w:val="22"/>
                <w:lang w:val="en-US" w:eastAsia="zh-CN" w:bidi="ar-SA"/>
              </w:rPr>
            </w:pPr>
            <w:r>
              <w:rPr>
                <w:rFonts w:ascii="Times New Roman" w:hAnsi="Times New Roman" w:eastAsia="仿宋_GB2312" w:cs="Times New Roman"/>
                <w:b/>
                <w:color w:val="auto"/>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533.33</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1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kern w:val="2"/>
                <w:sz w:val="22"/>
                <w:szCs w:val="22"/>
                <w:lang w:val="en-US" w:eastAsia="zh-CN" w:bidi="ar-SA"/>
              </w:rPr>
            </w:pPr>
            <w:r>
              <w:rPr>
                <w:rFonts w:ascii="Times New Roman" w:hAnsi="Times New Roman" w:eastAsia="仿宋_GB2312" w:cs="Times New Roman"/>
                <w:color w:val="auto"/>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0.00</w:t>
            </w:r>
          </w:p>
        </w:tc>
      </w:tr>
      <w:tr>
        <w:tblPrEx>
          <w:tblCellMar>
            <w:top w:w="0" w:type="dxa"/>
            <w:left w:w="108" w:type="dxa"/>
            <w:bottom w:w="0" w:type="dxa"/>
            <w:right w:w="108" w:type="dxa"/>
          </w:tblCellMar>
        </w:tblPrEx>
        <w:trPr>
          <w:trHeight w:val="32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auto"/>
                <w:kern w:val="2"/>
                <w:sz w:val="22"/>
                <w:szCs w:val="22"/>
                <w:lang w:val="en-US" w:eastAsia="zh-CN" w:bidi="ar-SA"/>
              </w:rPr>
            </w:pPr>
            <w:r>
              <w:rPr>
                <w:rFonts w:ascii="Times New Roman" w:hAnsi="Times New Roman" w:eastAsia="仿宋_GB2312" w:cs="Times New Roman"/>
                <w:b/>
                <w:color w:val="auto"/>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533.33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auto"/>
                <w:kern w:val="2"/>
                <w:sz w:val="22"/>
                <w:szCs w:val="22"/>
                <w:lang w:val="en-US" w:eastAsia="zh-CN" w:bidi="ar-SA"/>
              </w:rPr>
            </w:pPr>
            <w:r>
              <w:rPr>
                <w:rFonts w:ascii="Times New Roman" w:hAnsi="Times New Roman" w:eastAsia="仿宋_GB2312" w:cs="Times New Roman"/>
                <w:b/>
                <w:color w:val="auto"/>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533.33</w:t>
            </w:r>
          </w:p>
        </w:tc>
      </w:tr>
    </w:tbl>
    <w:p>
      <w:pPr>
        <w:widowControl/>
        <w:jc w:val="left"/>
        <w:textAlignment w:val="center"/>
        <w:rPr>
          <w:rFonts w:ascii="Times New Roman" w:hAnsi="Times New Roman" w:eastAsia="宋体" w:cs="Times New Roman"/>
          <w:color w:val="auto"/>
          <w:kern w:val="0"/>
          <w:sz w:val="24"/>
          <w:szCs w:val="24"/>
          <w:lang w:bidi="ar"/>
        </w:rPr>
      </w:pPr>
    </w:p>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注：1.本表反映部门本年度的总收支和年末结转结余情况。</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 xml:space="preserve">    2.本套报表金额单位转换时可能存在尾数误差。</w:t>
      </w:r>
    </w:p>
    <w:p>
      <w:pPr>
        <w:rPr>
          <w:rFonts w:ascii="Times New Roman" w:hAnsi="Times New Roman" w:eastAsia="黑体" w:cs="Times New Roman"/>
          <w:color w:val="auto"/>
          <w:kern w:val="0"/>
          <w:sz w:val="32"/>
          <w:szCs w:val="32"/>
          <w:lang w:bidi="ar"/>
        </w:rPr>
      </w:pPr>
      <w:r>
        <w:rPr>
          <w:rFonts w:ascii="Times New Roman" w:hAnsi="Times New Roman" w:eastAsia="华文中宋" w:cs="Times New Roman"/>
          <w:color w:val="auto"/>
          <w:sz w:val="32"/>
          <w:szCs w:val="32"/>
        </w:rPr>
        <w:br w:type="page"/>
      </w:r>
    </w:p>
    <w:p>
      <w:pPr>
        <w:widowControl/>
        <w:spacing w:after="156" w:afterLines="50"/>
        <w:jc w:val="center"/>
        <w:textAlignment w:val="center"/>
        <w:rPr>
          <w:rFonts w:ascii="Times New Roman" w:hAnsi="Times New Roman" w:eastAsia="黑体" w:cs="Times New Roman"/>
          <w:color w:val="auto"/>
          <w:kern w:val="0"/>
          <w:sz w:val="36"/>
          <w:szCs w:val="36"/>
          <w:lang w:bidi="ar"/>
        </w:rPr>
      </w:pPr>
      <w:r>
        <w:rPr>
          <w:rFonts w:ascii="Times New Roman" w:hAnsi="Times New Roman" w:eastAsia="黑体" w:cs="Times New Roman"/>
          <w:color w:val="auto"/>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auto"/>
          <w:sz w:val="20"/>
          <w:szCs w:val="20"/>
        </w:rPr>
      </w:pP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auto"/>
          <w:sz w:val="20"/>
          <w:szCs w:val="20"/>
        </w:rPr>
      </w:pPr>
      <w:r>
        <w:rPr>
          <w:rFonts w:ascii="Times New Roman" w:hAnsi="Times New Roman" w:eastAsia="仿宋_GB2312" w:cs="Times New Roman"/>
          <w:color w:val="auto"/>
          <w:sz w:val="20"/>
          <w:szCs w:val="20"/>
        </w:rPr>
        <w:t>部门：</w:t>
      </w:r>
      <w:r>
        <w:rPr>
          <w:rFonts w:ascii="Times New Roman" w:hAnsi="Times New Roman" w:eastAsia="仿宋_GB2312" w:cs="Times New Roman"/>
          <w:color w:val="auto"/>
          <w:sz w:val="20"/>
          <w:szCs w:val="20"/>
        </w:rPr>
        <w:tab/>
      </w:r>
      <w:r>
        <w:rPr>
          <w:rFonts w:hint="eastAsia" w:ascii="Times New Roman" w:hAnsi="Times New Roman" w:eastAsia="仿宋_GB2312" w:cs="Times New Roman"/>
          <w:color w:val="auto"/>
          <w:sz w:val="20"/>
          <w:szCs w:val="20"/>
        </w:rPr>
        <w:t>怀化市库区移民事务中心</w:t>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0"/>
          <w:szCs w:val="20"/>
        </w:rPr>
        <w:t>　</w:t>
      </w:r>
      <w:r>
        <w:rPr>
          <w:rFonts w:ascii="Times New Roman" w:hAnsi="Times New Roman" w:eastAsia="仿宋_GB2312" w:cs="Times New Roman"/>
          <w:color w:val="auto"/>
          <w:sz w:val="20"/>
          <w:szCs w:val="20"/>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0"/>
          <w:szCs w:val="20"/>
        </w:rPr>
        <w:t>单位：万元</w:t>
      </w:r>
    </w:p>
    <w:tbl>
      <w:tblPr>
        <w:tblStyle w:val="10"/>
        <w:tblW w:w="1413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807"/>
        <w:gridCol w:w="807"/>
        <w:gridCol w:w="4014"/>
        <w:gridCol w:w="1174"/>
        <w:gridCol w:w="1174"/>
        <w:gridCol w:w="1058"/>
        <w:gridCol w:w="1058"/>
        <w:gridCol w:w="1058"/>
        <w:gridCol w:w="1058"/>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21"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科目代码</w:t>
            </w:r>
          </w:p>
        </w:tc>
        <w:tc>
          <w:tcPr>
            <w:tcW w:w="4014"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科目名称</w:t>
            </w:r>
          </w:p>
        </w:tc>
        <w:tc>
          <w:tcPr>
            <w:tcW w:w="117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本年收入合计</w:t>
            </w:r>
          </w:p>
        </w:tc>
        <w:tc>
          <w:tcPr>
            <w:tcW w:w="117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财政拨款收入</w:t>
            </w:r>
          </w:p>
        </w:tc>
        <w:tc>
          <w:tcPr>
            <w:tcW w:w="105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上级补助收入</w:t>
            </w:r>
          </w:p>
        </w:tc>
        <w:tc>
          <w:tcPr>
            <w:tcW w:w="105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事业收入</w:t>
            </w:r>
          </w:p>
        </w:tc>
        <w:tc>
          <w:tcPr>
            <w:tcW w:w="105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经营收入</w:t>
            </w:r>
          </w:p>
        </w:tc>
        <w:tc>
          <w:tcPr>
            <w:tcW w:w="105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附属单位上缴收入</w:t>
            </w:r>
          </w:p>
        </w:tc>
        <w:tc>
          <w:tcPr>
            <w:tcW w:w="11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2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401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1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2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401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1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2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401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0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1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栏次</w:t>
            </w:r>
          </w:p>
        </w:tc>
        <w:tc>
          <w:tcPr>
            <w:tcW w:w="117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117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105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105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105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105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c>
          <w:tcPr>
            <w:tcW w:w="11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533.33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473.27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60.05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其他水利支出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bl>
    <w:p>
      <w:pPr>
        <w:spacing w:before="120"/>
        <w:rPr>
          <w:rFonts w:ascii="Times New Roman" w:hAnsi="Times New Roman" w:eastAsia="黑体" w:cs="Times New Roman"/>
          <w:color w:val="auto"/>
          <w:kern w:val="0"/>
          <w:sz w:val="32"/>
          <w:szCs w:val="32"/>
          <w:lang w:bidi="ar"/>
        </w:rPr>
      </w:pPr>
      <w:r>
        <w:rPr>
          <w:rFonts w:ascii="Times New Roman" w:hAnsi="Times New Roman" w:eastAsia="仿宋_GB2312" w:cs="Times New Roman"/>
          <w:color w:val="auto"/>
        </w:rPr>
        <w:t>注：本表反映部门本年度取得的各项收入情况。</w:t>
      </w:r>
      <w:r>
        <w:rPr>
          <w:rFonts w:ascii="Times New Roman" w:hAnsi="Times New Roman" w:eastAsia="黑体" w:cs="Times New Roman"/>
          <w:bCs/>
          <w:color w:val="auto"/>
          <w:kern w:val="0"/>
          <w:sz w:val="32"/>
          <w:szCs w:val="32"/>
        </w:rPr>
        <w:t xml:space="preserve"> </w:t>
      </w:r>
    </w:p>
    <w:p>
      <w:pPr>
        <w:widowControl/>
        <w:spacing w:after="156" w:afterLines="50"/>
        <w:jc w:val="center"/>
        <w:textAlignment w:val="center"/>
        <w:rPr>
          <w:rFonts w:ascii="Times New Roman" w:hAnsi="Times New Roman" w:eastAsia="黑体" w:cs="Times New Roman"/>
          <w:color w:val="auto"/>
          <w:kern w:val="0"/>
          <w:sz w:val="36"/>
          <w:szCs w:val="36"/>
          <w:lang w:bidi="ar"/>
        </w:rPr>
      </w:pPr>
      <w:r>
        <w:rPr>
          <w:rFonts w:ascii="Times New Roman" w:hAnsi="Times New Roman" w:eastAsia="黑体" w:cs="Times New Roman"/>
          <w:color w:val="auto"/>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部门：</w:t>
      </w:r>
      <w:r>
        <w:rPr>
          <w:rFonts w:hint="eastAsia" w:ascii="Times New Roman" w:hAnsi="Times New Roman" w:eastAsia="仿宋_GB2312" w:cs="Times New Roman"/>
          <w:color w:val="auto"/>
          <w:kern w:val="0"/>
          <w:sz w:val="20"/>
          <w:szCs w:val="20"/>
        </w:rPr>
        <w:t>怀化市库区移民事务中心</w:t>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0"/>
          <w:szCs w:val="20"/>
        </w:rPr>
        <w:t>　</w:t>
      </w:r>
      <w:r>
        <w:rPr>
          <w:rFonts w:ascii="Times New Roman" w:hAnsi="Times New Roman" w:eastAsia="仿宋_GB2312" w:cs="Times New Roman"/>
          <w:color w:val="auto"/>
          <w:kern w:val="0"/>
          <w:sz w:val="20"/>
          <w:szCs w:val="20"/>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0"/>
          <w:szCs w:val="20"/>
        </w:rPr>
        <w:t>单位：万元</w:t>
      </w:r>
    </w:p>
    <w:tbl>
      <w:tblPr>
        <w:tblStyle w:val="10"/>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956"/>
        <w:gridCol w:w="1516"/>
        <w:gridCol w:w="1517"/>
        <w:gridCol w:w="1517"/>
        <w:gridCol w:w="1453"/>
        <w:gridCol w:w="1453"/>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科目代码</w:t>
            </w:r>
          </w:p>
        </w:tc>
        <w:tc>
          <w:tcPr>
            <w:tcW w:w="3956"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科目名称</w:t>
            </w:r>
          </w:p>
        </w:tc>
        <w:tc>
          <w:tcPr>
            <w:tcW w:w="15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本年支出合计</w:t>
            </w:r>
          </w:p>
        </w:tc>
        <w:tc>
          <w:tcPr>
            <w:tcW w:w="151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基本支出</w:t>
            </w:r>
          </w:p>
        </w:tc>
        <w:tc>
          <w:tcPr>
            <w:tcW w:w="151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项目支出</w:t>
            </w:r>
          </w:p>
        </w:tc>
        <w:tc>
          <w:tcPr>
            <w:tcW w:w="145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上缴上级支出</w:t>
            </w:r>
          </w:p>
        </w:tc>
        <w:tc>
          <w:tcPr>
            <w:tcW w:w="145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经营支出</w:t>
            </w:r>
          </w:p>
        </w:tc>
        <w:tc>
          <w:tcPr>
            <w:tcW w:w="145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15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5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5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15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5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5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15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5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5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4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栏次</w:t>
            </w:r>
          </w:p>
        </w:tc>
        <w:tc>
          <w:tcPr>
            <w:tcW w:w="15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151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151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145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145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145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533.33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421.22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其他水利支出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bl>
    <w:p>
      <w:pPr>
        <w:widowControl/>
        <w:spacing w:before="120"/>
        <w:jc w:val="left"/>
        <w:rPr>
          <w:rFonts w:ascii="Times New Roman" w:hAnsi="Times New Roman" w:eastAsia="宋体" w:cs="Times New Roman"/>
          <w:color w:val="auto"/>
          <w:kern w:val="0"/>
          <w:sz w:val="24"/>
          <w:szCs w:val="24"/>
        </w:rPr>
      </w:pPr>
      <w:r>
        <w:rPr>
          <w:rFonts w:ascii="Times New Roman" w:hAnsi="Times New Roman" w:eastAsia="仿宋_GB2312" w:cs="Times New Roman"/>
          <w:color w:val="auto"/>
          <w:kern w:val="0"/>
          <w:sz w:val="24"/>
          <w:szCs w:val="24"/>
        </w:rPr>
        <w:t>注：本表反映部门本年度各项支出情况。</w:t>
      </w:r>
      <w:bookmarkStart w:id="0" w:name="RANGE!A1:I22"/>
      <w:bookmarkEnd w:id="0"/>
      <w:bookmarkStart w:id="1" w:name="RANGE!A1:F16"/>
      <w:r>
        <w:rPr>
          <w:rFonts w:ascii="Times New Roman" w:hAnsi="Times New Roman" w:eastAsia="宋体" w:cs="Times New Roman"/>
          <w:color w:val="auto"/>
          <w:kern w:val="0"/>
          <w:sz w:val="24"/>
          <w:szCs w:val="24"/>
        </w:rPr>
        <w:tab/>
      </w:r>
      <w:r>
        <w:rPr>
          <w:rFonts w:ascii="Times New Roman" w:hAnsi="Times New Roman" w:eastAsia="宋体" w:cs="Times New Roman"/>
          <w:color w:val="auto"/>
          <w:kern w:val="0"/>
          <w:sz w:val="24"/>
          <w:szCs w:val="24"/>
        </w:rPr>
        <w:tab/>
      </w:r>
    </w:p>
    <w:p>
      <w:pPr>
        <w:widowControl/>
        <w:spacing w:after="156" w:afterLines="50"/>
        <w:jc w:val="center"/>
        <w:textAlignment w:val="center"/>
        <w:rPr>
          <w:rFonts w:ascii="Times New Roman" w:hAnsi="Times New Roman" w:eastAsia="黑体" w:cs="Times New Roman"/>
          <w:color w:val="auto"/>
          <w:kern w:val="0"/>
          <w:sz w:val="36"/>
          <w:szCs w:val="36"/>
          <w:lang w:bidi="ar"/>
        </w:rPr>
      </w:pPr>
      <w:r>
        <w:rPr>
          <w:rFonts w:ascii="Times New Roman" w:hAnsi="Times New Roman" w:eastAsia="黑体" w:cs="Times New Roman"/>
          <w:color w:val="auto"/>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 xml:space="preserve">                                                                                                                  公开04表</w:t>
      </w:r>
    </w:p>
    <w:p>
      <w:pPr>
        <w:pStyle w:val="8"/>
        <w:rPr>
          <w:rFonts w:hint="default"/>
          <w:color w:val="auto"/>
        </w:rPr>
      </w:pPr>
      <w:r>
        <w:rPr>
          <w:rFonts w:ascii="Times New Roman" w:hAnsi="Times New Roman" w:eastAsia="仿宋_GB2312" w:cs="Times New Roman"/>
          <w:color w:val="auto"/>
          <w:kern w:val="0"/>
          <w:sz w:val="20"/>
          <w:szCs w:val="20"/>
        </w:rPr>
        <w:t>部门：</w:t>
      </w:r>
      <w:r>
        <w:rPr>
          <w:rFonts w:hint="eastAsia" w:ascii="Times New Roman" w:hAnsi="Times New Roman" w:eastAsia="仿宋_GB2312" w:cs="Times New Roman"/>
          <w:color w:val="auto"/>
          <w:kern w:val="0"/>
          <w:sz w:val="20"/>
          <w:szCs w:val="20"/>
        </w:rPr>
        <w:t>怀化市库区移民事务中心</w:t>
      </w:r>
      <w:r>
        <w:rPr>
          <w:rFonts w:hint="default"/>
          <w:color w:val="auto"/>
        </w:rPr>
        <w:t xml:space="preserve">                                                                                             </w:t>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0"/>
          <w:szCs w:val="20"/>
        </w:rPr>
        <w:t>单位：万元</w:t>
      </w:r>
    </w:p>
    <w:tbl>
      <w:tblPr>
        <w:tblStyle w:val="10"/>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9"/>
        <w:gridCol w:w="470"/>
        <w:gridCol w:w="884"/>
        <w:gridCol w:w="2683"/>
        <w:gridCol w:w="499"/>
        <w:gridCol w:w="942"/>
        <w:gridCol w:w="1615"/>
        <w:gridCol w:w="1736"/>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553"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收     入</w:t>
            </w:r>
          </w:p>
        </w:tc>
        <w:tc>
          <w:tcPr>
            <w:tcW w:w="8608"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29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项目</w:t>
            </w:r>
          </w:p>
        </w:tc>
        <w:tc>
          <w:tcPr>
            <w:tcW w:w="4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行次</w:t>
            </w:r>
          </w:p>
        </w:tc>
        <w:tc>
          <w:tcPr>
            <w:tcW w:w="82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金额</w:t>
            </w:r>
          </w:p>
        </w:tc>
        <w:tc>
          <w:tcPr>
            <w:tcW w:w="24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项目</w:t>
            </w:r>
          </w:p>
        </w:tc>
        <w:tc>
          <w:tcPr>
            <w:tcW w:w="4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行次</w:t>
            </w:r>
          </w:p>
        </w:tc>
        <w:tc>
          <w:tcPr>
            <w:tcW w:w="87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合计</w:t>
            </w:r>
          </w:p>
        </w:tc>
        <w:tc>
          <w:tcPr>
            <w:tcW w:w="15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一般公共预算财政拨款</w:t>
            </w:r>
          </w:p>
        </w:tc>
        <w:tc>
          <w:tcPr>
            <w:tcW w:w="16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政府性基金预算财政拨款</w:t>
            </w:r>
          </w:p>
        </w:tc>
        <w:tc>
          <w:tcPr>
            <w:tcW w:w="166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29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4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82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4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4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87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15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6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16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栏次</w:t>
            </w:r>
          </w:p>
        </w:tc>
        <w:tc>
          <w:tcPr>
            <w:tcW w:w="436" w:type="dxa"/>
            <w:tcBorders>
              <w:top w:val="nil"/>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82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栏次</w:t>
            </w:r>
          </w:p>
        </w:tc>
        <w:tc>
          <w:tcPr>
            <w:tcW w:w="463" w:type="dxa"/>
            <w:tcBorders>
              <w:top w:val="nil"/>
              <w:left w:val="nil"/>
              <w:bottom w:val="single" w:color="000000" w:sz="4" w:space="0"/>
              <w:right w:val="single" w:color="000000" w:sz="4" w:space="0"/>
            </w:tcBorders>
            <w:shd w:val="clear" w:color="FFFFFF" w:fill="C0C0C0"/>
            <w:noWrap/>
            <w:vAlign w:val="center"/>
          </w:tcPr>
          <w:p>
            <w:pPr>
              <w:jc w:val="center"/>
              <w:rPr>
                <w:rFonts w:hint="eastAsia" w:ascii="仿宋_GB2312" w:hAnsi="仿宋_GB2312" w:eastAsia="仿宋_GB2312" w:cs="仿宋_GB2312"/>
                <w:i w:val="0"/>
                <w:color w:val="auto"/>
                <w:sz w:val="21"/>
                <w:szCs w:val="21"/>
                <w:u w:val="none"/>
              </w:rPr>
            </w:pPr>
          </w:p>
        </w:tc>
        <w:tc>
          <w:tcPr>
            <w:tcW w:w="8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15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1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16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一、一般公共预算财政拨款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473.27</w:t>
            </w: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一、一般公共服务支出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20</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二、政府性基金预算财政拨款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二、外交支出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21</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三、国有资本经营预算财政拨款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三、国防支出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22</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四、公共安全支出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23</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五、教育支出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24</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六、科学技术支出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25</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七、文化旅游体育与传媒支出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26</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八、社会保障和就业支出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27</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九、卫生健康支出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28</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十、节能环保支出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29</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十一、城乡社区支出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30</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十二、农林水支出</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31</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color w:val="auto"/>
                <w:kern w:val="0"/>
                <w:sz w:val="21"/>
                <w:szCs w:val="21"/>
                <w:lang w:bidi="ar"/>
              </w:rPr>
              <w:t>……</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32</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本年收入合计</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14</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473.27</w:t>
            </w: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本年支出合计</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33</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473.27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473.27</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年初结转和结余</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15</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年末结转和结余</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34</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一般公共预算财政拨款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16</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491" w:type="dxa"/>
            <w:tcBorders>
              <w:top w:val="nil"/>
              <w:left w:val="nil"/>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35</w:t>
            </w:r>
          </w:p>
        </w:tc>
        <w:tc>
          <w:tcPr>
            <w:tcW w:w="8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612"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667"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政府性基金预算财政拨款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17</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491" w:type="dxa"/>
            <w:tcBorders>
              <w:top w:val="nil"/>
              <w:left w:val="nil"/>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36</w:t>
            </w:r>
          </w:p>
        </w:tc>
        <w:tc>
          <w:tcPr>
            <w:tcW w:w="8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612"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667"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国有资本经营预算财政拨款</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18</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491" w:type="dxa"/>
            <w:tcBorders>
              <w:top w:val="nil"/>
              <w:left w:val="nil"/>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37</w:t>
            </w:r>
          </w:p>
        </w:tc>
        <w:tc>
          <w:tcPr>
            <w:tcW w:w="875"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612"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1667" w:type="dxa"/>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29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总计</w:t>
            </w:r>
          </w:p>
        </w:tc>
        <w:tc>
          <w:tcPr>
            <w:tcW w:w="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19</w:t>
            </w:r>
          </w:p>
        </w:tc>
        <w:tc>
          <w:tcPr>
            <w:tcW w:w="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473.27</w:t>
            </w:r>
          </w:p>
        </w:tc>
        <w:tc>
          <w:tcPr>
            <w:tcW w:w="2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总计</w:t>
            </w:r>
          </w:p>
        </w:tc>
        <w:tc>
          <w:tcPr>
            <w:tcW w:w="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eastAsia="zh-CN" w:bidi="ar"/>
              </w:rPr>
              <w:t>38</w:t>
            </w:r>
          </w:p>
        </w:tc>
        <w:tc>
          <w:tcPr>
            <w:tcW w:w="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473.27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473.27</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bl>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p>
    <w:p>
      <w:pPr>
        <w:widowControl/>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注：</w:t>
      </w:r>
      <w:r>
        <w:rPr>
          <w:rFonts w:ascii="Times New Roman" w:hAnsi="Times New Roman" w:eastAsia="仿宋_GB2312" w:cs="Times New Roman"/>
          <w:color w:val="auto"/>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color w:val="auto"/>
          <w:kern w:val="0"/>
          <w:sz w:val="36"/>
          <w:szCs w:val="36"/>
        </w:rPr>
      </w:pPr>
    </w:p>
    <w:p>
      <w:pPr>
        <w:widowControl/>
        <w:spacing w:after="156" w:afterLines="50"/>
        <w:jc w:val="center"/>
        <w:textAlignment w:val="center"/>
        <w:rPr>
          <w:rFonts w:ascii="Times New Roman" w:hAnsi="Times New Roman" w:eastAsia="黑体" w:cs="Times New Roman"/>
          <w:color w:val="auto"/>
          <w:kern w:val="0"/>
          <w:sz w:val="36"/>
          <w:szCs w:val="36"/>
          <w:lang w:bidi="ar"/>
        </w:rPr>
      </w:pPr>
      <w:r>
        <w:rPr>
          <w:rFonts w:ascii="Times New Roman" w:hAnsi="Times New Roman" w:eastAsia="黑体" w:cs="Times New Roman"/>
          <w:color w:val="auto"/>
          <w:kern w:val="0"/>
          <w:sz w:val="36"/>
          <w:szCs w:val="36"/>
          <w:lang w:bidi="ar"/>
        </w:rPr>
        <w:t>一般公共预算财政拨款支出决算表</w:t>
      </w:r>
      <w:bookmarkEnd w:id="1"/>
    </w:p>
    <w:p>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Cs w:val="21"/>
        </w:rPr>
        <w:t xml:space="preserve">                                                </w:t>
      </w:r>
      <w:r>
        <w:rPr>
          <w:rFonts w:hint="default"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 w:val="20"/>
          <w:szCs w:val="20"/>
        </w:rPr>
        <w:t>公开05表</w:t>
      </w:r>
    </w:p>
    <w:p>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部门：</w:t>
      </w:r>
      <w:r>
        <w:rPr>
          <w:rFonts w:hint="eastAsia" w:ascii="Times New Roman" w:hAnsi="Times New Roman" w:eastAsia="仿宋_GB2312" w:cs="Times New Roman"/>
          <w:color w:val="auto"/>
          <w:kern w:val="0"/>
          <w:sz w:val="20"/>
          <w:szCs w:val="20"/>
        </w:rPr>
        <w:t>怀化市库区移民事务中心</w:t>
      </w:r>
      <w:r>
        <w:rPr>
          <w:rFonts w:ascii="Times New Roman" w:hAnsi="Times New Roman" w:eastAsia="仿宋_GB2312" w:cs="Times New Roman"/>
          <w:color w:val="auto"/>
          <w:kern w:val="0"/>
          <w:sz w:val="20"/>
          <w:szCs w:val="20"/>
        </w:rPr>
        <w:t xml:space="preserve">        </w:t>
      </w:r>
      <w:r>
        <w:rPr>
          <w:rFonts w:hint="default" w:ascii="Times New Roman" w:hAnsi="Times New Roman" w:eastAsia="仿宋_GB2312" w:cs="Times New Roman"/>
          <w:color w:val="auto"/>
          <w:kern w:val="0"/>
          <w:sz w:val="20"/>
          <w:szCs w:val="20"/>
        </w:rPr>
        <w:t xml:space="preserve">                                                                       </w:t>
      </w:r>
      <w:r>
        <w:rPr>
          <w:rFonts w:ascii="Times New Roman" w:hAnsi="Times New Roman" w:eastAsia="仿宋_GB2312" w:cs="Times New Roman"/>
          <w:color w:val="auto"/>
          <w:kern w:val="0"/>
          <w:sz w:val="20"/>
          <w:szCs w:val="20"/>
        </w:rPr>
        <w:t xml:space="preserve"> </w:t>
      </w:r>
      <w:r>
        <w:rPr>
          <w:rFonts w:hint="default" w:ascii="Times New Roman" w:hAnsi="Times New Roman" w:eastAsia="仿宋_GB2312" w:cs="Times New Roman"/>
          <w:color w:val="auto"/>
          <w:kern w:val="0"/>
          <w:sz w:val="20"/>
          <w:szCs w:val="20"/>
        </w:rPr>
        <w:t xml:space="preserve">       </w:t>
      </w:r>
      <w:r>
        <w:rPr>
          <w:rFonts w:ascii="Times New Roman" w:hAnsi="Times New Roman" w:eastAsia="仿宋_GB2312" w:cs="Times New Roman"/>
          <w:color w:val="auto"/>
          <w:kern w:val="0"/>
          <w:sz w:val="20"/>
          <w:szCs w:val="20"/>
        </w:rPr>
        <w:t xml:space="preserve">单位：万元 </w:t>
      </w:r>
    </w:p>
    <w:tbl>
      <w:tblPr>
        <w:tblStyle w:val="10"/>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485"/>
        <w:gridCol w:w="485"/>
        <w:gridCol w:w="4404"/>
        <w:gridCol w:w="2664"/>
        <w:gridCol w:w="2796"/>
        <w:gridCol w:w="2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科目代码</w:t>
            </w:r>
          </w:p>
        </w:tc>
        <w:tc>
          <w:tcPr>
            <w:tcW w:w="395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科目名称</w:t>
            </w:r>
          </w:p>
        </w:tc>
        <w:tc>
          <w:tcPr>
            <w:tcW w:w="746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39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合计</w:t>
            </w:r>
          </w:p>
        </w:tc>
        <w:tc>
          <w:tcPr>
            <w:tcW w:w="25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基本支出</w:t>
            </w:r>
          </w:p>
        </w:tc>
        <w:tc>
          <w:tcPr>
            <w:tcW w:w="25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39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5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5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39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5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5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类</w:t>
            </w:r>
          </w:p>
        </w:tc>
        <w:tc>
          <w:tcPr>
            <w:tcW w:w="4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39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栏次</w:t>
            </w:r>
          </w:p>
        </w:tc>
        <w:tc>
          <w:tcPr>
            <w:tcW w:w="239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25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25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3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4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4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39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合计</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473.27</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361.17</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112.11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一般公共服务支出</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政府办公厅（室）及相关机构事务</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2010301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行政运行</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316.61</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社会保障和就业支出</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行政事业单位养老支出</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机关事业单位基本养老保险缴费支出</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卫生健康支出</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行政事业单位医疗</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2101101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行政单位医疗</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农林水支出</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水利</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大中型水库移民后期扶持专项支出</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58.60</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2130399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其他水利支出</w:t>
            </w:r>
          </w:p>
        </w:tc>
        <w:tc>
          <w:tcPr>
            <w:tcW w:w="2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53.50</w:t>
            </w:r>
          </w:p>
        </w:tc>
        <w:tc>
          <w:tcPr>
            <w:tcW w:w="2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25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53.50</w:t>
            </w:r>
          </w:p>
        </w:tc>
      </w:tr>
    </w:tbl>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p>
      <w:pPr>
        <w:widowControl/>
        <w:spacing w:after="120"/>
        <w:jc w:val="center"/>
        <w:textAlignment w:val="center"/>
        <w:rPr>
          <w:rFonts w:ascii="Times New Roman" w:hAnsi="Times New Roman" w:eastAsia="黑体" w:cs="Times New Roman"/>
          <w:color w:val="auto"/>
          <w:kern w:val="0"/>
          <w:sz w:val="36"/>
          <w:szCs w:val="36"/>
          <w:lang w:bidi="ar"/>
        </w:rPr>
      </w:pPr>
      <w:bookmarkStart w:id="2" w:name="RANGE!A1:I34"/>
      <w:r>
        <w:rPr>
          <w:rFonts w:ascii="Times New Roman" w:hAnsi="Times New Roman" w:eastAsia="黑体" w:cs="Times New Roman"/>
          <w:color w:val="auto"/>
          <w:kern w:val="0"/>
          <w:sz w:val="36"/>
          <w:szCs w:val="36"/>
          <w:lang w:bidi="ar"/>
        </w:rPr>
        <w:t>一般公共预算财政拨款基本支出决算明细表</w:t>
      </w:r>
      <w:bookmarkEnd w:id="2"/>
    </w:p>
    <w:p>
      <w:pPr>
        <w:widowControl/>
        <w:wordWrap w:val="0"/>
        <w:spacing w:line="240" w:lineRule="exact"/>
        <w:jc w:val="both"/>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w:t>
      </w:r>
      <w:r>
        <w:rPr>
          <w:rFonts w:hint="eastAsia" w:ascii="Times New Roman" w:hAnsi="Times New Roman" w:eastAsia="仿宋_GB2312" w:cs="Times New Roman"/>
          <w:color w:val="auto"/>
          <w:kern w:val="0"/>
          <w:szCs w:val="21"/>
        </w:rPr>
        <w:t>怀化市库区移民事务中心</w:t>
      </w:r>
      <w:r>
        <w:rPr>
          <w:rFonts w:ascii="Times New Roman" w:hAnsi="Times New Roman" w:eastAsia="仿宋_GB2312" w:cs="Times New Roman"/>
          <w:color w:val="auto"/>
          <w:kern w:val="0"/>
          <w:szCs w:val="21"/>
        </w:rPr>
        <w:t xml:space="preserve">                                                                                        </w:t>
      </w:r>
      <w:r>
        <w:rPr>
          <w:rFonts w:hint="default"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公开06表</w:t>
      </w:r>
    </w:p>
    <w:p>
      <w:pPr>
        <w:widowControl/>
        <w:spacing w:line="240" w:lineRule="exact"/>
        <w:jc w:val="right"/>
        <w:rPr>
          <w:rFonts w:ascii="Times New Roman" w:hAnsi="Times New Roman" w:eastAsia="华文中宋" w:cs="Times New Roman"/>
          <w:color w:val="auto"/>
          <w:kern w:val="0"/>
          <w:szCs w:val="32"/>
        </w:rPr>
      </w:pPr>
      <w:r>
        <w:rPr>
          <w:rFonts w:ascii="Times New Roman" w:hAnsi="Times New Roman" w:eastAsia="仿宋_GB2312" w:cs="Times New Roman"/>
          <w:color w:val="auto"/>
          <w:kern w:val="0"/>
          <w:szCs w:val="21"/>
        </w:rPr>
        <w:t>单位：万元</w:t>
      </w:r>
    </w:p>
    <w:tbl>
      <w:tblPr>
        <w:tblStyle w:val="10"/>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3366"/>
        <w:gridCol w:w="846"/>
        <w:gridCol w:w="741"/>
        <w:gridCol w:w="2316"/>
        <w:gridCol w:w="741"/>
        <w:gridCol w:w="741"/>
        <w:gridCol w:w="4206"/>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76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科目编码</w:t>
            </w:r>
          </w:p>
        </w:tc>
        <w:tc>
          <w:tcPr>
            <w:tcW w:w="35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科目名称</w:t>
            </w:r>
          </w:p>
        </w:tc>
        <w:tc>
          <w:tcPr>
            <w:tcW w:w="82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科目编码</w:t>
            </w:r>
          </w:p>
        </w:tc>
        <w:tc>
          <w:tcPr>
            <w:tcW w:w="24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科目名称</w:t>
            </w:r>
          </w:p>
        </w:tc>
        <w:tc>
          <w:tcPr>
            <w:tcW w:w="71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科目编码</w:t>
            </w:r>
          </w:p>
        </w:tc>
        <w:tc>
          <w:tcPr>
            <w:tcW w:w="43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科目名称</w:t>
            </w:r>
          </w:p>
        </w:tc>
        <w:tc>
          <w:tcPr>
            <w:tcW w:w="71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76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35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82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76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24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71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76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43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c>
          <w:tcPr>
            <w:tcW w:w="71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302.30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99.90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51.52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66.69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31.51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26.19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3.55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35.45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25.64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0.56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39909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39910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8.73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0.31</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仿宋_GB2312" w:hAnsi="仿宋_GB2312" w:eastAsia="仿宋_GB2312" w:cs="仿宋_GB2312"/>
                <w:i w:val="0"/>
                <w:color w:val="auto"/>
                <w:sz w:val="21"/>
                <w:szCs w:val="21"/>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337.75</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23.42</w:t>
            </w:r>
          </w:p>
        </w:tc>
      </w:tr>
    </w:tbl>
    <w:p>
      <w:pPr>
        <w:widowControl/>
        <w:jc w:val="left"/>
        <w:rPr>
          <w:rFonts w:ascii="Times New Roman" w:hAnsi="Times New Roman" w:eastAsia="仿宋_GB2312" w:cs="Times New Roman"/>
          <w:color w:val="auto"/>
          <w:kern w:val="0"/>
          <w:szCs w:val="24"/>
        </w:rPr>
      </w:pPr>
      <w:r>
        <w:rPr>
          <w:rFonts w:ascii="Times New Roman" w:hAnsi="Times New Roman" w:eastAsia="仿宋_GB2312" w:cs="Times New Roman"/>
          <w:color w:val="auto"/>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auto"/>
          <w:kern w:val="0"/>
          <w:sz w:val="32"/>
          <w:szCs w:val="32"/>
          <w:lang w:bidi="ar"/>
        </w:rPr>
      </w:pPr>
    </w:p>
    <w:p>
      <w:pPr>
        <w:widowControl/>
        <w:spacing w:after="156" w:afterLines="50"/>
        <w:jc w:val="center"/>
        <w:textAlignment w:val="center"/>
        <w:rPr>
          <w:rFonts w:ascii="Times New Roman" w:hAnsi="Times New Roman" w:eastAsia="黑体" w:cs="Times New Roman"/>
          <w:color w:val="auto"/>
          <w:kern w:val="0"/>
          <w:sz w:val="36"/>
          <w:szCs w:val="36"/>
          <w:lang w:bidi="ar"/>
        </w:rPr>
      </w:pPr>
      <w:r>
        <w:rPr>
          <w:rFonts w:ascii="Times New Roman" w:hAnsi="Times New Roman" w:eastAsia="黑体" w:cs="Times New Roman"/>
          <w:color w:val="auto"/>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lang w:bidi="ar"/>
        </w:rPr>
        <w:t>部门：</w:t>
      </w:r>
      <w:r>
        <w:rPr>
          <w:rFonts w:hint="eastAsia" w:ascii="Times New Roman" w:hAnsi="Times New Roman" w:eastAsia="仿宋_GB2312" w:cs="Times New Roman"/>
          <w:color w:val="auto"/>
          <w:kern w:val="0"/>
          <w:sz w:val="20"/>
          <w:szCs w:val="20"/>
          <w:lang w:bidi="ar"/>
        </w:rPr>
        <w:t>怀化市库区移民事务中心</w:t>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 xml:space="preserve">项 </w:t>
            </w:r>
            <w:r>
              <w:rPr>
                <w:rStyle w:val="17"/>
                <w:rFonts w:hint="default" w:ascii="Times New Roman" w:hAnsi="Times New Roman" w:eastAsia="仿宋_GB2312" w:cs="Times New Roman"/>
                <w:b/>
                <w:bCs/>
                <w:color w:val="auto"/>
                <w:lang w:bidi="ar"/>
              </w:rPr>
              <w:t xml:space="preserve">   </w:t>
            </w:r>
            <w:r>
              <w:rPr>
                <w:rStyle w:val="18"/>
                <w:rFonts w:hint="default" w:ascii="Times New Roman" w:hAnsi="Times New Roman" w:eastAsia="仿宋_GB2312" w:cs="Times New Roman"/>
                <w:b/>
                <w:bCs/>
                <w:color w:val="auto"/>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auto"/>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auto"/>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合计</w:t>
            </w:r>
          </w:p>
        </w:tc>
        <w:tc>
          <w:tcPr>
            <w:tcW w:w="115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b/>
                <w:bCs/>
                <w:color w:val="auto"/>
                <w:kern w:val="0"/>
                <w:sz w:val="24"/>
                <w:szCs w:val="24"/>
                <w:lang w:bidi="ar"/>
              </w:rPr>
              <w:t>我单位没有政府性基金收入，也没有使用政府性基金安排的支出，故本表无数据。</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bl>
    <w:p>
      <w:pPr>
        <w:widowControl/>
        <w:spacing w:before="120"/>
        <w:jc w:val="left"/>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auto"/>
          <w:kern w:val="0"/>
          <w:sz w:val="24"/>
          <w:szCs w:val="24"/>
          <w:lang w:bidi="ar"/>
        </w:rPr>
      </w:pPr>
    </w:p>
    <w:p>
      <w:pPr>
        <w:widowControl/>
        <w:jc w:val="left"/>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b/>
          <w:bCs/>
          <w:color w:val="auto"/>
          <w:kern w:val="0"/>
          <w:sz w:val="24"/>
          <w:szCs w:val="24"/>
          <w:lang w:bidi="ar"/>
        </w:rPr>
        <w:t>说明：我单位没有政府性基金收入，也没有使用政府性基金安排的支出，故本表无数据。（当表格数据为空时，应有此说明）</w:t>
      </w:r>
    </w:p>
    <w:p>
      <w:pPr>
        <w:widowControl/>
        <w:jc w:val="center"/>
        <w:rPr>
          <w:rFonts w:ascii="Times New Roman" w:hAnsi="Times New Roman" w:eastAsia="方正小标宋_GBK" w:cs="Times New Roman"/>
          <w:color w:val="auto"/>
          <w:kern w:val="0"/>
          <w:sz w:val="36"/>
          <w:szCs w:val="36"/>
        </w:rPr>
      </w:pPr>
    </w:p>
    <w:p>
      <w:pPr>
        <w:widowControl/>
        <w:spacing w:line="400" w:lineRule="exact"/>
        <w:textAlignment w:val="center"/>
        <w:rPr>
          <w:rFonts w:ascii="Times New Roman" w:hAnsi="Times New Roman" w:eastAsia="黑体" w:cs="Times New Roman"/>
          <w:color w:val="auto"/>
          <w:kern w:val="0"/>
          <w:sz w:val="36"/>
          <w:szCs w:val="36"/>
          <w:lang w:bidi="ar"/>
        </w:rPr>
      </w:pPr>
    </w:p>
    <w:p>
      <w:pPr>
        <w:widowControl/>
        <w:spacing w:after="156" w:afterLines="50"/>
        <w:jc w:val="center"/>
        <w:textAlignment w:val="center"/>
        <w:rPr>
          <w:rFonts w:ascii="Times New Roman" w:hAnsi="Times New Roman" w:eastAsia="黑体" w:cs="Times New Roman"/>
          <w:color w:val="auto"/>
          <w:kern w:val="0"/>
          <w:sz w:val="36"/>
          <w:szCs w:val="36"/>
          <w:lang w:bidi="ar"/>
        </w:rPr>
      </w:pPr>
      <w:r>
        <w:rPr>
          <w:rFonts w:ascii="Times New Roman" w:hAnsi="Times New Roman" w:eastAsia="黑体" w:cs="Times New Roman"/>
          <w:color w:val="auto"/>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lang w:bidi="ar"/>
        </w:rPr>
        <w:t xml:space="preserve">                                                                                                            公开08表</w:t>
      </w:r>
    </w:p>
    <w:p>
      <w:pPr>
        <w:widowControl/>
        <w:tabs>
          <w:tab w:val="left" w:pos="1326"/>
          <w:tab w:val="left" w:pos="2027"/>
          <w:tab w:val="left" w:pos="4319"/>
          <w:tab w:val="left" w:pos="7634"/>
          <w:tab w:val="left" w:pos="10949"/>
        </w:tabs>
        <w:ind w:firstLine="100" w:firstLineChars="50"/>
        <w:jc w:val="both"/>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lang w:bidi="ar"/>
        </w:rPr>
        <w:t>部门：</w:t>
      </w:r>
      <w:r>
        <w:rPr>
          <w:rFonts w:hint="eastAsia" w:ascii="Times New Roman" w:hAnsi="Times New Roman" w:eastAsia="仿宋_GB2312" w:cs="Times New Roman"/>
          <w:color w:val="auto"/>
          <w:kern w:val="0"/>
          <w:sz w:val="20"/>
          <w:szCs w:val="20"/>
          <w:lang w:bidi="ar"/>
        </w:rPr>
        <w:t>怀化市库区移民事务中心</w:t>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kern w:val="0"/>
          <w:sz w:val="20"/>
          <w:szCs w:val="20"/>
          <w:lang w:bidi="ar"/>
        </w:rPr>
        <w:t>单位：万元</w:t>
      </w:r>
    </w:p>
    <w:tbl>
      <w:tblPr>
        <w:tblStyle w:val="10"/>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 xml:space="preserve">项 </w:t>
            </w:r>
            <w:r>
              <w:rPr>
                <w:rFonts w:ascii="Times New Roman" w:hAnsi="Times New Roman" w:eastAsia="仿宋_GB2312" w:cs="Times New Roman"/>
                <w:b/>
                <w:bCs/>
                <w:color w:val="auto"/>
                <w:kern w:val="0"/>
                <w:sz w:val="22"/>
                <w:lang w:bidi="ar"/>
              </w:rPr>
              <w:t xml:space="preserve">   </w:t>
            </w:r>
            <w:r>
              <w:rPr>
                <w:rStyle w:val="19"/>
                <w:rFonts w:hint="default" w:ascii="Times New Roman" w:hAnsi="Times New Roman" w:eastAsia="仿宋_GB2312" w:cs="Times New Roman"/>
                <w:b/>
                <w:bCs/>
                <w:color w:val="auto"/>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合计</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r>
              <w:rPr>
                <w:rFonts w:ascii="Times New Roman" w:hAnsi="Times New Roman" w:eastAsia="楷体_GB2312" w:cs="Times New Roman"/>
                <w:b/>
                <w:bCs/>
                <w:color w:val="auto"/>
                <w:kern w:val="0"/>
                <w:sz w:val="24"/>
                <w:szCs w:val="24"/>
                <w:lang w:bidi="ar"/>
              </w:rPr>
              <w:t>我单位没有使用国有资本经营预算安排的支出，故本表无数据。</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r>
    </w:tbl>
    <w:p>
      <w:pPr>
        <w:widowControl/>
        <w:spacing w:before="120"/>
        <w:jc w:val="left"/>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注：本表反映部门本年度国有资本经营预算财政拨款支出情况。</w:t>
      </w:r>
    </w:p>
    <w:p>
      <w:pPr>
        <w:widowControl/>
        <w:jc w:val="left"/>
        <w:textAlignment w:val="center"/>
        <w:rPr>
          <w:rFonts w:ascii="Times New Roman" w:hAnsi="Times New Roman" w:eastAsia="宋体" w:cs="Times New Roman"/>
          <w:color w:val="auto"/>
          <w:kern w:val="0"/>
          <w:sz w:val="24"/>
          <w:szCs w:val="24"/>
          <w:lang w:bidi="ar"/>
        </w:rPr>
      </w:pPr>
    </w:p>
    <w:p>
      <w:pPr>
        <w:widowControl/>
        <w:jc w:val="left"/>
        <w:textAlignment w:val="center"/>
        <w:rPr>
          <w:rFonts w:ascii="Times New Roman" w:hAnsi="Times New Roman" w:eastAsia="楷体_GB2312" w:cs="Times New Roman"/>
          <w:color w:val="auto"/>
          <w:kern w:val="0"/>
          <w:sz w:val="24"/>
          <w:szCs w:val="24"/>
          <w:lang w:bidi="ar"/>
        </w:rPr>
      </w:pPr>
      <w:r>
        <w:rPr>
          <w:rFonts w:ascii="Times New Roman" w:hAnsi="Times New Roman" w:eastAsia="楷体_GB2312" w:cs="Times New Roman"/>
          <w:b/>
          <w:bCs/>
          <w:color w:val="auto"/>
          <w:kern w:val="0"/>
          <w:sz w:val="24"/>
          <w:szCs w:val="24"/>
          <w:lang w:bidi="ar"/>
        </w:rPr>
        <w:t>说明：我单位没有使用国有资本经营预算安排的支出，故本表无数据。（当表格数据为空时，应有此说明）</w:t>
      </w:r>
    </w:p>
    <w:p>
      <w:pPr>
        <w:widowControl/>
        <w:jc w:val="center"/>
        <w:rPr>
          <w:rFonts w:ascii="Times New Roman" w:hAnsi="Times New Roman" w:eastAsia="方正小标宋_GBK" w:cs="Times New Roman"/>
          <w:color w:val="auto"/>
          <w:kern w:val="0"/>
          <w:sz w:val="36"/>
          <w:szCs w:val="36"/>
        </w:rPr>
      </w:pPr>
    </w:p>
    <w:p>
      <w:pPr>
        <w:pStyle w:val="8"/>
        <w:spacing w:line="400" w:lineRule="exact"/>
        <w:rPr>
          <w:rFonts w:ascii="Times New Roman" w:hAnsi="Times New Roman" w:eastAsia="华文中宋" w:cs="Times New Roman"/>
          <w:color w:val="auto"/>
          <w:kern w:val="0"/>
          <w:sz w:val="32"/>
          <w:szCs w:val="32"/>
          <w:lang w:bidi="ar"/>
        </w:rPr>
      </w:pPr>
    </w:p>
    <w:p>
      <w:pPr>
        <w:widowControl/>
        <w:spacing w:after="156" w:afterLines="50"/>
        <w:jc w:val="center"/>
        <w:textAlignment w:val="center"/>
        <w:rPr>
          <w:rFonts w:ascii="Times New Roman" w:hAnsi="Times New Roman" w:eastAsia="黑体" w:cs="Times New Roman"/>
          <w:color w:val="auto"/>
          <w:kern w:val="0"/>
          <w:sz w:val="36"/>
          <w:szCs w:val="36"/>
          <w:lang w:bidi="ar"/>
        </w:rPr>
      </w:pPr>
      <w:r>
        <w:rPr>
          <w:rFonts w:ascii="Times New Roman" w:hAnsi="Times New Roman" w:eastAsia="黑体" w:cs="Times New Roman"/>
          <w:color w:val="auto"/>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auto"/>
          <w:sz w:val="20"/>
          <w:szCs w:val="20"/>
        </w:rPr>
      </w:pP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auto"/>
          <w:sz w:val="20"/>
          <w:szCs w:val="20"/>
        </w:rPr>
      </w:pPr>
      <w:r>
        <w:rPr>
          <w:rFonts w:ascii="Times New Roman" w:hAnsi="Times New Roman" w:eastAsia="楷体_GB2312" w:cs="Times New Roman"/>
          <w:color w:val="auto"/>
          <w:kern w:val="0"/>
          <w:sz w:val="20"/>
          <w:szCs w:val="20"/>
          <w:lang w:bidi="ar"/>
        </w:rPr>
        <w:t>部门：</w:t>
      </w:r>
      <w:r>
        <w:rPr>
          <w:rFonts w:hint="eastAsia" w:ascii="Times New Roman" w:hAnsi="Times New Roman" w:eastAsia="仿宋_GB2312" w:cs="Times New Roman"/>
          <w:color w:val="auto"/>
          <w:kern w:val="0"/>
          <w:sz w:val="20"/>
          <w:szCs w:val="20"/>
          <w:lang w:bidi="ar"/>
        </w:rPr>
        <w:t>怀化市库区移民事务中心</w:t>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公务用车</w:t>
            </w:r>
            <w:r>
              <w:rPr>
                <w:rFonts w:ascii="Times New Roman" w:hAnsi="Times New Roman" w:eastAsia="仿宋_GB2312" w:cs="Times New Roman"/>
                <w:b/>
                <w:bCs/>
                <w:color w:val="auto"/>
                <w:kern w:val="0"/>
                <w:sz w:val="22"/>
                <w:lang w:bidi="ar"/>
              </w:rPr>
              <w:br w:type="textWrapping"/>
            </w:r>
            <w:r>
              <w:rPr>
                <w:rFonts w:ascii="Times New Roman" w:hAnsi="Times New Roman" w:eastAsia="仿宋_GB2312" w:cs="Times New Roman"/>
                <w:b/>
                <w:bCs/>
                <w:color w:val="auto"/>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公务用车</w:t>
            </w:r>
            <w:r>
              <w:rPr>
                <w:rFonts w:ascii="Times New Roman" w:hAnsi="Times New Roman" w:eastAsia="仿宋_GB2312" w:cs="Times New Roman"/>
                <w:b/>
                <w:bCs/>
                <w:color w:val="auto"/>
                <w:kern w:val="0"/>
                <w:sz w:val="22"/>
                <w:lang w:bidi="ar"/>
              </w:rPr>
              <w:br w:type="textWrapping"/>
            </w:r>
            <w:r>
              <w:rPr>
                <w:rFonts w:ascii="Times New Roman" w:hAnsi="Times New Roman" w:eastAsia="仿宋_GB2312" w:cs="Times New Roman"/>
                <w:b/>
                <w:bCs/>
                <w:color w:val="auto"/>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公务用车</w:t>
            </w:r>
            <w:r>
              <w:rPr>
                <w:rFonts w:ascii="Times New Roman" w:hAnsi="Times New Roman" w:eastAsia="仿宋_GB2312" w:cs="Times New Roman"/>
                <w:b/>
                <w:bCs/>
                <w:color w:val="auto"/>
                <w:kern w:val="0"/>
                <w:sz w:val="22"/>
                <w:lang w:bidi="ar"/>
              </w:rPr>
              <w:br w:type="textWrapping"/>
            </w:r>
            <w:r>
              <w:rPr>
                <w:rFonts w:ascii="Times New Roman" w:hAnsi="Times New Roman" w:eastAsia="仿宋_GB2312" w:cs="Times New Roman"/>
                <w:b/>
                <w:bCs/>
                <w:color w:val="auto"/>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lang w:bidi="ar"/>
              </w:rPr>
              <w:t>公务用车</w:t>
            </w:r>
            <w:r>
              <w:rPr>
                <w:rFonts w:ascii="Times New Roman" w:hAnsi="Times New Roman" w:eastAsia="仿宋_GB2312" w:cs="Times New Roman"/>
                <w:b/>
                <w:bCs/>
                <w:color w:val="auto"/>
                <w:kern w:val="0"/>
                <w:sz w:val="22"/>
                <w:lang w:bidi="ar"/>
              </w:rPr>
              <w:br w:type="textWrapping"/>
            </w:r>
            <w:r>
              <w:rPr>
                <w:rFonts w:ascii="Times New Roman" w:hAnsi="Times New Roman" w:eastAsia="仿宋_GB2312" w:cs="Times New Roman"/>
                <w:b/>
                <w:bCs/>
                <w:color w:val="auto"/>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lang w:bidi="ar"/>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9.50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8.00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8.00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1.50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9.50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8.00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8.00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kern w:val="0"/>
                <w:sz w:val="22"/>
                <w:lang w:bidi="ar"/>
              </w:rPr>
            </w:pPr>
            <w:r>
              <w:rPr>
                <w:rFonts w:hint="default" w:ascii="Times New Roman" w:hAnsi="Times New Roman" w:eastAsia="仿宋_GB2312" w:cs="Times New Roman"/>
                <w:color w:val="auto"/>
                <w:kern w:val="0"/>
                <w:sz w:val="22"/>
                <w:lang w:bidi="ar"/>
              </w:rPr>
              <w:t>1.50</w:t>
            </w:r>
          </w:p>
        </w:tc>
      </w:tr>
    </w:tbl>
    <w:p>
      <w:pPr>
        <w:widowControl/>
        <w:spacing w:before="120"/>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widowControl/>
        <w:rPr>
          <w:rFonts w:ascii="Times New Roman" w:hAnsi="Times New Roman" w:cs="Times New Roman"/>
          <w:color w:val="auto"/>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color w:val="auto"/>
          <w:szCs w:val="21"/>
        </w:rPr>
        <w:br w:type="page"/>
      </w:r>
    </w:p>
    <w:p>
      <w:pPr>
        <w:pStyle w:val="14"/>
        <w:rPr>
          <w:rFonts w:ascii="Times New Roman" w:hAnsi="Times New Roman" w:cs="Times New Roman"/>
          <w:color w:val="auto"/>
          <w:sz w:val="72"/>
          <w:szCs w:val="72"/>
        </w:rPr>
      </w:pPr>
    </w:p>
    <w:p>
      <w:pPr>
        <w:pStyle w:val="14"/>
        <w:rPr>
          <w:rFonts w:ascii="Times New Roman" w:hAnsi="Times New Roman" w:cs="Times New Roman"/>
          <w:color w:val="auto"/>
          <w:sz w:val="72"/>
          <w:szCs w:val="72"/>
        </w:rPr>
      </w:pPr>
    </w:p>
    <w:p>
      <w:pPr>
        <w:pStyle w:val="14"/>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eastAsia="方正小标宋_GBK" w:cs="Times New Roman"/>
          <w:color w:val="auto"/>
          <w:sz w:val="72"/>
          <w:szCs w:val="72"/>
        </w:rPr>
      </w:pP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第三部分</w:t>
      </w: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2024年度部门决算情况说明</w:t>
      </w:r>
    </w:p>
    <w:p>
      <w:pPr>
        <w:widowControl/>
        <w:jc w:val="left"/>
        <w:rPr>
          <w:rFonts w:ascii="Times New Roman" w:hAnsi="Times New Roman" w:cs="Times New Roman"/>
          <w:color w:val="auto"/>
          <w:sz w:val="32"/>
          <w:szCs w:val="32"/>
        </w:rPr>
      </w:pPr>
      <w:r>
        <w:rPr>
          <w:rFonts w:ascii="Times New Roman" w:hAnsi="Times New Roman" w:eastAsia="方正小标宋_GBK" w:cs="Times New Roman"/>
          <w:color w:val="auto"/>
          <w:sz w:val="70"/>
          <w:szCs w:val="70"/>
        </w:rPr>
        <w:br w:type="page"/>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一、收入支出决算总体情况说明</w:t>
      </w:r>
    </w:p>
    <w:p>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2024年度收、支总计</w:t>
      </w:r>
      <w:r>
        <w:rPr>
          <w:rFonts w:hint="default" w:ascii="Times New Roman" w:hAnsi="Times New Roman" w:eastAsia="仿宋_GB2312" w:cs="Times New Roman"/>
          <w:color w:val="auto"/>
          <w:sz w:val="32"/>
          <w:szCs w:val="32"/>
        </w:rPr>
        <w:t>533.33</w:t>
      </w:r>
      <w:r>
        <w:rPr>
          <w:rFonts w:ascii="Times New Roman" w:hAnsi="Times New Roman" w:eastAsia="仿宋_GB2312" w:cs="Times New Roman"/>
          <w:color w:val="auto"/>
          <w:sz w:val="32"/>
          <w:szCs w:val="32"/>
        </w:rPr>
        <w:t>万元。与上年相比，增加</w:t>
      </w:r>
      <w:r>
        <w:rPr>
          <w:rFonts w:hint="default" w:ascii="Times New Roman" w:hAnsi="Times New Roman" w:eastAsia="仿宋_GB2312" w:cs="Times New Roman"/>
          <w:color w:val="auto"/>
          <w:sz w:val="32"/>
          <w:szCs w:val="32"/>
        </w:rPr>
        <w:t>36.74</w:t>
      </w:r>
      <w:r>
        <w:rPr>
          <w:rFonts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rPr>
        <w:t>7.4</w:t>
      </w:r>
      <w:r>
        <w:rPr>
          <w:rFonts w:ascii="Times New Roman" w:hAnsi="Times New Roman" w:eastAsia="仿宋_GB2312" w:cs="Times New Roman"/>
          <w:color w:val="auto"/>
          <w:sz w:val="32"/>
          <w:szCs w:val="32"/>
        </w:rPr>
        <w:t>%，主要是因为人员普调工资引起的财政拨款收入增加和非税收入增加。</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二、收入决算情况说明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2024年度收入合计</w:t>
      </w:r>
      <w:r>
        <w:rPr>
          <w:rFonts w:hint="default" w:ascii="Times New Roman" w:hAnsi="Times New Roman" w:eastAsia="仿宋_GB2312" w:cs="Times New Roman"/>
          <w:color w:val="auto"/>
          <w:sz w:val="32"/>
          <w:szCs w:val="32"/>
        </w:rPr>
        <w:t>533.33</w:t>
      </w:r>
      <w:r>
        <w:rPr>
          <w:rFonts w:ascii="Times New Roman" w:hAnsi="Times New Roman" w:eastAsia="仿宋_GB2312" w:cs="Times New Roman"/>
          <w:color w:val="auto"/>
          <w:sz w:val="32"/>
          <w:szCs w:val="32"/>
        </w:rPr>
        <w:t>万元，其中：财政拨款收入</w:t>
      </w:r>
      <w:r>
        <w:rPr>
          <w:rFonts w:hint="default" w:ascii="Times New Roman" w:hAnsi="Times New Roman" w:eastAsia="仿宋_GB2312" w:cs="Times New Roman"/>
          <w:color w:val="auto"/>
          <w:sz w:val="32"/>
          <w:szCs w:val="32"/>
        </w:rPr>
        <w:t>473.27</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88.74</w:t>
      </w:r>
      <w:r>
        <w:rPr>
          <w:rFonts w:ascii="Times New Roman" w:hAnsi="Times New Roman" w:eastAsia="仿宋_GB2312" w:cs="Times New Roman"/>
          <w:color w:val="auto"/>
          <w:sz w:val="32"/>
          <w:szCs w:val="32"/>
        </w:rPr>
        <w:t>%；上级补助收入</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%；事业收入</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%；经营收入</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%；附属单位上缴收入</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%；其他收入</w:t>
      </w:r>
      <w:r>
        <w:rPr>
          <w:rFonts w:hint="default" w:ascii="Times New Roman" w:hAnsi="Times New Roman" w:eastAsia="仿宋_GB2312" w:cs="Times New Roman"/>
          <w:color w:val="auto"/>
          <w:sz w:val="32"/>
          <w:szCs w:val="32"/>
        </w:rPr>
        <w:t>60.05</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11.26</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三、支出决算情况说明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2024年度支出合计</w:t>
      </w:r>
      <w:r>
        <w:rPr>
          <w:rFonts w:hint="default" w:ascii="Times New Roman" w:hAnsi="Times New Roman" w:eastAsia="仿宋_GB2312" w:cs="Times New Roman"/>
          <w:color w:val="auto"/>
          <w:sz w:val="32"/>
          <w:szCs w:val="32"/>
        </w:rPr>
        <w:t>533.33</w:t>
      </w:r>
      <w:r>
        <w:rPr>
          <w:rFonts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rPr>
        <w:t>421.22</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78.98</w:t>
      </w:r>
      <w:r>
        <w:rPr>
          <w:rFonts w:ascii="Times New Roman" w:hAnsi="Times New Roman" w:eastAsia="仿宋_GB2312" w:cs="Times New Roman"/>
          <w:color w:val="auto"/>
          <w:sz w:val="32"/>
          <w:szCs w:val="32"/>
        </w:rPr>
        <w:t>%；项目支出</w:t>
      </w:r>
      <w:r>
        <w:rPr>
          <w:rFonts w:hint="default" w:ascii="Times New Roman" w:hAnsi="Times New Roman" w:eastAsia="仿宋_GB2312" w:cs="Times New Roman"/>
          <w:color w:val="auto"/>
          <w:sz w:val="32"/>
          <w:szCs w:val="32"/>
        </w:rPr>
        <w:t>112.11</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21.02</w:t>
      </w:r>
      <w:r>
        <w:rPr>
          <w:rFonts w:ascii="Times New Roman" w:hAnsi="Times New Roman" w:eastAsia="仿宋_GB2312" w:cs="Times New Roman"/>
          <w:color w:val="auto"/>
          <w:sz w:val="32"/>
          <w:szCs w:val="32"/>
        </w:rPr>
        <w:t>%；上缴上级支出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%；经营支出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%；对附属单位补助支出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四、财政拨款收入支出决算总体情况说明</w:t>
      </w:r>
    </w:p>
    <w:p>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2024年度财政拨款收、支总计</w:t>
      </w:r>
      <w:r>
        <w:rPr>
          <w:rFonts w:hint="default" w:ascii="Times New Roman" w:hAnsi="Times New Roman" w:eastAsia="仿宋_GB2312" w:cs="Times New Roman"/>
          <w:color w:val="auto"/>
          <w:sz w:val="32"/>
          <w:szCs w:val="32"/>
        </w:rPr>
        <w:t>473.27</w:t>
      </w:r>
      <w:r>
        <w:rPr>
          <w:rFonts w:ascii="Times New Roman" w:hAnsi="Times New Roman" w:eastAsia="仿宋_GB2312" w:cs="Times New Roman"/>
          <w:color w:val="auto"/>
          <w:sz w:val="32"/>
          <w:szCs w:val="32"/>
        </w:rPr>
        <w:t>万元，与上年相比，增加</w:t>
      </w:r>
      <w:r>
        <w:rPr>
          <w:rFonts w:hint="default" w:ascii="Times New Roman" w:hAnsi="Times New Roman" w:eastAsia="仿宋_GB2312" w:cs="Times New Roman"/>
          <w:color w:val="auto"/>
          <w:sz w:val="32"/>
          <w:szCs w:val="32"/>
        </w:rPr>
        <w:t>29.5</w:t>
      </w:r>
      <w:r>
        <w:rPr>
          <w:rFonts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rPr>
        <w:t>4.65</w:t>
      </w:r>
      <w:r>
        <w:rPr>
          <w:rFonts w:ascii="Times New Roman" w:hAnsi="Times New Roman" w:eastAsia="仿宋_GB2312" w:cs="Times New Roman"/>
          <w:color w:val="auto"/>
          <w:sz w:val="32"/>
          <w:szCs w:val="32"/>
        </w:rPr>
        <w:t>%，主要是因为</w:t>
      </w:r>
      <w:r>
        <w:rPr>
          <w:rFonts w:hint="default" w:ascii="Times New Roman" w:hAnsi="Times New Roman" w:eastAsia="仿宋_GB2312" w:cs="Times New Roman"/>
          <w:color w:val="auto"/>
          <w:sz w:val="32"/>
          <w:szCs w:val="32"/>
        </w:rPr>
        <w:t>2024年政策性普调工资，单位</w:t>
      </w:r>
      <w:r>
        <w:rPr>
          <w:rFonts w:ascii="Times New Roman" w:hAnsi="Times New Roman" w:eastAsia="仿宋_GB2312" w:cs="Times New Roman"/>
          <w:color w:val="auto"/>
          <w:sz w:val="32"/>
          <w:szCs w:val="32"/>
        </w:rPr>
        <w:t>人员工资、住房公积金、保险等都相应增加，从而导致工资福利性开支增加。</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五、一般公共预算财政拨款支出决算情况说明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（一）一般公共预算财政拨款支出决算总体情况</w:t>
      </w:r>
    </w:p>
    <w:p>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2024年度财政拨款支出</w:t>
      </w:r>
      <w:r>
        <w:rPr>
          <w:rFonts w:hint="default" w:ascii="Times New Roman" w:hAnsi="Times New Roman" w:eastAsia="仿宋_GB2312" w:cs="Times New Roman"/>
          <w:color w:val="auto"/>
          <w:sz w:val="32"/>
          <w:szCs w:val="32"/>
        </w:rPr>
        <w:t>473.27</w:t>
      </w:r>
      <w:r>
        <w:rPr>
          <w:rFonts w:ascii="Times New Roman" w:hAnsi="Times New Roman" w:eastAsia="仿宋_GB2312" w:cs="Times New Roman"/>
          <w:color w:val="auto"/>
          <w:sz w:val="32"/>
          <w:szCs w:val="32"/>
        </w:rPr>
        <w:t>万元，占本年支出合计的</w:t>
      </w:r>
      <w:r>
        <w:rPr>
          <w:rFonts w:hint="default" w:ascii="Times New Roman" w:hAnsi="Times New Roman" w:eastAsia="仿宋_GB2312" w:cs="Times New Roman"/>
          <w:color w:val="auto"/>
          <w:sz w:val="32"/>
          <w:szCs w:val="32"/>
        </w:rPr>
        <w:t>88.74</w:t>
      </w:r>
      <w:r>
        <w:rPr>
          <w:rFonts w:ascii="Times New Roman" w:hAnsi="Times New Roman" w:eastAsia="仿宋_GB2312" w:cs="Times New Roman"/>
          <w:color w:val="auto"/>
          <w:sz w:val="32"/>
          <w:szCs w:val="32"/>
        </w:rPr>
        <w:t>%，与上年相比，财政拨款支出增加</w:t>
      </w:r>
      <w:r>
        <w:rPr>
          <w:rFonts w:hint="default" w:ascii="Times New Roman" w:hAnsi="Times New Roman" w:eastAsia="仿宋_GB2312" w:cs="Times New Roman"/>
          <w:color w:val="auto"/>
          <w:sz w:val="32"/>
          <w:szCs w:val="32"/>
        </w:rPr>
        <w:t>29.5</w:t>
      </w:r>
      <w:r>
        <w:rPr>
          <w:rFonts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rPr>
        <w:t>4.65</w:t>
      </w:r>
      <w:r>
        <w:rPr>
          <w:rFonts w:ascii="Times New Roman" w:hAnsi="Times New Roman" w:eastAsia="仿宋_GB2312" w:cs="Times New Roman"/>
          <w:color w:val="auto"/>
          <w:sz w:val="32"/>
          <w:szCs w:val="32"/>
        </w:rPr>
        <w:t>%，主要是因为</w:t>
      </w:r>
      <w:r>
        <w:rPr>
          <w:rFonts w:hint="default" w:ascii="Times New Roman" w:hAnsi="Times New Roman" w:eastAsia="仿宋_GB2312" w:cs="Times New Roman"/>
          <w:color w:val="auto"/>
          <w:sz w:val="32"/>
          <w:szCs w:val="32"/>
        </w:rPr>
        <w:t>2024年政策性普调工资，单位</w:t>
      </w:r>
      <w:r>
        <w:rPr>
          <w:rFonts w:ascii="Times New Roman" w:hAnsi="Times New Roman" w:eastAsia="仿宋_GB2312" w:cs="Times New Roman"/>
          <w:color w:val="auto"/>
          <w:sz w:val="32"/>
          <w:szCs w:val="32"/>
        </w:rPr>
        <w:t>人员工资、住房公积金、保险等都相应增加，从而导致工资福利性开支增加。</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（二）一般公共预算财政拨款支出决算结构情况</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仿宋_GB2312" w:cs="Times New Roman"/>
          <w:color w:val="auto"/>
          <w:sz w:val="32"/>
          <w:szCs w:val="32"/>
        </w:rPr>
        <w:t>2024年度财政拨款支出</w:t>
      </w:r>
      <w:r>
        <w:rPr>
          <w:rFonts w:hint="default" w:ascii="Times New Roman" w:hAnsi="Times New Roman" w:eastAsia="仿宋_GB2312" w:cs="Times New Roman"/>
          <w:color w:val="auto"/>
          <w:sz w:val="32"/>
          <w:szCs w:val="32"/>
        </w:rPr>
        <w:t>473.27</w:t>
      </w:r>
      <w:r>
        <w:rPr>
          <w:rFonts w:ascii="Times New Roman" w:hAnsi="Times New Roman" w:eastAsia="仿宋_GB2312" w:cs="Times New Roman"/>
          <w:color w:val="auto"/>
          <w:sz w:val="32"/>
          <w:szCs w:val="32"/>
        </w:rPr>
        <w:t>万元，主要用于以下方面：一般公共服务（类）支出</w:t>
      </w:r>
      <w:r>
        <w:rPr>
          <w:rFonts w:hint="default" w:ascii="Times New Roman" w:hAnsi="Times New Roman" w:eastAsia="仿宋_GB2312" w:cs="Times New Roman"/>
          <w:color w:val="auto"/>
          <w:sz w:val="32"/>
          <w:szCs w:val="32"/>
        </w:rPr>
        <w:t>316.61</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66.9</w:t>
      </w:r>
      <w:r>
        <w:rPr>
          <w:rFonts w:ascii="Times New Roman" w:hAnsi="Times New Roman" w:eastAsia="仿宋_GB2312" w:cs="Times New Roman"/>
          <w:color w:val="auto"/>
          <w:sz w:val="32"/>
          <w:szCs w:val="32"/>
        </w:rPr>
        <w:t>%；社会保障和就业（类）支出</w:t>
      </w:r>
      <w:r>
        <w:rPr>
          <w:rFonts w:hint="default" w:ascii="Times New Roman" w:hAnsi="Times New Roman" w:eastAsia="仿宋_GB2312" w:cs="Times New Roman"/>
          <w:color w:val="auto"/>
          <w:sz w:val="32"/>
          <w:szCs w:val="32"/>
        </w:rPr>
        <w:t>31.51万元，占6.65%；卫生健康（类）支出13.05万元，占2.76%；</w:t>
      </w:r>
      <w:r>
        <w:rPr>
          <w:rFonts w:ascii="Times New Roman" w:hAnsi="Times New Roman" w:eastAsia="仿宋_GB2312" w:cs="Times New Roman"/>
          <w:color w:val="auto"/>
          <w:sz w:val="32"/>
          <w:szCs w:val="32"/>
        </w:rPr>
        <w:t>农林水（类）支出</w:t>
      </w:r>
      <w:r>
        <w:rPr>
          <w:rFonts w:hint="default" w:ascii="Times New Roman" w:hAnsi="Times New Roman" w:eastAsia="仿宋_GB2312" w:cs="Times New Roman"/>
          <w:color w:val="auto"/>
          <w:sz w:val="32"/>
          <w:szCs w:val="32"/>
        </w:rPr>
        <w:t>112.11</w:t>
      </w:r>
      <w:r>
        <w:rPr>
          <w:rFonts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rPr>
        <w:t>23.69</w:t>
      </w:r>
      <w:r>
        <w:rPr>
          <w:rFonts w:ascii="Times New Roman" w:hAnsi="Times New Roman" w:eastAsia="仿宋_GB2312" w:cs="Times New Roman"/>
          <w:color w:val="auto"/>
          <w:sz w:val="32"/>
          <w:szCs w:val="32"/>
        </w:rPr>
        <w:t>%。</w:t>
      </w:r>
      <w:r>
        <w:rPr>
          <w:rFonts w:ascii="Times New Roman" w:hAnsi="Times New Roman" w:eastAsia="楷体_GB2312" w:cs="Times New Roman"/>
          <w:b/>
          <w:color w:val="auto"/>
          <w:sz w:val="32"/>
          <w:szCs w:val="32"/>
        </w:rPr>
        <w:t>（三）一般公共预算财政拨款支出决算具体情况</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2024年度财政拨款支出年初预算数为</w:t>
      </w:r>
      <w:r>
        <w:rPr>
          <w:rFonts w:hint="default" w:ascii="Times New Roman" w:hAnsi="Times New Roman" w:eastAsia="仿宋_GB2312" w:cs="Times New Roman"/>
          <w:color w:val="auto"/>
          <w:sz w:val="32"/>
          <w:szCs w:val="32"/>
        </w:rPr>
        <w:t>389.66</w:t>
      </w:r>
      <w:r>
        <w:rPr>
          <w:rFonts w:ascii="Times New Roman" w:hAnsi="Times New Roman" w:eastAsia="仿宋_GB2312" w:cs="Times New Roman"/>
          <w:color w:val="auto"/>
          <w:sz w:val="32"/>
          <w:szCs w:val="32"/>
        </w:rPr>
        <w:t>万元，支出决算数为</w:t>
      </w:r>
      <w:r>
        <w:rPr>
          <w:rFonts w:hint="default" w:ascii="Times New Roman" w:hAnsi="Times New Roman" w:eastAsia="仿宋_GB2312" w:cs="Times New Roman"/>
          <w:color w:val="auto"/>
          <w:sz w:val="32"/>
          <w:szCs w:val="32"/>
        </w:rPr>
        <w:t>473.27</w:t>
      </w:r>
      <w:r>
        <w:rPr>
          <w:rFonts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rPr>
        <w:t>121.46</w:t>
      </w:r>
      <w:r>
        <w:rPr>
          <w:rFonts w:ascii="Times New Roman" w:hAnsi="Times New Roman" w:eastAsia="仿宋_GB2312" w:cs="Times New Roman"/>
          <w:color w:val="auto"/>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1、一般公共服务（类）</w:t>
      </w:r>
      <w:r>
        <w:rPr>
          <w:rFonts w:hint="eastAsia" w:ascii="Times New Roman" w:hAnsi="Times New Roman" w:eastAsia="仿宋_GB2312"/>
          <w:color w:val="auto"/>
          <w:sz w:val="32"/>
          <w:szCs w:val="32"/>
        </w:rPr>
        <w:t>政府办公厅（室）及相关机构事务</w:t>
      </w:r>
      <w:r>
        <w:rPr>
          <w:rFonts w:ascii="Times New Roman" w:hAnsi="Times New Roman" w:eastAsia="仿宋_GB2312" w:cs="Times New Roman"/>
          <w:color w:val="auto"/>
          <w:sz w:val="32"/>
          <w:szCs w:val="32"/>
        </w:rPr>
        <w:t>（款）</w:t>
      </w:r>
      <w:r>
        <w:rPr>
          <w:rFonts w:hint="default" w:ascii="Times New Roman" w:hAnsi="Times New Roman" w:eastAsia="仿宋_GB2312"/>
          <w:color w:val="auto"/>
          <w:sz w:val="32"/>
          <w:szCs w:val="32"/>
        </w:rPr>
        <w:t>行政运行</w:t>
      </w:r>
      <w:r>
        <w:rPr>
          <w:rFonts w:ascii="Times New Roman" w:hAnsi="Times New Roman" w:eastAsia="仿宋_GB2312" w:cs="Times New Roman"/>
          <w:color w:val="auto"/>
          <w:sz w:val="32"/>
          <w:szCs w:val="32"/>
        </w:rPr>
        <w:t>（项）。</w:t>
      </w:r>
    </w:p>
    <w:p>
      <w:pPr>
        <w:pStyle w:val="14"/>
        <w:overflowPunct w:val="0"/>
        <w:autoSpaceDE/>
        <w:autoSpaceDN/>
        <w:spacing w:line="600" w:lineRule="exact"/>
        <w:ind w:firstLine="640" w:firstLineChars="200"/>
        <w:jc w:val="both"/>
        <w:rPr>
          <w:rFonts w:hint="default" w:ascii="Times New Roman" w:hAnsi="Times New Roman" w:eastAsia="楷体_GB2312" w:cs="Times New Roman"/>
          <w:b/>
          <w:bCs/>
          <w:i/>
          <w:color w:val="auto"/>
          <w:sz w:val="32"/>
          <w:szCs w:val="32"/>
        </w:rPr>
      </w:pPr>
      <w:r>
        <w:rPr>
          <w:rFonts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rPr>
        <w:t>330.31</w:t>
      </w:r>
      <w:r>
        <w:rPr>
          <w:rFonts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316.61</w:t>
      </w:r>
      <w:r>
        <w:rPr>
          <w:rFonts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rPr>
        <w:t>95.85</w:t>
      </w:r>
      <w:r>
        <w:rPr>
          <w:rFonts w:ascii="Times New Roman" w:hAnsi="Times New Roman" w:eastAsia="仿宋_GB2312" w:cs="Times New Roman"/>
          <w:color w:val="auto"/>
          <w:sz w:val="32"/>
          <w:szCs w:val="32"/>
        </w:rPr>
        <w:t>%，决算数小于年初预算数的主要原因是：我单位</w:t>
      </w:r>
      <w:r>
        <w:rPr>
          <w:rFonts w:hint="default" w:ascii="Times New Roman" w:hAnsi="Times New Roman" w:eastAsia="仿宋_GB2312" w:cs="Times New Roman"/>
          <w:color w:val="auto"/>
          <w:sz w:val="32"/>
          <w:szCs w:val="32"/>
        </w:rPr>
        <w:t>2024年有人员调出，但年初预算为全年预算数。</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社会保障和就业支出（类）行政事业单位养老支出（款）</w:t>
      </w:r>
      <w:r>
        <w:rPr>
          <w:rFonts w:hint="default" w:ascii="Times New Roman" w:hAnsi="Times New Roman" w:eastAsia="仿宋_GB2312"/>
          <w:color w:val="auto"/>
          <w:sz w:val="32"/>
          <w:szCs w:val="32"/>
        </w:rPr>
        <w:t>机关事业单位基本养老保险缴费支出</w:t>
      </w:r>
      <w:r>
        <w:rPr>
          <w:rFonts w:hint="eastAsia" w:ascii="Times New Roman" w:hAnsi="Times New Roman" w:eastAsia="仿宋_GB2312"/>
          <w:color w:val="auto"/>
          <w:sz w:val="32"/>
          <w:szCs w:val="32"/>
        </w:rPr>
        <w:t>（项）。</w:t>
      </w:r>
    </w:p>
    <w:p>
      <w:pPr>
        <w:pStyle w:val="14"/>
        <w:overflowPunct w:val="0"/>
        <w:autoSpaceDE/>
        <w:autoSpaceDN/>
        <w:spacing w:line="600" w:lineRule="exact"/>
        <w:ind w:firstLine="640" w:firstLineChars="200"/>
        <w:jc w:val="both"/>
        <w:rPr>
          <w:rFonts w:hint="default" w:ascii="Times New Roman" w:hAnsi="Times New Roman" w:eastAsia="楷体_GB2312" w:cs="Times New Roman"/>
          <w:b/>
          <w:bCs/>
          <w:i/>
          <w:color w:val="auto"/>
          <w:sz w:val="32"/>
          <w:szCs w:val="32"/>
        </w:rPr>
      </w:pPr>
      <w:r>
        <w:rPr>
          <w:rFonts w:ascii="Times New Roman" w:hAnsi="Times New Roman" w:eastAsia="仿宋_GB2312" w:cs="Times New Roman"/>
          <w:color w:val="auto"/>
          <w:sz w:val="32"/>
          <w:szCs w:val="32"/>
        </w:rPr>
        <w:t>年初预算为</w:t>
      </w:r>
      <w:r>
        <w:rPr>
          <w:rFonts w:hint="default" w:ascii="Times New Roman" w:hAnsi="Times New Roman" w:eastAsia="仿宋_GB2312" w:cs="Times New Roman"/>
          <w:color w:val="auto"/>
          <w:sz w:val="32"/>
          <w:szCs w:val="32"/>
        </w:rPr>
        <w:t>45.66</w:t>
      </w:r>
      <w:r>
        <w:rPr>
          <w:rFonts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31.51</w:t>
      </w:r>
      <w:r>
        <w:rPr>
          <w:rFonts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rPr>
        <w:t>69.01</w:t>
      </w:r>
      <w:r>
        <w:rPr>
          <w:rFonts w:ascii="Times New Roman" w:hAnsi="Times New Roman" w:eastAsia="仿宋_GB2312" w:cs="Times New Roman"/>
          <w:color w:val="auto"/>
          <w:sz w:val="32"/>
          <w:szCs w:val="32"/>
        </w:rPr>
        <w:t>%，决算数小于年初预算数的主要原因是：我单位</w:t>
      </w:r>
      <w:r>
        <w:rPr>
          <w:rFonts w:hint="default" w:ascii="Times New Roman" w:hAnsi="Times New Roman" w:eastAsia="仿宋_GB2312" w:cs="Times New Roman"/>
          <w:color w:val="auto"/>
          <w:sz w:val="32"/>
          <w:szCs w:val="32"/>
        </w:rPr>
        <w:t>2024年有人员调出，但年初预算为全年预算数。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olor w:val="auto"/>
          <w:sz w:val="32"/>
          <w:szCs w:val="32"/>
        </w:rPr>
        <w:t>卫生健康支出（类）行政事业单位医疗（款）</w:t>
      </w:r>
      <w:r>
        <w:rPr>
          <w:rFonts w:hint="default" w:ascii="Times New Roman" w:hAnsi="Times New Roman" w:eastAsia="仿宋_GB2312"/>
          <w:color w:val="auto"/>
          <w:sz w:val="32"/>
          <w:szCs w:val="32"/>
        </w:rPr>
        <w:t>行政单位医疗</w:t>
      </w:r>
      <w:r>
        <w:rPr>
          <w:rFonts w:hint="eastAsia" w:ascii="Times New Roman" w:hAnsi="Times New Roman" w:eastAsia="仿宋_GB2312"/>
          <w:color w:val="auto"/>
          <w:sz w:val="32"/>
          <w:szCs w:val="32"/>
        </w:rPr>
        <w:t>（项）。</w:t>
      </w:r>
    </w:p>
    <w:p>
      <w:pPr>
        <w:pStyle w:val="14"/>
        <w:overflowPunct w:val="0"/>
        <w:autoSpaceDE/>
        <w:autoSpaceDN/>
        <w:spacing w:line="600" w:lineRule="exact"/>
        <w:ind w:firstLine="640" w:firstLineChars="200"/>
        <w:jc w:val="both"/>
        <w:rPr>
          <w:rFonts w:hint="default" w:ascii="Times New Roman" w:hAnsi="Times New Roman" w:eastAsia="楷体_GB2312" w:cs="Times New Roman"/>
          <w:b/>
          <w:bCs/>
          <w:i/>
          <w:color w:val="auto"/>
          <w:sz w:val="32"/>
          <w:szCs w:val="32"/>
        </w:rPr>
      </w:pPr>
      <w:r>
        <w:rPr>
          <w:rFonts w:hint="eastAsia" w:ascii="Times New Roman" w:hAnsi="Times New Roman" w:eastAsia="仿宋_GB2312"/>
          <w:color w:val="auto"/>
          <w:sz w:val="32"/>
          <w:szCs w:val="32"/>
        </w:rPr>
        <w:t>年初预算为</w:t>
      </w:r>
      <w:r>
        <w:rPr>
          <w:rFonts w:hint="default" w:ascii="Times New Roman" w:hAnsi="Times New Roman" w:eastAsia="仿宋_GB2312"/>
          <w:color w:val="auto"/>
          <w:sz w:val="32"/>
          <w:szCs w:val="32"/>
        </w:rPr>
        <w:t>13.69</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rPr>
        <w:t>13.05</w:t>
      </w:r>
      <w:r>
        <w:rPr>
          <w:rFonts w:hint="eastAsia" w:ascii="Times New Roman" w:hAnsi="Times New Roman" w:eastAsia="仿宋_GB2312"/>
          <w:color w:val="auto"/>
          <w:sz w:val="32"/>
          <w:szCs w:val="32"/>
        </w:rPr>
        <w:t>万元，完成年初预算的</w:t>
      </w:r>
      <w:r>
        <w:rPr>
          <w:rFonts w:hint="default" w:ascii="Times New Roman" w:hAnsi="Times New Roman" w:eastAsia="仿宋_GB2312"/>
          <w:color w:val="auto"/>
          <w:sz w:val="32"/>
          <w:szCs w:val="32"/>
        </w:rPr>
        <w:t>95.33</w:t>
      </w:r>
      <w:r>
        <w:rPr>
          <w:rFonts w:hint="eastAsia" w:ascii="Times New Roman" w:hAnsi="Times New Roman" w:eastAsia="仿宋_GB2312"/>
          <w:color w:val="auto"/>
          <w:sz w:val="32"/>
          <w:szCs w:val="32"/>
        </w:rPr>
        <w:t>%，决算数小于年初预算数的主要原因是：</w:t>
      </w:r>
      <w:r>
        <w:rPr>
          <w:rFonts w:ascii="Times New Roman" w:hAnsi="Times New Roman" w:eastAsia="仿宋_GB2312" w:cs="Times New Roman"/>
          <w:color w:val="auto"/>
          <w:sz w:val="32"/>
          <w:szCs w:val="32"/>
        </w:rPr>
        <w:t>我单位</w:t>
      </w:r>
      <w:r>
        <w:rPr>
          <w:rFonts w:hint="default" w:ascii="Times New Roman" w:hAnsi="Times New Roman" w:eastAsia="仿宋_GB2312" w:cs="Times New Roman"/>
          <w:color w:val="auto"/>
          <w:sz w:val="32"/>
          <w:szCs w:val="32"/>
        </w:rPr>
        <w:t>2024年有人员调出，但年初预算为全年预算数。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4、</w:t>
      </w:r>
      <w:r>
        <w:rPr>
          <w:rFonts w:hint="eastAsia" w:ascii="Times New Roman" w:hAnsi="Times New Roman" w:eastAsia="仿宋_GB2312"/>
          <w:color w:val="auto"/>
          <w:sz w:val="32"/>
          <w:szCs w:val="32"/>
        </w:rPr>
        <w:t>农林水支出（类）水利（款）</w:t>
      </w:r>
      <w:r>
        <w:rPr>
          <w:rFonts w:hint="default" w:ascii="Times New Roman" w:hAnsi="Times New Roman" w:eastAsia="仿宋_GB2312"/>
          <w:color w:val="auto"/>
          <w:sz w:val="32"/>
          <w:szCs w:val="32"/>
        </w:rPr>
        <w:t>大中型水库移民后期扶持专项支出</w:t>
      </w:r>
      <w:r>
        <w:rPr>
          <w:rFonts w:hint="eastAsia" w:ascii="Times New Roman" w:hAnsi="Times New Roman" w:eastAsia="仿宋_GB2312"/>
          <w:color w:val="auto"/>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rPr>
        <w:t>58.6</w:t>
      </w:r>
      <w:r>
        <w:rPr>
          <w:rFonts w:hint="eastAsia" w:ascii="Times New Roman" w:hAnsi="Times New Roman" w:eastAsia="仿宋_GB2312"/>
          <w:color w:val="auto"/>
          <w:sz w:val="32"/>
          <w:szCs w:val="32"/>
        </w:rPr>
        <w:t>万元，</w:t>
      </w:r>
      <w:r>
        <w:rPr>
          <w:rFonts w:hint="default" w:ascii="Times New Roman" w:hAnsi="Times New Roman" w:eastAsia="仿宋_GB2312"/>
          <w:color w:val="auto"/>
          <w:sz w:val="32"/>
          <w:szCs w:val="32"/>
        </w:rPr>
        <w:t>由于预算数为0，无法计算百分比</w:t>
      </w:r>
      <w:r>
        <w:rPr>
          <w:rFonts w:hint="eastAsia" w:ascii="Times New Roman" w:hAnsi="Times New Roman" w:eastAsia="仿宋_GB2312"/>
          <w:color w:val="auto"/>
          <w:sz w:val="32"/>
          <w:szCs w:val="32"/>
        </w:rPr>
        <w:t>，决算数大于年初预算数的主要原因是：</w:t>
      </w:r>
      <w:r>
        <w:rPr>
          <w:rFonts w:hint="default" w:ascii="Times New Roman" w:hAnsi="Times New Roman" w:eastAsia="仿宋_GB2312"/>
          <w:color w:val="auto"/>
          <w:sz w:val="32"/>
          <w:szCs w:val="32"/>
        </w:rPr>
        <w:t>省拨中央大中型水库后期扶持资金58.6万元。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5</w:t>
      </w:r>
      <w:r>
        <w:rPr>
          <w:rFonts w:hint="eastAsia" w:ascii="Times New Roman" w:hAnsi="Times New Roman" w:eastAsia="仿宋_GB2312"/>
          <w:color w:val="auto"/>
          <w:sz w:val="32"/>
          <w:szCs w:val="32"/>
        </w:rPr>
        <w:t>、农林水支出（类）水利（款）</w:t>
      </w:r>
      <w:r>
        <w:rPr>
          <w:rFonts w:hint="default" w:ascii="Times New Roman" w:hAnsi="Times New Roman" w:eastAsia="仿宋_GB2312"/>
          <w:color w:val="auto"/>
          <w:sz w:val="32"/>
          <w:szCs w:val="32"/>
        </w:rPr>
        <w:t>其他水利支出</w:t>
      </w:r>
      <w:r>
        <w:rPr>
          <w:rFonts w:hint="eastAsia" w:ascii="Times New Roman" w:hAnsi="Times New Roman" w:eastAsia="仿宋_GB2312"/>
          <w:color w:val="auto"/>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rPr>
        <w:t>53.5</w:t>
      </w:r>
      <w:r>
        <w:rPr>
          <w:rFonts w:hint="eastAsia" w:ascii="Times New Roman" w:hAnsi="Times New Roman" w:eastAsia="仿宋_GB2312"/>
          <w:color w:val="auto"/>
          <w:sz w:val="32"/>
          <w:szCs w:val="32"/>
        </w:rPr>
        <w:t>万元，</w:t>
      </w:r>
      <w:r>
        <w:rPr>
          <w:rFonts w:hint="default" w:ascii="Times New Roman" w:hAnsi="Times New Roman" w:eastAsia="仿宋_GB2312"/>
          <w:color w:val="auto"/>
          <w:sz w:val="32"/>
          <w:szCs w:val="32"/>
        </w:rPr>
        <w:t>由于预算数为0，无法计算百分比</w:t>
      </w:r>
      <w:r>
        <w:rPr>
          <w:rFonts w:hint="eastAsia" w:ascii="Times New Roman" w:hAnsi="Times New Roman" w:eastAsia="仿宋_GB2312"/>
          <w:color w:val="auto"/>
          <w:sz w:val="32"/>
          <w:szCs w:val="32"/>
        </w:rPr>
        <w:t>，决算数大于年初预算数的主要原因是：</w:t>
      </w:r>
      <w:r>
        <w:rPr>
          <w:rFonts w:hint="default" w:ascii="Times New Roman" w:hAnsi="Times New Roman" w:eastAsia="仿宋_GB2312"/>
          <w:color w:val="auto"/>
          <w:sz w:val="32"/>
          <w:szCs w:val="32"/>
        </w:rPr>
        <w:t>省拨后扶维稳工作经费34.38万元、全市移民存量资金监督检查工作经费8.42万元和移民工作经费补助资金10.66万元。</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六、一般公共预算财政拨款基本支出决算情况说明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2024年度一般公共预算财政拨款基本支出</w:t>
      </w:r>
      <w:r>
        <w:rPr>
          <w:rFonts w:hint="default" w:ascii="Times New Roman" w:hAnsi="Times New Roman" w:eastAsia="仿宋_GB2312" w:cs="Times New Roman"/>
          <w:color w:val="auto"/>
          <w:sz w:val="32"/>
          <w:szCs w:val="32"/>
        </w:rPr>
        <w:t>361.17</w:t>
      </w:r>
      <w:r>
        <w:rPr>
          <w:rFonts w:ascii="Times New Roman" w:hAnsi="Times New Roman" w:eastAsia="仿宋_GB2312" w:cs="Times New Roman"/>
          <w:color w:val="auto"/>
          <w:sz w:val="32"/>
          <w:szCs w:val="32"/>
        </w:rPr>
        <w:t>万元，其中：</w:t>
      </w:r>
    </w:p>
    <w:p>
      <w:pPr>
        <w:pStyle w:val="14"/>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ascii="Times New Roman" w:hAnsi="Times New Roman" w:eastAsia="仿宋_GB2312" w:cs="Times New Roman"/>
          <w:b/>
          <w:bCs/>
          <w:color w:val="auto"/>
          <w:sz w:val="32"/>
          <w:szCs w:val="32"/>
        </w:rPr>
        <w:t>人员经费</w:t>
      </w:r>
      <w:r>
        <w:rPr>
          <w:rFonts w:hint="default" w:ascii="Times New Roman" w:hAnsi="Times New Roman" w:eastAsia="仿宋_GB2312" w:cs="Times New Roman"/>
          <w:color w:val="auto"/>
          <w:sz w:val="32"/>
          <w:szCs w:val="32"/>
        </w:rPr>
        <w:t>337.75</w:t>
      </w:r>
      <w:r>
        <w:rPr>
          <w:rFonts w:ascii="Times New Roman" w:hAnsi="Times New Roman" w:eastAsia="仿宋_GB2312" w:cs="Times New Roman"/>
          <w:color w:val="auto"/>
          <w:sz w:val="32"/>
          <w:szCs w:val="32"/>
        </w:rPr>
        <w:t>万元，占基本支出的</w:t>
      </w:r>
      <w:r>
        <w:rPr>
          <w:rFonts w:hint="default" w:ascii="Times New Roman" w:hAnsi="Times New Roman" w:eastAsia="仿宋_GB2312" w:cs="Times New Roman"/>
          <w:color w:val="auto"/>
          <w:sz w:val="32"/>
          <w:szCs w:val="32"/>
        </w:rPr>
        <w:t>93.52</w:t>
      </w:r>
      <w:r>
        <w:rPr>
          <w:rFonts w:ascii="Times New Roman" w:hAnsi="Times New Roman" w:eastAsia="仿宋_GB2312" w:cs="Times New Roman"/>
          <w:color w:val="auto"/>
          <w:sz w:val="32"/>
          <w:szCs w:val="32"/>
        </w:rPr>
        <w:t>%,主要包括基本工资、津贴补贴、奖金、伙食补助费、</w:t>
      </w:r>
      <w:r>
        <w:rPr>
          <w:rFonts w:hint="eastAsia" w:ascii="Times New Roman" w:hAnsi="Times New Roman" w:eastAsia="仿宋_GB2312"/>
          <w:color w:val="auto"/>
          <w:sz w:val="32"/>
          <w:szCs w:val="32"/>
        </w:rPr>
        <w:t>机关事业单位基本养老保险缴费、职工基本医疗保险缴费、公务员医疗补助缴费</w:t>
      </w:r>
      <w:r>
        <w:rPr>
          <w:rFonts w:hint="default" w:ascii="Times New Roman" w:hAnsi="Times New Roman" w:eastAsia="仿宋_GB2312"/>
          <w:color w:val="auto"/>
          <w:sz w:val="32"/>
          <w:szCs w:val="32"/>
        </w:rPr>
        <w:t>、</w:t>
      </w:r>
      <w:r>
        <w:rPr>
          <w:rFonts w:hint="eastAsia" w:ascii="Times New Roman" w:hAnsi="Times New Roman" w:eastAsia="仿宋_GB2312"/>
          <w:color w:val="auto"/>
          <w:sz w:val="32"/>
          <w:szCs w:val="32"/>
        </w:rPr>
        <w:t>其他社会保障缴费、</w:t>
      </w:r>
      <w:r>
        <w:rPr>
          <w:rFonts w:hint="default" w:ascii="Times New Roman" w:hAnsi="Times New Roman" w:eastAsia="仿宋_GB2312"/>
          <w:color w:val="auto"/>
          <w:sz w:val="32"/>
          <w:szCs w:val="32"/>
        </w:rPr>
        <w:t>住房公积金、其他工资福利支出、</w:t>
      </w:r>
      <w:r>
        <w:rPr>
          <w:rFonts w:hint="eastAsia" w:ascii="Times New Roman" w:hAnsi="Times New Roman" w:eastAsia="仿宋_GB2312"/>
          <w:color w:val="auto"/>
          <w:sz w:val="32"/>
          <w:szCs w:val="32"/>
        </w:rPr>
        <w:t>生活补助、医疗费补助</w:t>
      </w:r>
      <w:r>
        <w:rPr>
          <w:rFonts w:hint="default" w:ascii="Times New Roman" w:hAnsi="Times New Roman" w:eastAsia="仿宋_GB2312"/>
          <w:color w:val="auto"/>
          <w:sz w:val="32"/>
          <w:szCs w:val="32"/>
        </w:rPr>
        <w:t>、奖励金、</w:t>
      </w:r>
      <w:r>
        <w:rPr>
          <w:rFonts w:hint="eastAsia" w:ascii="Times New Roman" w:hAnsi="Times New Roman" w:eastAsia="仿宋_GB2312"/>
          <w:color w:val="auto"/>
          <w:sz w:val="32"/>
          <w:szCs w:val="32"/>
        </w:rPr>
        <w:t>其他对个人和家庭的补助支出。</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公用经费</w:t>
      </w:r>
      <w:r>
        <w:rPr>
          <w:rFonts w:hint="default" w:ascii="Times New Roman" w:hAnsi="Times New Roman" w:eastAsia="仿宋_GB2312" w:cs="Times New Roman"/>
          <w:color w:val="auto"/>
          <w:sz w:val="32"/>
          <w:szCs w:val="32"/>
        </w:rPr>
        <w:t>23.42</w:t>
      </w:r>
      <w:r>
        <w:rPr>
          <w:rFonts w:ascii="Times New Roman" w:hAnsi="Times New Roman" w:eastAsia="仿宋_GB2312" w:cs="Times New Roman"/>
          <w:color w:val="auto"/>
          <w:sz w:val="32"/>
          <w:szCs w:val="32"/>
        </w:rPr>
        <w:t>万元，占基本支出的</w:t>
      </w:r>
      <w:r>
        <w:rPr>
          <w:rFonts w:hint="default" w:ascii="Times New Roman" w:hAnsi="Times New Roman" w:eastAsia="仿宋_GB2312" w:cs="Times New Roman"/>
          <w:color w:val="auto"/>
          <w:sz w:val="32"/>
          <w:szCs w:val="32"/>
        </w:rPr>
        <w:t>6.48</w:t>
      </w:r>
      <w:r>
        <w:rPr>
          <w:rFonts w:ascii="Times New Roman" w:hAnsi="Times New Roman" w:eastAsia="仿宋_GB2312" w:cs="Times New Roman"/>
          <w:color w:val="auto"/>
          <w:sz w:val="32"/>
          <w:szCs w:val="32"/>
        </w:rPr>
        <w:t>%，主要包括劳务费、工会经费、福利费、其他交通费用。</w:t>
      </w:r>
    </w:p>
    <w:p>
      <w:pPr>
        <w:pStyle w:val="14"/>
        <w:overflowPunct w:val="0"/>
        <w:autoSpaceDE/>
        <w:autoSpaceDN/>
        <w:spacing w:line="600" w:lineRule="exact"/>
        <w:ind w:firstLine="640" w:firstLineChars="200"/>
        <w:jc w:val="both"/>
        <w:rPr>
          <w:rFonts w:ascii="Times New Roman" w:hAnsi="Times New Roman" w:eastAsia="仿宋_GB2312" w:cs="Times New Roman"/>
          <w:b/>
          <w:color w:val="auto"/>
          <w:sz w:val="32"/>
          <w:szCs w:val="32"/>
        </w:rPr>
      </w:pPr>
      <w:r>
        <w:rPr>
          <w:rFonts w:ascii="Times New Roman" w:hAnsi="Times New Roman" w:cs="Times New Roman"/>
          <w:bCs/>
          <w:color w:val="auto"/>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（一）“三公”经费财政拨款支出决算总体情况说明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2024年度“三公”经费财政拨款支出预算为</w:t>
      </w:r>
      <w:r>
        <w:rPr>
          <w:rFonts w:hint="default" w:ascii="Times New Roman" w:hAnsi="Times New Roman" w:eastAsia="仿宋_GB2312" w:cs="Times New Roman"/>
          <w:color w:val="auto"/>
          <w:sz w:val="32"/>
          <w:szCs w:val="32"/>
        </w:rPr>
        <w:t>9.5</w:t>
      </w:r>
      <w:r>
        <w:rPr>
          <w:rFonts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9.5</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rPr>
        <w:t>4.1</w:t>
      </w:r>
      <w:r>
        <w:rPr>
          <w:rFonts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rPr>
        <w:t>70</w:t>
      </w:r>
      <w:r>
        <w:rPr>
          <w:rFonts w:ascii="Times New Roman" w:hAnsi="Times New Roman" w:eastAsia="仿宋_GB2312" w:cs="Times New Roman"/>
          <w:color w:val="auto"/>
          <w:sz w:val="32"/>
          <w:szCs w:val="32"/>
        </w:rPr>
        <w:t>%，决算数与预算数一致。</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ascii="Times New Roman" w:hAnsi="Times New Roman" w:eastAsia="仿宋_GB2312" w:cs="Times New Roman"/>
          <w:color w:val="auto"/>
          <w:sz w:val="32"/>
          <w:szCs w:val="32"/>
        </w:rPr>
        <w:t>1.因公出国（境）费支出预算为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决算数</w:t>
      </w:r>
      <w:r>
        <w:rPr>
          <w:rFonts w:hint="default" w:ascii="Times New Roman" w:hAnsi="Times New Roman" w:eastAsia="仿宋_GB2312"/>
          <w:color w:val="auto"/>
          <w:sz w:val="32"/>
          <w:szCs w:val="32"/>
        </w:rPr>
        <w:t>与</w:t>
      </w:r>
      <w:r>
        <w:rPr>
          <w:rFonts w:hint="eastAsia" w:ascii="Times New Roman" w:hAnsi="Times New Roman" w:eastAsia="仿宋_GB2312"/>
          <w:color w:val="auto"/>
          <w:sz w:val="32"/>
          <w:szCs w:val="32"/>
        </w:rPr>
        <w:t>预算数</w:t>
      </w:r>
      <w:r>
        <w:rPr>
          <w:rFonts w:hint="default" w:ascii="Times New Roman" w:hAnsi="Times New Roman" w:eastAsia="仿宋_GB2312"/>
          <w:color w:val="auto"/>
          <w:sz w:val="32"/>
          <w:szCs w:val="32"/>
        </w:rPr>
        <w:t>一致，</w:t>
      </w:r>
      <w:r>
        <w:rPr>
          <w:rFonts w:hint="eastAsia" w:ascii="Times New Roman" w:hAnsi="Times New Roman" w:eastAsia="仿宋_GB2312"/>
          <w:color w:val="auto"/>
          <w:sz w:val="32"/>
          <w:szCs w:val="32"/>
        </w:rPr>
        <w:t>与上年相比无变动</w:t>
      </w:r>
      <w:r>
        <w:rPr>
          <w:rFonts w:hint="default" w:ascii="Times New Roman" w:hAnsi="Times New Roman" w:eastAsia="仿宋_GB2312"/>
          <w:color w:val="auto"/>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2.公务用车购置费及运行维护费支出预算为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%；与上年相比无变化。</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公务用车运行维护费支出预算为</w:t>
      </w:r>
      <w:r>
        <w:rPr>
          <w:rFonts w:hint="default"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万元，主要是公务用车运行维护费支出，完成预算的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rPr>
        <w:t>4.5</w:t>
      </w:r>
      <w:r>
        <w:rPr>
          <w:rFonts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rPr>
        <w:t>128.78</w:t>
      </w:r>
      <w:r>
        <w:rPr>
          <w:rFonts w:ascii="Times New Roman" w:hAnsi="Times New Roman" w:eastAsia="仿宋_GB2312" w:cs="Times New Roman"/>
          <w:color w:val="auto"/>
          <w:sz w:val="32"/>
          <w:szCs w:val="32"/>
        </w:rPr>
        <w:t>%。决算数与预算数一致。决算数大于上年数的主要原因是公车使用年限较长，日常维修养护成本增加，以及燃油消耗增加等。截止2024年12月31日，我单位开支财政拨款的公务用车保有量为</w:t>
      </w: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辆。</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ascii="Times New Roman" w:hAnsi="Times New Roman" w:eastAsia="仿宋_GB2312" w:cs="Times New Roman"/>
          <w:color w:val="auto"/>
          <w:sz w:val="32"/>
          <w:szCs w:val="32"/>
        </w:rPr>
        <w:t>3.公务接待费支出预算为</w:t>
      </w:r>
      <w:r>
        <w:rPr>
          <w:rFonts w:hint="default" w:ascii="Times New Roman" w:hAnsi="Times New Roman" w:eastAsia="仿宋_GB2312" w:cs="Times New Roman"/>
          <w:color w:val="auto"/>
          <w:sz w:val="32"/>
          <w:szCs w:val="32"/>
        </w:rPr>
        <w:t>1.5</w:t>
      </w:r>
      <w:r>
        <w:rPr>
          <w:rFonts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rPr>
        <w:t>1.5</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%；与上年相比减少</w:t>
      </w:r>
      <w:r>
        <w:rPr>
          <w:rFonts w:hint="default" w:ascii="Times New Roman" w:hAnsi="Times New Roman" w:eastAsia="仿宋_GB2312" w:cs="Times New Roman"/>
          <w:color w:val="auto"/>
          <w:sz w:val="32"/>
          <w:szCs w:val="32"/>
        </w:rPr>
        <w:t>0.39</w:t>
      </w:r>
      <w:r>
        <w:rPr>
          <w:rFonts w:ascii="Times New Roman" w:hAnsi="Times New Roman" w:eastAsia="仿宋_GB2312" w:cs="Times New Roman"/>
          <w:color w:val="auto"/>
          <w:sz w:val="32"/>
          <w:szCs w:val="32"/>
        </w:rPr>
        <w:t>万元，降低</w:t>
      </w:r>
      <w:r>
        <w:rPr>
          <w:rFonts w:hint="default" w:ascii="Times New Roman" w:hAnsi="Times New Roman" w:eastAsia="仿宋_GB2312" w:cs="Times New Roman"/>
          <w:color w:val="auto"/>
          <w:sz w:val="32"/>
          <w:szCs w:val="32"/>
        </w:rPr>
        <w:t>20.65</w:t>
      </w:r>
      <w:r>
        <w:rPr>
          <w:rFonts w:ascii="Times New Roman" w:hAnsi="Times New Roman" w:eastAsia="仿宋_GB2312" w:cs="Times New Roman"/>
          <w:color w:val="auto"/>
          <w:sz w:val="32"/>
          <w:szCs w:val="32"/>
        </w:rPr>
        <w:t>%。决算数与预算数一致。2024年度</w:t>
      </w:r>
      <w:r>
        <w:rPr>
          <w:rFonts w:hint="eastAsia" w:ascii="Times New Roman" w:hAnsi="Times New Roman" w:eastAsia="仿宋_GB2312"/>
          <w:color w:val="auto"/>
          <w:sz w:val="32"/>
          <w:szCs w:val="32"/>
        </w:rPr>
        <w:t>共接待来访团组</w:t>
      </w:r>
      <w:r>
        <w:rPr>
          <w:rFonts w:hint="default" w:ascii="Times New Roman" w:hAnsi="Times New Roman" w:eastAsia="仿宋_GB2312"/>
          <w:color w:val="auto"/>
          <w:sz w:val="32"/>
          <w:szCs w:val="32"/>
        </w:rPr>
        <w:t>27</w:t>
      </w:r>
      <w:r>
        <w:rPr>
          <w:rFonts w:hint="eastAsia" w:ascii="Times New Roman" w:hAnsi="Times New Roman" w:eastAsia="仿宋_GB2312"/>
          <w:color w:val="auto"/>
          <w:sz w:val="32"/>
          <w:szCs w:val="32"/>
        </w:rPr>
        <w:t>个、来宾</w:t>
      </w:r>
      <w:r>
        <w:rPr>
          <w:rFonts w:hint="default" w:ascii="Times New Roman" w:hAnsi="Times New Roman" w:eastAsia="仿宋_GB2312"/>
          <w:color w:val="auto"/>
          <w:sz w:val="32"/>
          <w:szCs w:val="32"/>
        </w:rPr>
        <w:t>104</w:t>
      </w:r>
      <w:r>
        <w:rPr>
          <w:rFonts w:hint="eastAsia" w:ascii="Times New Roman" w:hAnsi="Times New Roman" w:eastAsia="仿宋_GB2312"/>
          <w:color w:val="auto"/>
          <w:sz w:val="32"/>
          <w:szCs w:val="32"/>
        </w:rPr>
        <w:t>人次，主要是</w:t>
      </w:r>
      <w:r>
        <w:rPr>
          <w:rFonts w:ascii="Times New Roman" w:hAnsi="Times New Roman" w:eastAsia="仿宋_GB2312"/>
          <w:color w:val="auto"/>
          <w:sz w:val="32"/>
          <w:szCs w:val="32"/>
        </w:rPr>
        <w:t>省及各县市区移民事务中心来怀公务活动</w:t>
      </w:r>
      <w:r>
        <w:rPr>
          <w:rFonts w:hint="eastAsia" w:ascii="Times New Roman" w:hAnsi="Times New Roman" w:eastAsia="仿宋_GB2312"/>
          <w:color w:val="auto"/>
          <w:sz w:val="32"/>
          <w:szCs w:val="32"/>
        </w:rPr>
        <w:t>发生的接待支出。</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八、政府性基金预算收入支出决算情况</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2024年度政府性基金预算财政拨款收入</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万元；年初结转和结余</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万元，项目支出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万元；年末结转和结余</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w:t>
      </w:r>
      <w:r>
        <w:rPr>
          <w:rFonts w:hint="eastAsia" w:ascii="Times New Roman" w:hAnsi="Times New Roman" w:eastAsia="仿宋_GB2312"/>
          <w:color w:val="auto"/>
          <w:sz w:val="32"/>
          <w:szCs w:val="32"/>
          <w:lang w:val="en-US" w:eastAsia="zh-CN"/>
        </w:rPr>
        <w:t>本单位无政府性基金收支</w:t>
      </w:r>
      <w:r>
        <w:rPr>
          <w:rFonts w:hint="default" w:ascii="Times New Roman" w:hAnsi="Times New Roman" w:eastAsia="仿宋_GB2312"/>
          <w:color w:val="auto"/>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黑体" w:hAnsi="黑体" w:eastAsia="黑体" w:cs="黑体"/>
          <w:b w:val="0"/>
          <w:bCs/>
          <w:color w:val="auto"/>
          <w:sz w:val="32"/>
          <w:szCs w:val="32"/>
        </w:rPr>
      </w:pPr>
      <w:r>
        <w:rPr>
          <w:rFonts w:ascii="Times New Roman" w:hAnsi="Times New Roman" w:cs="Times New Roman"/>
          <w:bCs/>
          <w:color w:val="auto"/>
          <w:sz w:val="32"/>
          <w:szCs w:val="32"/>
        </w:rPr>
        <w:t>九、</w:t>
      </w:r>
      <w:r>
        <w:rPr>
          <w:rFonts w:hint="default" w:ascii="黑体" w:hAnsi="黑体" w:eastAsia="黑体" w:cs="黑体"/>
          <w:b w:val="0"/>
          <w:bCs/>
          <w:color w:val="auto"/>
          <w:sz w:val="32"/>
          <w:szCs w:val="32"/>
        </w:rPr>
        <w:t>国有资本经营预算收入支出决算</w:t>
      </w:r>
      <w:r>
        <w:rPr>
          <w:rFonts w:hint="default" w:hAnsi="黑体" w:cs="黑体"/>
          <w:b w:val="0"/>
          <w:bCs/>
          <w:color w:val="auto"/>
          <w:sz w:val="32"/>
          <w:szCs w:val="32"/>
        </w:rPr>
        <w:t>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cs="Times New Roman"/>
          <w:bCs/>
          <w:color w:val="auto"/>
          <w:sz w:val="32"/>
          <w:szCs w:val="32"/>
        </w:rPr>
      </w:pPr>
      <w:r>
        <w:rPr>
          <w:rFonts w:hint="eastAsia" w:ascii="Times New Roman" w:hAnsi="Times New Roman" w:eastAsia="仿宋_GB2312"/>
          <w:color w:val="auto"/>
          <w:sz w:val="32"/>
          <w:szCs w:val="32"/>
        </w:rPr>
        <w:t>202</w:t>
      </w:r>
      <w:r>
        <w:rPr>
          <w:rFonts w:hint="default" w:ascii="Times New Roman" w:hAnsi="Times New Roman" w:eastAsia="仿宋_GB2312"/>
          <w:color w:val="auto"/>
          <w:sz w:val="32"/>
          <w:szCs w:val="32"/>
          <w:lang w:eastAsia="zh-CN"/>
        </w:rPr>
        <w:t>3</w:t>
      </w:r>
      <w:r>
        <w:rPr>
          <w:rFonts w:hint="eastAsia" w:ascii="Times New Roman" w:hAnsi="Times New Roman" w:eastAsia="仿宋_GB2312"/>
          <w:color w:val="auto"/>
          <w:sz w:val="32"/>
          <w:szCs w:val="32"/>
        </w:rPr>
        <w:t>年度国有资本经营预算收入</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万元；年初结转和结余</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万元；支出</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万元，其中基本支出</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万元，项目支出</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万元；年末结转和结余</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本单位无国有资本经营收支</w:t>
      </w:r>
      <w:r>
        <w:rPr>
          <w:rFonts w:hint="default" w:ascii="Times New Roman" w:hAnsi="Times New Roman" w:eastAsia="仿宋_GB2312"/>
          <w:color w:val="auto"/>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十、关于机关运行经费支出说明</w:t>
      </w:r>
    </w:p>
    <w:p>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本部门2024年度机关运行经费支出</w:t>
      </w:r>
      <w:r>
        <w:rPr>
          <w:rFonts w:hint="default" w:ascii="Times New Roman" w:hAnsi="Times New Roman" w:eastAsia="仿宋_GB2312" w:cs="Times New Roman"/>
          <w:color w:val="auto"/>
          <w:sz w:val="32"/>
          <w:szCs w:val="32"/>
        </w:rPr>
        <w:t>23.42</w:t>
      </w:r>
      <w:r>
        <w:rPr>
          <w:rFonts w:ascii="Times New Roman" w:hAnsi="Times New Roman" w:eastAsia="仿宋_GB2312" w:cs="Times New Roman"/>
          <w:color w:val="auto"/>
          <w:sz w:val="32"/>
          <w:szCs w:val="32"/>
        </w:rPr>
        <w:t>万元，比上年决算数减少</w:t>
      </w:r>
      <w:r>
        <w:rPr>
          <w:rFonts w:hint="default" w:ascii="Times New Roman" w:hAnsi="Times New Roman" w:eastAsia="仿宋_GB2312" w:cs="Times New Roman"/>
          <w:color w:val="auto"/>
          <w:sz w:val="32"/>
          <w:szCs w:val="32"/>
        </w:rPr>
        <w:t>4.68</w:t>
      </w:r>
      <w:r>
        <w:rPr>
          <w:rFonts w:ascii="Times New Roman" w:hAnsi="Times New Roman" w:eastAsia="仿宋_GB2312" w:cs="Times New Roman"/>
          <w:color w:val="auto"/>
          <w:sz w:val="32"/>
          <w:szCs w:val="32"/>
        </w:rPr>
        <w:t>万元，降低</w:t>
      </w:r>
      <w:r>
        <w:rPr>
          <w:rFonts w:hint="default" w:ascii="Times New Roman" w:hAnsi="Times New Roman" w:eastAsia="仿宋_GB2312" w:cs="Times New Roman"/>
          <w:color w:val="auto"/>
          <w:sz w:val="32"/>
          <w:szCs w:val="32"/>
        </w:rPr>
        <w:t>16.65</w:t>
      </w:r>
      <w:r>
        <w:rPr>
          <w:rFonts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rPr>
        <w:t>2024年单位人员减少，相应的公用经费减少，同时严格落实经费压减任务，减少非必要性开支、控制一般性支出。</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十一、一般性支出情况说明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ascii="Times New Roman" w:hAnsi="Times New Roman" w:eastAsia="仿宋_GB2312" w:cs="Times New Roman"/>
          <w:color w:val="auto"/>
          <w:sz w:val="32"/>
          <w:szCs w:val="32"/>
        </w:rPr>
        <w:t>2024年本部门开支会议费</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万元，人数</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人；开支培训费</w:t>
      </w:r>
      <w:r>
        <w:rPr>
          <w:rFonts w:hint="default" w:ascii="Times New Roman" w:hAnsi="Times New Roman" w:eastAsia="仿宋_GB2312"/>
          <w:color w:val="auto"/>
          <w:sz w:val="32"/>
          <w:szCs w:val="32"/>
        </w:rPr>
        <w:t>1.59</w:t>
      </w:r>
      <w:r>
        <w:rPr>
          <w:rFonts w:hint="eastAsia" w:ascii="Times New Roman" w:hAnsi="Times New Roman" w:eastAsia="仿宋_GB2312"/>
          <w:color w:val="auto"/>
          <w:sz w:val="32"/>
          <w:szCs w:val="32"/>
        </w:rPr>
        <w:t>万元，用于开展</w:t>
      </w:r>
      <w:r>
        <w:rPr>
          <w:rFonts w:hint="default" w:ascii="Times New Roman" w:hAnsi="Times New Roman" w:eastAsia="仿宋_GB2312"/>
          <w:color w:val="auto"/>
          <w:sz w:val="32"/>
          <w:szCs w:val="32"/>
        </w:rPr>
        <w:t>部门工作</w:t>
      </w:r>
      <w:r>
        <w:rPr>
          <w:rFonts w:hint="eastAsia" w:ascii="Times New Roman" w:hAnsi="Times New Roman" w:eastAsia="仿宋_GB2312"/>
          <w:color w:val="auto"/>
          <w:sz w:val="32"/>
          <w:szCs w:val="32"/>
        </w:rPr>
        <w:t>培</w:t>
      </w:r>
      <w:r>
        <w:rPr>
          <w:rFonts w:hint="eastAsia" w:ascii="Times New Roman" w:hAnsi="Times New Roman" w:eastAsia="仿宋_GB2312"/>
          <w:color w:val="auto"/>
          <w:sz w:val="32"/>
          <w:szCs w:val="32"/>
          <w:highlight w:val="none"/>
        </w:rPr>
        <w:t>训，人数</w:t>
      </w:r>
      <w:r>
        <w:rPr>
          <w:rFonts w:hint="default" w:ascii="Times New Roman" w:hAnsi="Times New Roman" w:eastAsia="仿宋_GB2312"/>
          <w:color w:val="auto"/>
          <w:sz w:val="32"/>
          <w:szCs w:val="32"/>
          <w:highlight w:val="none"/>
        </w:rPr>
        <w:t>67</w:t>
      </w:r>
      <w:r>
        <w:rPr>
          <w:rFonts w:hint="eastAsia" w:ascii="Times New Roman" w:hAnsi="Times New Roman" w:eastAsia="仿宋_GB2312"/>
          <w:color w:val="auto"/>
          <w:sz w:val="32"/>
          <w:szCs w:val="32"/>
          <w:highlight w:val="none"/>
        </w:rPr>
        <w:t>人</w:t>
      </w:r>
      <w:r>
        <w:rPr>
          <w:rFonts w:hint="eastAsia" w:ascii="Times New Roman" w:hAnsi="Times New Roman" w:eastAsia="仿宋_GB2312"/>
          <w:color w:val="auto"/>
          <w:sz w:val="32"/>
          <w:szCs w:val="32"/>
        </w:rPr>
        <w:t>，内容为</w:t>
      </w:r>
      <w:r>
        <w:rPr>
          <w:rFonts w:hint="default" w:ascii="Times New Roman" w:hAnsi="Times New Roman" w:eastAsia="仿宋_GB2312"/>
          <w:color w:val="auto"/>
          <w:sz w:val="32"/>
          <w:szCs w:val="32"/>
        </w:rPr>
        <w:t>开展绩效、监督检查业务能力提升培训、检测评估业务培训</w:t>
      </w:r>
      <w:r>
        <w:rPr>
          <w:rFonts w:hint="eastAsia" w:ascii="Times New Roman" w:hAnsi="Times New Roman" w:eastAsia="仿宋_GB2312"/>
          <w:color w:val="auto"/>
          <w:sz w:val="32"/>
          <w:szCs w:val="32"/>
        </w:rPr>
        <w:t>；举办节庆、晚会、论坛、赛事活动，开支</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万元。</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ascii="Times New Roman" w:hAnsi="Times New Roman" w:cs="Times New Roman"/>
          <w:bCs/>
          <w:color w:val="auto"/>
          <w:sz w:val="32"/>
          <w:szCs w:val="32"/>
        </w:rPr>
        <w:t>二</w:t>
      </w:r>
      <w:r>
        <w:rPr>
          <w:rFonts w:ascii="Times New Roman" w:hAnsi="Times New Roman" w:cs="Times New Roman"/>
          <w:bCs/>
          <w:color w:val="auto"/>
          <w:sz w:val="32"/>
          <w:szCs w:val="32"/>
        </w:rPr>
        <w:t>、关于政府采购支出说明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本部门2024年度政府采购支出总额</w:t>
      </w:r>
      <w:r>
        <w:rPr>
          <w:rFonts w:hint="default" w:ascii="Times New Roman" w:hAnsi="Times New Roman" w:eastAsia="仿宋_GB2312" w:cs="Times New Roman"/>
          <w:color w:val="auto"/>
          <w:sz w:val="32"/>
          <w:szCs w:val="32"/>
        </w:rPr>
        <w:t>35</w:t>
      </w:r>
      <w:r>
        <w:rPr>
          <w:rFonts w:ascii="Times New Roman" w:hAnsi="Times New Roman" w:eastAsia="仿宋_GB2312" w:cs="Times New Roman"/>
          <w:color w:val="auto"/>
          <w:sz w:val="32"/>
          <w:szCs w:val="32"/>
        </w:rPr>
        <w:t>万元，其中：政府采购货物支出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 xml:space="preserve"> 万元、政府采购工程支出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万元、政府采购服务支出</w:t>
      </w:r>
      <w:r>
        <w:rPr>
          <w:rFonts w:hint="default" w:ascii="Times New Roman" w:hAnsi="Times New Roman" w:eastAsia="仿宋_GB2312" w:cs="Times New Roman"/>
          <w:color w:val="auto"/>
          <w:sz w:val="32"/>
          <w:szCs w:val="32"/>
        </w:rPr>
        <w:t>35</w:t>
      </w:r>
      <w:r>
        <w:rPr>
          <w:rFonts w:ascii="Times New Roman" w:hAnsi="Times New Roman" w:eastAsia="仿宋_GB2312" w:cs="Times New Roman"/>
          <w:color w:val="auto"/>
          <w:sz w:val="32"/>
          <w:szCs w:val="32"/>
        </w:rPr>
        <w:t>万元。授予中小企业合同金额</w:t>
      </w:r>
      <w:r>
        <w:rPr>
          <w:rFonts w:hint="default" w:ascii="Times New Roman" w:hAnsi="Times New Roman" w:eastAsia="仿宋_GB2312" w:cs="Times New Roman"/>
          <w:color w:val="auto"/>
          <w:sz w:val="32"/>
          <w:szCs w:val="32"/>
        </w:rPr>
        <w:t>35</w:t>
      </w:r>
      <w:r>
        <w:rPr>
          <w:rFonts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%，其中：授予小微企业合同金额</w:t>
      </w:r>
      <w:r>
        <w:rPr>
          <w:rFonts w:hint="default" w:ascii="Times New Roman" w:hAnsi="Times New Roman" w:eastAsia="仿宋_GB2312" w:cs="Times New Roman"/>
          <w:color w:val="auto"/>
          <w:sz w:val="32"/>
          <w:szCs w:val="32"/>
        </w:rPr>
        <w:t>35</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占授予中小企业合同金额的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%。货物采购授予中小企业合同金额占货物支出金额的</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%，工程采购授予中小企业合同金额占工程支出金额的</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%，服务采购授予中小企业合同金额占服务支出金额的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十三、关于国有资产占用情况说明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辆，其中，副部（省）级及以上领导用车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辆、执法执勤用车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辆、特种专业技术用车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辆；单位价值100万元以上设备（不含车辆）</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十四、关于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color w:val="auto"/>
          <w:sz w:val="32"/>
          <w:szCs w:val="32"/>
        </w:rPr>
      </w:pPr>
      <w:r>
        <w:rPr>
          <w:rFonts w:ascii="Times New Roman" w:hAnsi="Times New Roman" w:eastAsia="楷体_GB2312" w:cs="Times New Roman"/>
          <w:b/>
          <w:bCs/>
          <w:color w:val="auto"/>
          <w:sz w:val="32"/>
          <w:szCs w:val="32"/>
        </w:rPr>
        <w:t>（一）绩效评价工作开展情况。</w:t>
      </w:r>
      <w:r>
        <w:rPr>
          <w:rFonts w:ascii="Times New Roman" w:hAnsi="Times New Roman" w:eastAsia="仿宋_GB2312" w:cs="Times New Roman"/>
          <w:b/>
          <w:bCs/>
          <w:color w:val="auto"/>
          <w:kern w:val="0"/>
          <w:sz w:val="32"/>
          <w:szCs w:val="32"/>
        </w:rPr>
        <w:t>一是绩效自评开展情况。</w:t>
      </w:r>
      <w:r>
        <w:rPr>
          <w:rFonts w:ascii="Times New Roman" w:hAnsi="Times New Roman" w:eastAsia="仿宋_GB2312" w:cs="Times New Roman"/>
          <w:color w:val="auto"/>
          <w:kern w:val="0"/>
          <w:sz w:val="32"/>
          <w:szCs w:val="32"/>
        </w:rPr>
        <w:t>组织对2024年度本部门（单位）整体支出开展绩效自评，涉及项目</w:t>
      </w:r>
      <w:r>
        <w:rPr>
          <w:rFonts w:hint="default"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个，共涉及资金</w:t>
      </w:r>
      <w:r>
        <w:rPr>
          <w:rFonts w:hint="default" w:ascii="Times New Roman" w:hAnsi="Times New Roman" w:eastAsia="仿宋_GB2312" w:cs="Times New Roman"/>
          <w:color w:val="auto"/>
          <w:kern w:val="0"/>
          <w:sz w:val="32"/>
          <w:szCs w:val="32"/>
        </w:rPr>
        <w:t>112.11</w:t>
      </w:r>
      <w:r>
        <w:rPr>
          <w:rFonts w:ascii="Times New Roman" w:hAnsi="Times New Roman" w:eastAsia="仿宋_GB2312" w:cs="Times New Roman"/>
          <w:color w:val="auto"/>
          <w:kern w:val="0"/>
          <w:sz w:val="32"/>
          <w:szCs w:val="32"/>
        </w:rPr>
        <w:t>万元。其中，一般公共预算项目</w:t>
      </w:r>
      <w:r>
        <w:rPr>
          <w:rFonts w:hint="default"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 xml:space="preserve"> 个</w:t>
      </w:r>
      <w:r>
        <w:rPr>
          <w:rFonts w:hint="default" w:ascii="Times New Roman" w:hAnsi="Times New Roman" w:eastAsia="仿宋_GB2312" w:cs="Times New Roman"/>
          <w:color w:val="auto"/>
          <w:kern w:val="0"/>
          <w:sz w:val="32"/>
          <w:szCs w:val="32"/>
        </w:rPr>
        <w:t>112.11</w:t>
      </w:r>
      <w:r>
        <w:rPr>
          <w:rFonts w:ascii="Times New Roman" w:hAnsi="Times New Roman" w:eastAsia="仿宋_GB2312" w:cs="Times New Roman"/>
          <w:color w:val="auto"/>
          <w:kern w:val="0"/>
          <w:sz w:val="32"/>
          <w:szCs w:val="32"/>
        </w:rPr>
        <w:t xml:space="preserve"> 万元，占一般公共预算支出总额的</w:t>
      </w:r>
      <w:r>
        <w:rPr>
          <w:rFonts w:hint="default" w:ascii="Times New Roman" w:hAnsi="Times New Roman" w:eastAsia="仿宋_GB2312" w:cs="Times New Roman"/>
          <w:color w:val="auto"/>
          <w:kern w:val="0"/>
          <w:sz w:val="32"/>
          <w:szCs w:val="32"/>
        </w:rPr>
        <w:t>100</w:t>
      </w:r>
      <w:r>
        <w:rPr>
          <w:rFonts w:ascii="Times New Roman" w:hAnsi="Times New Roman" w:eastAsia="仿宋_GB2312" w:cs="Times New Roman"/>
          <w:color w:val="auto"/>
          <w:kern w:val="0"/>
          <w:sz w:val="32"/>
          <w:szCs w:val="32"/>
        </w:rPr>
        <w:t>%；政府性基金预算项目</w:t>
      </w:r>
      <w:r>
        <w:rPr>
          <w:rFonts w:hint="default" w:ascii="Times New Roman" w:hAnsi="Times New Roman" w:eastAsia="仿宋_GB2312" w:cs="Times New Roman"/>
          <w:color w:val="auto"/>
          <w:kern w:val="0"/>
          <w:sz w:val="32"/>
          <w:szCs w:val="32"/>
        </w:rPr>
        <w:t>0</w:t>
      </w:r>
      <w:r>
        <w:rPr>
          <w:rFonts w:ascii="Times New Roman" w:hAnsi="Times New Roman" w:eastAsia="仿宋_GB2312" w:cs="Times New Roman"/>
          <w:color w:val="auto"/>
          <w:kern w:val="0"/>
          <w:sz w:val="32"/>
          <w:szCs w:val="32"/>
        </w:rPr>
        <w:t xml:space="preserve"> 个</w:t>
      </w:r>
      <w:r>
        <w:rPr>
          <w:rFonts w:hint="default" w:ascii="Times New Roman" w:hAnsi="Times New Roman" w:eastAsia="仿宋_GB2312" w:cs="Times New Roman"/>
          <w:color w:val="auto"/>
          <w:kern w:val="0"/>
          <w:sz w:val="32"/>
          <w:szCs w:val="32"/>
        </w:rPr>
        <w:t>0</w:t>
      </w:r>
      <w:r>
        <w:rPr>
          <w:rFonts w:ascii="Times New Roman" w:hAnsi="Times New Roman" w:eastAsia="仿宋_GB2312" w:cs="Times New Roman"/>
          <w:color w:val="auto"/>
          <w:kern w:val="0"/>
          <w:sz w:val="32"/>
          <w:szCs w:val="32"/>
        </w:rPr>
        <w:t>万元，占政府性基金预算支出总额的</w:t>
      </w:r>
      <w:r>
        <w:rPr>
          <w:rFonts w:hint="default" w:ascii="Times New Roman" w:hAnsi="Times New Roman" w:eastAsia="仿宋_GB2312" w:cs="Times New Roman"/>
          <w:color w:val="auto"/>
          <w:kern w:val="0"/>
          <w:sz w:val="32"/>
          <w:szCs w:val="32"/>
        </w:rPr>
        <w:t>100</w:t>
      </w:r>
      <w:r>
        <w:rPr>
          <w:rFonts w:ascii="Times New Roman" w:hAnsi="Times New Roman" w:eastAsia="仿宋_GB2312" w:cs="Times New Roman"/>
          <w:color w:val="auto"/>
          <w:kern w:val="0"/>
          <w:sz w:val="32"/>
          <w:szCs w:val="32"/>
        </w:rPr>
        <w:t>%；国有资本经营预算项目</w:t>
      </w:r>
      <w:r>
        <w:rPr>
          <w:rFonts w:hint="default" w:ascii="Times New Roman" w:hAnsi="Times New Roman" w:eastAsia="仿宋_GB2312" w:cs="Times New Roman"/>
          <w:color w:val="auto"/>
          <w:kern w:val="0"/>
          <w:sz w:val="32"/>
          <w:szCs w:val="32"/>
        </w:rPr>
        <w:t>0</w:t>
      </w:r>
      <w:r>
        <w:rPr>
          <w:rFonts w:ascii="Times New Roman" w:hAnsi="Times New Roman" w:eastAsia="仿宋_GB2312" w:cs="Times New Roman"/>
          <w:color w:val="auto"/>
          <w:kern w:val="0"/>
          <w:sz w:val="32"/>
          <w:szCs w:val="32"/>
        </w:rPr>
        <w:t xml:space="preserve"> 个</w:t>
      </w:r>
      <w:r>
        <w:rPr>
          <w:rFonts w:hint="default" w:ascii="Times New Roman" w:hAnsi="Times New Roman" w:eastAsia="仿宋_GB2312" w:cs="Times New Roman"/>
          <w:color w:val="auto"/>
          <w:kern w:val="0"/>
          <w:sz w:val="32"/>
          <w:szCs w:val="32"/>
        </w:rPr>
        <w:t>0</w:t>
      </w:r>
      <w:r>
        <w:rPr>
          <w:rFonts w:ascii="Times New Roman" w:hAnsi="Times New Roman" w:eastAsia="仿宋_GB2312" w:cs="Times New Roman"/>
          <w:color w:val="auto"/>
          <w:kern w:val="0"/>
          <w:sz w:val="32"/>
          <w:szCs w:val="32"/>
        </w:rPr>
        <w:t>万元，占国有资本经营预算支出总额的</w:t>
      </w:r>
      <w:r>
        <w:rPr>
          <w:rFonts w:hint="default" w:ascii="Times New Roman" w:hAnsi="Times New Roman" w:eastAsia="仿宋_GB2312" w:cs="Times New Roman"/>
          <w:color w:val="auto"/>
          <w:kern w:val="0"/>
          <w:sz w:val="32"/>
          <w:szCs w:val="32"/>
        </w:rPr>
        <w:t>100</w:t>
      </w:r>
      <w:r>
        <w:rPr>
          <w:rFonts w:ascii="Times New Roman" w:hAnsi="Times New Roman" w:eastAsia="仿宋_GB2312" w:cs="Times New Roman"/>
          <w:color w:val="auto"/>
          <w:kern w:val="0"/>
          <w:sz w:val="32"/>
          <w:szCs w:val="32"/>
        </w:rPr>
        <w:t>%；社会保险基金预算项目</w:t>
      </w:r>
      <w:r>
        <w:rPr>
          <w:rFonts w:hint="default" w:ascii="Times New Roman" w:hAnsi="Times New Roman" w:eastAsia="仿宋_GB2312" w:cs="Times New Roman"/>
          <w:color w:val="auto"/>
          <w:kern w:val="0"/>
          <w:sz w:val="32"/>
          <w:szCs w:val="32"/>
        </w:rPr>
        <w:t>0</w:t>
      </w:r>
      <w:r>
        <w:rPr>
          <w:rFonts w:ascii="Times New Roman" w:hAnsi="Times New Roman" w:eastAsia="仿宋_GB2312" w:cs="Times New Roman"/>
          <w:color w:val="auto"/>
          <w:kern w:val="0"/>
          <w:sz w:val="32"/>
          <w:szCs w:val="32"/>
        </w:rPr>
        <w:t>个</w:t>
      </w:r>
      <w:r>
        <w:rPr>
          <w:rFonts w:hint="default" w:ascii="Times New Roman" w:hAnsi="Times New Roman" w:eastAsia="仿宋_GB2312" w:cs="Times New Roman"/>
          <w:color w:val="auto"/>
          <w:kern w:val="0"/>
          <w:sz w:val="32"/>
          <w:szCs w:val="32"/>
        </w:rPr>
        <w:t>0</w:t>
      </w:r>
      <w:r>
        <w:rPr>
          <w:rFonts w:ascii="Times New Roman" w:hAnsi="Times New Roman" w:eastAsia="仿宋_GB2312" w:cs="Times New Roman"/>
          <w:color w:val="auto"/>
          <w:kern w:val="0"/>
          <w:sz w:val="32"/>
          <w:szCs w:val="32"/>
        </w:rPr>
        <w:t>万元，占社会保险基金预算支出总额的</w:t>
      </w:r>
      <w:r>
        <w:rPr>
          <w:rFonts w:hint="default" w:ascii="Times New Roman" w:hAnsi="Times New Roman" w:eastAsia="仿宋_GB2312" w:cs="Times New Roman"/>
          <w:color w:val="auto"/>
          <w:kern w:val="0"/>
          <w:sz w:val="32"/>
          <w:szCs w:val="32"/>
        </w:rPr>
        <w:t>100</w:t>
      </w:r>
      <w:r>
        <w:rPr>
          <w:rFonts w:ascii="Times New Roman" w:hAnsi="Times New Roman" w:eastAsia="仿宋_GB2312" w:cs="Times New Roman"/>
          <w:color w:val="auto"/>
          <w:kern w:val="0"/>
          <w:sz w:val="32"/>
          <w:szCs w:val="32"/>
        </w:rPr>
        <w:t>%。</w:t>
      </w:r>
      <w:r>
        <w:rPr>
          <w:rFonts w:ascii="Times New Roman" w:hAnsi="Times New Roman" w:eastAsia="仿宋_GB2312" w:cs="Times New Roman"/>
          <w:b/>
          <w:bCs/>
          <w:color w:val="auto"/>
          <w:kern w:val="0"/>
          <w:sz w:val="32"/>
          <w:szCs w:val="32"/>
        </w:rPr>
        <w:t>二是部门评价开展情况。</w:t>
      </w:r>
      <w:r>
        <w:rPr>
          <w:rFonts w:ascii="Times New Roman" w:hAnsi="Times New Roman" w:eastAsia="仿宋_GB2312" w:cs="Times New Roman"/>
          <w:color w:val="auto"/>
          <w:kern w:val="0"/>
          <w:sz w:val="32"/>
          <w:szCs w:val="32"/>
        </w:rPr>
        <w:t>组织对所属单位2024年度“</w:t>
      </w:r>
      <w:r>
        <w:rPr>
          <w:rFonts w:ascii="Times New Roman" w:hAnsi="Times New Roman" w:eastAsia="仿宋_GB2312" w:cs="Times New Roman"/>
          <w:color w:val="auto"/>
          <w:sz w:val="32"/>
          <w:szCs w:val="32"/>
        </w:rPr>
        <w:t>中央大中型水库后期扶持资金</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后扶维稳工作经费</w:t>
      </w:r>
      <w:r>
        <w:rPr>
          <w:rFonts w:ascii="Times New Roman" w:hAnsi="Times New Roman" w:eastAsia="仿宋_GB2312" w:cs="Times New Roman"/>
          <w:color w:val="auto"/>
          <w:kern w:val="0"/>
          <w:sz w:val="32"/>
          <w:szCs w:val="32"/>
        </w:rPr>
        <w:t>”等</w:t>
      </w:r>
      <w:r>
        <w:rPr>
          <w:rFonts w:hint="default" w:ascii="Times New Roman" w:hAnsi="Times New Roman" w:eastAsia="仿宋_GB2312" w:cs="Times New Roman"/>
          <w:color w:val="auto"/>
          <w:sz w:val="32"/>
          <w:szCs w:val="32"/>
        </w:rPr>
        <w:t>4</w:t>
      </w:r>
      <w:r>
        <w:rPr>
          <w:rFonts w:ascii="Times New Roman" w:hAnsi="Times New Roman" w:eastAsia="仿宋_GB2312" w:cs="Times New Roman"/>
          <w:color w:val="auto"/>
          <w:kern w:val="0"/>
          <w:sz w:val="32"/>
          <w:szCs w:val="32"/>
        </w:rPr>
        <w:t>个项目开展了部门评价，涉及一般公共预算支出</w:t>
      </w:r>
      <w:r>
        <w:rPr>
          <w:rFonts w:hint="default" w:ascii="Times New Roman" w:hAnsi="Times New Roman" w:eastAsia="仿宋_GB2312" w:cs="Times New Roman"/>
          <w:color w:val="auto"/>
          <w:sz w:val="32"/>
          <w:szCs w:val="32"/>
        </w:rPr>
        <w:t>112.11</w:t>
      </w:r>
      <w:r>
        <w:rPr>
          <w:rFonts w:ascii="Times New Roman" w:hAnsi="Times New Roman" w:eastAsia="仿宋_GB2312" w:cs="Times New Roman"/>
          <w:color w:val="auto"/>
          <w:kern w:val="0"/>
          <w:sz w:val="32"/>
          <w:szCs w:val="32"/>
        </w:rPr>
        <w:t>万元，政府性基金预算支出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kern w:val="0"/>
          <w:sz w:val="32"/>
          <w:szCs w:val="32"/>
        </w:rPr>
        <w:t>万元，国有资本经营预算支出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kern w:val="0"/>
          <w:sz w:val="32"/>
          <w:szCs w:val="32"/>
        </w:rPr>
        <w:t>万元，社会保险基金预算支出</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b/>
          <w:bCs/>
          <w:color w:val="auto"/>
          <w:kern w:val="0"/>
          <w:sz w:val="32"/>
          <w:szCs w:val="32"/>
        </w:rPr>
        <w:t>三是事前绩效评估开展情况。</w:t>
      </w:r>
      <w:r>
        <w:rPr>
          <w:rFonts w:ascii="Times New Roman" w:hAnsi="Times New Roman" w:eastAsia="仿宋_GB2312" w:cs="Times New Roman"/>
          <w:color w:val="auto"/>
          <w:kern w:val="0"/>
          <w:sz w:val="32"/>
          <w:szCs w:val="32"/>
        </w:rPr>
        <w:t>组织对2024年度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kern w:val="0"/>
          <w:sz w:val="32"/>
          <w:szCs w:val="32"/>
        </w:rPr>
        <w:t>个新增重大政策和</w:t>
      </w:r>
      <w:r>
        <w:rPr>
          <w:rFonts w:hint="default" w:ascii="Times New Roman" w:hAnsi="Times New Roman" w:eastAsia="仿宋_GB2312" w:cs="Times New Roman"/>
          <w:color w:val="auto"/>
          <w:sz w:val="32"/>
          <w:szCs w:val="32"/>
        </w:rPr>
        <w:t>4</w:t>
      </w:r>
      <w:r>
        <w:rPr>
          <w:rFonts w:ascii="Times New Roman" w:hAnsi="Times New Roman" w:eastAsia="仿宋_GB2312" w:cs="Times New Roman"/>
          <w:color w:val="auto"/>
          <w:kern w:val="0"/>
          <w:sz w:val="32"/>
          <w:szCs w:val="32"/>
        </w:rPr>
        <w:t>个重大项目开展事前绩效评估，共涉及资金</w:t>
      </w:r>
      <w:r>
        <w:rPr>
          <w:rFonts w:hint="default" w:ascii="Times New Roman" w:hAnsi="Times New Roman" w:eastAsia="仿宋_GB2312" w:cs="Times New Roman"/>
          <w:color w:val="auto"/>
          <w:kern w:val="0"/>
          <w:sz w:val="32"/>
          <w:szCs w:val="32"/>
        </w:rPr>
        <w:t>112.11</w:t>
      </w:r>
      <w:r>
        <w:rPr>
          <w:rFonts w:ascii="Times New Roman" w:hAnsi="Times New Roman" w:eastAsia="仿宋_GB2312" w:cs="Times New Roman"/>
          <w:color w:val="auto"/>
          <w:kern w:val="0"/>
          <w:sz w:val="32"/>
          <w:szCs w:val="32"/>
        </w:rPr>
        <w:t>万元。</w:t>
      </w:r>
    </w:p>
    <w:p>
      <w:pPr>
        <w:keepNext w:val="0"/>
        <w:keepLines w:val="0"/>
        <w:pageBreakBefore w:val="0"/>
        <w:widowControl w:val="0"/>
        <w:tabs>
          <w:tab w:val="left" w:pos="6600"/>
        </w:tabs>
        <w:kinsoku/>
        <w:wordWrap/>
        <w:overflowPunct/>
        <w:topLinePunct w:val="0"/>
        <w:autoSpaceDE/>
        <w:autoSpaceDN/>
        <w:bidi w:val="0"/>
        <w:adjustRightInd/>
        <w:snapToGrid/>
        <w:spacing w:line="580" w:lineRule="exact"/>
        <w:ind w:leftChars="0" w:firstLine="640" w:firstLineChars="200"/>
        <w:textAlignment w:val="auto"/>
        <w:rPr>
          <w:rFonts w:ascii="Times New Roman" w:hAnsi="Times New Roman" w:eastAsia="仿宋_GB2312" w:cs="Times New Roman"/>
          <w:bCs/>
          <w:color w:val="auto"/>
          <w:sz w:val="32"/>
          <w:szCs w:val="32"/>
        </w:rPr>
      </w:pPr>
      <w:r>
        <w:rPr>
          <w:rFonts w:ascii="Times New Roman" w:hAnsi="Times New Roman" w:eastAsia="楷体_GB2312" w:cs="Times New Roman"/>
          <w:b/>
          <w:bCs/>
          <w:color w:val="auto"/>
          <w:sz w:val="32"/>
          <w:szCs w:val="32"/>
        </w:rPr>
        <w:t>（二）绩效评价结果。</w:t>
      </w:r>
      <w:r>
        <w:rPr>
          <w:rFonts w:ascii="Times New Roman" w:hAnsi="Times New Roman" w:eastAsia="仿宋_GB2312" w:cs="Times New Roman"/>
          <w:b/>
          <w:bCs/>
          <w:color w:val="auto"/>
          <w:kern w:val="0"/>
          <w:sz w:val="32"/>
          <w:szCs w:val="32"/>
        </w:rPr>
        <w:t>一是绩效自评结果。</w:t>
      </w:r>
      <w:r>
        <w:rPr>
          <w:rFonts w:ascii="Times New Roman" w:hAnsi="Times New Roman" w:eastAsia="仿宋_GB2312" w:cs="Times New Roman"/>
          <w:color w:val="auto"/>
          <w:kern w:val="0"/>
          <w:sz w:val="32"/>
          <w:szCs w:val="32"/>
        </w:rPr>
        <w:t>2024年度本部门（单位）整体支出</w:t>
      </w:r>
      <w:r>
        <w:rPr>
          <w:rFonts w:ascii="Times New Roman" w:hAnsi="Times New Roman" w:eastAsia="仿宋_GB2312" w:cs="Times New Roman"/>
          <w:color w:val="auto"/>
          <w:sz w:val="32"/>
          <w:szCs w:val="32"/>
        </w:rPr>
        <w:t>全年预算数</w:t>
      </w:r>
      <w:r>
        <w:rPr>
          <w:rFonts w:hint="default" w:ascii="Times New Roman" w:hAnsi="Times New Roman" w:eastAsia="仿宋_GB2312" w:cs="Times New Roman"/>
          <w:color w:val="auto"/>
          <w:sz w:val="32"/>
          <w:szCs w:val="32"/>
        </w:rPr>
        <w:t>533.33</w:t>
      </w:r>
      <w:r>
        <w:rPr>
          <w:rFonts w:ascii="Times New Roman" w:hAnsi="Times New Roman" w:eastAsia="仿宋_GB2312" w:cs="Times New Roman"/>
          <w:color w:val="auto"/>
          <w:sz w:val="32"/>
          <w:szCs w:val="32"/>
        </w:rPr>
        <w:t>万元，执行数</w:t>
      </w:r>
      <w:r>
        <w:rPr>
          <w:rFonts w:hint="default" w:ascii="Times New Roman" w:hAnsi="Times New Roman" w:eastAsia="仿宋_GB2312" w:cs="Times New Roman"/>
          <w:color w:val="auto"/>
          <w:sz w:val="32"/>
          <w:szCs w:val="32"/>
        </w:rPr>
        <w:t>533.33</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，绩效自评得分</w:t>
      </w:r>
      <w:r>
        <w:rPr>
          <w:rFonts w:hint="default" w:ascii="Times New Roman" w:hAnsi="Times New Roman" w:eastAsia="仿宋_GB2312" w:cs="Times New Roman"/>
          <w:color w:val="auto"/>
          <w:kern w:val="0"/>
          <w:sz w:val="32"/>
          <w:szCs w:val="32"/>
        </w:rPr>
        <w:t>98</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“良好”。绩效目标完成情况：一是对</w:t>
      </w:r>
      <w:r>
        <w:rPr>
          <w:rFonts w:hint="eastAsia" w:ascii="仿宋" w:hAnsi="仿宋" w:eastAsia="仿宋" w:cs="仿宋"/>
          <w:i w:val="0"/>
          <w:iCs w:val="0"/>
          <w:caps w:val="0"/>
          <w:color w:val="auto"/>
          <w:spacing w:val="11"/>
          <w:kern w:val="0"/>
          <w:sz w:val="32"/>
          <w:szCs w:val="32"/>
          <w:shd w:val="clear" w:color="auto" w:fill="FFFFFF"/>
          <w:lang w:val="en-US" w:eastAsia="zh-CN" w:bidi="ar"/>
        </w:rPr>
        <w:t>2024年度项目支出进行绩效自评，了解本单位项目支出资金使用情况及取得的成果，及时发现资金管理和项目实施过程中存在的问题，提出相关建议和采取相应的措施</w:t>
      </w:r>
      <w:r>
        <w:rPr>
          <w:rFonts w:ascii="Times New Roman" w:hAnsi="Times New Roman" w:eastAsia="仿宋_GB2312" w:cs="Times New Roman"/>
          <w:color w:val="auto"/>
          <w:sz w:val="32"/>
          <w:szCs w:val="32"/>
        </w:rPr>
        <w:t>；二是明确了项目评价范围和项目评价方法，即</w:t>
      </w:r>
      <w:r>
        <w:rPr>
          <w:rFonts w:hint="default" w:ascii="仿宋" w:hAnsi="仿宋" w:eastAsia="仿宋" w:cs="仿宋"/>
          <w:i w:val="0"/>
          <w:iCs w:val="0"/>
          <w:caps w:val="0"/>
          <w:color w:val="auto"/>
          <w:spacing w:val="11"/>
          <w:kern w:val="0"/>
          <w:sz w:val="32"/>
          <w:szCs w:val="32"/>
          <w:shd w:val="clear" w:color="auto" w:fill="FFFFFF"/>
          <w:lang w:eastAsia="zh-CN" w:bidi="ar"/>
        </w:rPr>
        <w:t>对2024年度项目支出（</w:t>
      </w:r>
      <w:r>
        <w:rPr>
          <w:rFonts w:hint="eastAsia" w:ascii="仿宋" w:hAnsi="仿宋" w:eastAsia="仿宋" w:cs="仿宋"/>
          <w:i w:val="0"/>
          <w:iCs w:val="0"/>
          <w:caps w:val="0"/>
          <w:color w:val="auto"/>
          <w:spacing w:val="11"/>
          <w:kern w:val="0"/>
          <w:sz w:val="32"/>
          <w:szCs w:val="32"/>
          <w:shd w:val="clear" w:color="auto" w:fill="FFFFFF"/>
          <w:lang w:val="en-US" w:eastAsia="zh-CN" w:bidi="ar"/>
        </w:rPr>
        <w:t>后扶维稳工作经费</w:t>
      </w:r>
      <w:r>
        <w:rPr>
          <w:rFonts w:hint="eastAsia"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中央大中型水库移民后期扶持资金</w:t>
      </w:r>
      <w:r>
        <w:rPr>
          <w:rFonts w:hint="eastAsia"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移民工作经费补助资金</w:t>
      </w:r>
      <w:r>
        <w:rPr>
          <w:rFonts w:hint="eastAsia"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全市移民存量资金监督检查工作经费</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按照《中共中央、国务院关于全面实施预算绩效管理的意见》（中发〔2018〕34号）和《中共怀化市委办公室、怀化市人民政府办公室关于全面实施预算绩效管理的通知》（怀办发电〔2019〕48号）要求，本单位结合专项具体情况，设计了该项目的评价指标体系。</w:t>
      </w:r>
      <w:r>
        <w:rPr>
          <w:rFonts w:ascii="Times New Roman" w:hAnsi="Times New Roman" w:eastAsia="仿宋_GB2312" w:cs="Times New Roman"/>
          <w:color w:val="auto"/>
          <w:sz w:val="32"/>
          <w:szCs w:val="32"/>
        </w:rPr>
        <w:t>发现的主要问题及原因：一是</w:t>
      </w:r>
      <w:r>
        <w:rPr>
          <w:rFonts w:hint="eastAsia" w:ascii="仿宋" w:hAnsi="仿宋" w:eastAsia="仿宋" w:cs="仿宋"/>
          <w:i w:val="0"/>
          <w:iCs w:val="0"/>
          <w:caps w:val="0"/>
          <w:color w:val="auto"/>
          <w:spacing w:val="11"/>
          <w:kern w:val="0"/>
          <w:sz w:val="32"/>
          <w:szCs w:val="32"/>
          <w:shd w:val="clear" w:color="auto" w:fill="FFFFFF"/>
          <w:lang w:val="en-US" w:eastAsia="zh-CN" w:bidi="ar"/>
        </w:rPr>
        <w:t>评价体系有待完善</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尽管我单位在项目绩效评价过程中已经构建了较为全面的指标体系，但在实际操作中仍发现存在一些不足</w:t>
      </w:r>
      <w:r>
        <w:rPr>
          <w:rFonts w:hint="default" w:ascii="仿宋" w:hAnsi="仿宋" w:eastAsia="仿宋" w:cs="仿宋"/>
          <w:i w:val="0"/>
          <w:iCs w:val="0"/>
          <w:caps w:val="0"/>
          <w:color w:val="auto"/>
          <w:spacing w:val="11"/>
          <w:kern w:val="0"/>
          <w:sz w:val="32"/>
          <w:szCs w:val="32"/>
          <w:shd w:val="clear" w:color="auto" w:fill="FFFFFF"/>
          <w:lang w:eastAsia="zh-CN" w:bidi="ar"/>
        </w:rPr>
        <w:t>；二是</w:t>
      </w:r>
      <w:r>
        <w:rPr>
          <w:rFonts w:hint="eastAsia" w:ascii="仿宋" w:hAnsi="仿宋" w:eastAsia="仿宋" w:cs="仿宋"/>
          <w:i w:val="0"/>
          <w:iCs w:val="0"/>
          <w:caps w:val="0"/>
          <w:color w:val="auto"/>
          <w:spacing w:val="11"/>
          <w:kern w:val="0"/>
          <w:sz w:val="32"/>
          <w:szCs w:val="32"/>
          <w:shd w:val="clear" w:color="auto" w:fill="FFFFFF"/>
          <w:lang w:val="en-US" w:eastAsia="zh-CN" w:bidi="ar"/>
        </w:rPr>
        <w:t>数据收集与分析存在局限性</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在数据收集方面，我单位虽然注重数据的真实性和准确性，但由于数据来源的多样性和复杂性，仍存在数据收集不全、数据质量参差不齐的问题。此外，在数据分析方面，我们目前主要依赖于传统的统计分析方法，对于更高级的数据挖掘和机器学习技术运用不足，这也在一定程度上限制了评价结果的深度和广度</w:t>
      </w:r>
      <w:r>
        <w:rPr>
          <w:rFonts w:hint="default" w:ascii="仿宋" w:hAnsi="仿宋" w:eastAsia="仿宋" w:cs="仿宋"/>
          <w:i w:val="0"/>
          <w:iCs w:val="0"/>
          <w:caps w:val="0"/>
          <w:color w:val="auto"/>
          <w:spacing w:val="11"/>
          <w:kern w:val="0"/>
          <w:sz w:val="32"/>
          <w:szCs w:val="32"/>
          <w:shd w:val="clear" w:color="auto" w:fill="FFFFFF"/>
          <w:lang w:eastAsia="zh-CN" w:bidi="ar"/>
        </w:rPr>
        <w:t>；三是</w:t>
      </w:r>
      <w:r>
        <w:rPr>
          <w:rFonts w:hint="eastAsia" w:ascii="仿宋" w:hAnsi="仿宋" w:eastAsia="仿宋" w:cs="仿宋"/>
          <w:i w:val="0"/>
          <w:iCs w:val="0"/>
          <w:caps w:val="0"/>
          <w:color w:val="auto"/>
          <w:spacing w:val="11"/>
          <w:kern w:val="0"/>
          <w:sz w:val="32"/>
          <w:szCs w:val="32"/>
          <w:shd w:val="clear" w:color="auto" w:fill="FFFFFF"/>
          <w:lang w:val="en-US" w:eastAsia="zh-CN" w:bidi="ar"/>
        </w:rPr>
        <w:t>部门间协作与沟通不够顺畅</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尽管我单位加强了部门间的沟通与协作，但在实际操作中仍存在一些问题</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同时，部门间信息共享和沟通渠道不畅通，也影响了评价工作的效率和准确性</w:t>
      </w:r>
      <w:r>
        <w:rPr>
          <w:rFonts w:hint="default" w:ascii="仿宋" w:hAnsi="仿宋" w:eastAsia="仿宋" w:cs="仿宋"/>
          <w:i w:val="0"/>
          <w:iCs w:val="0"/>
          <w:caps w:val="0"/>
          <w:color w:val="auto"/>
          <w:spacing w:val="11"/>
          <w:kern w:val="0"/>
          <w:sz w:val="32"/>
          <w:szCs w:val="32"/>
          <w:shd w:val="clear" w:color="auto" w:fill="FFFFFF"/>
          <w:lang w:eastAsia="zh-CN" w:bidi="ar"/>
        </w:rPr>
        <w:t>；四是</w:t>
      </w:r>
      <w:r>
        <w:rPr>
          <w:rFonts w:hint="eastAsia" w:ascii="仿宋" w:hAnsi="仿宋" w:eastAsia="仿宋" w:cs="仿宋"/>
          <w:i w:val="0"/>
          <w:iCs w:val="0"/>
          <w:caps w:val="0"/>
          <w:color w:val="auto"/>
          <w:spacing w:val="11"/>
          <w:kern w:val="0"/>
          <w:sz w:val="32"/>
          <w:szCs w:val="32"/>
          <w:shd w:val="clear" w:color="auto" w:fill="FFFFFF"/>
          <w:lang w:val="en-US" w:eastAsia="zh-CN" w:bidi="ar"/>
        </w:rPr>
        <w:t>反馈与改进机制尚需加强</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虽然我单位建立了持续改进和反馈机制，但在实际操作中，这一机制的执行力度和效果还有待加强。同时，部分部室馆门和人员对改进措施的重视程度不够，导致改进措施难以得到有效落实。</w:t>
      </w:r>
      <w:r>
        <w:rPr>
          <w:rFonts w:ascii="Times New Roman" w:hAnsi="Times New Roman" w:eastAsia="仿宋_GB2312" w:cs="Times New Roman"/>
          <w:color w:val="auto"/>
          <w:sz w:val="32"/>
          <w:szCs w:val="32"/>
        </w:rPr>
        <w:t>下一步改进措施：一是</w:t>
      </w:r>
      <w:r>
        <w:rPr>
          <w:rFonts w:hint="eastAsia" w:ascii="仿宋" w:hAnsi="仿宋" w:eastAsia="仿宋" w:cs="仿宋"/>
          <w:i w:val="0"/>
          <w:iCs w:val="0"/>
          <w:caps w:val="0"/>
          <w:color w:val="auto"/>
          <w:spacing w:val="11"/>
          <w:kern w:val="0"/>
          <w:sz w:val="32"/>
          <w:szCs w:val="32"/>
          <w:shd w:val="clear" w:color="auto" w:fill="FFFFFF"/>
          <w:lang w:val="en-US" w:eastAsia="zh-CN" w:bidi="ar"/>
        </w:rPr>
        <w:t>完善评价体系</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①</w:t>
      </w:r>
      <w:r>
        <w:rPr>
          <w:rFonts w:hint="eastAsia" w:ascii="仿宋" w:hAnsi="仿宋" w:eastAsia="仿宋" w:cs="仿宋"/>
          <w:i w:val="0"/>
          <w:iCs w:val="0"/>
          <w:caps w:val="0"/>
          <w:color w:val="auto"/>
          <w:spacing w:val="6"/>
          <w:kern w:val="0"/>
          <w:sz w:val="32"/>
          <w:szCs w:val="32"/>
          <w:shd w:val="clear" w:color="auto" w:fill="FFFFFF"/>
          <w:lang w:val="en-US" w:eastAsia="zh-CN" w:bidi="ar"/>
        </w:rPr>
        <w:t>细化指标设</w:t>
      </w:r>
      <w:r>
        <w:rPr>
          <w:rFonts w:hint="eastAsia" w:ascii="仿宋" w:hAnsi="仿宋" w:eastAsia="仿宋" w:cs="仿宋"/>
          <w:i w:val="0"/>
          <w:iCs w:val="0"/>
          <w:caps w:val="0"/>
          <w:color w:val="auto"/>
          <w:spacing w:val="0"/>
          <w:kern w:val="0"/>
          <w:sz w:val="32"/>
          <w:szCs w:val="32"/>
          <w:shd w:val="clear" w:color="auto" w:fill="FFFFFF"/>
          <w:lang w:val="en-US" w:eastAsia="zh-CN" w:bidi="ar"/>
        </w:rPr>
        <w:t>置</w:t>
      </w:r>
      <w:r>
        <w:rPr>
          <w:rFonts w:hint="default" w:ascii="仿宋" w:hAnsi="仿宋" w:eastAsia="仿宋" w:cs="仿宋"/>
          <w:i w:val="0"/>
          <w:iCs w:val="0"/>
          <w:caps w:val="0"/>
          <w:color w:val="auto"/>
          <w:spacing w:val="0"/>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②合理分配权重</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③引入专家评审</w:t>
      </w:r>
      <w:r>
        <w:rPr>
          <w:rFonts w:hint="default" w:ascii="仿宋" w:hAnsi="仿宋" w:eastAsia="仿宋" w:cs="仿宋"/>
          <w:i w:val="0"/>
          <w:iCs w:val="0"/>
          <w:caps w:val="0"/>
          <w:color w:val="auto"/>
          <w:spacing w:val="11"/>
          <w:kern w:val="0"/>
          <w:sz w:val="32"/>
          <w:szCs w:val="32"/>
          <w:shd w:val="clear" w:color="auto" w:fill="FFFFFF"/>
          <w:lang w:eastAsia="zh-CN" w:bidi="ar"/>
        </w:rPr>
        <w:t>；二是</w:t>
      </w:r>
      <w:r>
        <w:rPr>
          <w:rFonts w:hint="eastAsia" w:ascii="仿宋" w:hAnsi="仿宋" w:eastAsia="仿宋" w:cs="仿宋"/>
          <w:i w:val="0"/>
          <w:iCs w:val="0"/>
          <w:caps w:val="0"/>
          <w:color w:val="auto"/>
          <w:spacing w:val="11"/>
          <w:kern w:val="0"/>
          <w:sz w:val="32"/>
          <w:szCs w:val="32"/>
          <w:shd w:val="clear" w:color="auto" w:fill="FFFFFF"/>
          <w:lang w:val="en-US" w:eastAsia="zh-CN" w:bidi="ar"/>
        </w:rPr>
        <w:t>加强数据收集与分析能力</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①完善数据收集机制</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②引入先进分析方法</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③加强数据培训</w:t>
      </w:r>
      <w:r>
        <w:rPr>
          <w:rFonts w:hint="default" w:ascii="仿宋" w:hAnsi="仿宋" w:eastAsia="仿宋" w:cs="仿宋"/>
          <w:i w:val="0"/>
          <w:iCs w:val="0"/>
          <w:caps w:val="0"/>
          <w:color w:val="auto"/>
          <w:spacing w:val="11"/>
          <w:kern w:val="0"/>
          <w:sz w:val="32"/>
          <w:szCs w:val="32"/>
          <w:shd w:val="clear" w:color="auto" w:fill="FFFFFF"/>
          <w:lang w:eastAsia="zh-CN" w:bidi="ar"/>
        </w:rPr>
        <w:t>；三是</w:t>
      </w:r>
      <w:r>
        <w:rPr>
          <w:rFonts w:hint="eastAsia" w:ascii="仿宋" w:hAnsi="仿宋" w:eastAsia="仿宋" w:cs="仿宋"/>
          <w:i w:val="0"/>
          <w:iCs w:val="0"/>
          <w:caps w:val="0"/>
          <w:color w:val="auto"/>
          <w:spacing w:val="11"/>
          <w:kern w:val="0"/>
          <w:sz w:val="32"/>
          <w:szCs w:val="32"/>
          <w:shd w:val="clear" w:color="auto" w:fill="FFFFFF"/>
          <w:lang w:val="en-US" w:eastAsia="zh-CN" w:bidi="ar"/>
        </w:rPr>
        <w:t>加强部门间协作与沟通</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①提高认识与参与度</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②建立信息共享平台</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③定期召开协调会议</w:t>
      </w:r>
      <w:r>
        <w:rPr>
          <w:rFonts w:hint="default" w:ascii="仿宋" w:hAnsi="仿宋" w:eastAsia="仿宋" w:cs="仿宋"/>
          <w:i w:val="0"/>
          <w:iCs w:val="0"/>
          <w:caps w:val="0"/>
          <w:color w:val="auto"/>
          <w:spacing w:val="11"/>
          <w:kern w:val="0"/>
          <w:sz w:val="32"/>
          <w:szCs w:val="32"/>
          <w:shd w:val="clear" w:color="auto" w:fill="FFFFFF"/>
          <w:lang w:eastAsia="zh-CN" w:bidi="ar"/>
        </w:rPr>
        <w:t>；四是</w:t>
      </w:r>
      <w:r>
        <w:rPr>
          <w:rFonts w:hint="eastAsia" w:ascii="仿宋" w:hAnsi="仿宋" w:eastAsia="仿宋" w:cs="仿宋"/>
          <w:i w:val="0"/>
          <w:iCs w:val="0"/>
          <w:caps w:val="0"/>
          <w:color w:val="auto"/>
          <w:spacing w:val="11"/>
          <w:kern w:val="0"/>
          <w:sz w:val="32"/>
          <w:szCs w:val="32"/>
          <w:shd w:val="clear" w:color="auto" w:fill="FFFFFF"/>
          <w:lang w:val="en-US" w:eastAsia="zh-CN" w:bidi="ar"/>
        </w:rPr>
        <w:t>强化反馈与改进机制</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①建立反馈渠道</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②加强监督与评估</w:t>
      </w:r>
      <w:r>
        <w:rPr>
          <w:rFonts w:hint="default" w:ascii="仿宋" w:hAnsi="仿宋" w:eastAsia="仿宋" w:cs="仿宋"/>
          <w:i w:val="0"/>
          <w:iCs w:val="0"/>
          <w:caps w:val="0"/>
          <w:color w:val="auto"/>
          <w:spacing w:val="11"/>
          <w:kern w:val="0"/>
          <w:sz w:val="32"/>
          <w:szCs w:val="32"/>
          <w:shd w:val="clear" w:color="auto" w:fill="FFFFFF"/>
          <w:lang w:eastAsia="zh-CN" w:bidi="ar"/>
        </w:rPr>
        <w:t>、</w:t>
      </w:r>
      <w:r>
        <w:rPr>
          <w:rFonts w:hint="eastAsia" w:ascii="仿宋" w:hAnsi="仿宋" w:eastAsia="仿宋" w:cs="仿宋"/>
          <w:i w:val="0"/>
          <w:iCs w:val="0"/>
          <w:caps w:val="0"/>
          <w:color w:val="auto"/>
          <w:spacing w:val="11"/>
          <w:kern w:val="0"/>
          <w:sz w:val="32"/>
          <w:szCs w:val="32"/>
          <w:shd w:val="clear" w:color="auto" w:fill="FFFFFF"/>
          <w:lang w:val="en-US" w:eastAsia="zh-CN" w:bidi="ar"/>
        </w:rPr>
        <w:t>③鼓励创新与实践。</w:t>
      </w:r>
      <w:r>
        <w:rPr>
          <w:rFonts w:ascii="Times New Roman" w:hAnsi="Times New Roman" w:eastAsia="仿宋_GB2312" w:cs="Times New Roman"/>
          <w:b/>
          <w:bCs/>
          <w:color w:val="auto"/>
          <w:kern w:val="0"/>
          <w:sz w:val="32"/>
          <w:szCs w:val="32"/>
        </w:rPr>
        <w:t>二是部门评价结果（如有，一级预算部门填写）。</w:t>
      </w:r>
      <w:r>
        <w:rPr>
          <w:rFonts w:ascii="Times New Roman" w:hAnsi="Times New Roman" w:eastAsia="仿宋_GB2312" w:cs="Times New Roman"/>
          <w:color w:val="auto"/>
          <w:sz w:val="32"/>
          <w:szCs w:val="32"/>
        </w:rPr>
        <w:t>后扶维稳工作经费项目全年预算数</w:t>
      </w:r>
      <w:r>
        <w:rPr>
          <w:rFonts w:hint="default" w:ascii="Times New Roman" w:hAnsi="Times New Roman" w:eastAsia="仿宋_GB2312" w:cs="Times New Roman"/>
          <w:color w:val="auto"/>
          <w:sz w:val="32"/>
          <w:szCs w:val="32"/>
        </w:rPr>
        <w:t>34.38</w:t>
      </w:r>
      <w:r>
        <w:rPr>
          <w:rFonts w:ascii="Times New Roman" w:hAnsi="Times New Roman" w:eastAsia="仿宋_GB2312" w:cs="Times New Roman"/>
          <w:color w:val="auto"/>
          <w:sz w:val="32"/>
          <w:szCs w:val="32"/>
        </w:rPr>
        <w:t>万元，执行数</w:t>
      </w:r>
      <w:r>
        <w:rPr>
          <w:rFonts w:hint="default" w:ascii="Times New Roman" w:hAnsi="Times New Roman" w:eastAsia="仿宋_GB2312" w:cs="Times New Roman"/>
          <w:color w:val="auto"/>
          <w:sz w:val="32"/>
          <w:szCs w:val="32"/>
        </w:rPr>
        <w:t>34.38</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部门评价得分</w:t>
      </w:r>
      <w:r>
        <w:rPr>
          <w:rFonts w:hint="default" w:ascii="Times New Roman" w:hAnsi="Times New Roman" w:eastAsia="仿宋_GB2312" w:cs="Times New Roman"/>
          <w:color w:val="auto"/>
          <w:sz w:val="32"/>
          <w:szCs w:val="32"/>
        </w:rPr>
        <w:t>98</w:t>
      </w:r>
      <w:r>
        <w:rPr>
          <w:rFonts w:ascii="Times New Roman" w:hAnsi="Times New Roman" w:eastAsia="仿宋_GB2312" w:cs="Times New Roman"/>
          <w:color w:val="auto"/>
          <w:sz w:val="32"/>
          <w:szCs w:val="32"/>
        </w:rPr>
        <w:t>分，评价等级为“良好”；中央大中型水库移民后期扶持资金项目全年预算数</w:t>
      </w:r>
      <w:r>
        <w:rPr>
          <w:rFonts w:hint="default" w:ascii="Times New Roman" w:hAnsi="Times New Roman" w:eastAsia="仿宋_GB2312" w:cs="Times New Roman"/>
          <w:color w:val="auto"/>
          <w:sz w:val="32"/>
          <w:szCs w:val="32"/>
        </w:rPr>
        <w:t>58.6</w:t>
      </w:r>
      <w:r>
        <w:rPr>
          <w:rFonts w:ascii="Times New Roman" w:hAnsi="Times New Roman" w:eastAsia="仿宋_GB2312" w:cs="Times New Roman"/>
          <w:color w:val="auto"/>
          <w:sz w:val="32"/>
          <w:szCs w:val="32"/>
        </w:rPr>
        <w:t>万元，执行数</w:t>
      </w:r>
      <w:r>
        <w:rPr>
          <w:rFonts w:hint="default" w:ascii="Times New Roman" w:hAnsi="Times New Roman" w:eastAsia="仿宋_GB2312" w:cs="Times New Roman"/>
          <w:color w:val="auto"/>
          <w:sz w:val="32"/>
          <w:szCs w:val="32"/>
        </w:rPr>
        <w:t>58.6</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部门评价得分</w:t>
      </w:r>
      <w:r>
        <w:rPr>
          <w:rFonts w:hint="default" w:ascii="Times New Roman" w:hAnsi="Times New Roman" w:eastAsia="仿宋_GB2312" w:cs="Times New Roman"/>
          <w:color w:val="auto"/>
          <w:sz w:val="32"/>
          <w:szCs w:val="32"/>
        </w:rPr>
        <w:t>98</w:t>
      </w:r>
      <w:r>
        <w:rPr>
          <w:rFonts w:ascii="Times New Roman" w:hAnsi="Times New Roman" w:eastAsia="仿宋_GB2312" w:cs="Times New Roman"/>
          <w:color w:val="auto"/>
          <w:sz w:val="32"/>
          <w:szCs w:val="32"/>
        </w:rPr>
        <w:t>分，评价等级为“良好”；移民工作经费补助资金项目全年预算数</w:t>
      </w:r>
      <w:r>
        <w:rPr>
          <w:rFonts w:hint="default" w:ascii="Times New Roman" w:hAnsi="Times New Roman" w:eastAsia="仿宋_GB2312" w:cs="Times New Roman"/>
          <w:color w:val="auto"/>
          <w:sz w:val="32"/>
          <w:szCs w:val="32"/>
        </w:rPr>
        <w:t>10.66</w:t>
      </w:r>
      <w:r>
        <w:rPr>
          <w:rFonts w:ascii="Times New Roman" w:hAnsi="Times New Roman" w:eastAsia="仿宋_GB2312" w:cs="Times New Roman"/>
          <w:color w:val="auto"/>
          <w:sz w:val="32"/>
          <w:szCs w:val="32"/>
        </w:rPr>
        <w:t>万元，执行数</w:t>
      </w:r>
      <w:r>
        <w:rPr>
          <w:rFonts w:hint="default" w:ascii="Times New Roman" w:hAnsi="Times New Roman" w:eastAsia="仿宋_GB2312" w:cs="Times New Roman"/>
          <w:color w:val="auto"/>
          <w:sz w:val="32"/>
          <w:szCs w:val="32"/>
        </w:rPr>
        <w:t>10.66</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部门评价得分</w:t>
      </w:r>
      <w:r>
        <w:rPr>
          <w:rFonts w:hint="default" w:ascii="Times New Roman" w:hAnsi="Times New Roman" w:eastAsia="仿宋_GB2312" w:cs="Times New Roman"/>
          <w:color w:val="auto"/>
          <w:sz w:val="32"/>
          <w:szCs w:val="32"/>
        </w:rPr>
        <w:t>98</w:t>
      </w:r>
      <w:r>
        <w:rPr>
          <w:rFonts w:ascii="Times New Roman" w:hAnsi="Times New Roman" w:eastAsia="仿宋_GB2312" w:cs="Times New Roman"/>
          <w:color w:val="auto"/>
          <w:sz w:val="32"/>
          <w:szCs w:val="32"/>
        </w:rPr>
        <w:t>分，评价等级为“良好”；全市移民存量资金监督检查工作经费项目全年预算数</w:t>
      </w:r>
      <w:r>
        <w:rPr>
          <w:rFonts w:hint="default" w:ascii="Times New Roman" w:hAnsi="Times New Roman" w:eastAsia="仿宋_GB2312" w:cs="Times New Roman"/>
          <w:color w:val="auto"/>
          <w:sz w:val="32"/>
          <w:szCs w:val="32"/>
        </w:rPr>
        <w:t>8.46</w:t>
      </w:r>
      <w:r>
        <w:rPr>
          <w:rFonts w:ascii="Times New Roman" w:hAnsi="Times New Roman" w:eastAsia="仿宋_GB2312" w:cs="Times New Roman"/>
          <w:color w:val="auto"/>
          <w:sz w:val="32"/>
          <w:szCs w:val="32"/>
        </w:rPr>
        <w:t>万元，执行数</w:t>
      </w:r>
      <w:r>
        <w:rPr>
          <w:rFonts w:hint="default" w:ascii="Times New Roman" w:hAnsi="Times New Roman" w:eastAsia="仿宋_GB2312" w:cs="Times New Roman"/>
          <w:color w:val="auto"/>
          <w:sz w:val="32"/>
          <w:szCs w:val="32"/>
        </w:rPr>
        <w:t>8.46</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部门评价得分</w:t>
      </w:r>
      <w:r>
        <w:rPr>
          <w:rFonts w:hint="default" w:ascii="Times New Roman" w:hAnsi="Times New Roman" w:eastAsia="仿宋_GB2312" w:cs="Times New Roman"/>
          <w:color w:val="auto"/>
          <w:sz w:val="32"/>
          <w:szCs w:val="32"/>
        </w:rPr>
        <w:t>98</w:t>
      </w:r>
      <w:r>
        <w:rPr>
          <w:rFonts w:ascii="Times New Roman" w:hAnsi="Times New Roman" w:eastAsia="仿宋_GB2312" w:cs="Times New Roman"/>
          <w:color w:val="auto"/>
          <w:sz w:val="32"/>
          <w:szCs w:val="32"/>
        </w:rPr>
        <w:t>分，评价等级为“良好”。以上四个项目都是一些共性问题，他们发现的主要问题及原因：一是</w:t>
      </w:r>
      <w:r>
        <w:rPr>
          <w:rFonts w:hint="eastAsia" w:ascii="仿宋" w:hAnsi="仿宋" w:eastAsia="仿宋" w:cs="仿宋"/>
          <w:i w:val="0"/>
          <w:iCs w:val="0"/>
          <w:caps w:val="0"/>
          <w:color w:val="auto"/>
          <w:spacing w:val="11"/>
          <w:kern w:val="0"/>
          <w:sz w:val="32"/>
          <w:szCs w:val="32"/>
          <w:shd w:val="clear" w:color="auto" w:fill="FFFFFF"/>
          <w:lang w:val="en-US" w:eastAsia="zh-CN" w:bidi="ar"/>
        </w:rPr>
        <w:t>评价体系有待完善</w:t>
      </w:r>
      <w:r>
        <w:rPr>
          <w:rFonts w:ascii="Times New Roman" w:hAnsi="Times New Roman" w:eastAsia="仿宋_GB2312" w:cs="Times New Roman"/>
          <w:color w:val="auto"/>
          <w:sz w:val="32"/>
          <w:szCs w:val="32"/>
        </w:rPr>
        <w:t>；二是</w:t>
      </w:r>
      <w:r>
        <w:rPr>
          <w:rFonts w:hint="eastAsia" w:ascii="仿宋" w:hAnsi="仿宋" w:eastAsia="仿宋" w:cs="仿宋"/>
          <w:i w:val="0"/>
          <w:iCs w:val="0"/>
          <w:caps w:val="0"/>
          <w:color w:val="auto"/>
          <w:spacing w:val="11"/>
          <w:kern w:val="0"/>
          <w:sz w:val="32"/>
          <w:szCs w:val="32"/>
          <w:shd w:val="clear" w:color="auto" w:fill="FFFFFF"/>
          <w:lang w:val="en-US" w:eastAsia="zh-CN" w:bidi="ar"/>
        </w:rPr>
        <w:t>数据收集与分析存在局限性</w:t>
      </w:r>
      <w:r>
        <w:rPr>
          <w:rFonts w:hint="default" w:ascii="仿宋" w:hAnsi="仿宋" w:eastAsia="仿宋" w:cs="仿宋"/>
          <w:i w:val="0"/>
          <w:iCs w:val="0"/>
          <w:caps w:val="0"/>
          <w:color w:val="auto"/>
          <w:spacing w:val="11"/>
          <w:kern w:val="0"/>
          <w:sz w:val="32"/>
          <w:szCs w:val="32"/>
          <w:shd w:val="clear" w:color="auto" w:fill="FFFFFF"/>
          <w:lang w:eastAsia="zh-CN" w:bidi="ar"/>
        </w:rPr>
        <w:t>；三是</w:t>
      </w:r>
      <w:r>
        <w:rPr>
          <w:rFonts w:hint="eastAsia" w:ascii="仿宋" w:hAnsi="仿宋" w:eastAsia="仿宋" w:cs="仿宋"/>
          <w:i w:val="0"/>
          <w:iCs w:val="0"/>
          <w:caps w:val="0"/>
          <w:color w:val="auto"/>
          <w:spacing w:val="11"/>
          <w:kern w:val="0"/>
          <w:sz w:val="32"/>
          <w:szCs w:val="32"/>
          <w:shd w:val="clear" w:color="auto" w:fill="FFFFFF"/>
          <w:lang w:val="en-US" w:eastAsia="zh-CN" w:bidi="ar"/>
        </w:rPr>
        <w:t>部门间协作与沟通不够顺畅</w:t>
      </w:r>
      <w:r>
        <w:rPr>
          <w:rFonts w:hint="default" w:ascii="仿宋" w:hAnsi="仿宋" w:eastAsia="仿宋" w:cs="仿宋"/>
          <w:i w:val="0"/>
          <w:iCs w:val="0"/>
          <w:caps w:val="0"/>
          <w:color w:val="auto"/>
          <w:spacing w:val="11"/>
          <w:kern w:val="0"/>
          <w:sz w:val="32"/>
          <w:szCs w:val="32"/>
          <w:shd w:val="clear" w:color="auto" w:fill="FFFFFF"/>
          <w:lang w:eastAsia="zh-CN" w:bidi="ar"/>
        </w:rPr>
        <w:t>；四是</w:t>
      </w:r>
      <w:r>
        <w:rPr>
          <w:rFonts w:hint="eastAsia" w:ascii="仿宋" w:hAnsi="仿宋" w:eastAsia="仿宋" w:cs="仿宋"/>
          <w:i w:val="0"/>
          <w:iCs w:val="0"/>
          <w:caps w:val="0"/>
          <w:color w:val="auto"/>
          <w:spacing w:val="11"/>
          <w:kern w:val="0"/>
          <w:sz w:val="32"/>
          <w:szCs w:val="32"/>
          <w:shd w:val="clear" w:color="auto" w:fill="FFFFFF"/>
          <w:lang w:val="en-US" w:eastAsia="zh-CN" w:bidi="ar"/>
        </w:rPr>
        <w:t>反馈与改进机制尚需加强</w:t>
      </w:r>
      <w:r>
        <w:rPr>
          <w:rFonts w:ascii="Times New Roman" w:hAnsi="Times New Roman" w:eastAsia="仿宋_GB2312" w:cs="Times New Roman"/>
          <w:color w:val="auto"/>
          <w:sz w:val="32"/>
          <w:szCs w:val="32"/>
        </w:rPr>
        <w:t>。下一步改进措施：</w:t>
      </w:r>
      <w:r>
        <w:rPr>
          <w:rFonts w:hint="eastAsia" w:ascii="仿宋" w:hAnsi="仿宋" w:eastAsia="仿宋" w:cs="仿宋"/>
          <w:color w:val="auto"/>
          <w:sz w:val="32"/>
          <w:szCs w:val="32"/>
        </w:rPr>
        <w:t>加强对绩效评价工作的培训与指导，进一步优化项目绩效考核指标体系，做到合理性和可操作性的有机统一。</w:t>
      </w:r>
      <w:r>
        <w:rPr>
          <w:rFonts w:ascii="Times New Roman" w:hAnsi="Times New Roman" w:eastAsia="仿宋_GB2312" w:cs="Times New Roman"/>
          <w:b/>
          <w:bCs/>
          <w:color w:val="auto"/>
          <w:kern w:val="0"/>
          <w:sz w:val="32"/>
          <w:szCs w:val="32"/>
        </w:rPr>
        <w:t>三是事前绩效评估结果。</w:t>
      </w:r>
      <w:r>
        <w:rPr>
          <w:rFonts w:ascii="Times New Roman" w:hAnsi="Times New Roman" w:eastAsia="仿宋_GB2312" w:cs="Times New Roman"/>
          <w:color w:val="auto"/>
          <w:kern w:val="0"/>
          <w:sz w:val="32"/>
          <w:szCs w:val="32"/>
        </w:rPr>
        <w:t>2024年度</w:t>
      </w:r>
      <w:r>
        <w:rPr>
          <w:rFonts w:hint="default" w:ascii="Times New Roman" w:hAnsi="Times New Roman" w:eastAsia="仿宋_GB2312" w:cs="Times New Roman"/>
          <w:color w:val="auto"/>
          <w:sz w:val="32"/>
          <w:szCs w:val="32"/>
        </w:rPr>
        <w:t>4</w:t>
      </w:r>
      <w:r>
        <w:rPr>
          <w:rFonts w:ascii="Times New Roman" w:hAnsi="Times New Roman" w:eastAsia="仿宋_GB2312" w:cs="Times New Roman"/>
          <w:color w:val="auto"/>
          <w:kern w:val="0"/>
          <w:sz w:val="32"/>
          <w:szCs w:val="32"/>
        </w:rPr>
        <w:t>个重大项目事前绩效评估，其中，</w:t>
      </w:r>
      <w:r>
        <w:rPr>
          <w:rFonts w:hint="default" w:ascii="Times New Roman" w:hAnsi="Times New Roman" w:eastAsia="仿宋_GB2312" w:cs="Times New Roman"/>
          <w:color w:val="auto"/>
          <w:sz w:val="32"/>
          <w:szCs w:val="32"/>
        </w:rPr>
        <w:t>4</w:t>
      </w:r>
      <w:r>
        <w:rPr>
          <w:rFonts w:ascii="Times New Roman" w:hAnsi="Times New Roman" w:eastAsia="仿宋_GB2312" w:cs="Times New Roman"/>
          <w:color w:val="auto"/>
          <w:kern w:val="0"/>
          <w:sz w:val="32"/>
          <w:szCs w:val="32"/>
        </w:rPr>
        <w:t>个项目评估通过，涉及资金</w:t>
      </w:r>
      <w:r>
        <w:rPr>
          <w:rFonts w:hint="default" w:ascii="Times New Roman" w:hAnsi="Times New Roman" w:eastAsia="仿宋_GB2312" w:cs="Times New Roman"/>
          <w:color w:val="auto"/>
          <w:sz w:val="32"/>
          <w:szCs w:val="32"/>
        </w:rPr>
        <w:t>112.11</w:t>
      </w:r>
      <w:r>
        <w:rPr>
          <w:rFonts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kern w:val="0"/>
          <w:sz w:val="32"/>
          <w:szCs w:val="32"/>
        </w:rPr>
        <w:t>个项目评估不通过，涉及资金</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kern w:val="0"/>
          <w:sz w:val="32"/>
          <w:szCs w:val="32"/>
        </w:rPr>
        <w:t>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Chars="0" w:right="0" w:firstLine="640" w:firstLineChars="200"/>
        <w:jc w:val="both"/>
        <w:textAlignment w:val="auto"/>
        <w:rPr>
          <w:rFonts w:hint="eastAsia" w:ascii="仿宋" w:hAnsi="仿宋" w:eastAsia="仿宋" w:cs="仿宋"/>
          <w:i w:val="0"/>
          <w:iCs w:val="0"/>
          <w:caps w:val="0"/>
          <w:color w:val="auto"/>
          <w:spacing w:val="11"/>
          <w:kern w:val="0"/>
          <w:sz w:val="32"/>
          <w:szCs w:val="32"/>
          <w:shd w:val="clear" w:color="auto" w:fill="FFFFFF"/>
          <w:lang w:val="en-US" w:eastAsia="zh-CN" w:bidi="ar"/>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i w:val="0"/>
          <w:iCs w:val="0"/>
          <w:caps w:val="0"/>
          <w:color w:val="auto"/>
          <w:spacing w:val="11"/>
          <w:kern w:val="0"/>
          <w:sz w:val="32"/>
          <w:szCs w:val="32"/>
          <w:shd w:val="clear" w:color="auto" w:fill="FFFFFF"/>
          <w:lang w:val="en-US" w:eastAsia="zh-CN" w:bidi="ar"/>
        </w:rPr>
        <w:t>（1）后扶维稳工作经费项目绩效目标:库区移民安置区社会稳定，基础设施配套完善，移民安居乐业，生活水平进一步提高，全年无群体性上访案件。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Chars="0" w:right="0" w:firstLine="684" w:firstLineChars="200"/>
        <w:jc w:val="both"/>
        <w:textAlignment w:val="auto"/>
        <w:rPr>
          <w:rFonts w:hint="eastAsia" w:ascii="仿宋" w:hAnsi="仿宋" w:eastAsia="仿宋" w:cs="仿宋"/>
          <w:i w:val="0"/>
          <w:iCs w:val="0"/>
          <w:caps w:val="0"/>
          <w:color w:val="auto"/>
          <w:spacing w:val="11"/>
          <w:kern w:val="0"/>
          <w:sz w:val="32"/>
          <w:szCs w:val="32"/>
          <w:shd w:val="clear" w:color="auto" w:fill="FFFFFF"/>
          <w:lang w:val="en-US" w:eastAsia="zh-CN" w:bidi="ar"/>
        </w:rPr>
      </w:pPr>
      <w:r>
        <w:rPr>
          <w:rFonts w:hint="eastAsia" w:ascii="仿宋" w:hAnsi="仿宋" w:eastAsia="仿宋" w:cs="仿宋"/>
          <w:i w:val="0"/>
          <w:iCs w:val="0"/>
          <w:caps w:val="0"/>
          <w:color w:val="auto"/>
          <w:spacing w:val="11"/>
          <w:kern w:val="0"/>
          <w:sz w:val="32"/>
          <w:szCs w:val="32"/>
          <w:shd w:val="clear" w:color="auto" w:fill="FFFFFF"/>
          <w:lang w:val="en-US" w:eastAsia="zh-CN" w:bidi="ar"/>
        </w:rPr>
        <w:t>（2）中央大中型水库移民后期扶持资金项目绩效目标：通过开展移民工作信息系统建设，提升移民工作效率。通过开展2023年监督检查和绩效评价工作，发现移民工作中的问题，且各县市区已提交整改报告。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Chars="0" w:right="0" w:firstLine="684" w:firstLineChars="200"/>
        <w:jc w:val="both"/>
        <w:textAlignment w:val="auto"/>
        <w:rPr>
          <w:rFonts w:hint="eastAsia" w:ascii="仿宋" w:hAnsi="仿宋" w:eastAsia="仿宋" w:cs="仿宋"/>
          <w:i w:val="0"/>
          <w:iCs w:val="0"/>
          <w:caps w:val="0"/>
          <w:color w:val="auto"/>
          <w:spacing w:val="11"/>
          <w:kern w:val="0"/>
          <w:sz w:val="32"/>
          <w:szCs w:val="32"/>
          <w:shd w:val="clear" w:color="auto" w:fill="FFFFFF"/>
          <w:lang w:val="en-US" w:eastAsia="zh-CN" w:bidi="ar"/>
        </w:rPr>
      </w:pPr>
      <w:r>
        <w:rPr>
          <w:rFonts w:hint="eastAsia" w:ascii="仿宋" w:hAnsi="仿宋" w:eastAsia="仿宋" w:cs="仿宋"/>
          <w:i w:val="0"/>
          <w:iCs w:val="0"/>
          <w:caps w:val="0"/>
          <w:color w:val="auto"/>
          <w:spacing w:val="11"/>
          <w:kern w:val="0"/>
          <w:sz w:val="32"/>
          <w:szCs w:val="32"/>
          <w:shd w:val="clear" w:color="auto" w:fill="FFFFFF"/>
          <w:lang w:val="en-US" w:eastAsia="zh-CN" w:bidi="ar"/>
        </w:rPr>
        <w:t>（3）移民工作经费补助资金项目绩效目标：维持库区移民安置区社会稳定，保证基础设施配套完善，使移民安居乐业，生活水平进一步提高，全年无群体性上访案件。　</w:t>
      </w:r>
    </w:p>
    <w:p>
      <w:pPr>
        <w:pStyle w:val="14"/>
        <w:overflowPunct w:val="0"/>
        <w:autoSpaceDE/>
        <w:autoSpaceDN/>
        <w:spacing w:line="600" w:lineRule="exact"/>
        <w:ind w:firstLine="684" w:firstLineChars="200"/>
        <w:jc w:val="both"/>
        <w:rPr>
          <w:rFonts w:ascii="Times New Roman" w:hAnsi="Times New Roman" w:eastAsia="仿宋_GB2312" w:cs="Times New Roman"/>
          <w:color w:val="auto"/>
          <w:sz w:val="72"/>
          <w:szCs w:val="72"/>
        </w:rPr>
      </w:pPr>
      <w:r>
        <w:rPr>
          <w:rFonts w:hint="eastAsia" w:ascii="仿宋" w:hAnsi="仿宋" w:eastAsia="仿宋" w:cs="仿宋"/>
          <w:i w:val="0"/>
          <w:iCs w:val="0"/>
          <w:caps w:val="0"/>
          <w:color w:val="auto"/>
          <w:spacing w:val="11"/>
          <w:kern w:val="0"/>
          <w:sz w:val="32"/>
          <w:szCs w:val="32"/>
          <w:shd w:val="clear" w:color="auto" w:fill="FFFFFF"/>
          <w:lang w:val="en-US" w:eastAsia="zh-CN" w:bidi="ar"/>
        </w:rPr>
        <w:t>（4）全市移民存量资金监督检查工作经费项目绩效目标：开展存量资金督查工作，促进怀化市存量资金消减。</w:t>
      </w:r>
    </w:p>
    <w:p>
      <w:pPr>
        <w:pStyle w:val="14"/>
        <w:jc w:val="center"/>
        <w:rPr>
          <w:rFonts w:ascii="Times New Roman" w:hAnsi="Times New Roman" w:cs="Times New Roman"/>
          <w:color w:val="auto"/>
          <w:sz w:val="72"/>
          <w:szCs w:val="72"/>
        </w:rPr>
      </w:pPr>
    </w:p>
    <w:p>
      <w:pPr>
        <w:pStyle w:val="14"/>
        <w:jc w:val="both"/>
        <w:rPr>
          <w:rFonts w:ascii="Times New Roman" w:hAnsi="Times New Roman" w:cs="Times New Roman"/>
          <w:color w:val="auto"/>
          <w:sz w:val="72"/>
          <w:szCs w:val="72"/>
        </w:rPr>
      </w:pP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第四部分    名词解释</w:t>
      </w:r>
    </w:p>
    <w:p>
      <w:pPr>
        <w:widowControl/>
        <w:jc w:val="left"/>
        <w:rPr>
          <w:rFonts w:ascii="Times New Roman" w:hAnsi="Times New Roman" w:cs="Times New Roman"/>
          <w:color w:val="auto"/>
          <w:kern w:val="0"/>
          <w:sz w:val="32"/>
          <w:szCs w:val="32"/>
        </w:rPr>
      </w:pPr>
    </w:p>
    <w:p>
      <w:pPr>
        <w:pStyle w:val="14"/>
        <w:ind w:firstLine="640" w:firstLineChars="200"/>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一、财政拨款收入：</w:t>
      </w:r>
      <w:r>
        <w:rPr>
          <w:rFonts w:hint="eastAsia" w:ascii="Times New Roman" w:hAnsi="Times New Roman" w:eastAsia="仿宋_GB2312"/>
          <w:color w:val="auto"/>
          <w:sz w:val="32"/>
          <w:szCs w:val="32"/>
        </w:rPr>
        <w:t>指单位本年度从市级财政部门取得的财政拨款。</w:t>
      </w:r>
    </w:p>
    <w:p>
      <w:pPr>
        <w:pStyle w:val="14"/>
        <w:ind w:firstLine="640" w:firstLineChars="200"/>
        <w:rPr>
          <w:rFonts w:hint="eastAsia" w:ascii="Times New Roman" w:hAnsi="Times New Roman" w:eastAsia="仿宋_GB2312"/>
          <w:color w:val="auto"/>
          <w:sz w:val="32"/>
          <w:szCs w:val="32"/>
        </w:rPr>
      </w:pPr>
      <w:r>
        <w:rPr>
          <w:rFonts w:hint="eastAsia" w:cs="黑体" w:asciiTheme="minorEastAsia" w:hAnsiTheme="minorEastAsia"/>
          <w:color w:val="auto"/>
          <w:kern w:val="0"/>
          <w:sz w:val="32"/>
          <w:szCs w:val="32"/>
        </w:rPr>
        <w:t>二、上级补助收入：</w:t>
      </w:r>
      <w:r>
        <w:rPr>
          <w:rFonts w:hint="eastAsia" w:ascii="Times New Roman" w:hAnsi="Times New Roman" w:eastAsia="仿宋_GB2312"/>
          <w:color w:val="auto"/>
          <w:sz w:val="32"/>
          <w:szCs w:val="32"/>
        </w:rPr>
        <w:t>指事业单位从主管部门和上级单位取得的非财政补助收入。</w:t>
      </w:r>
    </w:p>
    <w:p>
      <w:pPr>
        <w:pStyle w:val="14"/>
        <w:ind w:firstLine="640" w:firstLineChars="200"/>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三、年初结转和结余：</w:t>
      </w:r>
      <w:r>
        <w:rPr>
          <w:rFonts w:hint="eastAsia" w:ascii="Times New Roman" w:hAnsi="Times New Roman" w:eastAsia="仿宋_GB2312"/>
          <w:color w:val="auto"/>
          <w:sz w:val="32"/>
          <w:szCs w:val="32"/>
        </w:rPr>
        <w:t>指单位上年结转本年使用的基本支出结转、项目支出结转和结余和经营结余。</w:t>
      </w:r>
    </w:p>
    <w:p>
      <w:pPr>
        <w:pStyle w:val="14"/>
        <w:ind w:firstLine="640" w:firstLineChars="200"/>
        <w:rPr>
          <w:rFonts w:hint="eastAsia" w:ascii="Times New Roman" w:hAnsi="Times New Roman" w:eastAsia="仿宋_GB2312"/>
          <w:color w:val="auto"/>
          <w:sz w:val="32"/>
          <w:szCs w:val="32"/>
        </w:rPr>
      </w:pPr>
      <w:r>
        <w:rPr>
          <w:rFonts w:hint="eastAsia" w:cs="黑体" w:asciiTheme="minorEastAsia" w:hAnsiTheme="minorEastAsia"/>
          <w:color w:val="auto"/>
          <w:kern w:val="0"/>
          <w:sz w:val="32"/>
          <w:szCs w:val="32"/>
        </w:rPr>
        <w:t>四、年末结转和结余资金：</w:t>
      </w:r>
      <w:r>
        <w:rPr>
          <w:rFonts w:hint="eastAsia" w:ascii="Times New Roman" w:hAnsi="Times New Roman" w:eastAsia="仿宋_GB2312"/>
          <w:color w:val="auto"/>
          <w:sz w:val="32"/>
          <w:szCs w:val="32"/>
        </w:rPr>
        <w:t>指本年度或以前年度预算安排、因客观条件发生变化无法按原计划实施，需要延迟到以后年度按有关规定继续使用的资金。</w:t>
      </w:r>
    </w:p>
    <w:p>
      <w:pPr>
        <w:pStyle w:val="14"/>
        <w:ind w:firstLine="640" w:firstLineChars="200"/>
        <w:rPr>
          <w:rFonts w:hint="eastAsia" w:ascii="Times New Roman" w:hAnsi="Times New Roman" w:eastAsia="仿宋_GB2312"/>
          <w:color w:val="auto"/>
          <w:sz w:val="32"/>
          <w:szCs w:val="32"/>
        </w:rPr>
      </w:pPr>
      <w:r>
        <w:rPr>
          <w:rFonts w:hint="eastAsia" w:cs="黑体" w:asciiTheme="minorEastAsia" w:hAnsiTheme="minorEastAsia"/>
          <w:color w:val="auto"/>
          <w:kern w:val="0"/>
          <w:sz w:val="32"/>
          <w:szCs w:val="32"/>
        </w:rPr>
        <w:t>五、基本支出：</w:t>
      </w:r>
      <w:r>
        <w:rPr>
          <w:rFonts w:hint="eastAsia" w:ascii="Times New Roman" w:hAnsi="Times New Roman" w:eastAsia="仿宋_GB2312"/>
          <w:color w:val="auto"/>
          <w:sz w:val="32"/>
          <w:szCs w:val="32"/>
        </w:rPr>
        <w:t>指为保障机构正常运转、完成日常工作任务而发生的人员支出和公用支出。</w:t>
      </w:r>
    </w:p>
    <w:p>
      <w:pPr>
        <w:pStyle w:val="14"/>
        <w:ind w:firstLine="640" w:firstLineChars="200"/>
        <w:rPr>
          <w:rFonts w:hint="eastAsia" w:ascii="Times New Roman" w:hAnsi="Times New Roman" w:eastAsia="仿宋_GB2312"/>
          <w:color w:val="auto"/>
          <w:sz w:val="32"/>
          <w:szCs w:val="32"/>
        </w:rPr>
      </w:pPr>
      <w:r>
        <w:rPr>
          <w:rFonts w:hint="eastAsia" w:cs="黑体" w:asciiTheme="minorEastAsia" w:hAnsiTheme="minorEastAsia"/>
          <w:color w:val="auto"/>
          <w:kern w:val="0"/>
          <w:sz w:val="32"/>
          <w:szCs w:val="32"/>
        </w:rPr>
        <w:t>六、项目支出：</w:t>
      </w:r>
      <w:r>
        <w:rPr>
          <w:rFonts w:hint="eastAsia" w:ascii="Times New Roman" w:hAnsi="Times New Roman" w:eastAsia="仿宋_GB2312"/>
          <w:color w:val="auto"/>
          <w:sz w:val="32"/>
          <w:szCs w:val="32"/>
        </w:rPr>
        <w:t>指在基本支出之外为完成特定的行政任务或事业发展目标所发生的支出。</w:t>
      </w:r>
    </w:p>
    <w:p>
      <w:pPr>
        <w:pStyle w:val="14"/>
        <w:ind w:firstLine="640" w:firstLineChars="200"/>
        <w:rPr>
          <w:rFonts w:hint="eastAsia" w:ascii="Times New Roman" w:hAnsi="Times New Roman" w:eastAsia="仿宋_GB2312"/>
          <w:color w:val="auto"/>
          <w:sz w:val="32"/>
          <w:szCs w:val="32"/>
        </w:rPr>
      </w:pPr>
      <w:r>
        <w:rPr>
          <w:rFonts w:hint="eastAsia" w:cs="黑体" w:asciiTheme="minorEastAsia" w:hAnsiTheme="minorEastAsia"/>
          <w:color w:val="auto"/>
          <w:kern w:val="0"/>
          <w:sz w:val="32"/>
          <w:szCs w:val="32"/>
        </w:rPr>
        <w:t>七、“三公”经费：</w:t>
      </w:r>
      <w:r>
        <w:rPr>
          <w:rFonts w:hint="eastAsia" w:ascii="Times New Roman" w:hAnsi="Times New Roman" w:eastAsia="仿宋_GB2312"/>
          <w:color w:val="auto"/>
          <w:sz w:val="32"/>
          <w:szCs w:val="32"/>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14"/>
        <w:jc w:val="left"/>
        <w:rPr>
          <w:rFonts w:ascii="Times New Roman" w:hAnsi="Times New Roman" w:cs="Times New Roman"/>
          <w:color w:val="auto"/>
          <w:sz w:val="72"/>
          <w:szCs w:val="72"/>
        </w:rPr>
      </w:pPr>
      <w:r>
        <w:rPr>
          <w:rFonts w:hint="default"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八、机关运行经费：</w:t>
      </w:r>
      <w:r>
        <w:rPr>
          <w:rFonts w:hint="eastAsia" w:ascii="Times New Roman" w:hAnsi="Times New Roman" w:eastAsia="仿宋_GB2312"/>
          <w:color w:val="auto"/>
          <w:sz w:val="32"/>
          <w:szCs w:val="32"/>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pStyle w:val="14"/>
        <w:jc w:val="center"/>
        <w:rPr>
          <w:rFonts w:ascii="Times New Roman" w:hAnsi="Times New Roman" w:cs="Times New Roman"/>
          <w:color w:val="auto"/>
          <w:sz w:val="72"/>
          <w:szCs w:val="72"/>
        </w:rPr>
      </w:pPr>
    </w:p>
    <w:p>
      <w:pPr>
        <w:pStyle w:val="14"/>
        <w:jc w:val="center"/>
        <w:rPr>
          <w:rFonts w:hint="default" w:ascii="Times New Roman" w:hAnsi="Times New Roman" w:cs="Times New Roman"/>
          <w:color w:val="auto"/>
          <w:sz w:val="72"/>
          <w:szCs w:val="72"/>
        </w:rPr>
      </w:pPr>
      <w:r>
        <w:rPr>
          <w:rFonts w:hint="default" w:ascii="Times New Roman" w:hAnsi="Times New Roman" w:cs="Times New Roman"/>
          <w:color w:val="auto"/>
          <w:sz w:val="72"/>
          <w:szCs w:val="72"/>
        </w:rPr>
        <w:t xml:space="preserve">   </w:t>
      </w:r>
    </w:p>
    <w:p>
      <w:pPr>
        <w:pStyle w:val="14"/>
        <w:jc w:val="center"/>
        <w:rPr>
          <w:rFonts w:hint="default" w:ascii="Times New Roman" w:hAnsi="Times New Roman" w:cs="Times New Roman"/>
          <w:color w:val="auto"/>
          <w:sz w:val="72"/>
          <w:szCs w:val="72"/>
        </w:rPr>
      </w:pPr>
    </w:p>
    <w:p>
      <w:pPr>
        <w:pStyle w:val="14"/>
        <w:jc w:val="center"/>
        <w:rPr>
          <w:rFonts w:hint="default" w:ascii="Times New Roman" w:hAnsi="Times New Roman" w:cs="Times New Roman"/>
          <w:color w:val="auto"/>
          <w:sz w:val="72"/>
          <w:szCs w:val="72"/>
        </w:rPr>
      </w:pPr>
    </w:p>
    <w:p>
      <w:pPr>
        <w:pStyle w:val="14"/>
        <w:jc w:val="center"/>
        <w:rPr>
          <w:rFonts w:hint="default" w:ascii="Times New Roman" w:hAnsi="Times New Roman" w:cs="Times New Roman"/>
          <w:color w:val="auto"/>
          <w:sz w:val="72"/>
          <w:szCs w:val="72"/>
        </w:rPr>
      </w:pPr>
    </w:p>
    <w:p>
      <w:pPr>
        <w:pStyle w:val="14"/>
        <w:jc w:val="center"/>
        <w:rPr>
          <w:rFonts w:hint="default"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both"/>
        <w:rPr>
          <w:rFonts w:ascii="Times New Roman" w:hAnsi="Times New Roman" w:cs="Times New Roman"/>
          <w:color w:val="auto"/>
          <w:sz w:val="72"/>
          <w:szCs w:val="72"/>
        </w:rPr>
      </w:pP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第五部分   附 件</w:t>
      </w:r>
    </w:p>
    <w:p>
      <w:pPr>
        <w:rPr>
          <w:rFonts w:ascii="Times New Roman" w:hAnsi="Times New Roman" w:cs="Times New Roman"/>
          <w:color w:val="auto"/>
          <w:sz w:val="72"/>
          <w:szCs w:val="72"/>
        </w:rPr>
      </w:pPr>
    </w:p>
    <w:p>
      <w:pPr>
        <w:pStyle w:val="1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一、</w:t>
      </w:r>
      <w:r>
        <w:rPr>
          <w:rFonts w:ascii="Times New Roman" w:hAnsi="Times New Roman" w:eastAsia="仿宋_GB2312" w:cs="Times New Roman"/>
          <w:color w:val="auto"/>
          <w:sz w:val="32"/>
          <w:szCs w:val="32"/>
        </w:rPr>
        <w:t>2024年度怀化市库区移民事务中心整体支出绩效自评报告。</w:t>
      </w:r>
    </w:p>
    <w:p>
      <w:pPr>
        <w:pStyle w:val="14"/>
        <w:spacing w:line="600" w:lineRule="exact"/>
        <w:ind w:firstLine="640" w:firstLineChars="200"/>
        <w:rPr>
          <w:rFonts w:ascii="Times New Roman" w:hAnsi="Times New Roman" w:eastAsia="仿宋_GB2312" w:cs="Times New Roman"/>
          <w:color w:val="auto"/>
          <w:sz w:val="32"/>
          <w:szCs w:val="32"/>
        </w:rPr>
      </w:pPr>
    </w:p>
    <w:p>
      <w:pPr>
        <w:spacing w:line="600" w:lineRule="exact"/>
        <w:rPr>
          <w:rFonts w:ascii="Times New Roman" w:hAnsi="Times New Roman" w:eastAsia="黑体" w:cs="Times New Roman"/>
          <w:color w:val="auto"/>
          <w:sz w:val="32"/>
          <w:szCs w:val="32"/>
        </w:rPr>
      </w:pPr>
    </w:p>
    <w:p>
      <w:pPr>
        <w:spacing w:line="600" w:lineRule="exact"/>
        <w:rPr>
          <w:rFonts w:ascii="Times New Roman" w:hAnsi="Times New Roman" w:eastAsia="黑体" w:cs="Times New Roman"/>
          <w:color w:val="auto"/>
          <w:sz w:val="32"/>
          <w:szCs w:val="32"/>
        </w:rPr>
      </w:pPr>
    </w:p>
    <w:p>
      <w:pPr>
        <w:spacing w:line="600" w:lineRule="exact"/>
        <w:rPr>
          <w:rFonts w:ascii="Times New Roman" w:hAnsi="Times New Roman" w:eastAsia="黑体" w:cs="Times New Roman"/>
          <w:color w:val="auto"/>
          <w:sz w:val="32"/>
          <w:szCs w:val="32"/>
        </w:rPr>
      </w:pPr>
    </w:p>
    <w:p>
      <w:pPr>
        <w:jc w:val="center"/>
        <w:rPr>
          <w:rFonts w:hint="eastAsia" w:ascii="方正小标宋简体" w:hAnsi="方正小标宋简体" w:eastAsia="方正小标宋简体" w:cs="方正小标宋简体"/>
          <w:color w:val="auto"/>
          <w:sz w:val="52"/>
          <w:szCs w:val="52"/>
          <w:highlight w:val="none"/>
          <w:lang w:eastAsia="zh-CN"/>
        </w:rPr>
      </w:pPr>
      <w:r>
        <w:rPr>
          <w:rFonts w:hint="eastAsia" w:ascii="方正小标宋简体" w:hAnsi="方正小标宋简体" w:eastAsia="方正小标宋简体" w:cs="方正小标宋简体"/>
          <w:color w:val="auto"/>
          <w:sz w:val="52"/>
          <w:szCs w:val="52"/>
        </w:rPr>
        <w:t>202</w:t>
      </w:r>
      <w:r>
        <w:rPr>
          <w:rFonts w:hint="eastAsia" w:ascii="方正小标宋简体" w:hAnsi="方正小标宋简体" w:eastAsia="方正小标宋简体" w:cs="方正小标宋简体"/>
          <w:color w:val="auto"/>
          <w:sz w:val="52"/>
          <w:szCs w:val="52"/>
          <w:lang w:val="en-US" w:eastAsia="zh-CN"/>
        </w:rPr>
        <w:t>4</w:t>
      </w:r>
      <w:r>
        <w:rPr>
          <w:rFonts w:hint="eastAsia" w:ascii="方正小标宋简体" w:hAnsi="方正小标宋简体" w:eastAsia="方正小标宋简体" w:cs="方正小标宋简体"/>
          <w:color w:val="auto"/>
          <w:sz w:val="52"/>
          <w:szCs w:val="52"/>
        </w:rPr>
        <w:t>年度</w:t>
      </w:r>
      <w:r>
        <w:rPr>
          <w:rFonts w:hint="eastAsia" w:ascii="方正小标宋简体" w:hAnsi="方正小标宋简体" w:eastAsia="方正小标宋简体" w:cs="方正小标宋简体"/>
          <w:color w:val="auto"/>
          <w:sz w:val="52"/>
          <w:szCs w:val="52"/>
          <w:highlight w:val="none"/>
          <w:lang w:eastAsia="zh-CN"/>
        </w:rPr>
        <w:t>怀化市库区移民事务中心</w:t>
      </w:r>
    </w:p>
    <w:p>
      <w:pPr>
        <w:jc w:val="center"/>
        <w:rPr>
          <w:rFonts w:ascii="Times New Roman" w:hAnsi="Times New Roman" w:eastAsia="方正小标宋_GBK" w:cs="Times New Roman"/>
          <w:color w:val="auto"/>
          <w:sz w:val="52"/>
          <w:szCs w:val="52"/>
        </w:rPr>
      </w:pPr>
      <w:r>
        <w:rPr>
          <w:rFonts w:hint="eastAsia" w:ascii="方正小标宋简体" w:hAnsi="方正小标宋简体" w:eastAsia="方正小标宋简体" w:cs="方正小标宋简体"/>
          <w:color w:val="auto"/>
          <w:sz w:val="52"/>
          <w:szCs w:val="52"/>
        </w:rPr>
        <w:t>部门整体支出绩效自评报告</w:t>
      </w:r>
    </w:p>
    <w:p>
      <w:pPr>
        <w:jc w:val="both"/>
        <w:rPr>
          <w:rFonts w:ascii="Times New Roman" w:hAnsi="Times New Roman" w:eastAsia="楷体_GB2312" w:cs="Times New Roman"/>
          <w:b/>
          <w:color w:val="auto"/>
          <w:sz w:val="32"/>
          <w:szCs w:val="32"/>
        </w:rPr>
      </w:pPr>
    </w:p>
    <w:p>
      <w:pPr>
        <w:jc w:val="center"/>
        <w:rPr>
          <w:rFonts w:ascii="Times New Roman" w:hAnsi="Times New Roman" w:eastAsia="黑体" w:cs="Times New Roman"/>
          <w:color w:val="auto"/>
          <w:sz w:val="32"/>
          <w:szCs w:val="32"/>
        </w:rPr>
      </w:pPr>
    </w:p>
    <w:p>
      <w:pPr>
        <w:jc w:val="center"/>
        <w:rPr>
          <w:rFonts w:ascii="Times New Roman" w:hAnsi="Times New Roman" w:eastAsia="黑体" w:cs="Times New Roman"/>
          <w:color w:val="auto"/>
          <w:sz w:val="32"/>
          <w:szCs w:val="32"/>
        </w:rPr>
      </w:pPr>
    </w:p>
    <w:p>
      <w:pPr>
        <w:jc w:val="center"/>
        <w:rPr>
          <w:rFonts w:ascii="Times New Roman" w:hAnsi="Times New Roman" w:eastAsia="黑体" w:cs="Times New Roman"/>
          <w:color w:val="auto"/>
          <w:sz w:val="32"/>
          <w:szCs w:val="32"/>
        </w:rPr>
      </w:pPr>
    </w:p>
    <w:p>
      <w:pPr>
        <w:jc w:val="center"/>
        <w:rPr>
          <w:rFonts w:ascii="Times New Roman" w:hAnsi="Times New Roman" w:eastAsia="黑体" w:cs="Times New Roman"/>
          <w:color w:val="auto"/>
          <w:sz w:val="32"/>
          <w:szCs w:val="32"/>
        </w:rPr>
      </w:pPr>
    </w:p>
    <w:p>
      <w:pPr>
        <w:jc w:val="both"/>
        <w:rPr>
          <w:rFonts w:ascii="Times New Roman" w:hAnsi="Times New Roman" w:eastAsia="黑体" w:cs="Times New Roman"/>
          <w:color w:val="auto"/>
          <w:sz w:val="32"/>
          <w:szCs w:val="32"/>
        </w:rPr>
      </w:pPr>
    </w:p>
    <w:p>
      <w:pPr>
        <w:jc w:val="center"/>
        <w:rPr>
          <w:rFonts w:ascii="Times New Roman" w:hAnsi="Times New Roman" w:eastAsia="黑体" w:cs="Times New Roman"/>
          <w:color w:val="auto"/>
          <w:sz w:val="32"/>
          <w:szCs w:val="32"/>
        </w:rPr>
      </w:pPr>
    </w:p>
    <w:p>
      <w:pPr>
        <w:spacing w:line="600" w:lineRule="exact"/>
        <w:ind w:firstLine="1920" w:firstLineChars="60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单位名称：</w:t>
      </w:r>
      <w:r>
        <w:rPr>
          <w:rFonts w:hint="default" w:eastAsia="仿宋_GB2312" w:cs="Times New Roman"/>
          <w:color w:val="auto"/>
          <w:sz w:val="32"/>
          <w:szCs w:val="32"/>
          <w:u w:val="single"/>
        </w:rPr>
        <w:t xml:space="preserve"> </w:t>
      </w:r>
      <w:r>
        <w:rPr>
          <w:rFonts w:eastAsia="仿宋_GB2312" w:cs="Times New Roman"/>
          <w:color w:val="auto"/>
          <w:sz w:val="32"/>
          <w:szCs w:val="32"/>
          <w:u w:val="single"/>
        </w:rPr>
        <w:t>怀化市库区移民事务中心</w:t>
      </w:r>
      <w:r>
        <w:rPr>
          <w:rFonts w:ascii="Times New Roman" w:hAnsi="Times New Roman" w:eastAsia="仿宋_GB2312" w:cs="Times New Roman"/>
          <w:color w:val="auto"/>
          <w:sz w:val="32"/>
          <w:szCs w:val="32"/>
          <w:u w:val="single"/>
        </w:rPr>
        <w:t xml:space="preserve"> </w:t>
      </w:r>
    </w:p>
    <w:p>
      <w:pPr>
        <w:spacing w:line="600" w:lineRule="exact"/>
        <w:jc w:val="center"/>
        <w:rPr>
          <w:rFonts w:ascii="Times New Roman" w:hAnsi="Times New Roman" w:eastAsia="黑体" w:cs="Times New Roman"/>
          <w:color w:val="auto"/>
          <w:sz w:val="32"/>
          <w:szCs w:val="32"/>
        </w:rPr>
      </w:pPr>
      <w:r>
        <w:rPr>
          <w:rFonts w:hint="default" w:ascii="Times New Roman" w:hAnsi="Times New Roman" w:eastAsia="楷体_GB2312" w:cs="Times New Roman"/>
          <w:color w:val="auto"/>
          <w:sz w:val="32"/>
          <w:szCs w:val="32"/>
        </w:rPr>
        <w:t>202</w:t>
      </w:r>
      <w:r>
        <w:rPr>
          <w:rFonts w:hint="eastAsia" w:ascii="Times New Roman" w:hAnsi="Times New Roman" w:eastAsia="楷体_GB2312" w:cs="Times New Roman"/>
          <w:color w:val="auto"/>
          <w:sz w:val="32"/>
          <w:szCs w:val="32"/>
          <w:lang w:val="en-US" w:eastAsia="zh-CN"/>
        </w:rPr>
        <w:t>5</w:t>
      </w:r>
      <w:r>
        <w:rPr>
          <w:rFonts w:ascii="Times New Roman" w:hAnsi="Times New Roman" w:eastAsia="楷体_GB2312" w:cs="Times New Roman"/>
          <w:color w:val="auto"/>
          <w:sz w:val="32"/>
          <w:szCs w:val="32"/>
        </w:rPr>
        <w:t>年</w:t>
      </w:r>
      <w:r>
        <w:rPr>
          <w:rFonts w:hint="eastAsia" w:ascii="Times New Roman" w:hAnsi="Times New Roman" w:eastAsia="楷体_GB2312" w:cs="Times New Roman"/>
          <w:color w:val="auto"/>
          <w:sz w:val="32"/>
          <w:szCs w:val="32"/>
          <w:lang w:val="en-US" w:eastAsia="zh-CN"/>
        </w:rPr>
        <w:t>4</w:t>
      </w:r>
      <w:r>
        <w:rPr>
          <w:rFonts w:ascii="Times New Roman" w:hAnsi="Times New Roman" w:eastAsia="楷体_GB2312" w:cs="Times New Roman"/>
          <w:color w:val="auto"/>
          <w:sz w:val="32"/>
          <w:szCs w:val="32"/>
        </w:rPr>
        <w:t>月</w:t>
      </w:r>
      <w:r>
        <w:rPr>
          <w:rFonts w:hint="default" w:ascii="Times New Roman" w:hAnsi="Times New Roman" w:eastAsia="楷体_GB2312" w:cs="Times New Roman"/>
          <w:color w:val="auto"/>
          <w:sz w:val="32"/>
          <w:szCs w:val="32"/>
        </w:rPr>
        <w:t>2</w:t>
      </w:r>
      <w:r>
        <w:rPr>
          <w:rFonts w:hint="eastAsia" w:ascii="Times New Roman" w:hAnsi="Times New Roman" w:eastAsia="楷体_GB2312" w:cs="Times New Roman"/>
          <w:color w:val="auto"/>
          <w:sz w:val="32"/>
          <w:szCs w:val="32"/>
          <w:lang w:val="en-US" w:eastAsia="zh-CN"/>
        </w:rPr>
        <w:t>1</w:t>
      </w:r>
      <w:r>
        <w:rPr>
          <w:rFonts w:ascii="Times New Roman" w:hAnsi="Times New Roman" w:eastAsia="楷体_GB2312" w:cs="Times New Roman"/>
          <w:color w:val="auto"/>
          <w:sz w:val="32"/>
          <w:szCs w:val="32"/>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auto"/>
          <w:spacing w:val="0"/>
          <w:sz w:val="32"/>
          <w:szCs w:val="32"/>
          <w:shd w:val="clear" w:fill="FFFFFF"/>
          <w:lang w:val="en-US" w:eastAsia="zh-CN"/>
        </w:rPr>
      </w:pPr>
      <w:r>
        <w:rPr>
          <w:rFonts w:ascii="Times New Roman" w:hAnsi="Times New Roman" w:eastAsia="仿宋_GB2312" w:cs="Times New Roman"/>
          <w:color w:val="auto"/>
          <w:sz w:val="32"/>
          <w:szCs w:val="32"/>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sz w:val="44"/>
          <w:szCs w:val="44"/>
          <w:shd w:val="clear" w:fill="FFFFFF"/>
        </w:rPr>
        <w:t>部门整体支出绩效自评报告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auto"/>
          <w:spacing w:val="0"/>
          <w:sz w:val="24"/>
          <w:szCs w:val="2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lang w:eastAsia="zh-CN"/>
        </w:rPr>
      </w:pPr>
      <w:r>
        <w:rPr>
          <w:rFonts w:hint="eastAsia" w:ascii="黑体" w:hAnsi="黑体" w:eastAsia="黑体" w:cs="黑体"/>
          <w:b w:val="0"/>
          <w:bCs w:val="0"/>
          <w:i w:val="0"/>
          <w:iCs w:val="0"/>
          <w:caps w:val="0"/>
          <w:color w:val="auto"/>
          <w:spacing w:val="11"/>
          <w:sz w:val="32"/>
          <w:szCs w:val="32"/>
          <w:shd w:val="clear" w:fill="FFFFFF"/>
        </w:rPr>
        <w:t>一、部门</w:t>
      </w:r>
      <w:r>
        <w:rPr>
          <w:rFonts w:hint="eastAsia" w:ascii="黑体" w:hAnsi="黑体" w:eastAsia="黑体" w:cs="黑体"/>
          <w:b w:val="0"/>
          <w:bCs w:val="0"/>
          <w:i w:val="0"/>
          <w:iCs w:val="0"/>
          <w:caps w:val="0"/>
          <w:color w:val="auto"/>
          <w:spacing w:val="11"/>
          <w:sz w:val="32"/>
          <w:szCs w:val="32"/>
          <w:shd w:val="clear" w:fill="FFFFFF"/>
          <w:lang w:eastAsia="zh-CN"/>
        </w:rPr>
        <w:t>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ascii="楷体_GB2312" w:eastAsia="楷体_GB2312" w:cs="楷体_GB2312"/>
          <w:b/>
          <w:bCs/>
          <w:i w:val="0"/>
          <w:iCs w:val="0"/>
          <w:caps w:val="0"/>
          <w:color w:val="auto"/>
          <w:spacing w:val="11"/>
          <w:sz w:val="32"/>
          <w:szCs w:val="32"/>
        </w:rPr>
      </w:pPr>
      <w:r>
        <w:rPr>
          <w:rFonts w:hint="default" w:ascii="楷体_GB2312" w:eastAsia="楷体_GB2312" w:cs="楷体_GB2312"/>
          <w:b/>
          <w:bCs/>
          <w:i w:val="0"/>
          <w:iCs w:val="0"/>
          <w:caps w:val="0"/>
          <w:color w:val="auto"/>
          <w:spacing w:val="11"/>
          <w:sz w:val="32"/>
          <w:szCs w:val="32"/>
          <w:shd w:val="clear" w:fill="FFFFFF"/>
        </w:rPr>
        <w:t>（一）机构设置</w:t>
      </w:r>
      <w:r>
        <w:rPr>
          <w:rFonts w:hint="eastAsia" w:ascii="楷体_GB2312" w:eastAsia="楷体_GB2312" w:cs="楷体_GB2312"/>
          <w:b/>
          <w:bCs/>
          <w:i w:val="0"/>
          <w:iCs w:val="0"/>
          <w:caps w:val="0"/>
          <w:color w:val="auto"/>
          <w:spacing w:val="11"/>
          <w:sz w:val="32"/>
          <w:szCs w:val="32"/>
          <w:shd w:val="clear" w:fill="FFFFFF"/>
          <w:lang w:eastAsia="zh-CN"/>
        </w:rPr>
        <w:t>、人员编制</w:t>
      </w:r>
      <w:r>
        <w:rPr>
          <w:rFonts w:hint="default" w:ascii="楷体_GB2312" w:eastAsia="楷体_GB2312" w:cs="楷体_GB2312"/>
          <w:b/>
          <w:bCs/>
          <w:i w:val="0"/>
          <w:iCs w:val="0"/>
          <w:caps w:val="0"/>
          <w:color w:val="auto"/>
          <w:spacing w:val="11"/>
          <w:sz w:val="32"/>
          <w:szCs w:val="32"/>
          <w:shd w:val="clear" w:fill="FFFFFF"/>
        </w:rPr>
        <w:t>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仿宋" w:hAnsi="仿宋" w:eastAsia="仿宋" w:cs="仿宋"/>
          <w:b w:val="0"/>
          <w:bCs w:val="0"/>
          <w:i w:val="0"/>
          <w:iCs w:val="0"/>
          <w:caps w:val="0"/>
          <w:color w:val="auto"/>
          <w:spacing w:val="11"/>
          <w:sz w:val="32"/>
          <w:szCs w:val="32"/>
          <w:shd w:val="clear" w:fill="FFFFFF"/>
        </w:rPr>
      </w:pPr>
      <w:r>
        <w:rPr>
          <w:rFonts w:hint="eastAsia" w:ascii="仿宋" w:hAnsi="仿宋" w:eastAsia="仿宋" w:cs="仿宋"/>
          <w:b w:val="0"/>
          <w:bCs w:val="0"/>
          <w:color w:val="auto"/>
          <w:spacing w:val="11"/>
          <w:sz w:val="32"/>
          <w:szCs w:val="32"/>
          <w:highlight w:val="none"/>
          <w:lang w:eastAsia="zh-CN"/>
        </w:rPr>
        <w:t>怀化市</w:t>
      </w:r>
      <w:r>
        <w:rPr>
          <w:rFonts w:hint="eastAsia" w:ascii="仿宋" w:hAnsi="仿宋" w:eastAsia="仿宋" w:cs="仿宋"/>
          <w:b w:val="0"/>
          <w:bCs w:val="0"/>
          <w:color w:val="auto"/>
          <w:spacing w:val="11"/>
          <w:sz w:val="32"/>
          <w:szCs w:val="32"/>
          <w:highlight w:val="none"/>
          <w:lang w:val="en-US" w:eastAsia="zh-CN"/>
        </w:rPr>
        <w:t>库区移民事务中心为市水利局所属正处级公益一类事业单位，设置5个</w:t>
      </w:r>
      <w:r>
        <w:rPr>
          <w:rFonts w:hint="eastAsia" w:ascii="仿宋" w:hAnsi="仿宋" w:eastAsia="仿宋" w:cs="仿宋"/>
          <w:b w:val="0"/>
          <w:bCs w:val="0"/>
          <w:color w:val="auto"/>
          <w:spacing w:val="11"/>
          <w:sz w:val="32"/>
          <w:szCs w:val="32"/>
          <w:highlight w:val="none"/>
          <w:lang w:eastAsia="zh-CN"/>
        </w:rPr>
        <w:t>内设</w:t>
      </w:r>
      <w:r>
        <w:rPr>
          <w:rFonts w:hint="eastAsia" w:ascii="仿宋" w:hAnsi="仿宋" w:eastAsia="仿宋" w:cs="仿宋"/>
          <w:b w:val="0"/>
          <w:bCs w:val="0"/>
          <w:color w:val="auto"/>
          <w:spacing w:val="11"/>
          <w:sz w:val="32"/>
          <w:szCs w:val="32"/>
          <w:highlight w:val="none"/>
          <w:lang w:val="en-US" w:eastAsia="zh-CN"/>
        </w:rPr>
        <w:t>机构</w:t>
      </w:r>
      <w:r>
        <w:rPr>
          <w:rFonts w:hint="eastAsia" w:ascii="仿宋" w:hAnsi="仿宋" w:eastAsia="仿宋" w:cs="仿宋"/>
          <w:b w:val="0"/>
          <w:bCs w:val="0"/>
          <w:color w:val="auto"/>
          <w:spacing w:val="11"/>
          <w:sz w:val="32"/>
          <w:szCs w:val="32"/>
          <w:highlight w:val="none"/>
          <w:lang w:eastAsia="zh-CN"/>
        </w:rPr>
        <w:t>：办公室（</w:t>
      </w:r>
      <w:r>
        <w:rPr>
          <w:rFonts w:hint="eastAsia" w:ascii="仿宋" w:hAnsi="仿宋" w:eastAsia="仿宋" w:cs="仿宋"/>
          <w:b w:val="0"/>
          <w:bCs w:val="0"/>
          <w:color w:val="auto"/>
          <w:spacing w:val="11"/>
          <w:sz w:val="32"/>
          <w:szCs w:val="32"/>
          <w:highlight w:val="none"/>
          <w:lang w:val="en-US" w:eastAsia="zh-CN"/>
        </w:rPr>
        <w:t>人事部</w:t>
      </w:r>
      <w:r>
        <w:rPr>
          <w:rFonts w:hint="eastAsia" w:ascii="仿宋" w:hAnsi="仿宋" w:eastAsia="仿宋" w:cs="仿宋"/>
          <w:b w:val="0"/>
          <w:bCs w:val="0"/>
          <w:color w:val="auto"/>
          <w:spacing w:val="11"/>
          <w:sz w:val="32"/>
          <w:szCs w:val="32"/>
          <w:highlight w:val="none"/>
          <w:lang w:eastAsia="zh-CN"/>
        </w:rPr>
        <w:t>）、搬迁安置</w:t>
      </w:r>
      <w:r>
        <w:rPr>
          <w:rFonts w:hint="eastAsia" w:ascii="仿宋" w:hAnsi="仿宋" w:eastAsia="仿宋" w:cs="仿宋"/>
          <w:b w:val="0"/>
          <w:bCs w:val="0"/>
          <w:color w:val="auto"/>
          <w:spacing w:val="11"/>
          <w:sz w:val="32"/>
          <w:szCs w:val="32"/>
          <w:highlight w:val="none"/>
          <w:lang w:val="en-US" w:eastAsia="zh-CN"/>
        </w:rPr>
        <w:t>部</w:t>
      </w:r>
      <w:r>
        <w:rPr>
          <w:rFonts w:hint="eastAsia" w:ascii="仿宋" w:hAnsi="仿宋" w:eastAsia="仿宋" w:cs="仿宋"/>
          <w:b w:val="0"/>
          <w:bCs w:val="0"/>
          <w:color w:val="auto"/>
          <w:spacing w:val="11"/>
          <w:sz w:val="32"/>
          <w:szCs w:val="32"/>
          <w:highlight w:val="none"/>
          <w:lang w:eastAsia="zh-CN"/>
        </w:rPr>
        <w:t>、后期扶持</w:t>
      </w:r>
      <w:r>
        <w:rPr>
          <w:rFonts w:hint="eastAsia" w:ascii="仿宋" w:hAnsi="仿宋" w:eastAsia="仿宋" w:cs="仿宋"/>
          <w:b w:val="0"/>
          <w:bCs w:val="0"/>
          <w:color w:val="auto"/>
          <w:spacing w:val="11"/>
          <w:sz w:val="32"/>
          <w:szCs w:val="32"/>
          <w:highlight w:val="none"/>
          <w:lang w:val="en-US" w:eastAsia="zh-CN"/>
        </w:rPr>
        <w:t>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lang w:val="en-US" w:eastAsia="zh-CN"/>
        </w:rPr>
        <w:t>资金财务部、信访维权部</w:t>
      </w:r>
      <w:r>
        <w:rPr>
          <w:rFonts w:hint="eastAsia" w:ascii="仿宋" w:hAnsi="仿宋" w:eastAsia="仿宋" w:cs="仿宋"/>
          <w:b w:val="0"/>
          <w:bCs w:val="0"/>
          <w:color w:val="auto"/>
          <w:spacing w:val="11"/>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i w:val="0"/>
          <w:iCs w:val="0"/>
          <w:caps w:val="0"/>
          <w:color w:val="auto"/>
          <w:spacing w:val="11"/>
          <w:sz w:val="32"/>
          <w:szCs w:val="32"/>
          <w:shd w:val="clear" w:fill="FFFFFF"/>
        </w:rPr>
      </w:pPr>
      <w:r>
        <w:rPr>
          <w:rFonts w:hint="eastAsia" w:ascii="仿宋" w:hAnsi="仿宋" w:eastAsia="仿宋" w:cs="仿宋"/>
          <w:b w:val="0"/>
          <w:bCs w:val="0"/>
          <w:color w:val="auto"/>
          <w:spacing w:val="11"/>
          <w:sz w:val="32"/>
          <w:szCs w:val="32"/>
        </w:rPr>
        <w:t>202</w:t>
      </w:r>
      <w:r>
        <w:rPr>
          <w:rFonts w:hint="eastAsia" w:ascii="仿宋" w:hAnsi="仿宋" w:eastAsia="仿宋" w:cs="仿宋"/>
          <w:b w:val="0"/>
          <w:bCs w:val="0"/>
          <w:color w:val="auto"/>
          <w:spacing w:val="11"/>
          <w:sz w:val="32"/>
          <w:szCs w:val="32"/>
          <w:lang w:val="en-US" w:eastAsia="zh-CN"/>
        </w:rPr>
        <w:t>4</w:t>
      </w:r>
      <w:r>
        <w:rPr>
          <w:rFonts w:hint="eastAsia" w:ascii="仿宋" w:hAnsi="仿宋" w:eastAsia="仿宋" w:cs="仿宋"/>
          <w:b w:val="0"/>
          <w:bCs w:val="0"/>
          <w:color w:val="auto"/>
          <w:spacing w:val="11"/>
          <w:sz w:val="32"/>
          <w:szCs w:val="32"/>
        </w:rPr>
        <w:t>年编制人数22名，年末实有在职人数</w:t>
      </w:r>
      <w:r>
        <w:rPr>
          <w:rFonts w:hint="eastAsia" w:ascii="仿宋" w:hAnsi="仿宋" w:eastAsia="仿宋" w:cs="仿宋"/>
          <w:b w:val="0"/>
          <w:bCs w:val="0"/>
          <w:color w:val="auto"/>
          <w:spacing w:val="11"/>
          <w:sz w:val="32"/>
          <w:szCs w:val="32"/>
          <w:lang w:val="en-US" w:eastAsia="zh-CN"/>
        </w:rPr>
        <w:t>19</w:t>
      </w:r>
      <w:r>
        <w:rPr>
          <w:rFonts w:hint="eastAsia" w:ascii="仿宋" w:hAnsi="仿宋" w:eastAsia="仿宋" w:cs="仿宋"/>
          <w:b w:val="0"/>
          <w:bCs w:val="0"/>
          <w:color w:val="auto"/>
          <w:spacing w:val="11"/>
          <w:sz w:val="32"/>
          <w:szCs w:val="32"/>
        </w:rPr>
        <w:t>人，同比去年</w:t>
      </w:r>
      <w:r>
        <w:rPr>
          <w:rFonts w:hint="eastAsia" w:ascii="仿宋" w:hAnsi="仿宋" w:eastAsia="仿宋" w:cs="仿宋"/>
          <w:b w:val="0"/>
          <w:bCs w:val="0"/>
          <w:color w:val="auto"/>
          <w:spacing w:val="11"/>
          <w:sz w:val="32"/>
          <w:szCs w:val="32"/>
          <w:lang w:eastAsia="zh-CN"/>
        </w:rPr>
        <w:t>减少</w:t>
      </w:r>
      <w:r>
        <w:rPr>
          <w:rFonts w:hint="eastAsia" w:ascii="仿宋" w:hAnsi="仿宋" w:eastAsia="仿宋" w:cs="仿宋"/>
          <w:b w:val="0"/>
          <w:bCs w:val="0"/>
          <w:color w:val="auto"/>
          <w:spacing w:val="11"/>
          <w:sz w:val="32"/>
          <w:szCs w:val="32"/>
          <w:lang w:val="en-US" w:eastAsia="zh-CN"/>
        </w:rPr>
        <w:t>1</w:t>
      </w:r>
      <w:r>
        <w:rPr>
          <w:rFonts w:hint="eastAsia" w:ascii="仿宋" w:hAnsi="仿宋" w:eastAsia="仿宋" w:cs="仿宋"/>
          <w:b w:val="0"/>
          <w:bCs w:val="0"/>
          <w:color w:val="auto"/>
          <w:spacing w:val="11"/>
          <w:sz w:val="32"/>
          <w:szCs w:val="32"/>
        </w:rPr>
        <w:t>人，</w:t>
      </w:r>
      <w:r>
        <w:rPr>
          <w:rFonts w:hint="eastAsia" w:ascii="仿宋" w:hAnsi="仿宋" w:eastAsia="仿宋" w:cs="仿宋"/>
          <w:b w:val="0"/>
          <w:bCs w:val="0"/>
          <w:color w:val="auto"/>
          <w:spacing w:val="11"/>
          <w:sz w:val="32"/>
          <w:szCs w:val="32"/>
          <w:lang w:val="en-US" w:eastAsia="zh-CN"/>
        </w:rPr>
        <w:t>原因是本年度到龄办理正常退休1人</w:t>
      </w:r>
      <w:r>
        <w:rPr>
          <w:rFonts w:hint="eastAsia" w:ascii="仿宋" w:hAnsi="仿宋" w:eastAsia="仿宋" w:cs="仿宋"/>
          <w:b w:val="0"/>
          <w:bCs w:val="0"/>
          <w:color w:val="auto"/>
          <w:spacing w:val="11"/>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default" w:ascii="楷体_GB2312" w:eastAsia="楷体_GB2312" w:cs="楷体_GB2312"/>
          <w:b/>
          <w:bCs/>
          <w:i w:val="0"/>
          <w:iCs w:val="0"/>
          <w:caps w:val="0"/>
          <w:color w:val="auto"/>
          <w:spacing w:val="11"/>
          <w:sz w:val="32"/>
          <w:szCs w:val="32"/>
          <w:shd w:val="clear" w:fill="FFFFFF"/>
        </w:rPr>
      </w:pPr>
      <w:r>
        <w:rPr>
          <w:rFonts w:hint="default" w:ascii="楷体_GB2312" w:eastAsia="楷体_GB2312" w:cs="楷体_GB2312"/>
          <w:b/>
          <w:bCs/>
          <w:i w:val="0"/>
          <w:iCs w:val="0"/>
          <w:caps w:val="0"/>
          <w:color w:val="auto"/>
          <w:spacing w:val="11"/>
          <w:sz w:val="32"/>
          <w:szCs w:val="32"/>
          <w:shd w:val="clear" w:fill="FFFFFF"/>
        </w:rPr>
        <w:t>（</w:t>
      </w:r>
      <w:r>
        <w:rPr>
          <w:rFonts w:hint="eastAsia" w:ascii="楷体_GB2312" w:eastAsia="楷体_GB2312" w:cs="楷体_GB2312"/>
          <w:b/>
          <w:bCs/>
          <w:i w:val="0"/>
          <w:iCs w:val="0"/>
          <w:caps w:val="0"/>
          <w:color w:val="auto"/>
          <w:spacing w:val="11"/>
          <w:sz w:val="32"/>
          <w:szCs w:val="32"/>
          <w:shd w:val="clear" w:fill="FFFFFF"/>
          <w:lang w:eastAsia="zh-CN"/>
        </w:rPr>
        <w:t>二</w:t>
      </w:r>
      <w:r>
        <w:rPr>
          <w:rFonts w:hint="default" w:ascii="楷体_GB2312" w:eastAsia="楷体_GB2312" w:cs="楷体_GB2312"/>
          <w:b/>
          <w:bCs/>
          <w:i w:val="0"/>
          <w:iCs w:val="0"/>
          <w:caps w:val="0"/>
          <w:color w:val="auto"/>
          <w:spacing w:val="11"/>
          <w:sz w:val="32"/>
          <w:szCs w:val="32"/>
          <w:shd w:val="clear" w:fill="FFFFFF"/>
        </w:rPr>
        <w:t>）主要职能职责</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84" w:firstLineChars="200"/>
        <w:jc w:val="both"/>
        <w:textAlignment w:val="auto"/>
        <w:rPr>
          <w:rFonts w:hint="eastAsia" w:ascii="仿宋" w:hAnsi="仿宋" w:eastAsia="仿宋" w:cs="仿宋"/>
          <w:b w:val="0"/>
          <w:bCs w:val="0"/>
          <w:color w:val="auto"/>
          <w:spacing w:val="6"/>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lang w:val="en-US" w:eastAsia="zh-CN"/>
        </w:rPr>
        <w:t>1</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6"/>
          <w:sz w:val="32"/>
          <w:szCs w:val="32"/>
          <w:highlight w:val="none"/>
          <w:lang w:eastAsia="zh-CN"/>
        </w:rPr>
        <w:t>为大中型水库工程建设征地实物调查细则、移民安置</w:t>
      </w:r>
      <w:r>
        <w:rPr>
          <w:rFonts w:hint="eastAsia" w:ascii="仿宋" w:hAnsi="仿宋" w:eastAsia="仿宋" w:cs="仿宋"/>
          <w:b w:val="0"/>
          <w:bCs w:val="0"/>
          <w:color w:val="auto"/>
          <w:spacing w:val="6"/>
          <w:sz w:val="32"/>
          <w:szCs w:val="32"/>
          <w:highlight w:val="none"/>
          <w:lang w:val="en-US" w:eastAsia="zh-CN"/>
        </w:rPr>
        <w:t>规划大纲、</w:t>
      </w:r>
      <w:r>
        <w:rPr>
          <w:rFonts w:hint="eastAsia" w:ascii="仿宋" w:hAnsi="仿宋" w:eastAsia="仿宋" w:cs="仿宋"/>
          <w:b w:val="0"/>
          <w:bCs w:val="0"/>
          <w:color w:val="auto"/>
          <w:spacing w:val="6"/>
          <w:sz w:val="32"/>
          <w:szCs w:val="32"/>
          <w:highlight w:val="none"/>
          <w:lang w:eastAsia="zh-CN"/>
        </w:rPr>
        <w:t>移民安置规划、移民后期扶持规划审査提供技术支持;</w:t>
      </w:r>
      <w:r>
        <w:rPr>
          <w:rFonts w:hint="eastAsia" w:ascii="仿宋" w:hAnsi="仿宋" w:eastAsia="仿宋" w:cs="仿宋"/>
          <w:b w:val="0"/>
          <w:bCs w:val="0"/>
          <w:color w:val="auto"/>
          <w:spacing w:val="6"/>
          <w:sz w:val="32"/>
          <w:szCs w:val="32"/>
          <w:highlight w:val="none"/>
          <w:lang w:val="en-US" w:eastAsia="zh-CN"/>
        </w:rPr>
        <w:t>承担</w:t>
      </w:r>
      <w:r>
        <w:rPr>
          <w:rFonts w:hint="eastAsia" w:ascii="仿宋" w:hAnsi="仿宋" w:eastAsia="仿宋" w:cs="仿宋"/>
          <w:b w:val="0"/>
          <w:bCs w:val="0"/>
          <w:color w:val="auto"/>
          <w:spacing w:val="6"/>
          <w:sz w:val="32"/>
          <w:szCs w:val="32"/>
          <w:highlight w:val="none"/>
          <w:lang w:eastAsia="zh-CN"/>
        </w:rPr>
        <w:t>大中型水库移民安置阶段验收及竣工验收的事务性工作。</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64" w:firstLineChars="200"/>
        <w:jc w:val="both"/>
        <w:textAlignment w:val="auto"/>
        <w:rPr>
          <w:rFonts w:hint="eastAsia" w:ascii="仿宋" w:hAnsi="仿宋" w:eastAsia="仿宋" w:cs="仿宋"/>
          <w:b w:val="0"/>
          <w:bCs w:val="0"/>
          <w:color w:val="auto"/>
          <w:spacing w:val="6"/>
          <w:sz w:val="32"/>
          <w:szCs w:val="32"/>
          <w:highlight w:val="none"/>
          <w:lang w:eastAsia="zh-CN"/>
        </w:rPr>
      </w:pP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2</w:t>
      </w:r>
      <w:r>
        <w:rPr>
          <w:rFonts w:hint="eastAsia" w:ascii="仿宋" w:hAnsi="仿宋" w:eastAsia="仿宋" w:cs="仿宋"/>
          <w:b w:val="0"/>
          <w:bCs w:val="0"/>
          <w:color w:val="auto"/>
          <w:spacing w:val="6"/>
          <w:sz w:val="32"/>
          <w:szCs w:val="32"/>
          <w:highlight w:val="none"/>
          <w:lang w:eastAsia="zh-CN"/>
        </w:rPr>
        <w:t>）承担移民系统信息化管理和综合统计工作。</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64" w:firstLineChars="200"/>
        <w:jc w:val="both"/>
        <w:textAlignment w:val="auto"/>
        <w:rPr>
          <w:rFonts w:hint="eastAsia" w:ascii="仿宋" w:hAnsi="仿宋" w:eastAsia="仿宋" w:cs="仿宋"/>
          <w:b w:val="0"/>
          <w:bCs w:val="0"/>
          <w:color w:val="auto"/>
          <w:spacing w:val="6"/>
          <w:sz w:val="32"/>
          <w:szCs w:val="32"/>
          <w:highlight w:val="none"/>
          <w:lang w:eastAsia="zh-CN"/>
        </w:rPr>
      </w:pP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3</w:t>
      </w: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承担</w:t>
      </w:r>
      <w:r>
        <w:rPr>
          <w:rFonts w:hint="eastAsia" w:ascii="仿宋" w:hAnsi="仿宋" w:eastAsia="仿宋" w:cs="仿宋"/>
          <w:b w:val="0"/>
          <w:bCs w:val="0"/>
          <w:color w:val="auto"/>
          <w:spacing w:val="6"/>
          <w:sz w:val="32"/>
          <w:szCs w:val="32"/>
          <w:highlight w:val="none"/>
          <w:lang w:eastAsia="zh-CN"/>
        </w:rPr>
        <w:t>大中型水库移民安置和后期扶持的事务性工作。</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64" w:firstLineChars="200"/>
        <w:jc w:val="both"/>
        <w:textAlignment w:val="auto"/>
        <w:rPr>
          <w:rFonts w:hint="eastAsia" w:ascii="仿宋" w:hAnsi="仿宋" w:eastAsia="仿宋" w:cs="仿宋"/>
          <w:b w:val="0"/>
          <w:bCs w:val="0"/>
          <w:color w:val="auto"/>
          <w:spacing w:val="6"/>
          <w:sz w:val="32"/>
          <w:szCs w:val="32"/>
          <w:highlight w:val="none"/>
          <w:lang w:eastAsia="zh-CN"/>
        </w:rPr>
      </w:pP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4</w:t>
      </w: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协</w:t>
      </w:r>
      <w:r>
        <w:rPr>
          <w:rFonts w:hint="eastAsia" w:ascii="仿宋" w:hAnsi="仿宋" w:eastAsia="仿宋" w:cs="仿宋"/>
          <w:b w:val="0"/>
          <w:bCs w:val="0"/>
          <w:color w:val="auto"/>
          <w:spacing w:val="6"/>
          <w:sz w:val="32"/>
          <w:szCs w:val="32"/>
          <w:highlight w:val="none"/>
          <w:lang w:eastAsia="zh-CN"/>
        </w:rPr>
        <w:t>助有关部门拟</w:t>
      </w:r>
      <w:r>
        <w:rPr>
          <w:rFonts w:hint="eastAsia" w:ascii="仿宋" w:hAnsi="仿宋" w:eastAsia="仿宋" w:cs="仿宋"/>
          <w:b w:val="0"/>
          <w:bCs w:val="0"/>
          <w:color w:val="auto"/>
          <w:spacing w:val="6"/>
          <w:sz w:val="32"/>
          <w:szCs w:val="32"/>
          <w:highlight w:val="none"/>
          <w:lang w:val="en-US" w:eastAsia="zh-CN"/>
        </w:rPr>
        <w:t>订</w:t>
      </w:r>
      <w:r>
        <w:rPr>
          <w:rFonts w:hint="eastAsia" w:ascii="仿宋" w:hAnsi="仿宋" w:eastAsia="仿宋" w:cs="仿宋"/>
          <w:b w:val="0"/>
          <w:bCs w:val="0"/>
          <w:color w:val="auto"/>
          <w:spacing w:val="6"/>
          <w:sz w:val="32"/>
          <w:szCs w:val="32"/>
          <w:highlight w:val="none"/>
          <w:lang w:eastAsia="zh-CN"/>
        </w:rPr>
        <w:t>市本级水库移民资金年度预算方案</w:t>
      </w:r>
      <w:r>
        <w:rPr>
          <w:rFonts w:hint="eastAsia" w:ascii="仿宋" w:hAnsi="仿宋" w:eastAsia="仿宋" w:cs="仿宋"/>
          <w:b w:val="0"/>
          <w:bCs w:val="0"/>
          <w:color w:val="auto"/>
          <w:spacing w:val="6"/>
          <w:sz w:val="32"/>
          <w:szCs w:val="32"/>
          <w:highlight w:val="none"/>
          <w:lang w:val="en-US" w:eastAsia="zh-CN"/>
        </w:rPr>
        <w:t>和安排方案；承担</w:t>
      </w:r>
      <w:r>
        <w:rPr>
          <w:rFonts w:hint="eastAsia" w:ascii="仿宋" w:hAnsi="仿宋" w:eastAsia="仿宋" w:cs="仿宋"/>
          <w:b w:val="0"/>
          <w:bCs w:val="0"/>
          <w:color w:val="auto"/>
          <w:spacing w:val="6"/>
          <w:sz w:val="32"/>
          <w:szCs w:val="32"/>
          <w:highlight w:val="none"/>
          <w:lang w:eastAsia="zh-CN"/>
        </w:rPr>
        <w:t>移民资金内部审计和绩效评价的事务性工作;承担水库移民后期扶持政策实施情况监测评估、稽察的事务性工作;为水库移民资金管理提供服务保障。</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64" w:firstLineChars="200"/>
        <w:jc w:val="both"/>
        <w:textAlignment w:val="auto"/>
        <w:rPr>
          <w:rFonts w:hint="eastAsia" w:ascii="仿宋" w:hAnsi="仿宋" w:eastAsia="仿宋" w:cs="仿宋"/>
          <w:b w:val="0"/>
          <w:bCs w:val="0"/>
          <w:color w:val="auto"/>
          <w:spacing w:val="6"/>
          <w:sz w:val="32"/>
          <w:szCs w:val="32"/>
          <w:highlight w:val="none"/>
          <w:lang w:eastAsia="zh-CN"/>
        </w:rPr>
      </w:pP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5</w:t>
      </w:r>
      <w:r>
        <w:rPr>
          <w:rFonts w:hint="eastAsia" w:ascii="仿宋" w:hAnsi="仿宋" w:eastAsia="仿宋" w:cs="仿宋"/>
          <w:b w:val="0"/>
          <w:bCs w:val="0"/>
          <w:color w:val="auto"/>
          <w:spacing w:val="6"/>
          <w:sz w:val="32"/>
          <w:szCs w:val="32"/>
          <w:highlight w:val="none"/>
          <w:lang w:eastAsia="zh-CN"/>
        </w:rPr>
        <w:t>）协助开展水库移民工作法规、规章的研究和起草工作;承担大中型水库移民信访维权、行政复议、行政诉讼的事务性工作。</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64" w:firstLineChars="200"/>
        <w:jc w:val="both"/>
        <w:textAlignment w:val="auto"/>
        <w:rPr>
          <w:rFonts w:hint="eastAsia" w:ascii="仿宋" w:hAnsi="仿宋" w:eastAsia="仿宋" w:cs="仿宋"/>
          <w:b w:val="0"/>
          <w:bCs w:val="0"/>
          <w:color w:val="auto"/>
          <w:spacing w:val="6"/>
          <w:sz w:val="32"/>
          <w:szCs w:val="32"/>
          <w:highlight w:val="none"/>
          <w:lang w:eastAsia="zh-CN"/>
        </w:rPr>
      </w:pP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6</w:t>
      </w:r>
      <w:r>
        <w:rPr>
          <w:rFonts w:hint="eastAsia" w:ascii="仿宋" w:hAnsi="仿宋" w:eastAsia="仿宋" w:cs="仿宋"/>
          <w:b w:val="0"/>
          <w:bCs w:val="0"/>
          <w:color w:val="auto"/>
          <w:spacing w:val="6"/>
          <w:sz w:val="32"/>
          <w:szCs w:val="32"/>
          <w:highlight w:val="none"/>
          <w:lang w:eastAsia="zh-CN"/>
        </w:rPr>
        <w:t>）协助推动水库移民对口帮扶工作;承担水库移民计划生育、综合治理、扶贫攻坚、安全生产的事务性工作。</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64" w:firstLineChars="200"/>
        <w:jc w:val="both"/>
        <w:textAlignment w:val="auto"/>
        <w:rPr>
          <w:rFonts w:hint="eastAsia" w:ascii="仿宋" w:hAnsi="仿宋" w:eastAsia="仿宋" w:cs="仿宋"/>
          <w:b w:val="0"/>
          <w:bCs w:val="0"/>
          <w:color w:val="auto"/>
          <w:spacing w:val="6"/>
          <w:sz w:val="32"/>
          <w:szCs w:val="32"/>
          <w:highlight w:val="none"/>
          <w:lang w:eastAsia="zh-CN"/>
        </w:rPr>
      </w:pP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7</w:t>
      </w:r>
      <w:r>
        <w:rPr>
          <w:rFonts w:hint="eastAsia" w:ascii="仿宋" w:hAnsi="仿宋" w:eastAsia="仿宋" w:cs="仿宋"/>
          <w:b w:val="0"/>
          <w:bCs w:val="0"/>
          <w:color w:val="auto"/>
          <w:spacing w:val="6"/>
          <w:sz w:val="32"/>
          <w:szCs w:val="32"/>
          <w:highlight w:val="none"/>
          <w:lang w:eastAsia="zh-CN"/>
        </w:rPr>
        <w:t>）协助协调三峡移民工作。</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64" w:firstLineChars="200"/>
        <w:jc w:val="both"/>
        <w:textAlignment w:val="auto"/>
        <w:rPr>
          <w:rFonts w:hint="eastAsia" w:ascii="仿宋" w:hAnsi="仿宋" w:eastAsia="仿宋" w:cs="仿宋"/>
          <w:b w:val="0"/>
          <w:bCs w:val="0"/>
          <w:color w:val="auto"/>
          <w:spacing w:val="6"/>
          <w:sz w:val="32"/>
          <w:szCs w:val="32"/>
          <w:highlight w:val="none"/>
          <w:lang w:eastAsia="zh-CN"/>
        </w:rPr>
      </w:pP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8</w:t>
      </w:r>
      <w:r>
        <w:rPr>
          <w:rFonts w:hint="eastAsia" w:ascii="仿宋" w:hAnsi="仿宋" w:eastAsia="仿宋" w:cs="仿宋"/>
          <w:b w:val="0"/>
          <w:bCs w:val="0"/>
          <w:color w:val="auto"/>
          <w:spacing w:val="6"/>
          <w:sz w:val="32"/>
          <w:szCs w:val="32"/>
          <w:highlight w:val="none"/>
          <w:lang w:eastAsia="zh-CN"/>
        </w:rPr>
        <w:t>）承担大中型水库移民培训的事务性工作。</w:t>
      </w:r>
    </w:p>
    <w:p>
      <w:pPr>
        <w:keepNext w:val="0"/>
        <w:keepLines w:val="0"/>
        <w:pageBreakBefore w:val="0"/>
        <w:widowControl/>
        <w:shd w:val="clear" w:color="auto" w:fill="FFFFFF"/>
        <w:kinsoku/>
        <w:wordWrap/>
        <w:overflowPunct/>
        <w:topLinePunct w:val="0"/>
        <w:autoSpaceDE/>
        <w:autoSpaceDN/>
        <w:bidi w:val="0"/>
        <w:adjustRightInd/>
        <w:spacing w:line="550" w:lineRule="exact"/>
        <w:ind w:left="0" w:firstLine="664" w:firstLineChars="200"/>
        <w:jc w:val="both"/>
        <w:textAlignment w:val="auto"/>
        <w:rPr>
          <w:rFonts w:hint="eastAsia" w:ascii="仿宋" w:hAnsi="仿宋" w:eastAsia="仿宋" w:cs="仿宋"/>
          <w:b w:val="0"/>
          <w:bCs w:val="0"/>
          <w:i w:val="0"/>
          <w:iCs w:val="0"/>
          <w:caps w:val="0"/>
          <w:color w:val="auto"/>
          <w:spacing w:val="11"/>
          <w:sz w:val="32"/>
          <w:szCs w:val="32"/>
          <w:shd w:val="clear" w:fill="FFFFFF"/>
        </w:rPr>
      </w:pPr>
      <w:r>
        <w:rPr>
          <w:rFonts w:hint="eastAsia" w:ascii="仿宋" w:hAnsi="仿宋" w:eastAsia="仿宋" w:cs="仿宋"/>
          <w:b w:val="0"/>
          <w:bCs w:val="0"/>
          <w:color w:val="auto"/>
          <w:spacing w:val="6"/>
          <w:sz w:val="32"/>
          <w:szCs w:val="32"/>
          <w:highlight w:val="none"/>
          <w:lang w:eastAsia="zh-CN"/>
        </w:rPr>
        <w:t>（</w:t>
      </w:r>
      <w:r>
        <w:rPr>
          <w:rFonts w:hint="eastAsia" w:ascii="仿宋" w:hAnsi="仿宋" w:eastAsia="仿宋" w:cs="仿宋"/>
          <w:b w:val="0"/>
          <w:bCs w:val="0"/>
          <w:color w:val="auto"/>
          <w:spacing w:val="6"/>
          <w:sz w:val="32"/>
          <w:szCs w:val="32"/>
          <w:highlight w:val="none"/>
          <w:lang w:val="en-US" w:eastAsia="zh-CN"/>
        </w:rPr>
        <w:t>9</w:t>
      </w:r>
      <w:r>
        <w:rPr>
          <w:rFonts w:hint="eastAsia" w:ascii="仿宋" w:hAnsi="仿宋" w:eastAsia="仿宋" w:cs="仿宋"/>
          <w:b w:val="0"/>
          <w:bCs w:val="0"/>
          <w:color w:val="auto"/>
          <w:spacing w:val="6"/>
          <w:sz w:val="32"/>
          <w:szCs w:val="32"/>
          <w:highlight w:val="none"/>
          <w:lang w:eastAsia="zh-CN"/>
        </w:rPr>
        <w:t>）承担市水</w:t>
      </w:r>
      <w:r>
        <w:rPr>
          <w:rFonts w:hint="eastAsia" w:ascii="仿宋" w:hAnsi="仿宋" w:eastAsia="仿宋" w:cs="仿宋"/>
          <w:b w:val="0"/>
          <w:bCs w:val="0"/>
          <w:color w:val="auto"/>
          <w:spacing w:val="11"/>
          <w:sz w:val="32"/>
          <w:szCs w:val="32"/>
          <w:highlight w:val="none"/>
          <w:lang w:eastAsia="zh-CN"/>
        </w:rPr>
        <w:t>利局交办的其他工作。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84" w:firstLineChars="200"/>
        <w:jc w:val="both"/>
        <w:textAlignment w:val="auto"/>
        <w:rPr>
          <w:rFonts w:hint="default" w:ascii="楷体_GB2312" w:eastAsia="楷体_GB2312" w:cs="楷体_GB2312"/>
          <w:b/>
          <w:bCs/>
          <w:i w:val="0"/>
          <w:iCs w:val="0"/>
          <w:caps w:val="0"/>
          <w:color w:val="auto"/>
          <w:spacing w:val="11"/>
          <w:sz w:val="32"/>
          <w:szCs w:val="32"/>
          <w:shd w:val="clear" w:fill="FFFFFF"/>
        </w:rPr>
      </w:pPr>
      <w:r>
        <w:rPr>
          <w:rFonts w:hint="default" w:ascii="楷体_GB2312" w:eastAsia="楷体_GB2312" w:cs="楷体_GB2312"/>
          <w:b/>
          <w:bCs/>
          <w:i w:val="0"/>
          <w:iCs w:val="0"/>
          <w:caps w:val="0"/>
          <w:color w:val="auto"/>
          <w:spacing w:val="11"/>
          <w:sz w:val="32"/>
          <w:szCs w:val="32"/>
          <w:shd w:val="clear" w:fill="FFFFFF"/>
        </w:rPr>
        <w:t>（</w:t>
      </w:r>
      <w:r>
        <w:rPr>
          <w:rFonts w:hint="eastAsia" w:ascii="楷体_GB2312" w:eastAsia="楷体_GB2312" w:cs="楷体_GB2312"/>
          <w:b/>
          <w:bCs/>
          <w:i w:val="0"/>
          <w:iCs w:val="0"/>
          <w:caps w:val="0"/>
          <w:color w:val="auto"/>
          <w:spacing w:val="11"/>
          <w:sz w:val="32"/>
          <w:szCs w:val="32"/>
          <w:shd w:val="clear" w:fill="FFFFFF"/>
          <w:lang w:eastAsia="zh-CN"/>
        </w:rPr>
        <w:t>三</w:t>
      </w:r>
      <w:r>
        <w:rPr>
          <w:rFonts w:hint="default" w:ascii="楷体_GB2312" w:eastAsia="楷体_GB2312" w:cs="楷体_GB2312"/>
          <w:b/>
          <w:bCs/>
          <w:i w:val="0"/>
          <w:iCs w:val="0"/>
          <w:caps w:val="0"/>
          <w:color w:val="auto"/>
          <w:spacing w:val="11"/>
          <w:sz w:val="32"/>
          <w:szCs w:val="32"/>
          <w:shd w:val="clear" w:fill="FFFFFF"/>
        </w:rPr>
        <w:t>）绩效目标设定情况</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val="en-US" w:eastAsia="zh-CN"/>
        </w:rPr>
        <w:t>按照市本级预算绩效管理工作的总体要求，2024年我单位整体支出</w:t>
      </w:r>
      <w:r>
        <w:rPr>
          <w:rFonts w:hint="eastAsia" w:ascii="仿宋" w:hAnsi="仿宋" w:eastAsia="仿宋" w:cs="仿宋"/>
          <w:b w:val="0"/>
          <w:bCs w:val="0"/>
          <w:color w:val="auto"/>
          <w:spacing w:val="11"/>
          <w:sz w:val="32"/>
          <w:szCs w:val="32"/>
          <w:highlight w:val="none"/>
          <w:lang w:val="en-US" w:eastAsia="zh-CN"/>
        </w:rPr>
        <w:t>533.33万元，全部实行整体支出绩效目标管理</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lang w:val="en-US" w:eastAsia="zh-CN"/>
        </w:rPr>
        <w:t>编报绩效目标的项目4个，涉及的项目支出112.11万元，其中：</w:t>
      </w:r>
      <w:r>
        <w:rPr>
          <w:rFonts w:hint="eastAsia" w:ascii="仿宋" w:hAnsi="仿宋" w:eastAsia="仿宋" w:cs="仿宋"/>
          <w:b w:val="0"/>
          <w:bCs w:val="0"/>
          <w:color w:val="auto"/>
          <w:spacing w:val="11"/>
          <w:sz w:val="32"/>
          <w:szCs w:val="32"/>
          <w:highlight w:val="none"/>
          <w:lang w:eastAsia="zh-CN"/>
        </w:rPr>
        <w:t>后扶维稳</w:t>
      </w:r>
      <w:r>
        <w:rPr>
          <w:rFonts w:hint="eastAsia" w:ascii="仿宋" w:hAnsi="仿宋" w:eastAsia="仿宋" w:cs="仿宋"/>
          <w:b w:val="0"/>
          <w:bCs w:val="0"/>
          <w:color w:val="auto"/>
          <w:spacing w:val="11"/>
          <w:sz w:val="32"/>
          <w:szCs w:val="32"/>
          <w:highlight w:val="none"/>
          <w:lang w:val="en-US" w:eastAsia="zh-CN"/>
        </w:rPr>
        <w:t>工作经费34.38万元，中央</w:t>
      </w:r>
      <w:r>
        <w:rPr>
          <w:rFonts w:hint="eastAsia" w:ascii="仿宋" w:hAnsi="仿宋" w:eastAsia="仿宋" w:cs="仿宋"/>
          <w:b w:val="0"/>
          <w:bCs w:val="0"/>
          <w:color w:val="auto"/>
          <w:spacing w:val="11"/>
          <w:sz w:val="32"/>
          <w:szCs w:val="32"/>
          <w:highlight w:val="none"/>
          <w:lang w:val="en-US" w:eastAsia="zh-CN"/>
        </w:rPr>
        <w:t>大中型水库移民后期扶持资金58.60万元，移民工作经费补助资金10.66万元，全市移民存量资金监督检查工作经费8.46万元，全部实行项目支出绩效目标管理。</w:t>
      </w:r>
    </w:p>
    <w:p>
      <w:pPr>
        <w:keepNext w:val="0"/>
        <w:keepLines w:val="0"/>
        <w:pageBreakBefore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黑体" w:hAnsi="黑体" w:eastAsia="黑体" w:cs="黑体"/>
          <w:b w:val="0"/>
          <w:bCs w:val="0"/>
          <w:i w:val="0"/>
          <w:iCs w:val="0"/>
          <w:caps w:val="0"/>
          <w:color w:val="auto"/>
          <w:spacing w:val="11"/>
          <w:kern w:val="0"/>
          <w:sz w:val="32"/>
          <w:szCs w:val="32"/>
          <w:shd w:val="clear" w:fill="FFFFFF"/>
          <w:lang w:val="en-US" w:eastAsia="zh-CN" w:bidi="ar"/>
        </w:rPr>
      </w:pPr>
      <w:r>
        <w:rPr>
          <w:rFonts w:hint="eastAsia" w:ascii="黑体" w:hAnsi="黑体" w:eastAsia="黑体" w:cs="黑体"/>
          <w:b w:val="0"/>
          <w:bCs w:val="0"/>
          <w:i w:val="0"/>
          <w:iCs w:val="0"/>
          <w:caps w:val="0"/>
          <w:color w:val="auto"/>
          <w:spacing w:val="11"/>
          <w:kern w:val="0"/>
          <w:sz w:val="32"/>
          <w:szCs w:val="32"/>
          <w:shd w:val="clear" w:fill="FFFFFF"/>
          <w:lang w:val="en-US" w:eastAsia="zh-CN" w:bidi="ar"/>
        </w:rPr>
        <w:t>二、部门整体支出管理及使用情况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84" w:firstLineChars="200"/>
        <w:jc w:val="both"/>
        <w:textAlignment w:val="auto"/>
        <w:rPr>
          <w:rFonts w:hint="default" w:ascii="楷体_GB2312" w:eastAsia="楷体_GB2312" w:cs="楷体_GB2312"/>
          <w:b/>
          <w:bCs/>
          <w:i w:val="0"/>
          <w:iCs w:val="0"/>
          <w:caps w:val="0"/>
          <w:color w:val="auto"/>
          <w:spacing w:val="11"/>
          <w:sz w:val="32"/>
          <w:szCs w:val="32"/>
          <w:shd w:val="clear" w:fill="FFFFFF"/>
        </w:rPr>
      </w:pPr>
      <w:r>
        <w:rPr>
          <w:rFonts w:hint="default" w:ascii="楷体_GB2312" w:eastAsia="楷体_GB2312" w:cs="楷体_GB2312"/>
          <w:b/>
          <w:bCs/>
          <w:i w:val="0"/>
          <w:iCs w:val="0"/>
          <w:caps w:val="0"/>
          <w:color w:val="auto"/>
          <w:spacing w:val="11"/>
          <w:sz w:val="32"/>
          <w:szCs w:val="32"/>
          <w:shd w:val="clear" w:fill="FFFFFF"/>
        </w:rPr>
        <w:t>（一）</w:t>
      </w:r>
      <w:r>
        <w:rPr>
          <w:rFonts w:hint="eastAsia" w:ascii="楷体_GB2312" w:eastAsia="楷体_GB2312" w:cs="楷体_GB2312"/>
          <w:b/>
          <w:bCs/>
          <w:i w:val="0"/>
          <w:iCs w:val="0"/>
          <w:caps w:val="0"/>
          <w:color w:val="auto"/>
          <w:spacing w:val="11"/>
          <w:sz w:val="32"/>
          <w:szCs w:val="32"/>
          <w:shd w:val="clear" w:fill="FFFFFF"/>
        </w:rPr>
        <w:t>预算执行、使用、管理总体情况。</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val="en-US" w:eastAsia="zh-CN"/>
        </w:rPr>
        <w:t>2024年部门预算收入401.66</w:t>
      </w:r>
      <w:r>
        <w:rPr>
          <w:rFonts w:hint="eastAsia" w:ascii="仿宋" w:hAnsi="仿宋" w:eastAsia="仿宋" w:cs="仿宋"/>
          <w:b w:val="0"/>
          <w:bCs w:val="0"/>
          <w:color w:val="auto"/>
          <w:spacing w:val="11"/>
          <w:sz w:val="32"/>
          <w:szCs w:val="32"/>
          <w:highlight w:val="none"/>
          <w:lang w:eastAsia="zh-CN"/>
        </w:rPr>
        <w:t>万元，</w:t>
      </w:r>
      <w:r>
        <w:rPr>
          <w:rFonts w:hint="eastAsia" w:ascii="仿宋" w:hAnsi="仿宋" w:eastAsia="仿宋" w:cs="仿宋"/>
          <w:b w:val="0"/>
          <w:bCs w:val="0"/>
          <w:color w:val="auto"/>
          <w:spacing w:val="11"/>
          <w:sz w:val="32"/>
          <w:szCs w:val="32"/>
          <w:highlight w:val="none"/>
          <w:lang w:val="en-US" w:eastAsia="zh-CN"/>
        </w:rPr>
        <w:t>包括一般公共预算财政拨款收入389.66</w:t>
      </w:r>
      <w:r>
        <w:rPr>
          <w:rFonts w:hint="eastAsia" w:ascii="仿宋" w:hAnsi="仿宋" w:eastAsia="仿宋" w:cs="仿宋"/>
          <w:b w:val="0"/>
          <w:bCs w:val="0"/>
          <w:color w:val="auto"/>
          <w:spacing w:val="11"/>
          <w:sz w:val="32"/>
          <w:szCs w:val="32"/>
          <w:highlight w:val="none"/>
          <w:lang w:eastAsia="zh-CN"/>
        </w:rPr>
        <w:t>万元、</w:t>
      </w:r>
      <w:r>
        <w:rPr>
          <w:rFonts w:hint="eastAsia" w:ascii="仿宋" w:hAnsi="仿宋" w:eastAsia="仿宋" w:cs="仿宋"/>
          <w:b w:val="0"/>
          <w:bCs w:val="0"/>
          <w:color w:val="auto"/>
          <w:spacing w:val="11"/>
          <w:sz w:val="32"/>
          <w:szCs w:val="32"/>
          <w:highlight w:val="none"/>
          <w:lang w:val="en-US" w:eastAsia="zh-CN"/>
        </w:rPr>
        <w:t>其他资</w:t>
      </w:r>
      <w:r>
        <w:rPr>
          <w:rFonts w:hint="eastAsia" w:ascii="仿宋" w:hAnsi="仿宋" w:eastAsia="仿宋" w:cs="仿宋"/>
          <w:b w:val="0"/>
          <w:bCs w:val="0"/>
          <w:color w:val="auto"/>
          <w:spacing w:val="11"/>
          <w:sz w:val="32"/>
          <w:szCs w:val="32"/>
          <w:highlight w:val="none"/>
          <w:lang w:val="en-US" w:eastAsia="zh-CN"/>
        </w:rPr>
        <w:t>金12</w:t>
      </w:r>
      <w:r>
        <w:rPr>
          <w:rFonts w:hint="eastAsia" w:ascii="仿宋" w:hAnsi="仿宋" w:eastAsia="仿宋" w:cs="仿宋"/>
          <w:b w:val="0"/>
          <w:bCs w:val="0"/>
          <w:color w:val="auto"/>
          <w:spacing w:val="11"/>
          <w:sz w:val="32"/>
          <w:szCs w:val="32"/>
          <w:highlight w:val="none"/>
          <w:lang w:eastAsia="zh-CN"/>
        </w:rPr>
        <w:t>万元</w:t>
      </w:r>
      <w:r>
        <w:rPr>
          <w:rFonts w:hint="eastAsia" w:ascii="仿宋" w:hAnsi="仿宋" w:eastAsia="仿宋" w:cs="仿宋"/>
          <w:b w:val="0"/>
          <w:bCs w:val="0"/>
          <w:color w:val="auto"/>
          <w:spacing w:val="11"/>
          <w:sz w:val="32"/>
          <w:szCs w:val="32"/>
          <w:highlight w:val="none"/>
          <w:lang w:val="en-US" w:eastAsia="zh-CN"/>
        </w:rPr>
        <w:t>；支出包括基本支出359.66</w:t>
      </w:r>
      <w:r>
        <w:rPr>
          <w:rFonts w:hint="eastAsia" w:ascii="仿宋" w:hAnsi="仿宋" w:eastAsia="仿宋" w:cs="仿宋"/>
          <w:b w:val="0"/>
          <w:bCs w:val="0"/>
          <w:color w:val="auto"/>
          <w:spacing w:val="11"/>
          <w:sz w:val="32"/>
          <w:szCs w:val="32"/>
          <w:highlight w:val="none"/>
          <w:lang w:eastAsia="zh-CN"/>
        </w:rPr>
        <w:t>万元</w:t>
      </w:r>
      <w:r>
        <w:rPr>
          <w:rFonts w:hint="eastAsia" w:ascii="仿宋" w:hAnsi="仿宋" w:eastAsia="仿宋" w:cs="仿宋"/>
          <w:b w:val="0"/>
          <w:bCs w:val="0"/>
          <w:color w:val="auto"/>
          <w:spacing w:val="11"/>
          <w:sz w:val="32"/>
          <w:szCs w:val="32"/>
          <w:highlight w:val="none"/>
          <w:lang w:val="en-US" w:eastAsia="zh-CN"/>
        </w:rPr>
        <w:t>及项目支出42</w:t>
      </w:r>
      <w:r>
        <w:rPr>
          <w:rFonts w:hint="eastAsia" w:ascii="仿宋" w:hAnsi="仿宋" w:eastAsia="仿宋" w:cs="仿宋"/>
          <w:b w:val="0"/>
          <w:bCs w:val="0"/>
          <w:color w:val="auto"/>
          <w:spacing w:val="11"/>
          <w:sz w:val="32"/>
          <w:szCs w:val="32"/>
          <w:highlight w:val="none"/>
          <w:lang w:eastAsia="zh-CN"/>
        </w:rPr>
        <w:t>万元</w:t>
      </w:r>
      <w:r>
        <w:rPr>
          <w:rFonts w:hint="eastAsia" w:ascii="仿宋" w:hAnsi="仿宋" w:eastAsia="仿宋" w:cs="仿宋"/>
          <w:b w:val="0"/>
          <w:bCs w:val="0"/>
          <w:color w:val="auto"/>
          <w:spacing w:val="11"/>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val="en-US" w:eastAsia="zh-CN"/>
        </w:rPr>
        <w:t>本单位基本支出和项目支出全部实行绩效目标管理。</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70" w:firstLineChars="196"/>
        <w:jc w:val="left"/>
        <w:textAlignment w:val="auto"/>
        <w:outlineLvl w:val="9"/>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eastAsia="zh-CN"/>
        </w:rPr>
        <w:t>1.</w:t>
      </w:r>
      <w:r>
        <w:rPr>
          <w:rFonts w:hint="eastAsia" w:ascii="仿宋" w:hAnsi="仿宋" w:eastAsia="仿宋" w:cs="仿宋"/>
          <w:b w:val="0"/>
          <w:bCs w:val="0"/>
          <w:color w:val="auto"/>
          <w:spacing w:val="11"/>
          <w:sz w:val="32"/>
          <w:szCs w:val="32"/>
          <w:highlight w:val="none"/>
          <w:lang w:val="en-US" w:eastAsia="zh-CN"/>
        </w:rPr>
        <w:t>收入预算，</w:t>
      </w:r>
      <w:r>
        <w:rPr>
          <w:rFonts w:hint="eastAsia" w:ascii="仿宋" w:hAnsi="仿宋" w:eastAsia="仿宋" w:cs="仿宋"/>
          <w:b w:val="0"/>
          <w:bCs w:val="0"/>
          <w:color w:val="auto"/>
          <w:spacing w:val="11"/>
          <w:sz w:val="32"/>
          <w:szCs w:val="32"/>
          <w:highlight w:val="none"/>
          <w:lang w:val="en-US" w:eastAsia="zh-CN"/>
        </w:rPr>
        <w:t>2024年年初预算数401.66万元，其中，一般公</w:t>
      </w:r>
      <w:r>
        <w:rPr>
          <w:rFonts w:hint="eastAsia" w:ascii="仿宋" w:hAnsi="仿宋" w:eastAsia="仿宋" w:cs="仿宋"/>
          <w:b w:val="0"/>
          <w:bCs w:val="0"/>
          <w:color w:val="auto"/>
          <w:spacing w:val="6"/>
          <w:sz w:val="32"/>
          <w:szCs w:val="32"/>
          <w:highlight w:val="none"/>
          <w:lang w:val="en-US" w:eastAsia="zh-CN"/>
        </w:rPr>
        <w:t>共预算拨款389.66万元，政府性基金预算拨款0万元，纳入财政专户管理的非税收入拨款0万元，国有资本经营预算拨款0万元。压减公用经费和专项支出后，同口径对比，收入较上年减少35.53万元，主要原因是</w:t>
      </w:r>
      <w:r>
        <w:rPr>
          <w:rFonts w:hint="eastAsia" w:ascii="仿宋" w:hAnsi="仿宋" w:eastAsia="仿宋" w:cs="仿宋"/>
          <w:color w:val="auto"/>
          <w:sz w:val="32"/>
          <w:szCs w:val="32"/>
          <w:lang w:eastAsia="zh-CN"/>
        </w:rPr>
        <w:t>本年度相比上</w:t>
      </w:r>
      <w:r>
        <w:rPr>
          <w:rFonts w:hint="eastAsia" w:ascii="仿宋" w:hAnsi="仿宋" w:eastAsia="仿宋" w:cs="仿宋"/>
          <w:color w:val="auto"/>
          <w:sz w:val="32"/>
          <w:szCs w:val="32"/>
          <w:lang w:eastAsia="zh-CN"/>
        </w:rPr>
        <w:t>年项目经费预算减少48万，同时人员类经费预算增加13.97万、公用经费预算增加3.6万导致</w:t>
      </w:r>
      <w:r>
        <w:rPr>
          <w:rFonts w:hint="eastAsia" w:ascii="仿宋" w:hAnsi="仿宋" w:eastAsia="仿宋" w:cs="仿宋"/>
          <w:b/>
          <w:bCs/>
          <w:color w:val="auto"/>
          <w:sz w:val="32"/>
          <w:szCs w:val="32"/>
        </w:rPr>
        <w:t>。</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70" w:firstLineChars="196"/>
        <w:jc w:val="left"/>
        <w:textAlignment w:val="auto"/>
        <w:outlineLvl w:val="9"/>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val="en-US" w:eastAsia="zh-CN"/>
        </w:rPr>
        <w:t>2</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lang w:val="en-US" w:eastAsia="zh-CN"/>
        </w:rPr>
        <w:t>支出预算，2024年年初预算数401.66万元，其中，主要是人员经费306.00万元、公用经费53.66万元、项目支出42万元。压减公用经费和专项支出后，同口径对比，支出较</w:t>
      </w:r>
      <w:r>
        <w:rPr>
          <w:rFonts w:hint="eastAsia" w:ascii="仿宋" w:hAnsi="仿宋" w:eastAsia="仿宋" w:cs="仿宋"/>
          <w:b w:val="0"/>
          <w:bCs w:val="0"/>
          <w:color w:val="auto"/>
          <w:spacing w:val="6"/>
          <w:sz w:val="32"/>
          <w:szCs w:val="32"/>
          <w:highlight w:val="none"/>
          <w:lang w:val="en-US" w:eastAsia="zh-CN"/>
        </w:rPr>
        <w:t>上年减少35.53万元，主要原因是</w:t>
      </w:r>
      <w:r>
        <w:rPr>
          <w:rFonts w:hint="eastAsia" w:ascii="仿宋" w:hAnsi="仿宋" w:eastAsia="仿宋" w:cs="仿宋"/>
          <w:color w:val="auto"/>
          <w:sz w:val="32"/>
          <w:szCs w:val="32"/>
          <w:lang w:eastAsia="zh-CN"/>
        </w:rPr>
        <w:t>本年度相比上</w:t>
      </w:r>
      <w:r>
        <w:rPr>
          <w:rFonts w:hint="eastAsia" w:ascii="仿宋" w:hAnsi="仿宋" w:eastAsia="仿宋" w:cs="仿宋"/>
          <w:color w:val="auto"/>
          <w:sz w:val="32"/>
          <w:szCs w:val="32"/>
          <w:lang w:eastAsia="zh-CN"/>
        </w:rPr>
        <w:t>年项目经费预算减少48万，同时人员类经费预算增加13.97万、公用经费预算增加3.6万导致</w:t>
      </w:r>
      <w:r>
        <w:rPr>
          <w:rFonts w:hint="eastAsia" w:ascii="仿宋" w:hAnsi="仿宋" w:eastAsia="仿宋" w:cs="仿宋"/>
          <w:b/>
          <w:bCs/>
          <w:color w:val="auto"/>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default" w:ascii="楷体_GB2312" w:eastAsia="楷体_GB2312" w:cs="楷体_GB2312"/>
          <w:b/>
          <w:bCs/>
          <w:i w:val="0"/>
          <w:iCs w:val="0"/>
          <w:caps w:val="0"/>
          <w:color w:val="auto"/>
          <w:spacing w:val="11"/>
          <w:sz w:val="32"/>
          <w:szCs w:val="32"/>
          <w:shd w:val="clear" w:fill="FFFFFF"/>
        </w:rPr>
      </w:pPr>
      <w:r>
        <w:rPr>
          <w:rFonts w:hint="default" w:ascii="楷体_GB2312" w:eastAsia="楷体_GB2312" w:cs="楷体_GB2312"/>
          <w:b/>
          <w:bCs/>
          <w:i w:val="0"/>
          <w:iCs w:val="0"/>
          <w:caps w:val="0"/>
          <w:color w:val="auto"/>
          <w:spacing w:val="11"/>
          <w:sz w:val="32"/>
          <w:szCs w:val="32"/>
          <w:shd w:val="clear" w:fill="FFFFFF"/>
        </w:rPr>
        <w:t>（二）部门预算执行情况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仿宋" w:hAnsi="仿宋" w:eastAsia="仿宋" w:cs="仿宋"/>
          <w:b w:val="0"/>
          <w:bCs w:val="0"/>
          <w:i w:val="0"/>
          <w:iCs w:val="0"/>
          <w:caps w:val="0"/>
          <w:color w:val="auto"/>
          <w:spacing w:val="11"/>
          <w:sz w:val="32"/>
          <w:szCs w:val="32"/>
        </w:rPr>
      </w:pPr>
      <w:r>
        <w:rPr>
          <w:rFonts w:hint="eastAsia" w:ascii="仿宋" w:hAnsi="仿宋" w:eastAsia="仿宋" w:cs="仿宋"/>
          <w:b w:val="0"/>
          <w:bCs w:val="0"/>
          <w:i w:val="0"/>
          <w:iCs w:val="0"/>
          <w:caps w:val="0"/>
          <w:color w:val="auto"/>
          <w:spacing w:val="11"/>
          <w:sz w:val="32"/>
          <w:szCs w:val="32"/>
          <w:shd w:val="clear" w:fill="FFFFFF"/>
        </w:rPr>
        <w:t>1.基本支出情况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val="en-US" w:eastAsia="zh-CN"/>
        </w:rPr>
        <w:t>202</w:t>
      </w:r>
      <w:r>
        <w:rPr>
          <w:rFonts w:hint="eastAsia" w:ascii="仿宋" w:hAnsi="仿宋" w:eastAsia="仿宋" w:cs="仿宋"/>
          <w:b w:val="0"/>
          <w:bCs w:val="0"/>
          <w:color w:val="auto"/>
          <w:spacing w:val="6"/>
          <w:sz w:val="32"/>
          <w:szCs w:val="32"/>
          <w:highlight w:val="none"/>
          <w:lang w:val="en-US" w:eastAsia="zh-CN"/>
        </w:rPr>
        <w:t>4年年初预算</w:t>
      </w:r>
      <w:r>
        <w:rPr>
          <w:rFonts w:hint="eastAsia" w:ascii="仿宋" w:hAnsi="仿宋" w:eastAsia="仿宋" w:cs="仿宋"/>
          <w:b w:val="0"/>
          <w:bCs w:val="0"/>
          <w:color w:val="auto"/>
          <w:spacing w:val="6"/>
          <w:sz w:val="32"/>
          <w:szCs w:val="32"/>
          <w:highlight w:val="none"/>
          <w:lang w:val="en-US" w:eastAsia="zh-CN"/>
        </w:rPr>
        <w:t>401.66</w:t>
      </w:r>
      <w:r>
        <w:rPr>
          <w:rFonts w:hint="eastAsia" w:ascii="仿宋" w:hAnsi="仿宋" w:eastAsia="仿宋" w:cs="仿宋"/>
          <w:b w:val="0"/>
          <w:bCs w:val="0"/>
          <w:color w:val="auto"/>
          <w:spacing w:val="6"/>
          <w:sz w:val="32"/>
          <w:szCs w:val="32"/>
          <w:highlight w:val="none"/>
          <w:lang w:val="en-US" w:eastAsia="zh-CN"/>
        </w:rPr>
        <w:t>万元，全年预算数533.33万元，实际支出533.33万元。基本支出是指为保障单位机构正常运转、完成日常工作任务而发生的各项支出，</w:t>
      </w:r>
      <w:r>
        <w:rPr>
          <w:rFonts w:hint="eastAsia" w:ascii="仿宋" w:hAnsi="仿宋" w:eastAsia="仿宋" w:cs="仿宋"/>
          <w:b w:val="0"/>
          <w:bCs w:val="0"/>
          <w:color w:val="auto"/>
          <w:spacing w:val="6"/>
          <w:sz w:val="32"/>
          <w:szCs w:val="32"/>
          <w:highlight w:val="none"/>
          <w:lang w:eastAsia="zh-CN"/>
        </w:rPr>
        <w:t>全年共计</w:t>
      </w:r>
      <w:r>
        <w:rPr>
          <w:rFonts w:hint="eastAsia" w:ascii="仿宋" w:hAnsi="仿宋" w:eastAsia="仿宋" w:cs="仿宋"/>
          <w:b w:val="0"/>
          <w:bCs w:val="0"/>
          <w:color w:val="auto"/>
          <w:spacing w:val="6"/>
          <w:sz w:val="32"/>
          <w:szCs w:val="32"/>
          <w:highlight w:val="none"/>
          <w:lang w:val="en-US" w:eastAsia="zh-CN"/>
        </w:rPr>
        <w:t>421.22</w:t>
      </w:r>
      <w:r>
        <w:rPr>
          <w:rFonts w:hint="eastAsia" w:ascii="仿宋" w:hAnsi="仿宋" w:eastAsia="仿宋" w:cs="仿宋"/>
          <w:b w:val="0"/>
          <w:bCs w:val="0"/>
          <w:color w:val="auto"/>
          <w:spacing w:val="6"/>
          <w:sz w:val="32"/>
          <w:szCs w:val="32"/>
          <w:highlight w:val="none"/>
          <w:lang w:eastAsia="zh-CN"/>
        </w:rPr>
        <w:t>万元，</w:t>
      </w:r>
      <w:r>
        <w:rPr>
          <w:rFonts w:hint="eastAsia" w:ascii="仿宋" w:hAnsi="仿宋" w:eastAsia="仿宋" w:cs="仿宋"/>
          <w:b w:val="0"/>
          <w:bCs w:val="0"/>
          <w:color w:val="auto"/>
          <w:spacing w:val="6"/>
          <w:sz w:val="32"/>
          <w:szCs w:val="32"/>
          <w:highlight w:val="none"/>
          <w:lang w:val="en-US" w:eastAsia="zh-CN"/>
        </w:rPr>
        <w:t>其中：基本工资</w:t>
      </w:r>
      <w:r>
        <w:rPr>
          <w:rFonts w:hint="eastAsia" w:ascii="仿宋" w:hAnsi="仿宋" w:eastAsia="仿宋" w:cs="仿宋"/>
          <w:b w:val="0"/>
          <w:bCs w:val="0"/>
          <w:color w:val="auto"/>
          <w:spacing w:val="6"/>
          <w:sz w:val="32"/>
          <w:szCs w:val="32"/>
          <w:highlight w:val="none"/>
          <w:lang w:val="en-US" w:eastAsia="zh-CN"/>
        </w:rPr>
        <w:t>99.90</w:t>
      </w:r>
      <w:r>
        <w:rPr>
          <w:rFonts w:hint="eastAsia" w:ascii="仿宋" w:hAnsi="仿宋" w:eastAsia="仿宋" w:cs="仿宋"/>
          <w:b w:val="0"/>
          <w:bCs w:val="0"/>
          <w:color w:val="auto"/>
          <w:spacing w:val="6"/>
          <w:sz w:val="32"/>
          <w:szCs w:val="32"/>
          <w:highlight w:val="none"/>
          <w:lang w:val="en-US" w:eastAsia="zh-CN"/>
        </w:rPr>
        <w:t>万元、津贴补贴</w:t>
      </w:r>
      <w:r>
        <w:rPr>
          <w:rFonts w:hint="eastAsia" w:ascii="仿宋" w:hAnsi="仿宋" w:eastAsia="仿宋" w:cs="仿宋"/>
          <w:b w:val="0"/>
          <w:bCs w:val="0"/>
          <w:color w:val="auto"/>
          <w:spacing w:val="6"/>
          <w:sz w:val="32"/>
          <w:szCs w:val="32"/>
          <w:highlight w:val="none"/>
          <w:lang w:val="en-US" w:eastAsia="zh-CN"/>
        </w:rPr>
        <w:t>51.52万元、奖金66.83万元、</w:t>
      </w:r>
      <w:r>
        <w:rPr>
          <w:rFonts w:hint="eastAsia" w:ascii="仿宋" w:hAnsi="仿宋" w:eastAsia="仿宋" w:cs="仿宋"/>
          <w:b w:val="0"/>
          <w:bCs w:val="0"/>
          <w:color w:val="auto"/>
          <w:spacing w:val="6"/>
          <w:sz w:val="32"/>
          <w:szCs w:val="32"/>
          <w:highlight w:val="none"/>
          <w:lang w:eastAsia="zh-CN"/>
        </w:rPr>
        <w:t>伙食补助费7.</w:t>
      </w:r>
      <w:r>
        <w:rPr>
          <w:rFonts w:hint="eastAsia" w:ascii="仿宋" w:hAnsi="仿宋" w:eastAsia="仿宋" w:cs="仿宋"/>
          <w:b w:val="0"/>
          <w:bCs w:val="0"/>
          <w:color w:val="auto"/>
          <w:spacing w:val="6"/>
          <w:sz w:val="32"/>
          <w:szCs w:val="32"/>
          <w:highlight w:val="none"/>
          <w:lang w:val="en-US" w:eastAsia="zh-CN"/>
        </w:rPr>
        <w:t>43</w:t>
      </w:r>
      <w:r>
        <w:rPr>
          <w:rFonts w:hint="eastAsia" w:ascii="仿宋" w:hAnsi="仿宋" w:eastAsia="仿宋" w:cs="仿宋"/>
          <w:b w:val="0"/>
          <w:bCs w:val="0"/>
          <w:color w:val="auto"/>
          <w:spacing w:val="6"/>
          <w:sz w:val="32"/>
          <w:szCs w:val="32"/>
          <w:highlight w:val="none"/>
          <w:lang w:eastAsia="zh-CN"/>
        </w:rPr>
        <w:t>万元、</w:t>
      </w:r>
      <w:r>
        <w:rPr>
          <w:rFonts w:hint="eastAsia" w:ascii="仿宋" w:hAnsi="仿宋" w:eastAsia="仿宋" w:cs="仿宋"/>
          <w:b w:val="0"/>
          <w:bCs w:val="0"/>
          <w:color w:val="auto"/>
          <w:spacing w:val="6"/>
          <w:sz w:val="32"/>
          <w:szCs w:val="32"/>
          <w:highlight w:val="none"/>
          <w:lang w:val="en-US" w:eastAsia="zh-CN"/>
        </w:rPr>
        <w:t>机关事业单位基本养老保险缴费</w:t>
      </w:r>
      <w:r>
        <w:rPr>
          <w:rFonts w:hint="eastAsia" w:ascii="仿宋" w:hAnsi="仿宋" w:eastAsia="仿宋" w:cs="仿宋"/>
          <w:b w:val="0"/>
          <w:bCs w:val="0"/>
          <w:color w:val="auto"/>
          <w:spacing w:val="6"/>
          <w:sz w:val="32"/>
          <w:szCs w:val="32"/>
          <w:highlight w:val="none"/>
          <w:lang w:val="en-US" w:eastAsia="zh-CN"/>
        </w:rPr>
        <w:t>37.19</w:t>
      </w:r>
      <w:r>
        <w:rPr>
          <w:rFonts w:hint="eastAsia" w:ascii="仿宋" w:hAnsi="仿宋" w:eastAsia="仿宋" w:cs="仿宋"/>
          <w:b w:val="0"/>
          <w:bCs w:val="0"/>
          <w:color w:val="auto"/>
          <w:spacing w:val="6"/>
          <w:sz w:val="32"/>
          <w:szCs w:val="32"/>
          <w:highlight w:val="none"/>
          <w:lang w:eastAsia="zh-CN"/>
        </w:rPr>
        <w:t>万元、</w:t>
      </w:r>
      <w:r>
        <w:rPr>
          <w:rFonts w:hint="eastAsia" w:ascii="仿宋" w:hAnsi="仿宋" w:eastAsia="仿宋" w:cs="仿宋"/>
          <w:b w:val="0"/>
          <w:bCs w:val="0"/>
          <w:color w:val="auto"/>
          <w:spacing w:val="6"/>
          <w:sz w:val="32"/>
          <w:szCs w:val="32"/>
          <w:highlight w:val="none"/>
          <w:lang w:val="en-US" w:eastAsia="zh-CN"/>
        </w:rPr>
        <w:t>职工基</w:t>
      </w:r>
      <w:r>
        <w:rPr>
          <w:rFonts w:hint="eastAsia" w:ascii="仿宋" w:hAnsi="仿宋" w:eastAsia="仿宋" w:cs="仿宋"/>
          <w:b w:val="0"/>
          <w:bCs w:val="0"/>
          <w:color w:val="auto"/>
          <w:spacing w:val="11"/>
          <w:sz w:val="32"/>
          <w:szCs w:val="32"/>
          <w:highlight w:val="none"/>
          <w:lang w:val="en-US" w:eastAsia="zh-CN"/>
        </w:rPr>
        <w:t>本医疗保险缴费</w:t>
      </w:r>
      <w:r>
        <w:rPr>
          <w:rFonts w:hint="eastAsia" w:ascii="仿宋" w:hAnsi="仿宋" w:eastAsia="仿宋" w:cs="仿宋"/>
          <w:b w:val="0"/>
          <w:bCs w:val="0"/>
          <w:color w:val="auto"/>
          <w:spacing w:val="11"/>
          <w:sz w:val="32"/>
          <w:szCs w:val="32"/>
          <w:highlight w:val="none"/>
          <w:lang w:val="en-US" w:eastAsia="zh-CN"/>
        </w:rPr>
        <w:t>13.05</w:t>
      </w:r>
      <w:r>
        <w:rPr>
          <w:rFonts w:hint="eastAsia" w:ascii="仿宋" w:hAnsi="仿宋" w:eastAsia="仿宋" w:cs="仿宋"/>
          <w:b w:val="0"/>
          <w:bCs w:val="0"/>
          <w:color w:val="auto"/>
          <w:spacing w:val="11"/>
          <w:sz w:val="32"/>
          <w:szCs w:val="32"/>
          <w:highlight w:val="none"/>
          <w:lang w:val="en-US" w:eastAsia="zh-CN"/>
        </w:rPr>
        <w:t>万元、公务员医疗补助缴费</w:t>
      </w:r>
      <w:r>
        <w:rPr>
          <w:rFonts w:hint="eastAsia" w:ascii="仿宋" w:hAnsi="仿宋" w:eastAsia="仿宋" w:cs="仿宋"/>
          <w:b w:val="0"/>
          <w:bCs w:val="0"/>
          <w:color w:val="auto"/>
          <w:spacing w:val="11"/>
          <w:sz w:val="32"/>
          <w:szCs w:val="32"/>
          <w:highlight w:val="none"/>
          <w:lang w:val="en-US" w:eastAsia="zh-CN"/>
        </w:rPr>
        <w:t>16.21</w:t>
      </w:r>
      <w:r>
        <w:rPr>
          <w:rFonts w:hint="eastAsia" w:ascii="仿宋" w:hAnsi="仿宋" w:eastAsia="仿宋" w:cs="仿宋"/>
          <w:b w:val="0"/>
          <w:bCs w:val="0"/>
          <w:color w:val="auto"/>
          <w:spacing w:val="11"/>
          <w:sz w:val="32"/>
          <w:szCs w:val="32"/>
          <w:highlight w:val="none"/>
          <w:lang w:eastAsia="zh-CN"/>
        </w:rPr>
        <w:t>万</w:t>
      </w:r>
      <w:r>
        <w:rPr>
          <w:rFonts w:hint="eastAsia" w:ascii="仿宋" w:hAnsi="仿宋" w:eastAsia="仿宋" w:cs="仿宋"/>
          <w:b w:val="0"/>
          <w:bCs w:val="0"/>
          <w:color w:val="auto"/>
          <w:spacing w:val="11"/>
          <w:sz w:val="32"/>
          <w:szCs w:val="32"/>
          <w:highlight w:val="none"/>
          <w:lang w:eastAsia="zh-CN"/>
        </w:rPr>
        <w:t>元、其他社会保障缴费</w:t>
      </w:r>
      <w:r>
        <w:rPr>
          <w:rFonts w:hint="eastAsia" w:ascii="仿宋" w:hAnsi="仿宋" w:eastAsia="仿宋" w:cs="仿宋"/>
          <w:b w:val="0"/>
          <w:bCs w:val="0"/>
          <w:color w:val="auto"/>
          <w:spacing w:val="11"/>
          <w:sz w:val="32"/>
          <w:szCs w:val="32"/>
          <w:highlight w:val="none"/>
          <w:lang w:val="en-US" w:eastAsia="zh-CN"/>
        </w:rPr>
        <w:t>2.16</w:t>
      </w:r>
      <w:r>
        <w:rPr>
          <w:rFonts w:hint="eastAsia" w:ascii="仿宋" w:hAnsi="仿宋" w:eastAsia="仿宋" w:cs="仿宋"/>
          <w:b w:val="0"/>
          <w:bCs w:val="0"/>
          <w:color w:val="auto"/>
          <w:spacing w:val="11"/>
          <w:sz w:val="32"/>
          <w:szCs w:val="32"/>
          <w:highlight w:val="none"/>
          <w:lang w:eastAsia="zh-CN"/>
        </w:rPr>
        <w:t>万元、住房公积金缴费</w:t>
      </w:r>
      <w:r>
        <w:rPr>
          <w:rFonts w:hint="eastAsia" w:ascii="仿宋" w:hAnsi="仿宋" w:eastAsia="仿宋" w:cs="仿宋"/>
          <w:b w:val="0"/>
          <w:bCs w:val="0"/>
          <w:color w:val="auto"/>
          <w:spacing w:val="11"/>
          <w:sz w:val="32"/>
          <w:szCs w:val="32"/>
          <w:highlight w:val="none"/>
          <w:lang w:val="en-US" w:eastAsia="zh-CN"/>
        </w:rPr>
        <w:t>26.19万元、对个人和家庭的补助</w:t>
      </w:r>
      <w:r>
        <w:rPr>
          <w:rFonts w:hint="eastAsia" w:ascii="仿宋" w:hAnsi="仿宋" w:eastAsia="仿宋" w:cs="仿宋"/>
          <w:b w:val="0"/>
          <w:bCs w:val="0"/>
          <w:color w:val="auto"/>
          <w:spacing w:val="11"/>
          <w:sz w:val="32"/>
          <w:szCs w:val="32"/>
          <w:highlight w:val="none"/>
          <w:lang w:val="en-US" w:eastAsia="zh-CN"/>
        </w:rPr>
        <w:t>33.</w:t>
      </w:r>
      <w:r>
        <w:rPr>
          <w:rFonts w:hint="eastAsia" w:ascii="仿宋" w:hAnsi="仿宋" w:eastAsia="仿宋" w:cs="仿宋"/>
          <w:b w:val="0"/>
          <w:bCs w:val="0"/>
          <w:color w:val="auto"/>
          <w:spacing w:val="11"/>
          <w:sz w:val="32"/>
          <w:szCs w:val="32"/>
          <w:highlight w:val="none"/>
          <w:lang w:eastAsia="zh-CN"/>
        </w:rPr>
        <w:t>33</w:t>
      </w:r>
      <w:r>
        <w:rPr>
          <w:rFonts w:hint="eastAsia" w:ascii="仿宋" w:hAnsi="仿宋" w:eastAsia="仿宋" w:cs="仿宋"/>
          <w:b w:val="0"/>
          <w:bCs w:val="0"/>
          <w:color w:val="auto"/>
          <w:spacing w:val="11"/>
          <w:sz w:val="32"/>
          <w:szCs w:val="32"/>
          <w:highlight w:val="none"/>
          <w:lang w:eastAsia="zh-CN"/>
        </w:rPr>
        <w:t>万元、</w:t>
      </w:r>
      <w:r>
        <w:rPr>
          <w:rFonts w:hint="eastAsia" w:ascii="仿宋" w:hAnsi="仿宋" w:eastAsia="仿宋" w:cs="仿宋"/>
          <w:b w:val="0"/>
          <w:bCs w:val="0"/>
          <w:color w:val="auto"/>
          <w:spacing w:val="11"/>
          <w:sz w:val="32"/>
          <w:szCs w:val="32"/>
          <w:highlight w:val="none"/>
          <w:lang w:val="en-US" w:eastAsia="zh-CN"/>
        </w:rPr>
        <w:t>商品服务支出</w:t>
      </w:r>
      <w:r>
        <w:rPr>
          <w:rFonts w:hint="eastAsia" w:ascii="仿宋" w:hAnsi="仿宋" w:eastAsia="仿宋" w:cs="仿宋"/>
          <w:b w:val="0"/>
          <w:bCs w:val="0"/>
          <w:color w:val="auto"/>
          <w:spacing w:val="11"/>
          <w:sz w:val="32"/>
          <w:szCs w:val="32"/>
          <w:highlight w:val="none"/>
          <w:lang w:val="en-US" w:eastAsia="zh-CN"/>
        </w:rPr>
        <w:t>54.11</w:t>
      </w:r>
      <w:r>
        <w:rPr>
          <w:rFonts w:hint="eastAsia" w:ascii="仿宋" w:hAnsi="仿宋" w:eastAsia="仿宋" w:cs="仿宋"/>
          <w:b w:val="0"/>
          <w:bCs w:val="0"/>
          <w:color w:val="auto"/>
          <w:spacing w:val="11"/>
          <w:sz w:val="32"/>
          <w:szCs w:val="32"/>
          <w:highlight w:val="none"/>
          <w:lang w:val="en-US" w:eastAsia="zh-CN"/>
        </w:rPr>
        <w:t>万元等。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84" w:firstLineChars="200"/>
        <w:jc w:val="both"/>
        <w:textAlignment w:val="auto"/>
        <w:rPr>
          <w:rFonts w:hint="eastAsia" w:ascii="仿宋" w:hAnsi="仿宋" w:eastAsia="仿宋" w:cs="仿宋"/>
          <w:b w:val="0"/>
          <w:bCs w:val="0"/>
          <w:i w:val="0"/>
          <w:iCs w:val="0"/>
          <w:caps w:val="0"/>
          <w:color w:val="auto"/>
          <w:spacing w:val="11"/>
          <w:sz w:val="32"/>
          <w:szCs w:val="32"/>
        </w:rPr>
      </w:pPr>
      <w:r>
        <w:rPr>
          <w:rFonts w:hint="eastAsia" w:ascii="仿宋" w:hAnsi="仿宋" w:eastAsia="仿宋" w:cs="仿宋"/>
          <w:b w:val="0"/>
          <w:bCs w:val="0"/>
          <w:i w:val="0"/>
          <w:iCs w:val="0"/>
          <w:caps w:val="0"/>
          <w:color w:val="auto"/>
          <w:spacing w:val="11"/>
          <w:sz w:val="32"/>
          <w:szCs w:val="32"/>
          <w:shd w:val="clear" w:fill="FFFFFF"/>
        </w:rPr>
        <w:t>2.项目支出情况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val="en-US" w:eastAsia="zh-CN"/>
        </w:rPr>
        <w:t>2024年年初预算</w:t>
      </w:r>
      <w:r>
        <w:rPr>
          <w:rFonts w:hint="eastAsia" w:ascii="仿宋" w:hAnsi="仿宋" w:eastAsia="仿宋" w:cs="仿宋"/>
          <w:b w:val="0"/>
          <w:bCs w:val="0"/>
          <w:color w:val="auto"/>
          <w:spacing w:val="11"/>
          <w:sz w:val="32"/>
          <w:szCs w:val="32"/>
          <w:highlight w:val="none"/>
          <w:lang w:val="en-US" w:eastAsia="zh-CN"/>
        </w:rPr>
        <w:t>42</w:t>
      </w:r>
      <w:r>
        <w:rPr>
          <w:rFonts w:hint="eastAsia" w:ascii="仿宋" w:hAnsi="仿宋" w:eastAsia="仿宋" w:cs="仿宋"/>
          <w:b w:val="0"/>
          <w:bCs w:val="0"/>
          <w:color w:val="auto"/>
          <w:spacing w:val="11"/>
          <w:sz w:val="32"/>
          <w:szCs w:val="32"/>
          <w:highlight w:val="none"/>
          <w:lang w:val="en-US" w:eastAsia="zh-CN"/>
        </w:rPr>
        <w:t>万元，年中追加预算</w:t>
      </w:r>
      <w:r>
        <w:rPr>
          <w:rFonts w:hint="eastAsia" w:ascii="仿宋" w:hAnsi="仿宋" w:eastAsia="仿宋" w:cs="仿宋"/>
          <w:b w:val="0"/>
          <w:bCs w:val="0"/>
          <w:color w:val="auto"/>
          <w:spacing w:val="11"/>
          <w:sz w:val="32"/>
          <w:szCs w:val="32"/>
          <w:highlight w:val="none"/>
          <w:lang w:val="en-US" w:eastAsia="zh-CN"/>
        </w:rPr>
        <w:t>70.11</w:t>
      </w:r>
      <w:r>
        <w:rPr>
          <w:rFonts w:hint="eastAsia" w:ascii="仿宋" w:hAnsi="仿宋" w:eastAsia="仿宋" w:cs="仿宋"/>
          <w:b w:val="0"/>
          <w:bCs w:val="0"/>
          <w:color w:val="auto"/>
          <w:spacing w:val="11"/>
          <w:sz w:val="32"/>
          <w:szCs w:val="32"/>
          <w:highlight w:val="none"/>
          <w:lang w:val="en-US" w:eastAsia="zh-CN"/>
        </w:rPr>
        <w:t>万元，全年预算112.11万元，实际支出112.11万元。项目支出是指单位为完成特定行政工作任务或事业发展目标而发生的支出，包括有关事业发展专项、专项业务费等。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84" w:firstLineChars="200"/>
        <w:jc w:val="both"/>
        <w:textAlignment w:val="auto"/>
        <w:rPr>
          <w:rFonts w:hint="default" w:ascii="楷体_GB2312" w:eastAsia="楷体_GB2312" w:cs="楷体_GB2312"/>
          <w:b/>
          <w:bCs/>
          <w:i w:val="0"/>
          <w:iCs w:val="0"/>
          <w:caps w:val="0"/>
          <w:color w:val="auto"/>
          <w:spacing w:val="11"/>
          <w:sz w:val="32"/>
          <w:szCs w:val="32"/>
          <w:shd w:val="clear" w:fill="FFFFFF"/>
        </w:rPr>
      </w:pPr>
      <w:r>
        <w:rPr>
          <w:rFonts w:hint="default" w:ascii="楷体_GB2312" w:eastAsia="楷体_GB2312" w:cs="楷体_GB2312"/>
          <w:b/>
          <w:bCs/>
          <w:i w:val="0"/>
          <w:iCs w:val="0"/>
          <w:caps w:val="0"/>
          <w:color w:val="auto"/>
          <w:spacing w:val="11"/>
          <w:sz w:val="32"/>
          <w:szCs w:val="32"/>
          <w:shd w:val="clear" w:fill="FFFFFF"/>
        </w:rPr>
        <w:t>（三）</w:t>
      </w:r>
      <w:r>
        <w:rPr>
          <w:rFonts w:hint="eastAsia" w:ascii="楷体_GB2312" w:eastAsia="楷体_GB2312" w:cs="楷体_GB2312"/>
          <w:b/>
          <w:bCs/>
          <w:i w:val="0"/>
          <w:iCs w:val="0"/>
          <w:caps w:val="0"/>
          <w:color w:val="auto"/>
          <w:spacing w:val="11"/>
          <w:sz w:val="32"/>
          <w:szCs w:val="32"/>
          <w:shd w:val="clear" w:fill="FFFFFF"/>
          <w:lang w:eastAsia="zh-CN"/>
        </w:rPr>
        <w:t>“</w:t>
      </w:r>
      <w:r>
        <w:rPr>
          <w:rFonts w:hint="default" w:ascii="楷体_GB2312" w:eastAsia="楷体_GB2312" w:cs="楷体_GB2312"/>
          <w:b/>
          <w:bCs/>
          <w:i w:val="0"/>
          <w:iCs w:val="0"/>
          <w:caps w:val="0"/>
          <w:color w:val="auto"/>
          <w:spacing w:val="11"/>
          <w:sz w:val="32"/>
          <w:szCs w:val="32"/>
          <w:shd w:val="clear" w:fill="FFFFFF"/>
        </w:rPr>
        <w:t>三公</w:t>
      </w:r>
      <w:r>
        <w:rPr>
          <w:rFonts w:hint="eastAsia" w:ascii="楷体_GB2312" w:eastAsia="楷体_GB2312" w:cs="楷体_GB2312"/>
          <w:b/>
          <w:bCs/>
          <w:i w:val="0"/>
          <w:iCs w:val="0"/>
          <w:caps w:val="0"/>
          <w:color w:val="auto"/>
          <w:spacing w:val="11"/>
          <w:sz w:val="32"/>
          <w:szCs w:val="32"/>
          <w:shd w:val="clear" w:fill="FFFFFF"/>
          <w:lang w:eastAsia="zh-CN"/>
        </w:rPr>
        <w:t>”</w:t>
      </w:r>
      <w:r>
        <w:rPr>
          <w:rFonts w:hint="default" w:ascii="楷体_GB2312" w:eastAsia="楷体_GB2312" w:cs="楷体_GB2312"/>
          <w:b/>
          <w:bCs/>
          <w:i w:val="0"/>
          <w:iCs w:val="0"/>
          <w:caps w:val="0"/>
          <w:color w:val="auto"/>
          <w:spacing w:val="11"/>
          <w:sz w:val="32"/>
          <w:szCs w:val="32"/>
          <w:shd w:val="clear" w:fill="FFFFFF"/>
        </w:rPr>
        <w:t>经费使用和管理情况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960" w:firstLineChars="300"/>
        <w:jc w:val="both"/>
        <w:textAlignment w:val="auto"/>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i w:val="0"/>
          <w:iCs w:val="0"/>
          <w:caps w:val="0"/>
          <w:color w:val="auto"/>
          <w:spacing w:val="0"/>
          <w:sz w:val="32"/>
          <w:szCs w:val="32"/>
          <w:shd w:val="clear" w:fill="FFFFFF"/>
          <w:lang w:val="en-US" w:eastAsia="zh-CN"/>
        </w:rPr>
        <w:t>1.使用情况：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1026" w:firstLineChars="300"/>
        <w:textAlignment w:val="auto"/>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val="en-US" w:eastAsia="zh-CN"/>
        </w:rPr>
        <w:t>2024年三公经费预算控制数为</w:t>
      </w:r>
      <w:r>
        <w:rPr>
          <w:rFonts w:hint="eastAsia" w:ascii="仿宋" w:hAnsi="仿宋" w:eastAsia="仿宋" w:cs="仿宋"/>
          <w:b w:val="0"/>
          <w:bCs w:val="0"/>
          <w:color w:val="auto"/>
          <w:spacing w:val="11"/>
          <w:sz w:val="32"/>
          <w:szCs w:val="32"/>
          <w:highlight w:val="none"/>
          <w:lang w:val="en-US" w:eastAsia="zh-CN"/>
        </w:rPr>
        <w:t>9.5</w:t>
      </w:r>
      <w:r>
        <w:rPr>
          <w:rFonts w:hint="eastAsia" w:ascii="仿宋" w:hAnsi="仿宋" w:eastAsia="仿宋" w:cs="仿宋"/>
          <w:b w:val="0"/>
          <w:bCs w:val="0"/>
          <w:color w:val="auto"/>
          <w:spacing w:val="11"/>
          <w:sz w:val="32"/>
          <w:szCs w:val="32"/>
          <w:highlight w:val="none"/>
          <w:lang w:val="en-US" w:eastAsia="zh-CN"/>
        </w:rPr>
        <w:t>万元,其中:因公出国(境)费预算0万元,公务用车运行维护费8万元，公务接待费</w:t>
      </w:r>
      <w:r>
        <w:rPr>
          <w:rFonts w:hint="eastAsia" w:ascii="仿宋" w:hAnsi="仿宋" w:eastAsia="仿宋" w:cs="仿宋"/>
          <w:b w:val="0"/>
          <w:bCs w:val="0"/>
          <w:color w:val="auto"/>
          <w:spacing w:val="11"/>
          <w:sz w:val="32"/>
          <w:szCs w:val="32"/>
          <w:highlight w:val="none"/>
          <w:lang w:eastAsia="zh-CN"/>
        </w:rPr>
        <w:t>1</w:t>
      </w:r>
      <w:r>
        <w:rPr>
          <w:rFonts w:hint="eastAsia" w:ascii="仿宋" w:hAnsi="仿宋" w:eastAsia="仿宋" w:cs="仿宋"/>
          <w:b w:val="0"/>
          <w:bCs w:val="0"/>
          <w:color w:val="auto"/>
          <w:spacing w:val="11"/>
          <w:sz w:val="32"/>
          <w:szCs w:val="32"/>
          <w:highlight w:val="none"/>
          <w:lang w:val="en-US" w:eastAsia="zh-CN"/>
        </w:rPr>
        <w:t>.5万元。本年度我中心实际支出9.5万元，其中:因公出国(境)费0万元，公务用车运行维护费8万元，公务接待费</w:t>
      </w:r>
      <w:r>
        <w:rPr>
          <w:rFonts w:hint="eastAsia" w:ascii="仿宋" w:hAnsi="仿宋" w:eastAsia="仿宋" w:cs="仿宋"/>
          <w:b w:val="0"/>
          <w:bCs w:val="0"/>
          <w:color w:val="auto"/>
          <w:spacing w:val="11"/>
          <w:sz w:val="32"/>
          <w:szCs w:val="32"/>
          <w:highlight w:val="none"/>
          <w:lang w:eastAsia="zh-CN"/>
        </w:rPr>
        <w:t>1.89</w:t>
      </w:r>
      <w:r>
        <w:rPr>
          <w:rFonts w:hint="eastAsia" w:ascii="仿宋" w:hAnsi="仿宋" w:eastAsia="仿宋" w:cs="仿宋"/>
          <w:b w:val="0"/>
          <w:bCs w:val="0"/>
          <w:color w:val="auto"/>
          <w:spacing w:val="11"/>
          <w:sz w:val="32"/>
          <w:szCs w:val="32"/>
          <w:highlight w:val="none"/>
          <w:lang w:val="en-US" w:eastAsia="zh-CN"/>
        </w:rPr>
        <w:t>万元，比去年节约</w:t>
      </w:r>
      <w:r>
        <w:rPr>
          <w:rFonts w:hint="eastAsia" w:ascii="仿宋" w:hAnsi="仿宋" w:eastAsia="仿宋" w:cs="仿宋"/>
          <w:b w:val="0"/>
          <w:bCs w:val="0"/>
          <w:color w:val="auto"/>
          <w:spacing w:val="11"/>
          <w:sz w:val="32"/>
          <w:szCs w:val="32"/>
          <w:highlight w:val="none"/>
          <w:lang w:eastAsia="zh-CN"/>
        </w:rPr>
        <w:t>0</w:t>
      </w:r>
      <w:r>
        <w:rPr>
          <w:rFonts w:hint="eastAsia" w:ascii="仿宋" w:hAnsi="仿宋" w:eastAsia="仿宋" w:cs="仿宋"/>
          <w:b w:val="0"/>
          <w:bCs w:val="0"/>
          <w:color w:val="auto"/>
          <w:spacing w:val="11"/>
          <w:sz w:val="32"/>
          <w:szCs w:val="32"/>
          <w:highlight w:val="none"/>
          <w:lang w:val="en-US" w:eastAsia="zh-CN"/>
        </w:rPr>
        <w:t>.39万元，主要是厉行节约，严控三公经费，为持续严格执行中央八项规定及相关文件精神。公务用车运行维护费比去年增加了4.50万元，主要是因公车使用年限较长，日常维修养护成本增加，以及燃油消耗增加，导致公车运行费较上年增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2.管理情况</w:t>
      </w:r>
      <w:r>
        <w:rPr>
          <w:rFonts w:hint="eastAsia" w:ascii="仿宋" w:hAnsi="仿宋" w:eastAsia="仿宋" w:cs="仿宋"/>
          <w:i w:val="0"/>
          <w:iCs w:val="0"/>
          <w:caps w:val="0"/>
          <w:color w:val="auto"/>
          <w:spacing w:val="0"/>
          <w:sz w:val="32"/>
          <w:szCs w:val="32"/>
          <w:shd w:val="clear" w:fill="FFFFFF"/>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严格预算编制，强化预算节约:将“三公”经费预算编制细化到具体项目，从严控制预算支出，杜绝无预算和超预算开支，增强预算约束力。</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控制</w:t>
      </w:r>
      <w:r>
        <w:rPr>
          <w:rFonts w:hint="eastAsia" w:ascii="仿宋" w:hAnsi="仿宋" w:eastAsia="仿宋" w:cs="仿宋"/>
          <w:i w:val="0"/>
          <w:iCs w:val="0"/>
          <w:caps w:val="0"/>
          <w:color w:val="auto"/>
          <w:spacing w:val="0"/>
          <w:sz w:val="32"/>
          <w:szCs w:val="32"/>
          <w:shd w:val="clear" w:fill="FFFFFF"/>
        </w:rPr>
        <w:t>支出标准，严格执行制度:对公务用车、公务接待等支出</w:t>
      </w:r>
      <w:r>
        <w:rPr>
          <w:rFonts w:hint="eastAsia" w:ascii="仿宋" w:hAnsi="仿宋" w:eastAsia="仿宋" w:cs="仿宋"/>
          <w:i w:val="0"/>
          <w:iCs w:val="0"/>
          <w:caps w:val="0"/>
          <w:color w:val="auto"/>
          <w:spacing w:val="0"/>
          <w:sz w:val="32"/>
          <w:szCs w:val="32"/>
          <w:shd w:val="clear" w:fill="FFFFFF"/>
          <w:lang w:val="en-US" w:eastAsia="zh-CN"/>
        </w:rPr>
        <w:t>严格控制</w:t>
      </w:r>
      <w:r>
        <w:rPr>
          <w:rFonts w:hint="eastAsia" w:ascii="仿宋" w:hAnsi="仿宋" w:eastAsia="仿宋" w:cs="仿宋"/>
          <w:i w:val="0"/>
          <w:iCs w:val="0"/>
          <w:caps w:val="0"/>
          <w:color w:val="auto"/>
          <w:spacing w:val="0"/>
          <w:sz w:val="32"/>
          <w:szCs w:val="32"/>
          <w:shd w:val="clear" w:fill="FFFFFF"/>
        </w:rPr>
        <w:t>，按规定</w:t>
      </w:r>
      <w:r>
        <w:rPr>
          <w:rFonts w:hint="eastAsia" w:ascii="仿宋" w:hAnsi="仿宋" w:eastAsia="仿宋" w:cs="仿宋"/>
          <w:i w:val="0"/>
          <w:iCs w:val="0"/>
          <w:caps w:val="0"/>
          <w:color w:val="auto"/>
          <w:spacing w:val="0"/>
          <w:sz w:val="32"/>
          <w:szCs w:val="32"/>
          <w:shd w:val="clear" w:fill="FFFFFF"/>
          <w:lang w:val="en-US" w:eastAsia="zh-CN"/>
        </w:rPr>
        <w:t>标准</w:t>
      </w:r>
      <w:r>
        <w:rPr>
          <w:rFonts w:hint="eastAsia" w:ascii="仿宋" w:hAnsi="仿宋" w:eastAsia="仿宋" w:cs="仿宋"/>
          <w:i w:val="0"/>
          <w:iCs w:val="0"/>
          <w:caps w:val="0"/>
          <w:color w:val="auto"/>
          <w:spacing w:val="0"/>
          <w:sz w:val="32"/>
          <w:szCs w:val="32"/>
          <w:shd w:val="clear" w:fill="FFFFFF"/>
        </w:rPr>
        <w:t>额度报销，</w:t>
      </w:r>
      <w:r>
        <w:rPr>
          <w:rFonts w:hint="eastAsia" w:ascii="仿宋" w:hAnsi="仿宋" w:eastAsia="仿宋" w:cs="仿宋"/>
          <w:i w:val="0"/>
          <w:iCs w:val="0"/>
          <w:caps w:val="0"/>
          <w:color w:val="auto"/>
          <w:spacing w:val="0"/>
          <w:sz w:val="32"/>
          <w:szCs w:val="32"/>
          <w:shd w:val="clear" w:fill="FFFFFF"/>
          <w:lang w:val="en-US" w:eastAsia="zh-CN"/>
        </w:rPr>
        <w:t>杜绝超支</w:t>
      </w:r>
      <w:r>
        <w:rPr>
          <w:rFonts w:hint="eastAsia" w:ascii="仿宋" w:hAnsi="仿宋" w:eastAsia="仿宋" w:cs="仿宋"/>
          <w:i w:val="0"/>
          <w:iCs w:val="0"/>
          <w:caps w:val="0"/>
          <w:color w:val="auto"/>
          <w:spacing w:val="0"/>
          <w:sz w:val="32"/>
          <w:szCs w:val="32"/>
          <w:shd w:val="clear" w:fill="FFFFFF"/>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仿宋" w:hAnsi="仿宋" w:eastAsia="仿宋" w:cs="仿宋"/>
          <w:b w:val="0"/>
          <w:bCs w:val="0"/>
          <w:color w:val="auto"/>
          <w:spacing w:val="11"/>
          <w:sz w:val="32"/>
          <w:szCs w:val="32"/>
          <w:highlight w:val="none"/>
          <w:lang w:val="en-US" w:eastAsia="zh-CN"/>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规范财务制度，加强日常管理:公务费用支出一律履行报批手续。对接待支出，填写公务接单审批单并控制接待标准及参陪人数。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黑体" w:hAnsi="黑体" w:eastAsia="黑体" w:cs="黑体"/>
          <w:b/>
          <w:bCs/>
          <w:i w:val="0"/>
          <w:iCs w:val="0"/>
          <w:caps w:val="0"/>
          <w:color w:val="auto"/>
          <w:spacing w:val="11"/>
          <w:sz w:val="32"/>
          <w:szCs w:val="32"/>
          <w:shd w:val="clear" w:fill="FFFFFF"/>
          <w:lang w:eastAsia="zh-CN"/>
        </w:rPr>
      </w:pPr>
      <w:r>
        <w:rPr>
          <w:rFonts w:hint="eastAsia" w:ascii="黑体" w:hAnsi="黑体" w:eastAsia="黑体" w:cs="黑体"/>
          <w:b/>
          <w:bCs/>
          <w:i w:val="0"/>
          <w:iCs w:val="0"/>
          <w:caps w:val="0"/>
          <w:color w:val="auto"/>
          <w:spacing w:val="11"/>
          <w:sz w:val="32"/>
          <w:szCs w:val="32"/>
          <w:shd w:val="clear" w:fill="FFFFFF"/>
          <w:lang w:eastAsia="zh-CN"/>
        </w:rPr>
        <w:t>三、项目组织实施情况</w:t>
      </w:r>
    </w:p>
    <w:p>
      <w:pPr>
        <w:pStyle w:val="20"/>
        <w:keepNext w:val="0"/>
        <w:keepLines w:val="0"/>
        <w:pageBreakBefore w:val="0"/>
        <w:wordWrap/>
        <w:overflowPunct/>
        <w:topLinePunct w:val="0"/>
        <w:bidi w:val="0"/>
        <w:spacing w:line="360" w:lineRule="auto"/>
        <w:ind w:firstLine="640" w:firstLineChars="200"/>
        <w:rPr>
          <w:rFonts w:hint="eastAsia" w:ascii="黑体" w:hAnsi="黑体" w:eastAsia="黑体" w:cs="黑体"/>
          <w:b w:val="0"/>
          <w:bCs w:val="0"/>
          <w:color w:val="auto"/>
          <w:spacing w:val="11"/>
          <w:sz w:val="32"/>
          <w:szCs w:val="32"/>
          <w:highlight w:val="none"/>
          <w:lang w:eastAsia="zh-CN"/>
        </w:rPr>
      </w:pPr>
      <w:r>
        <w:rPr>
          <w:rFonts w:hint="eastAsia" w:ascii="仿宋" w:hAnsi="仿宋" w:eastAsia="仿宋"/>
          <w:color w:val="auto"/>
          <w:sz w:val="32"/>
          <w:szCs w:val="32"/>
        </w:rPr>
        <w:t>建立以</w:t>
      </w:r>
      <w:r>
        <w:rPr>
          <w:rFonts w:hint="eastAsia" w:ascii="仿宋" w:hAnsi="仿宋" w:eastAsia="仿宋"/>
          <w:color w:val="auto"/>
          <w:sz w:val="32"/>
          <w:szCs w:val="32"/>
          <w:lang w:eastAsia="zh-CN"/>
        </w:rPr>
        <w:t>主任</w:t>
      </w:r>
      <w:r>
        <w:rPr>
          <w:rFonts w:hint="eastAsia" w:ascii="仿宋" w:hAnsi="仿宋" w:eastAsia="仿宋"/>
          <w:color w:val="auto"/>
          <w:sz w:val="32"/>
          <w:szCs w:val="32"/>
        </w:rPr>
        <w:t>为组长，</w:t>
      </w:r>
      <w:r>
        <w:rPr>
          <w:rFonts w:hint="eastAsia" w:ascii="仿宋" w:hAnsi="仿宋" w:eastAsia="仿宋"/>
          <w:color w:val="auto"/>
          <w:sz w:val="32"/>
          <w:szCs w:val="32"/>
          <w:lang w:eastAsia="zh-CN"/>
        </w:rPr>
        <w:t>资金财务部</w:t>
      </w:r>
      <w:r>
        <w:rPr>
          <w:rFonts w:hint="eastAsia" w:ascii="仿宋" w:hAnsi="仿宋" w:eastAsia="仿宋"/>
          <w:color w:val="auto"/>
          <w:sz w:val="32"/>
          <w:szCs w:val="32"/>
        </w:rPr>
        <w:t>等有关人员组成评价工作组。实施项目过程严格按照我单位制定的管理制度执行。</w:t>
      </w:r>
      <w:r>
        <w:rPr>
          <w:rFonts w:hint="eastAsia" w:ascii="仿宋" w:hAnsi="仿宋" w:eastAsia="仿宋" w:cs="楷体"/>
          <w:bCs/>
          <w:color w:val="auto"/>
          <w:spacing w:val="10"/>
          <w:sz w:val="32"/>
          <w:szCs w:val="32"/>
          <w:lang w:eastAsia="zh-CN"/>
        </w:rPr>
        <w:t>通过对整体绩效与项目绩效评价，提高资金使用效率。</w:t>
      </w:r>
    </w:p>
    <w:p>
      <w:pPr>
        <w:keepNext w:val="0"/>
        <w:keepLines w:val="0"/>
        <w:pageBreakBefore w:val="0"/>
        <w:widowControl w:val="0"/>
        <w:numPr>
          <w:ilvl w:val="0"/>
          <w:numId w:val="1"/>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黑体" w:hAnsi="黑体" w:eastAsia="黑体" w:cs="黑体"/>
          <w:b w:val="0"/>
          <w:bCs w:val="0"/>
          <w:color w:val="auto"/>
          <w:spacing w:val="11"/>
          <w:sz w:val="32"/>
          <w:szCs w:val="32"/>
          <w:highlight w:val="none"/>
          <w:lang w:eastAsia="zh-CN"/>
        </w:rPr>
      </w:pPr>
      <w:r>
        <w:rPr>
          <w:rFonts w:hint="eastAsia" w:ascii="黑体" w:hAnsi="黑体" w:eastAsia="黑体" w:cs="黑体"/>
          <w:b w:val="0"/>
          <w:bCs w:val="0"/>
          <w:color w:val="auto"/>
          <w:spacing w:val="11"/>
          <w:sz w:val="32"/>
          <w:szCs w:val="32"/>
          <w:highlight w:val="none"/>
          <w:lang w:eastAsia="zh-CN"/>
        </w:rPr>
        <w:t>资产管理</w:t>
      </w:r>
    </w:p>
    <w:p>
      <w:pPr>
        <w:widowControl/>
        <w:shd w:val="clear" w:color="auto" w:fill="FFFFFF"/>
        <w:spacing w:line="600" w:lineRule="atLeast"/>
        <w:ind w:firstLine="640"/>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color w:val="auto"/>
          <w:kern w:val="0"/>
          <w:sz w:val="32"/>
          <w:szCs w:val="32"/>
          <w:lang w:eastAsia="zh-CN"/>
        </w:rPr>
        <w:t>为了搞好单位资产的配置、管理、处置等特制定了《资产管理制度》，我单位固定资产由</w:t>
      </w:r>
      <w:r>
        <w:rPr>
          <w:rFonts w:hint="eastAsia" w:ascii="仿宋" w:hAnsi="仿宋" w:eastAsia="仿宋" w:cs="仿宋"/>
          <w:color w:val="auto"/>
          <w:kern w:val="0"/>
          <w:sz w:val="32"/>
          <w:szCs w:val="32"/>
          <w:lang w:eastAsia="zh-CN"/>
        </w:rPr>
        <w:t>办公室</w:t>
      </w:r>
      <w:r>
        <w:rPr>
          <w:rFonts w:hint="eastAsia" w:ascii="仿宋" w:hAnsi="仿宋" w:eastAsia="仿宋" w:cs="仿宋"/>
          <w:color w:val="auto"/>
          <w:kern w:val="0"/>
          <w:sz w:val="32"/>
          <w:szCs w:val="32"/>
          <w:lang w:eastAsia="zh-CN"/>
        </w:rPr>
        <w:t>统一登记和管理。购置办公用品和设备，需经上级资产相关管理部门审批后，经由单位分管采购领导同意后方可采购。</w:t>
      </w:r>
      <w:r>
        <w:rPr>
          <w:rFonts w:hint="eastAsia" w:ascii="仿宋" w:hAnsi="仿宋" w:eastAsia="仿宋" w:cs="仿宋"/>
          <w:color w:val="auto"/>
          <w:kern w:val="0"/>
          <w:sz w:val="32"/>
          <w:szCs w:val="32"/>
          <w:lang w:eastAsia="zh-CN"/>
        </w:rPr>
        <w:t>办公室</w:t>
      </w:r>
      <w:r>
        <w:rPr>
          <w:rFonts w:hint="eastAsia" w:ascii="仿宋" w:hAnsi="仿宋" w:eastAsia="仿宋" w:cs="仿宋"/>
          <w:color w:val="auto"/>
          <w:kern w:val="0"/>
          <w:sz w:val="32"/>
          <w:szCs w:val="32"/>
          <w:lang w:eastAsia="zh-CN"/>
        </w:rPr>
        <w:t>定期清点公物，按年度列出清单。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rPr>
      </w:pPr>
      <w:r>
        <w:rPr>
          <w:rFonts w:hint="eastAsia" w:ascii="黑体" w:hAnsi="黑体" w:eastAsia="黑体" w:cs="黑体"/>
          <w:b w:val="0"/>
          <w:bCs w:val="0"/>
          <w:i w:val="0"/>
          <w:iCs w:val="0"/>
          <w:caps w:val="0"/>
          <w:color w:val="auto"/>
          <w:spacing w:val="11"/>
          <w:sz w:val="32"/>
          <w:szCs w:val="32"/>
          <w:shd w:val="clear" w:fill="FFFFFF"/>
          <w:lang w:eastAsia="zh-CN"/>
        </w:rPr>
        <w:t>五</w:t>
      </w:r>
      <w:r>
        <w:rPr>
          <w:rFonts w:hint="eastAsia" w:ascii="黑体" w:hAnsi="黑体" w:eastAsia="黑体" w:cs="黑体"/>
          <w:b w:val="0"/>
          <w:bCs w:val="0"/>
          <w:i w:val="0"/>
          <w:iCs w:val="0"/>
          <w:caps w:val="0"/>
          <w:color w:val="auto"/>
          <w:spacing w:val="11"/>
          <w:sz w:val="32"/>
          <w:szCs w:val="32"/>
          <w:shd w:val="clear" w:fill="FFFFFF"/>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我单位202</w:t>
      </w:r>
      <w:r>
        <w:rPr>
          <w:rFonts w:hint="eastAsia" w:ascii="仿宋" w:hAnsi="仿宋" w:eastAsia="仿宋" w:cs="仿宋"/>
          <w:b w:val="0"/>
          <w:bCs w:val="0"/>
          <w:color w:val="auto"/>
          <w:spacing w:val="11"/>
          <w:sz w:val="32"/>
          <w:szCs w:val="32"/>
          <w:highlight w:val="none"/>
          <w:lang w:val="en-US" w:eastAsia="zh-CN"/>
        </w:rPr>
        <w:t>4</w:t>
      </w:r>
      <w:r>
        <w:rPr>
          <w:rFonts w:hint="eastAsia" w:ascii="仿宋" w:hAnsi="仿宋" w:eastAsia="仿宋" w:cs="仿宋"/>
          <w:b w:val="0"/>
          <w:bCs w:val="0"/>
          <w:color w:val="auto"/>
          <w:spacing w:val="11"/>
          <w:sz w:val="32"/>
          <w:szCs w:val="32"/>
          <w:highlight w:val="none"/>
          <w:lang w:eastAsia="zh-CN"/>
        </w:rPr>
        <w:t>年无政府性基金预算支出。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rPr>
      </w:pPr>
      <w:r>
        <w:rPr>
          <w:rFonts w:hint="eastAsia" w:ascii="黑体" w:hAnsi="黑体" w:eastAsia="黑体" w:cs="黑体"/>
          <w:b w:val="0"/>
          <w:bCs w:val="0"/>
          <w:i w:val="0"/>
          <w:iCs w:val="0"/>
          <w:caps w:val="0"/>
          <w:color w:val="auto"/>
          <w:spacing w:val="11"/>
          <w:sz w:val="32"/>
          <w:szCs w:val="32"/>
          <w:shd w:val="clear" w:fill="FFFFFF"/>
          <w:lang w:eastAsia="zh-CN"/>
        </w:rPr>
        <w:t>六</w:t>
      </w:r>
      <w:r>
        <w:rPr>
          <w:rFonts w:hint="eastAsia" w:ascii="黑体" w:hAnsi="黑体" w:eastAsia="黑体" w:cs="黑体"/>
          <w:b w:val="0"/>
          <w:bCs w:val="0"/>
          <w:i w:val="0"/>
          <w:iCs w:val="0"/>
          <w:caps w:val="0"/>
          <w:color w:val="auto"/>
          <w:spacing w:val="11"/>
          <w:sz w:val="32"/>
          <w:szCs w:val="32"/>
          <w:shd w:val="clear" w:fill="FFFFFF"/>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我单位202</w:t>
      </w:r>
      <w:r>
        <w:rPr>
          <w:rFonts w:hint="eastAsia" w:ascii="仿宋" w:hAnsi="仿宋" w:eastAsia="仿宋" w:cs="仿宋"/>
          <w:b w:val="0"/>
          <w:bCs w:val="0"/>
          <w:color w:val="auto"/>
          <w:spacing w:val="11"/>
          <w:sz w:val="32"/>
          <w:szCs w:val="32"/>
          <w:highlight w:val="none"/>
          <w:lang w:val="en-US" w:eastAsia="zh-CN"/>
        </w:rPr>
        <w:t>4</w:t>
      </w:r>
      <w:r>
        <w:rPr>
          <w:rFonts w:hint="eastAsia" w:ascii="仿宋" w:hAnsi="仿宋" w:eastAsia="仿宋" w:cs="仿宋"/>
          <w:b w:val="0"/>
          <w:bCs w:val="0"/>
          <w:color w:val="auto"/>
          <w:spacing w:val="11"/>
          <w:sz w:val="32"/>
          <w:szCs w:val="32"/>
          <w:highlight w:val="none"/>
          <w:lang w:eastAsia="zh-CN"/>
        </w:rPr>
        <w:t>年无国有资本经营预算支出。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rPr>
      </w:pPr>
      <w:r>
        <w:rPr>
          <w:rFonts w:hint="eastAsia" w:ascii="黑体" w:hAnsi="黑体" w:eastAsia="黑体" w:cs="黑体"/>
          <w:b w:val="0"/>
          <w:bCs w:val="0"/>
          <w:i w:val="0"/>
          <w:iCs w:val="0"/>
          <w:caps w:val="0"/>
          <w:color w:val="auto"/>
          <w:spacing w:val="11"/>
          <w:sz w:val="32"/>
          <w:szCs w:val="32"/>
          <w:shd w:val="clear" w:fill="FFFFFF"/>
          <w:lang w:eastAsia="zh-CN"/>
        </w:rPr>
        <w:t>七</w:t>
      </w:r>
      <w:r>
        <w:rPr>
          <w:rFonts w:hint="eastAsia" w:ascii="黑体" w:hAnsi="黑体" w:eastAsia="黑体" w:cs="黑体"/>
          <w:b w:val="0"/>
          <w:bCs w:val="0"/>
          <w:i w:val="0"/>
          <w:iCs w:val="0"/>
          <w:caps w:val="0"/>
          <w:color w:val="auto"/>
          <w:spacing w:val="11"/>
          <w:sz w:val="32"/>
          <w:szCs w:val="32"/>
          <w:shd w:val="clear" w:fill="FFFFFF"/>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684" w:firstLineChars="200"/>
        <w:jc w:val="both"/>
        <w:textAlignment w:val="auto"/>
        <w:rPr>
          <w:rFonts w:hint="eastAsia" w:ascii="仿宋_GB2312" w:hAnsi="仿宋_GB2312" w:eastAsia="仿宋_GB2312" w:cs="仿宋_GB2312"/>
          <w:b w:val="0"/>
          <w:bCs w:val="0"/>
          <w:color w:val="auto"/>
          <w:spacing w:val="11"/>
          <w:sz w:val="32"/>
          <w:szCs w:val="32"/>
          <w:highlight w:val="none"/>
          <w:lang w:eastAsia="zh-CN"/>
        </w:rPr>
      </w:pPr>
      <w:r>
        <w:rPr>
          <w:rFonts w:hint="eastAsia" w:ascii="仿宋_GB2312" w:hAnsi="仿宋_GB2312" w:eastAsia="仿宋_GB2312" w:cs="仿宋_GB2312"/>
          <w:b w:val="0"/>
          <w:bCs w:val="0"/>
          <w:color w:val="auto"/>
          <w:spacing w:val="11"/>
          <w:sz w:val="32"/>
          <w:szCs w:val="32"/>
          <w:highlight w:val="none"/>
          <w:lang w:eastAsia="zh-CN"/>
        </w:rPr>
        <w:t>我单位202</w:t>
      </w:r>
      <w:r>
        <w:rPr>
          <w:rFonts w:hint="eastAsia" w:ascii="仿宋_GB2312" w:hAnsi="仿宋_GB2312" w:eastAsia="仿宋_GB2312" w:cs="仿宋_GB2312"/>
          <w:b w:val="0"/>
          <w:bCs w:val="0"/>
          <w:color w:val="auto"/>
          <w:spacing w:val="11"/>
          <w:sz w:val="32"/>
          <w:szCs w:val="32"/>
          <w:highlight w:val="none"/>
          <w:lang w:val="en-US" w:eastAsia="zh-CN"/>
        </w:rPr>
        <w:t>4</w:t>
      </w:r>
      <w:r>
        <w:rPr>
          <w:rFonts w:hint="eastAsia" w:ascii="仿宋_GB2312" w:hAnsi="仿宋_GB2312" w:eastAsia="仿宋_GB2312" w:cs="仿宋_GB2312"/>
          <w:b w:val="0"/>
          <w:bCs w:val="0"/>
          <w:color w:val="auto"/>
          <w:spacing w:val="11"/>
          <w:sz w:val="32"/>
          <w:szCs w:val="32"/>
          <w:highlight w:val="none"/>
          <w:lang w:eastAsia="zh-CN"/>
        </w:rPr>
        <w:t>年无社会保险基金预算支出。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rPr>
      </w:pPr>
      <w:r>
        <w:rPr>
          <w:rFonts w:hint="eastAsia" w:ascii="黑体" w:hAnsi="黑体" w:eastAsia="黑体" w:cs="黑体"/>
          <w:b w:val="0"/>
          <w:bCs w:val="0"/>
          <w:i w:val="0"/>
          <w:iCs w:val="0"/>
          <w:caps w:val="0"/>
          <w:color w:val="auto"/>
          <w:spacing w:val="11"/>
          <w:sz w:val="32"/>
          <w:szCs w:val="32"/>
          <w:shd w:val="clear" w:fill="FFFFFF"/>
          <w:lang w:eastAsia="zh-CN"/>
        </w:rPr>
        <w:t>八</w:t>
      </w:r>
      <w:r>
        <w:rPr>
          <w:rFonts w:hint="eastAsia" w:ascii="黑体" w:hAnsi="黑体" w:eastAsia="黑体" w:cs="黑体"/>
          <w:b w:val="0"/>
          <w:bCs w:val="0"/>
          <w:i w:val="0"/>
          <w:iCs w:val="0"/>
          <w:caps w:val="0"/>
          <w:color w:val="auto"/>
          <w:spacing w:val="11"/>
          <w:sz w:val="32"/>
          <w:szCs w:val="32"/>
          <w:shd w:val="clear" w:fill="FFFFFF"/>
        </w:rPr>
        <w:t>、部门整体支出绩效情况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84" w:firstLineChars="200"/>
        <w:jc w:val="both"/>
        <w:textAlignment w:val="auto"/>
        <w:rPr>
          <w:rFonts w:hint="eastAsia" w:ascii="仿宋" w:hAnsi="仿宋" w:eastAsia="仿宋" w:cs="仿宋"/>
          <w:b w:val="0"/>
          <w:bCs w:val="0"/>
          <w:i w:val="0"/>
          <w:iCs w:val="0"/>
          <w:caps w:val="0"/>
          <w:color w:val="auto"/>
          <w:spacing w:val="11"/>
          <w:sz w:val="32"/>
          <w:szCs w:val="32"/>
        </w:rPr>
      </w:pPr>
      <w:r>
        <w:rPr>
          <w:rFonts w:hint="default" w:ascii="楷体_GB2312" w:eastAsia="楷体_GB2312" w:cs="楷体_GB2312"/>
          <w:b/>
          <w:bCs/>
          <w:i w:val="0"/>
          <w:iCs w:val="0"/>
          <w:caps w:val="0"/>
          <w:color w:val="auto"/>
          <w:spacing w:val="11"/>
          <w:sz w:val="32"/>
          <w:szCs w:val="32"/>
          <w:shd w:val="clear" w:fill="FFFFFF"/>
        </w:rPr>
        <w:t>（一）综合评价结论。</w:t>
      </w:r>
      <w:r>
        <w:rPr>
          <w:rFonts w:hint="eastAsia" w:ascii="仿宋" w:hAnsi="仿宋" w:eastAsia="仿宋" w:cs="仿宋"/>
          <w:b w:val="0"/>
          <w:bCs w:val="0"/>
          <w:i w:val="0"/>
          <w:iCs w:val="0"/>
          <w:caps w:val="0"/>
          <w:color w:val="auto"/>
          <w:spacing w:val="11"/>
          <w:sz w:val="32"/>
          <w:szCs w:val="32"/>
          <w:shd w:val="clear" w:fill="FFFFFF"/>
        </w:rPr>
        <w:t>反映自评得分及评价等级。</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根据部门整体支出绩效评价指标规定的内容，经我单位认真自评，总评分为100分，实际得分9</w:t>
      </w:r>
      <w:r>
        <w:rPr>
          <w:rFonts w:hint="eastAsia" w:ascii="仿宋" w:hAnsi="仿宋" w:eastAsia="仿宋" w:cs="仿宋"/>
          <w:b w:val="0"/>
          <w:bCs w:val="0"/>
          <w:color w:val="auto"/>
          <w:spacing w:val="11"/>
          <w:sz w:val="32"/>
          <w:szCs w:val="32"/>
          <w:highlight w:val="none"/>
          <w:lang w:val="en-US" w:eastAsia="zh-CN"/>
        </w:rPr>
        <w:t>8</w:t>
      </w:r>
      <w:r>
        <w:rPr>
          <w:rFonts w:hint="eastAsia" w:ascii="仿宋" w:hAnsi="仿宋" w:eastAsia="仿宋" w:cs="仿宋"/>
          <w:b w:val="0"/>
          <w:bCs w:val="0"/>
          <w:color w:val="auto"/>
          <w:spacing w:val="11"/>
          <w:sz w:val="32"/>
          <w:szCs w:val="32"/>
          <w:highlight w:val="none"/>
          <w:lang w:eastAsia="zh-CN"/>
        </w:rPr>
        <w:t>分，202</w:t>
      </w:r>
      <w:r>
        <w:rPr>
          <w:rFonts w:hint="eastAsia" w:ascii="仿宋" w:hAnsi="仿宋" w:eastAsia="仿宋" w:cs="仿宋"/>
          <w:b w:val="0"/>
          <w:bCs w:val="0"/>
          <w:color w:val="auto"/>
          <w:spacing w:val="11"/>
          <w:sz w:val="32"/>
          <w:szCs w:val="32"/>
          <w:highlight w:val="none"/>
          <w:lang w:val="en-US" w:eastAsia="zh-CN"/>
        </w:rPr>
        <w:t>4</w:t>
      </w:r>
      <w:r>
        <w:rPr>
          <w:rFonts w:hint="eastAsia" w:ascii="仿宋" w:hAnsi="仿宋" w:eastAsia="仿宋" w:cs="仿宋"/>
          <w:b w:val="0"/>
          <w:bCs w:val="0"/>
          <w:color w:val="auto"/>
          <w:spacing w:val="11"/>
          <w:sz w:val="32"/>
          <w:szCs w:val="32"/>
          <w:highlight w:val="none"/>
          <w:lang w:eastAsia="zh-CN"/>
        </w:rPr>
        <w:t>年度部门整体绩效评价为优秀。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按照市</w:t>
      </w:r>
      <w:r>
        <w:rPr>
          <w:rFonts w:hint="eastAsia" w:ascii="仿宋" w:hAnsi="仿宋" w:eastAsia="仿宋" w:cs="仿宋"/>
          <w:b w:val="0"/>
          <w:bCs w:val="0"/>
          <w:color w:val="auto"/>
          <w:spacing w:val="6"/>
          <w:sz w:val="32"/>
          <w:szCs w:val="32"/>
          <w:highlight w:val="none"/>
          <w:lang w:eastAsia="zh-CN"/>
        </w:rPr>
        <w:t>级部门预决算编制通知和有关要求，按时完成预决算编制工作，并及时在网上进行预决算公开。部门整体绩效目标编制完整、合理，项目绩效目标编制明确、量化。按要求严格预算执行管理，及时足额将专项资金按标准拨付。严格执行“三公经</w:t>
      </w:r>
      <w:r>
        <w:rPr>
          <w:rFonts w:hint="eastAsia" w:ascii="仿宋" w:hAnsi="仿宋" w:eastAsia="仿宋" w:cs="仿宋"/>
          <w:b w:val="0"/>
          <w:bCs w:val="0"/>
          <w:color w:val="auto"/>
          <w:spacing w:val="11"/>
          <w:sz w:val="32"/>
          <w:szCs w:val="32"/>
          <w:highlight w:val="none"/>
          <w:lang w:eastAsia="zh-CN"/>
        </w:rPr>
        <w:t>费”预算，按要求及时公开预算、决算、绩效等信息。按要求及时、准确、全面开展资产清查工作，上报国有资产报表数据真实、准确、全面。内部控制制度健全完整并执行良好，在本年度内未出现廉政风险。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84" w:firstLineChars="200"/>
        <w:jc w:val="both"/>
        <w:textAlignment w:val="auto"/>
        <w:rPr>
          <w:rFonts w:hint="default" w:ascii="楷体_GB2312" w:eastAsia="楷体_GB2312" w:cs="楷体_GB2312"/>
          <w:b/>
          <w:bCs/>
          <w:i w:val="0"/>
          <w:iCs w:val="0"/>
          <w:caps w:val="0"/>
          <w:color w:val="auto"/>
          <w:spacing w:val="11"/>
          <w:sz w:val="32"/>
          <w:szCs w:val="32"/>
          <w:shd w:val="clear" w:fill="FFFFFF"/>
        </w:rPr>
      </w:pPr>
      <w:r>
        <w:rPr>
          <w:rFonts w:hint="default" w:ascii="楷体_GB2312" w:eastAsia="楷体_GB2312" w:cs="楷体_GB2312"/>
          <w:b/>
          <w:bCs/>
          <w:i w:val="0"/>
          <w:iCs w:val="0"/>
          <w:caps w:val="0"/>
          <w:color w:val="auto"/>
          <w:spacing w:val="11"/>
          <w:sz w:val="32"/>
          <w:szCs w:val="32"/>
          <w:shd w:val="clear" w:fill="FFFFFF"/>
        </w:rPr>
        <w:t>（二）评价指标分析（或综合评价情况）。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我单位围绕部门职责、行业发展规划，以预算资金管理为主线，从整体绩效目标设定、预算配置、预算执行、预算管理、资产管理、职责履行、履职效益等方面综合分析。总结归纳本部门“四本预算”支出的绩效目标完成情况，实现产出和取得效益的情况。</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绩效目标完成情况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rightChars="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完成全年绩效目标，做到：切实规范移民安置管理，有效抓好移民安置验收工作，抓实遗留问题调处力度；拓展移民后期扶持工作，有效加快移民美丽家园建设，扎实推进后扶项目实施，全力促进移民产业发展，提升移民培训效果，加强移民后扶信息管理，抓实移民直补资金“一卡通”发放工作，抓好移民返乡创业工作；规范移民资金项目管理，提升移民资金使用效益，持续化解存量资金，加强项目资金监管，强化项目管理；抓实库区移民信访工作，确保库区经济社会稳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84" w:firstLineChars="200"/>
        <w:jc w:val="both"/>
        <w:textAlignment w:val="auto"/>
        <w:rPr>
          <w:rFonts w:hint="default" w:ascii="黑体" w:hAnsi="黑体" w:eastAsia="黑体" w:cs="黑体"/>
          <w:b w:val="0"/>
          <w:bCs w:val="0"/>
          <w:i w:val="0"/>
          <w:iCs w:val="0"/>
          <w:caps w:val="0"/>
          <w:color w:val="auto"/>
          <w:spacing w:val="11"/>
          <w:sz w:val="32"/>
          <w:szCs w:val="32"/>
          <w:shd w:val="clear" w:fill="FFFFFF"/>
        </w:rPr>
      </w:pPr>
      <w:r>
        <w:rPr>
          <w:rFonts w:hint="default" w:ascii="黑体" w:hAnsi="黑体" w:eastAsia="黑体" w:cs="黑体"/>
          <w:b w:val="0"/>
          <w:bCs w:val="0"/>
          <w:i w:val="0"/>
          <w:iCs w:val="0"/>
          <w:caps w:val="0"/>
          <w:color w:val="auto"/>
          <w:spacing w:val="11"/>
          <w:sz w:val="32"/>
          <w:szCs w:val="32"/>
          <w:shd w:val="clear" w:fill="FFFFFF"/>
        </w:rPr>
        <w:t>2.</w:t>
      </w:r>
      <w:r>
        <w:rPr>
          <w:rFonts w:hint="eastAsia" w:ascii="仿宋_GB2312" w:hAnsi="仿宋_GB2312" w:eastAsia="仿宋_GB2312" w:cs="仿宋_GB2312"/>
          <w:b w:val="0"/>
          <w:bCs w:val="0"/>
          <w:color w:val="auto"/>
          <w:spacing w:val="11"/>
          <w:sz w:val="32"/>
          <w:szCs w:val="32"/>
          <w:highlight w:val="none"/>
          <w:lang w:eastAsia="zh-CN"/>
        </w:rPr>
        <w:t>实现产出</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val="0"/>
          <w:bCs w:val="0"/>
          <w:color w:val="auto"/>
          <w:spacing w:val="11"/>
          <w:sz w:val="32"/>
          <w:szCs w:val="32"/>
          <w:highlight w:val="none"/>
          <w:lang w:eastAsia="zh-CN"/>
        </w:rPr>
        <w:t>（1）数量指标：</w:t>
      </w:r>
      <w:r>
        <w:rPr>
          <w:rFonts w:hint="eastAsia" w:ascii="仿宋" w:hAnsi="仿宋" w:eastAsia="仿宋" w:cs="仿宋"/>
          <w:color w:val="auto"/>
          <w:spacing w:val="0"/>
          <w:sz w:val="32"/>
          <w:szCs w:val="32"/>
          <w:lang w:val="en-US" w:eastAsia="zh-CN"/>
        </w:rPr>
        <w:t>坚持以移民为中心，多举措并举解难题办实事。切实解决库区群众安全出行和消除水上交通重大安全隐患,帮助库区群众解决出行难、乘船难、运输难问题,安排400万元支持托口库区洪江市托口镇三里村、杨柳村、阳岫村、马田村,会同县漠滨乡金子村、洞头冲村,芷江县碧涌镇清江村、大龙村等8个移民村购置符合航道升级要求的标准化农村客运船舶。协调解决托口水电站滑坡塌岸等历史遗留问题，召开托口水电站芷江县库区受库水影响滑坡塌岸治理协调会议，明确托口水电站芷江库区滑坡塌岸治理工程项目所需资金77万元，由怀化沅江电力开发有限责任公司出资解决。攻坚克难解决历史遗留问题，推进平安库区建设维稳定。重点对中方县铜湾集镇防洪堤加固工程、靖州二凉亭园艺示范场安置移民土地及房屋办证等问题进行督促指导,依法化解库区矛盾。全年收到上级交办函、市长热线电话、群众来信来访共190件/452人次，已办结190件/452人次，办结率100%。信访量同比去年下降30%，没有发生赴省进京上访的情况。</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（2）质量指标：达标完成率100%。</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（3）时效指标：202</w:t>
      </w:r>
      <w:r>
        <w:rPr>
          <w:rFonts w:hint="eastAsia" w:ascii="仿宋" w:hAnsi="仿宋" w:eastAsia="仿宋" w:cs="仿宋"/>
          <w:b w:val="0"/>
          <w:bCs w:val="0"/>
          <w:color w:val="auto"/>
          <w:spacing w:val="11"/>
          <w:sz w:val="32"/>
          <w:szCs w:val="32"/>
          <w:highlight w:val="none"/>
          <w:lang w:val="en-US" w:eastAsia="zh-CN"/>
        </w:rPr>
        <w:t>4</w:t>
      </w:r>
      <w:r>
        <w:rPr>
          <w:rFonts w:hint="eastAsia" w:ascii="仿宋" w:hAnsi="仿宋" w:eastAsia="仿宋" w:cs="仿宋"/>
          <w:b w:val="0"/>
          <w:bCs w:val="0"/>
          <w:color w:val="auto"/>
          <w:spacing w:val="11"/>
          <w:sz w:val="32"/>
          <w:szCs w:val="32"/>
          <w:highlight w:val="none"/>
          <w:lang w:eastAsia="zh-CN"/>
        </w:rPr>
        <w:t>年12月31日之前已完成。</w:t>
      </w: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84" w:firstLineChars="200"/>
        <w:jc w:val="both"/>
        <w:textAlignment w:val="auto"/>
        <w:rPr>
          <w:rFonts w:hint="default" w:ascii="仿宋" w:hAnsi="仿宋" w:eastAsia="仿宋" w:cs="仿宋"/>
          <w:b w:val="0"/>
          <w:bCs w:val="0"/>
          <w:color w:val="auto"/>
          <w:spacing w:val="11"/>
          <w:sz w:val="32"/>
          <w:szCs w:val="32"/>
          <w:highlight w:val="none"/>
          <w:lang w:val="en-US" w:eastAsia="zh-CN"/>
        </w:rPr>
      </w:pPr>
      <w:r>
        <w:rPr>
          <w:rFonts w:hint="eastAsia" w:ascii="仿宋" w:hAnsi="仿宋" w:eastAsia="仿宋" w:cs="仿宋"/>
          <w:b w:val="0"/>
          <w:bCs w:val="0"/>
          <w:color w:val="auto"/>
          <w:spacing w:val="11"/>
          <w:sz w:val="32"/>
          <w:szCs w:val="32"/>
          <w:highlight w:val="none"/>
          <w:lang w:eastAsia="zh-CN"/>
        </w:rPr>
        <w:t>（4）成本指标：</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533.33万元。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84" w:firstLineChars="200"/>
        <w:jc w:val="both"/>
        <w:textAlignment w:val="auto"/>
        <w:rPr>
          <w:rFonts w:hint="eastAsia" w:ascii="仿宋_GB2312" w:hAnsi="仿宋_GB2312" w:eastAsia="仿宋_GB2312" w:cs="仿宋_GB2312"/>
          <w:b w:val="0"/>
          <w:bCs w:val="0"/>
          <w:color w:val="auto"/>
          <w:spacing w:val="11"/>
          <w:sz w:val="32"/>
          <w:szCs w:val="32"/>
          <w:highlight w:val="none"/>
          <w:lang w:eastAsia="zh-CN"/>
        </w:rPr>
      </w:pPr>
      <w:r>
        <w:rPr>
          <w:rFonts w:hint="default" w:ascii="黑体" w:hAnsi="黑体" w:eastAsia="黑体" w:cs="黑体"/>
          <w:b w:val="0"/>
          <w:bCs w:val="0"/>
          <w:i w:val="0"/>
          <w:iCs w:val="0"/>
          <w:caps w:val="0"/>
          <w:color w:val="auto"/>
          <w:spacing w:val="11"/>
          <w:sz w:val="32"/>
          <w:szCs w:val="32"/>
          <w:shd w:val="clear" w:fill="FFFFFF"/>
        </w:rPr>
        <w:t>3.</w:t>
      </w:r>
      <w:r>
        <w:rPr>
          <w:rFonts w:hint="eastAsia" w:ascii="仿宋_GB2312" w:hAnsi="仿宋_GB2312" w:eastAsia="仿宋_GB2312" w:cs="仿宋_GB2312"/>
          <w:b w:val="0"/>
          <w:bCs w:val="0"/>
          <w:color w:val="auto"/>
          <w:spacing w:val="11"/>
          <w:sz w:val="32"/>
          <w:szCs w:val="32"/>
          <w:highlight w:val="none"/>
          <w:lang w:eastAsia="zh-CN"/>
        </w:rPr>
        <w:t>取得效益</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sz w:val="32"/>
          <w:szCs w:val="32"/>
          <w:lang w:val="en-US" w:eastAsia="zh-CN"/>
        </w:rPr>
        <w:t>(1).理论学习常抓不懈。</w:t>
      </w:r>
      <w:r>
        <w:rPr>
          <w:rFonts w:hint="eastAsia" w:ascii="仿宋" w:hAnsi="仿宋" w:eastAsia="仿宋" w:cs="仿宋"/>
          <w:color w:val="auto"/>
          <w:spacing w:val="0"/>
          <w:sz w:val="32"/>
          <w:szCs w:val="32"/>
          <w:lang w:val="en-US" w:eastAsia="zh-CN"/>
        </w:rPr>
        <w:t>始终把理论学习放在重要位置，坚持读原著、学原文、悟原理，做到学深悟透、融会贯通，把学习成果转化为推动工作开展的强大动力。扎实抓好党纪学习教育，坚持以讲促学，以知促行，认真开展学习贯彻习近平总书记来湖南考察重要讲话精神、党的二十届三中全会精神专题宣讲。坚持学以致用，弘扬“四下基层”优良作风，常态化开展“走找想促”调研活动，推动解决托口库区农村客运船舶不适航安全隐患、洪江市田坪滑坡体治理工程等一批发展所需、民心所盼的问题，用移民干部的“辛苦指数”换取移民群众的“满意指数”。</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sz w:val="32"/>
          <w:szCs w:val="32"/>
          <w:lang w:val="en-US" w:eastAsia="zh-CN"/>
        </w:rPr>
        <w:t>(2).重点工作亮点纷呈。一是争资争项促发展。</w:t>
      </w:r>
      <w:r>
        <w:rPr>
          <w:rFonts w:hint="eastAsia" w:ascii="仿宋" w:hAnsi="仿宋" w:eastAsia="仿宋" w:cs="仿宋"/>
          <w:color w:val="auto"/>
          <w:spacing w:val="0"/>
          <w:sz w:val="32"/>
          <w:szCs w:val="32"/>
          <w:lang w:val="en-US" w:eastAsia="zh-CN"/>
        </w:rPr>
        <w:t>主动向上争资争项，争取中央、省水库移民扶持资金4.51亿元，占全省份额的10.1%，比上年同期增长3.8%，其中专项资金1.6亿元，较上年增长66.8%，为历年之最。帮助沅陵县争取水利部解决突出问题项目，成功申报五强溪库区连片移民村规模化供水提升改造工程项目资金6500万元，资金量全省排名第二。争取73个重点移民村和产业示范移民村获得省移民专项资金1.46亿元，资金量全省排名第二。全市重点移民村和乡村振兴示范村建设项目提前两年全部成功申报并超额完成投资。争取库区和移民安置区农村集中供水“三化”建设项目18个，获得省移民专项资金2392万元，资金量全省排名第二。</w:t>
      </w:r>
      <w:r>
        <w:rPr>
          <w:rFonts w:hint="eastAsia" w:ascii="仿宋" w:hAnsi="仿宋" w:eastAsia="仿宋" w:cs="仿宋"/>
          <w:b/>
          <w:bCs/>
          <w:color w:val="auto"/>
          <w:spacing w:val="0"/>
          <w:sz w:val="32"/>
          <w:szCs w:val="32"/>
          <w:lang w:val="en-US" w:eastAsia="zh-CN"/>
        </w:rPr>
        <w:t>二是移民产业发展卓有成效。</w:t>
      </w:r>
      <w:r>
        <w:rPr>
          <w:rFonts w:hint="eastAsia" w:ascii="仿宋" w:hAnsi="仿宋" w:eastAsia="仿宋" w:cs="仿宋"/>
          <w:color w:val="auto"/>
          <w:spacing w:val="0"/>
          <w:sz w:val="32"/>
          <w:szCs w:val="32"/>
          <w:lang w:val="en-US" w:eastAsia="zh-CN"/>
        </w:rPr>
        <w:t>加大对移民产业的扶持力度，壮大移民村集体经济，切实促进移民增产增收。认真做好山水特色文章，大力发展乡村旅游和绿色农业，带动特色产业、农家乐、精品民宿等“文旅经济”发展，移民新村焕新颜，涌现了芷江县清江村、洪江市下坪村等一批网红“打卡地”。大力推进“光伏+”移民产业三年行动计划，以“光伏+”移民产业示范村建设为抓手，推动全市移民产业转型发展。积极引导各县市区与怀化高新区、县工业园战略合作，大力发展屋顶光伏。2024年，投入光伏产业7000万元，实现收益700万元以上，全市70个移民村每村每年村集体经济收入增加10万元，持续分红25年以上。怀化高新区移民光伏产业园投资5560万元、装机容量14兆瓦的光伏项目全面完工。会同县投入1480万元，在水坪溪产业园区建设装机容量3.8兆瓦的移民光伏电站，已并网发电。怀化创新“光伏+”移民产业发展的做法，在全省移民工作会上作典型经验发言，中宣部《学习强国》、《中国水利报》等媒体予以推介。</w:t>
      </w:r>
      <w:r>
        <w:rPr>
          <w:rFonts w:hint="eastAsia" w:ascii="仿宋" w:hAnsi="仿宋" w:eastAsia="仿宋" w:cs="仿宋"/>
          <w:b/>
          <w:bCs/>
          <w:color w:val="auto"/>
          <w:spacing w:val="0"/>
          <w:sz w:val="32"/>
          <w:szCs w:val="32"/>
          <w:lang w:val="en-US" w:eastAsia="zh-CN"/>
        </w:rPr>
        <w:t>三是抓实移民安置显担当。</w:t>
      </w:r>
      <w:r>
        <w:rPr>
          <w:rFonts w:hint="eastAsia" w:ascii="仿宋" w:hAnsi="仿宋" w:eastAsia="仿宋" w:cs="仿宋"/>
          <w:color w:val="auto"/>
          <w:spacing w:val="0"/>
          <w:sz w:val="32"/>
          <w:szCs w:val="32"/>
          <w:lang w:val="en-US" w:eastAsia="zh-CN"/>
        </w:rPr>
        <w:t>主动介入辰溪抽水蓄能电站、㵲水大型灌区等重点工程的前期工作，按时完成建设征地实物调查工作，参与编制建设征地移民安置规划大纲和移民安置规划报告。按要求完成工程项目批准前建设征地移民安置相关的所有工作，为保障省重点项目实施打下坚实基础。《㵲水大型灌区工程建设征地移民安置规划大纲》《怀化市㵲水大型灌区工程建设征地移民安置规划报告》分别获省人民政府批复、获省水利厅批复，㵲水大型灌区工程项目已列入国家发改委“双重”项目和42项水利标志性工程项目名单。</w:t>
      </w:r>
      <w:r>
        <w:rPr>
          <w:rFonts w:hint="eastAsia" w:ascii="仿宋" w:hAnsi="仿宋" w:eastAsia="仿宋" w:cs="仿宋"/>
          <w:b/>
          <w:bCs/>
          <w:color w:val="auto"/>
          <w:spacing w:val="0"/>
          <w:sz w:val="32"/>
          <w:szCs w:val="32"/>
          <w:lang w:val="en-US" w:eastAsia="zh-CN"/>
        </w:rPr>
        <w:t>四是强化资金项目监管保安全。</w:t>
      </w:r>
      <w:r>
        <w:rPr>
          <w:rFonts w:hint="eastAsia" w:ascii="仿宋" w:hAnsi="仿宋" w:eastAsia="仿宋" w:cs="仿宋"/>
          <w:color w:val="auto"/>
          <w:spacing w:val="0"/>
          <w:sz w:val="32"/>
          <w:szCs w:val="32"/>
          <w:lang w:val="en-US" w:eastAsia="zh-CN"/>
        </w:rPr>
        <w:t>始终将移民存量资金消减作为重要政治任务抓在手上，确保移民资金安全与高效使用。进一步完善移民资金使用监督检查和绩效评价等各项监管措施，对沅陵县等7个县市2023年度大中型水库移民后期扶持政策实施情况进行了监督检查，实地抽查项目57个，发现问题50个，提出监督检查意见50条，下发整改通知，跟踪落实整改情况。加大督查力度，先后2次以市政府督查室名义给各县市区人民政府下发督查通报，成效明显。全市存量资金由年初3.59亿消减至1.26亿，全年共消减存量资金2.33亿元。</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bCs/>
          <w:color w:val="auto"/>
          <w:spacing w:val="0"/>
          <w:sz w:val="32"/>
          <w:szCs w:val="32"/>
          <w:lang w:val="en-US" w:eastAsia="zh-CN"/>
        </w:rPr>
        <w:t>(3).服务移民不遗余力。</w:t>
      </w:r>
      <w:r>
        <w:rPr>
          <w:rFonts w:hint="eastAsia" w:ascii="仿宋" w:hAnsi="仿宋" w:eastAsia="仿宋" w:cs="仿宋"/>
          <w:color w:val="auto"/>
          <w:spacing w:val="0"/>
          <w:sz w:val="32"/>
          <w:szCs w:val="32"/>
          <w:lang w:val="en-US" w:eastAsia="zh-CN"/>
        </w:rPr>
        <w:t>坚持以移民为中心，多举措并举解难题办实事。切实解决库区群众安全出行和消除水上交通重大安全隐患,帮助库区群众解决出行难、乘船难、运输难问题,安排400万元支持托口库区洪江市托口镇三里村、杨柳村、阳岫村、马田村,会同县漠滨乡金子村、洞头冲村,芷江县碧涌镇清江村、大龙村等8个移民村购置符合航道升级要求的标准化农村客运船舶。协调解决托口水电站滑坡塌岸等历史遗留问题，召开托口水电站芷江县库区受库水影响滑坡塌岸治理协调会议，明确托口水电站芷江库区滑坡塌岸治理工程项目所需资金77万元，由怀化沅江电力开发有限责任公司出资解决。攻坚克难解决历史遗留问题，推进平安库区建设维稳定。重点对中方县铜湾集镇防洪堤加固工程、靖州二凉亭园艺示范场安置移民土地及房屋办证等问题进行督促指导,依法化解库区矛盾。全年收到上级交办函、市长热线电话、群众来信来访共190件/452人次，已办结190件/452人次，办结率100%。信访量同比去年下降30%，没有发生赴省进京上访的情况。认真抓好在建工程、避险搬迁安全生产工作,落实各项安全管理措施，加强重点部位隐患排查，加强地质灾害防范工作,完善防汛度汛工作预案,确保库区一方安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rPr>
      </w:pPr>
      <w:r>
        <w:rPr>
          <w:rFonts w:hint="eastAsia" w:ascii="黑体" w:hAnsi="黑体" w:eastAsia="黑体" w:cs="黑体"/>
          <w:b w:val="0"/>
          <w:bCs w:val="0"/>
          <w:i w:val="0"/>
          <w:iCs w:val="0"/>
          <w:caps w:val="0"/>
          <w:color w:val="auto"/>
          <w:spacing w:val="11"/>
          <w:sz w:val="32"/>
          <w:szCs w:val="32"/>
          <w:shd w:val="clear" w:fill="FFFFFF"/>
          <w:lang w:eastAsia="zh-CN"/>
        </w:rPr>
        <w:t>九</w:t>
      </w:r>
      <w:r>
        <w:rPr>
          <w:rFonts w:hint="eastAsia" w:ascii="黑体" w:hAnsi="黑体" w:eastAsia="黑体" w:cs="黑体"/>
          <w:b w:val="0"/>
          <w:bCs w:val="0"/>
          <w:i w:val="0"/>
          <w:iCs w:val="0"/>
          <w:caps w:val="0"/>
          <w:color w:val="auto"/>
          <w:spacing w:val="11"/>
          <w:sz w:val="32"/>
          <w:szCs w:val="32"/>
          <w:shd w:val="clear" w:fill="FFFFFF"/>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1</w:t>
      </w:r>
      <w:r>
        <w:rPr>
          <w:rFonts w:hint="eastAsia" w:ascii="仿宋" w:hAnsi="仿宋" w:eastAsia="仿宋" w:cs="仿宋"/>
          <w:b w:val="0"/>
          <w:bCs w:val="0"/>
          <w:color w:val="auto"/>
          <w:spacing w:val="11"/>
          <w:sz w:val="32"/>
          <w:szCs w:val="32"/>
          <w:highlight w:val="none"/>
          <w:lang w:val="en-US" w:eastAsia="zh-CN"/>
        </w:rPr>
        <w:t>.</w:t>
      </w:r>
      <w:r>
        <w:rPr>
          <w:rFonts w:hint="eastAsia" w:ascii="仿宋" w:hAnsi="仿宋" w:eastAsia="仿宋" w:cs="仿宋"/>
          <w:b w:val="0"/>
          <w:bCs w:val="0"/>
          <w:color w:val="auto"/>
          <w:spacing w:val="11"/>
          <w:sz w:val="32"/>
          <w:szCs w:val="32"/>
          <w:highlight w:val="none"/>
          <w:lang w:eastAsia="zh-CN"/>
        </w:rPr>
        <w:t>全面预算绩效管理工作经验不太丰富，绩效管理专业人员匮乏，规范管理有盲点。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2</w:t>
      </w:r>
      <w:r>
        <w:rPr>
          <w:rFonts w:hint="eastAsia" w:ascii="仿宋" w:hAnsi="仿宋" w:eastAsia="仿宋" w:cs="仿宋"/>
          <w:b w:val="0"/>
          <w:bCs w:val="0"/>
          <w:color w:val="auto"/>
          <w:spacing w:val="11"/>
          <w:sz w:val="32"/>
          <w:szCs w:val="32"/>
          <w:highlight w:val="none"/>
          <w:lang w:val="en-US" w:eastAsia="zh-CN"/>
        </w:rPr>
        <w:t>.</w:t>
      </w:r>
      <w:r>
        <w:rPr>
          <w:rFonts w:hint="eastAsia" w:ascii="仿宋" w:hAnsi="仿宋" w:eastAsia="仿宋" w:cs="仿宋"/>
          <w:b w:val="0"/>
          <w:bCs w:val="0"/>
          <w:color w:val="auto"/>
          <w:spacing w:val="11"/>
          <w:sz w:val="32"/>
          <w:szCs w:val="32"/>
          <w:highlight w:val="none"/>
          <w:lang w:eastAsia="zh-CN"/>
        </w:rPr>
        <w:t>部门预算编制的科学化、精细化有待提高。目前，预算编制要求经济科目细化到款级，但在实际编制过程中，由于有的预算支出项目具有预测性和不确定性等特点，造成实际支出与预算编制不太相符。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rPr>
      </w:pPr>
      <w:r>
        <w:rPr>
          <w:rFonts w:hint="eastAsia" w:ascii="黑体" w:hAnsi="黑体" w:eastAsia="黑体" w:cs="黑体"/>
          <w:b w:val="0"/>
          <w:bCs w:val="0"/>
          <w:i w:val="0"/>
          <w:iCs w:val="0"/>
          <w:caps w:val="0"/>
          <w:color w:val="auto"/>
          <w:spacing w:val="11"/>
          <w:sz w:val="32"/>
          <w:szCs w:val="32"/>
          <w:shd w:val="clear" w:fill="FFFFFF"/>
          <w:lang w:eastAsia="zh-CN"/>
        </w:rPr>
        <w:t>十</w:t>
      </w:r>
      <w:r>
        <w:rPr>
          <w:rFonts w:hint="eastAsia" w:ascii="黑体" w:hAnsi="黑体" w:eastAsia="黑体" w:cs="黑体"/>
          <w:b w:val="0"/>
          <w:bCs w:val="0"/>
          <w:i w:val="0"/>
          <w:iCs w:val="0"/>
          <w:caps w:val="0"/>
          <w:color w:val="auto"/>
          <w:spacing w:val="11"/>
          <w:sz w:val="32"/>
          <w:szCs w:val="32"/>
          <w:shd w:val="clear" w:fill="FFFFFF"/>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1</w:t>
      </w:r>
      <w:r>
        <w:rPr>
          <w:rFonts w:hint="eastAsia" w:ascii="仿宋" w:hAnsi="仿宋" w:eastAsia="仿宋" w:cs="仿宋"/>
          <w:b w:val="0"/>
          <w:bCs w:val="0"/>
          <w:color w:val="auto"/>
          <w:spacing w:val="11"/>
          <w:sz w:val="32"/>
          <w:szCs w:val="32"/>
          <w:highlight w:val="none"/>
          <w:lang w:val="en-US" w:eastAsia="zh-CN"/>
        </w:rPr>
        <w:t>.</w:t>
      </w:r>
      <w:r>
        <w:rPr>
          <w:rFonts w:hint="eastAsia" w:ascii="仿宋" w:hAnsi="仿宋" w:eastAsia="仿宋" w:cs="仿宋"/>
          <w:b w:val="0"/>
          <w:bCs w:val="0"/>
          <w:color w:val="auto"/>
          <w:spacing w:val="11"/>
          <w:sz w:val="32"/>
          <w:szCs w:val="32"/>
          <w:highlight w:val="none"/>
          <w:lang w:eastAsia="zh-CN"/>
        </w:rPr>
        <w:t>我们将更加全面、细致地制定绩效目标，进一步严肃财经纪律，在实施过程中遵循“实事求是、尊重客观、力求精准”的原则，努力使项目资金落到实处。</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2</w:t>
      </w:r>
      <w:r>
        <w:rPr>
          <w:rFonts w:hint="eastAsia" w:ascii="仿宋" w:hAnsi="仿宋" w:eastAsia="仿宋" w:cs="仿宋"/>
          <w:b w:val="0"/>
          <w:bCs w:val="0"/>
          <w:color w:val="auto"/>
          <w:spacing w:val="11"/>
          <w:sz w:val="32"/>
          <w:szCs w:val="32"/>
          <w:highlight w:val="none"/>
          <w:lang w:val="en-US" w:eastAsia="zh-CN"/>
        </w:rPr>
        <w:t>.</w:t>
      </w:r>
      <w:r>
        <w:rPr>
          <w:rFonts w:hint="eastAsia" w:ascii="仿宋" w:hAnsi="仿宋" w:eastAsia="仿宋" w:cs="仿宋"/>
          <w:b w:val="0"/>
          <w:bCs w:val="0"/>
          <w:color w:val="auto"/>
          <w:spacing w:val="11"/>
          <w:sz w:val="32"/>
          <w:szCs w:val="32"/>
          <w:highlight w:val="none"/>
          <w:lang w:eastAsia="zh-CN"/>
        </w:rPr>
        <w:t>我们将落实内控制度，严肃执行“三重一大”的原则，深入开展政府购买社会化服务，切实引进社会化竞争机制，引进相关专业人才，保障项目在公开、公平、公正的监督环境中实施，有效节约项目资金，把有限的资金用在刀刃上。</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3</w:t>
      </w:r>
      <w:r>
        <w:rPr>
          <w:rFonts w:hint="eastAsia" w:ascii="仿宋" w:hAnsi="仿宋" w:eastAsia="仿宋" w:cs="仿宋"/>
          <w:b w:val="0"/>
          <w:bCs w:val="0"/>
          <w:color w:val="auto"/>
          <w:spacing w:val="11"/>
          <w:sz w:val="32"/>
          <w:szCs w:val="32"/>
          <w:highlight w:val="none"/>
          <w:lang w:val="en-US" w:eastAsia="zh-CN"/>
        </w:rPr>
        <w:t>.</w:t>
      </w:r>
      <w:r>
        <w:rPr>
          <w:rFonts w:hint="eastAsia" w:ascii="仿宋" w:hAnsi="仿宋" w:eastAsia="仿宋" w:cs="仿宋"/>
          <w:b w:val="0"/>
          <w:bCs w:val="0"/>
          <w:color w:val="auto"/>
          <w:spacing w:val="11"/>
          <w:sz w:val="32"/>
          <w:szCs w:val="32"/>
          <w:highlight w:val="none"/>
          <w:lang w:eastAsia="zh-CN"/>
        </w:rPr>
        <w:t>加强对财政资金的拨付和使用管理，加强对财务干</w:t>
      </w:r>
      <w:bookmarkStart w:id="3" w:name="_GoBack"/>
      <w:bookmarkEnd w:id="3"/>
      <w:r>
        <w:rPr>
          <w:rFonts w:hint="eastAsia" w:ascii="仿宋" w:hAnsi="仿宋" w:eastAsia="仿宋" w:cs="仿宋"/>
          <w:b w:val="0"/>
          <w:bCs w:val="0"/>
          <w:color w:val="auto"/>
          <w:spacing w:val="11"/>
          <w:sz w:val="32"/>
          <w:szCs w:val="32"/>
          <w:highlight w:val="none"/>
          <w:lang w:eastAsia="zh-CN"/>
        </w:rPr>
        <w:t>部职工的业务培训，强化预算管理意识，严格执行预算，做到专账核算，确保专款专用。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rPr>
      </w:pPr>
      <w:r>
        <w:rPr>
          <w:rFonts w:hint="eastAsia" w:ascii="黑体" w:hAnsi="黑体" w:eastAsia="黑体" w:cs="黑体"/>
          <w:b w:val="0"/>
          <w:bCs w:val="0"/>
          <w:i w:val="0"/>
          <w:iCs w:val="0"/>
          <w:caps w:val="0"/>
          <w:color w:val="auto"/>
          <w:spacing w:val="11"/>
          <w:sz w:val="32"/>
          <w:szCs w:val="32"/>
          <w:shd w:val="clear" w:fill="FFFFFF"/>
          <w:lang w:eastAsia="zh-CN"/>
        </w:rPr>
        <w:t>十一</w:t>
      </w:r>
      <w:r>
        <w:rPr>
          <w:rFonts w:hint="eastAsia" w:ascii="黑体" w:hAnsi="黑体" w:eastAsia="黑体" w:cs="黑体"/>
          <w:b w:val="0"/>
          <w:bCs w:val="0"/>
          <w:i w:val="0"/>
          <w:iCs w:val="0"/>
          <w:caps w:val="0"/>
          <w:color w:val="auto"/>
          <w:spacing w:val="11"/>
          <w:sz w:val="32"/>
          <w:szCs w:val="32"/>
          <w:shd w:val="clear" w:fill="FFFFFF"/>
        </w:rPr>
        <w:t>、</w:t>
      </w:r>
      <w:r>
        <w:rPr>
          <w:rFonts w:hint="eastAsia" w:ascii="黑体" w:hAnsi="黑体" w:eastAsia="黑体" w:cs="黑体"/>
          <w:b w:val="0"/>
          <w:bCs w:val="0"/>
          <w:i w:val="0"/>
          <w:iCs w:val="0"/>
          <w:caps w:val="0"/>
          <w:color w:val="auto"/>
          <w:spacing w:val="11"/>
          <w:sz w:val="32"/>
          <w:szCs w:val="32"/>
          <w:shd w:val="clear" w:fill="FFFFFF"/>
          <w:lang w:eastAsia="zh-CN"/>
        </w:rPr>
        <w:t>绩效自评结果拟应用和公开</w:t>
      </w:r>
      <w:r>
        <w:rPr>
          <w:rFonts w:hint="eastAsia" w:ascii="黑体" w:hAnsi="黑体" w:eastAsia="黑体" w:cs="黑体"/>
          <w:b w:val="0"/>
          <w:bCs w:val="0"/>
          <w:i w:val="0"/>
          <w:iCs w:val="0"/>
          <w:caps w:val="0"/>
          <w:color w:val="auto"/>
          <w:spacing w:val="11"/>
          <w:sz w:val="32"/>
          <w:szCs w:val="32"/>
          <w:shd w:val="clear" w:fill="FFFFFF"/>
        </w:rPr>
        <w:t>情况</w:t>
      </w:r>
    </w:p>
    <w:p>
      <w:pPr>
        <w:widowControl w:val="0"/>
        <w:kinsoku/>
        <w:autoSpaceDE/>
        <w:autoSpaceDN/>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2024年度我单位整体支出</w:t>
      </w:r>
      <w:r>
        <w:rPr>
          <w:rFonts w:hint="eastAsia" w:ascii="仿宋" w:hAnsi="仿宋" w:eastAsia="仿宋" w:cs="仿宋"/>
          <w:color w:val="auto"/>
          <w:sz w:val="32"/>
          <w:szCs w:val="32"/>
          <w:lang w:eastAsia="zh-CN"/>
        </w:rPr>
        <w:t>达到预期绩效目标。</w:t>
      </w:r>
    </w:p>
    <w:p>
      <w:pPr>
        <w:widowControl w:val="0"/>
        <w:kinsoku/>
        <w:autoSpaceDE/>
        <w:autoSpaceDN/>
        <w:adjustRightInd/>
        <w:snapToGrid/>
        <w:spacing w:line="560" w:lineRule="exact"/>
        <w:ind w:firstLine="640" w:firstLineChars="200"/>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color w:val="auto"/>
          <w:sz w:val="32"/>
          <w:szCs w:val="32"/>
          <w:lang w:eastAsia="zh-CN"/>
        </w:rPr>
        <w:t>建议：</w:t>
      </w:r>
      <w:r>
        <w:rPr>
          <w:rFonts w:hint="eastAsia" w:ascii="仿宋" w:hAnsi="仿宋" w:eastAsia="仿宋" w:cs="仿宋"/>
          <w:bCs/>
          <w:color w:val="auto"/>
          <w:sz w:val="32"/>
          <w:szCs w:val="32"/>
          <w:lang w:eastAsia="zh-CN"/>
        </w:rPr>
        <w:t>绩效自评结果作为我单位改进管理，安排以后年度预算的重要参考依据，把绩效自评结果依法予以公开。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84" w:firstLineChars="200"/>
        <w:jc w:val="both"/>
        <w:textAlignment w:val="auto"/>
        <w:rPr>
          <w:rFonts w:hint="eastAsia" w:ascii="黑体" w:hAnsi="黑体" w:eastAsia="黑体" w:cs="黑体"/>
          <w:b w:val="0"/>
          <w:bCs w:val="0"/>
          <w:i w:val="0"/>
          <w:iCs w:val="0"/>
          <w:caps w:val="0"/>
          <w:color w:val="auto"/>
          <w:spacing w:val="11"/>
          <w:sz w:val="32"/>
          <w:szCs w:val="32"/>
        </w:rPr>
      </w:pPr>
      <w:r>
        <w:rPr>
          <w:rFonts w:hint="eastAsia" w:ascii="黑体" w:hAnsi="黑体" w:eastAsia="黑体" w:cs="黑体"/>
          <w:b w:val="0"/>
          <w:bCs w:val="0"/>
          <w:i w:val="0"/>
          <w:iCs w:val="0"/>
          <w:caps w:val="0"/>
          <w:color w:val="auto"/>
          <w:spacing w:val="11"/>
          <w:sz w:val="32"/>
          <w:szCs w:val="32"/>
          <w:shd w:val="clear" w:fill="FFFFFF"/>
          <w:lang w:eastAsia="zh-CN"/>
        </w:rPr>
        <w:t>十二</w:t>
      </w:r>
      <w:r>
        <w:rPr>
          <w:rFonts w:hint="eastAsia" w:ascii="黑体" w:hAnsi="黑体" w:eastAsia="黑体" w:cs="黑体"/>
          <w:b w:val="0"/>
          <w:bCs w:val="0"/>
          <w:i w:val="0"/>
          <w:iCs w:val="0"/>
          <w:caps w:val="0"/>
          <w:color w:val="auto"/>
          <w:spacing w:val="11"/>
          <w:sz w:val="32"/>
          <w:szCs w:val="32"/>
          <w:shd w:val="clear" w:fill="FFFFFF"/>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84" w:firstLineChars="200"/>
        <w:jc w:val="both"/>
        <w:textAlignment w:val="auto"/>
        <w:rPr>
          <w:rFonts w:hint="eastAsia" w:ascii="仿宋" w:hAnsi="仿宋" w:eastAsia="仿宋" w:cs="仿宋"/>
          <w:b w:val="0"/>
          <w:bCs w:val="0"/>
          <w:color w:val="auto"/>
          <w:spacing w:val="11"/>
          <w:sz w:val="32"/>
          <w:szCs w:val="32"/>
          <w:highlight w:val="none"/>
          <w:lang w:eastAsia="zh-CN"/>
        </w:rPr>
      </w:pPr>
      <w:r>
        <w:rPr>
          <w:rFonts w:hint="eastAsia" w:ascii="仿宋" w:hAnsi="仿宋" w:eastAsia="仿宋" w:cs="仿宋"/>
          <w:b w:val="0"/>
          <w:bCs w:val="0"/>
          <w:color w:val="auto"/>
          <w:spacing w:val="11"/>
          <w:sz w:val="32"/>
          <w:szCs w:val="32"/>
          <w:highlight w:val="none"/>
          <w:lang w:eastAsia="zh-CN"/>
        </w:rPr>
        <w:t>无。</w:t>
      </w:r>
    </w:p>
    <w:p>
      <w:pPr>
        <w:jc w:val="left"/>
        <w:rPr>
          <w:rFonts w:ascii="Times New Roman" w:hAnsi="Times New Roman" w:cs="Times New Roman"/>
          <w:color w:val="auto"/>
          <w:kern w:val="0"/>
          <w:sz w:val="32"/>
          <w:szCs w:val="32"/>
        </w:rPr>
      </w:pPr>
    </w:p>
    <w:sectPr>
      <w:headerReference r:id="rId6" w:type="default"/>
      <w:footerReference r:id="rId7" w:type="default"/>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DWDwIAAAcEAAAOAAAAZHJz&#10;L2Uyb0RvYy54bWytU82O0zAQviPxDpbvNGlRV1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rye5u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Z+jDW&#10;DwIAAAcEAAAOAAAAAAAAAAEAIAAAADUBAABkcnMvZTJvRG9jLnhtbFBLBQYAAAAABgAGAFkBAAC2&#10;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30ADE"/>
    <w:multiLevelType w:val="singleLevel"/>
    <w:tmpl w:val="B0330ADE"/>
    <w:lvl w:ilvl="0" w:tentative="0">
      <w:start w:val="4"/>
      <w:numFmt w:val="chineseCounting"/>
      <w:suff w:val="nothing"/>
      <w:lvlText w:val="%1、"/>
      <w:lvlJc w:val="left"/>
      <w:rPr>
        <w:rFonts w:hint="eastAsia"/>
      </w:rPr>
    </w:lvl>
  </w:abstractNum>
  <w:abstractNum w:abstractNumId="1">
    <w:nsid w:val="DC793AB1"/>
    <w:multiLevelType w:val="singleLevel"/>
    <w:tmpl w:val="DC793AB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BA43B6F"/>
    <w:rsid w:val="2FDF85B8"/>
    <w:rsid w:val="2FFFEE04"/>
    <w:rsid w:val="32FA8245"/>
    <w:rsid w:val="34DF85B0"/>
    <w:rsid w:val="3B8F36BC"/>
    <w:rsid w:val="491FF225"/>
    <w:rsid w:val="4FFD214C"/>
    <w:rsid w:val="53FF82A3"/>
    <w:rsid w:val="5777D4F5"/>
    <w:rsid w:val="59DD8326"/>
    <w:rsid w:val="5B3F2162"/>
    <w:rsid w:val="5DEF592A"/>
    <w:rsid w:val="5FC6BB1E"/>
    <w:rsid w:val="5FF720F1"/>
    <w:rsid w:val="67FF5C0B"/>
    <w:rsid w:val="6EFC0924"/>
    <w:rsid w:val="6FB74722"/>
    <w:rsid w:val="6FEF8B7E"/>
    <w:rsid w:val="71A6591B"/>
    <w:rsid w:val="737D59BA"/>
    <w:rsid w:val="77C37683"/>
    <w:rsid w:val="79D19834"/>
    <w:rsid w:val="79FF515B"/>
    <w:rsid w:val="7CBF6837"/>
    <w:rsid w:val="7DCD8C8A"/>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36"/>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1</TotalTime>
  <ScaleCrop>false</ScaleCrop>
  <LinksUpToDate>false</LinksUpToDate>
  <CharactersWithSpaces>9786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2025-08-19T10:17:00Z</dcterms:created>
  <dc:creator>李航 null</dc:creator>
  <cp:lastModifiedBy>greatwall</cp:lastModifiedBy>
  <cp:lastPrinted>2024-08-09T18:20:00Z</cp:lastPrinted>
  <dcterms:modified xsi:type="dcterms:W3CDTF">2025-09-19T23:08:51Z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BB7B6AA21D207914D6FDA268992A22D6</vt:lpwstr>
  </property>
</Properties>
</file>