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rFonts w:hint="eastAsia"/>
          <w:sz w:val="84"/>
          <w:szCs w:val="84"/>
          <w:lang w:val="en-US" w:eastAsia="zh-CN"/>
        </w:rPr>
      </w:pPr>
      <w:r>
        <w:rPr>
          <w:rFonts w:hint="eastAsia"/>
          <w:sz w:val="84"/>
          <w:szCs w:val="84"/>
          <w:lang w:val="en-US" w:eastAsia="zh-CN"/>
        </w:rPr>
        <w:t>怀化市园林绿化服务中心</w:t>
      </w:r>
    </w:p>
    <w:p>
      <w:pPr>
        <w:pStyle w:val="12"/>
        <w:jc w:val="center"/>
        <w:rPr>
          <w:sz w:val="84"/>
          <w:szCs w:val="84"/>
        </w:rPr>
      </w:pP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第一部分XX单位概况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rFonts w:hint="eastAsia"/>
          <w:sz w:val="84"/>
          <w:szCs w:val="84"/>
          <w:lang w:val="en-US" w:eastAsia="zh-CN"/>
        </w:rPr>
      </w:pPr>
      <w:r>
        <w:rPr>
          <w:rFonts w:hint="eastAsia"/>
          <w:sz w:val="84"/>
          <w:szCs w:val="84"/>
          <w:lang w:val="en-US" w:eastAsia="zh-CN"/>
        </w:rPr>
        <w:t>怀化市园林绿化服务中心</w:t>
      </w:r>
    </w:p>
    <w:p>
      <w:pPr>
        <w:pStyle w:val="12"/>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0" w:leftChars="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7" w:lineRule="atLeast"/>
        <w:ind w:left="0" w:right="0" w:firstLine="627"/>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1.贯彻执行国家、省有关园林绿化管理的方针、政策、法律、法规和规章，配合有关部门研究拟订本市实施细则。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7" w:lineRule="atLeast"/>
        <w:ind w:left="0" w:right="0" w:firstLine="627"/>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2.承担编制城区园林绿化近期、远期发展规划和园林绿化建设管理资金计划的有关具体工作。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7" w:lineRule="atLeast"/>
        <w:ind w:left="0" w:right="0" w:firstLine="627"/>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3.承担城市新建、改建、扩建工程附属绿化工程初审及施工监督、竣工验收的有关事务性工作。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7" w:lineRule="atLeast"/>
        <w:ind w:left="0" w:right="0" w:firstLine="627"/>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承担改变城市绿地规划、绿化用地使用性质审批初审及临时占用城市绿地、砍伐、移植、修剪城市树木（包括古树名木）许可初审的有关事务性工作；协助主管部门开展园林绿化执法督查，协助上级征收城市绿化补偿费等相关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7" w:lineRule="atLeast"/>
        <w:ind w:left="0" w:right="0" w:firstLine="627"/>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5.负责街旁绿地、街头游园、防护绿地、风景林地、行道及干道绿化带、滨江（水）风光带、广场等公共绿地的保护、管理和日常养护工作。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7" w:lineRule="atLeast"/>
        <w:ind w:left="0" w:right="0" w:firstLine="627"/>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6.承担城区城市公园、城市雕塑管理和维护的具体工作；负责城市规划区内生物多样性保护工作；推广城市园林绿化科技新成果、新技术，开展对外技术交流。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7" w:lineRule="atLeast"/>
        <w:ind w:left="0" w:right="0" w:firstLine="627"/>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7.参与指导县市区城镇园林绿化工作，促进园林绿化事业的发展。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7" w:lineRule="atLeast"/>
        <w:ind w:left="0" w:right="0" w:firstLine="627"/>
        <w:jc w:val="left"/>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8.承办市委、市政府和市城市管理和行政执法局交办的其他事项。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asciiTheme="minorEastAsia" w:hAnsiTheme="minorEastAsia"/>
          <w:bCs/>
          <w:kern w:val="0"/>
          <w:sz w:val="32"/>
          <w:szCs w:val="32"/>
        </w:rPr>
      </w:pPr>
      <w:r>
        <w:rPr>
          <w:rFonts w:hint="eastAsia" w:ascii="Times New Roman" w:hAnsi="Times New Roman" w:eastAsia="仿宋_GB2312" w:cs="Times New Roman"/>
          <w:sz w:val="32"/>
          <w:szCs w:val="32"/>
          <w:lang w:val="en-US" w:eastAsia="zh-CN"/>
        </w:rPr>
        <w:t>本单位怀化市园林绿化服务中心为市城市管理和综合执法管理的公益一类事业单位，机构规格相当于副处级，本单位下设办公室、人事教育部、计划财务部、工程技术部、绿化服务部、园林科研部、城市公园部、园林信息所、园林评价所、园林绿化维保所、道路绿化养护所、园林废弃物处置所等部门</w:t>
      </w:r>
      <w:r>
        <w:rPr>
          <w:rFonts w:hint="default" w:ascii="Times New Roman" w:hAnsi="Times New Roman" w:eastAsia="仿宋_GB2312" w:cs="Times New Roman"/>
          <w:sz w:val="32"/>
          <w:szCs w:val="32"/>
        </w:rPr>
        <w:t>。</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（二）决算单位构成</w:t>
      </w:r>
    </w:p>
    <w:p>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怀化市园林绿化服务中心2021年部门决算汇总公开单位构成包括：</w:t>
      </w:r>
      <w:r>
        <w:rPr>
          <w:rFonts w:hint="default" w:ascii="仿宋_GB2312" w:hAnsi="仿宋" w:eastAsia="仿宋_GB2312" w:cs="仿宋_GB2312"/>
          <w:i w:val="0"/>
          <w:iCs w:val="0"/>
          <w:caps w:val="0"/>
          <w:color w:val="3D3D3D"/>
          <w:spacing w:val="0"/>
          <w:sz w:val="32"/>
          <w:szCs w:val="32"/>
        </w:rPr>
        <w:t>怀化市园林绿化服务中心（二级部门）</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黑体" w:eastAsia="黑体" w:cs="黑体" w:hAnsiTheme="minorHAnsi"/>
          <w:color w:val="000000"/>
          <w:kern w:val="0"/>
          <w:sz w:val="70"/>
          <w:szCs w:val="70"/>
          <w:lang w:val="en-US" w:eastAsia="zh-CN" w:bidi="ar-SA"/>
        </w:rPr>
      </w:pPr>
      <w:r>
        <w:rPr>
          <w:rFonts w:hint="eastAsia" w:ascii="黑体" w:eastAsia="黑体" w:cs="黑体" w:hAnsiTheme="minorHAnsi"/>
          <w:color w:val="000000"/>
          <w:kern w:val="0"/>
          <w:sz w:val="70"/>
          <w:szCs w:val="70"/>
          <w:lang w:val="en-US" w:eastAsia="zh-CN" w:bidi="ar-SA"/>
        </w:rPr>
        <w:t>第二部分</w:t>
      </w:r>
    </w:p>
    <w:p>
      <w:pPr>
        <w:jc w:val="center"/>
        <w:rPr>
          <w:rFonts w:hint="eastAsia" w:ascii="黑体" w:eastAsia="黑体" w:cs="黑体" w:hAnsiTheme="minorHAnsi"/>
          <w:color w:val="000000"/>
          <w:kern w:val="0"/>
          <w:sz w:val="70"/>
          <w:szCs w:val="70"/>
          <w:lang w:val="en-US" w:eastAsia="zh-CN" w:bidi="ar-SA"/>
        </w:rPr>
      </w:pPr>
    </w:p>
    <w:p>
      <w:pPr>
        <w:jc w:val="center"/>
        <w:rPr>
          <w:rFonts w:hint="eastAsia" w:ascii="黑体" w:eastAsia="黑体" w:cs="黑体" w:hAnsiTheme="minorHAnsi"/>
          <w:color w:val="000000"/>
          <w:kern w:val="0"/>
          <w:sz w:val="70"/>
          <w:szCs w:val="70"/>
          <w:lang w:val="en-US" w:eastAsia="zh-CN" w:bidi="ar-SA"/>
        </w:rPr>
      </w:pPr>
      <w:r>
        <w:rPr>
          <w:rFonts w:hint="eastAsia" w:ascii="黑体" w:eastAsia="黑体" w:cs="黑体" w:hAnsiTheme="minorHAnsi"/>
          <w:color w:val="000000"/>
          <w:kern w:val="0"/>
          <w:sz w:val="70"/>
          <w:szCs w:val="70"/>
          <w:lang w:val="en-US" w:eastAsia="zh-CN" w:bidi="ar-SA"/>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8"/>
        <w:tblW w:w="14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24"/>
        <w:gridCol w:w="798"/>
        <w:gridCol w:w="1601"/>
        <w:gridCol w:w="4165"/>
        <w:gridCol w:w="798"/>
        <w:gridCol w:w="2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14060" w:type="dxa"/>
            <w:gridSpan w:val="6"/>
            <w:tcBorders>
              <w:top w:val="nil"/>
              <w:left w:val="nil"/>
              <w:bottom w:val="nil"/>
              <w:right w:val="single" w:color="80808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部门：怀化市园林绿化服务中心</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2,808.53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42.34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199.73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3,933.11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2,850.96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4,269.78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tbl>
      <w:tblPr>
        <w:tblStyle w:val="8"/>
        <w:tblW w:w="15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9"/>
        <w:gridCol w:w="4030"/>
        <w:gridCol w:w="1461"/>
        <w:gridCol w:w="1548"/>
        <w:gridCol w:w="1518"/>
        <w:gridCol w:w="1140"/>
        <w:gridCol w:w="1309"/>
        <w:gridCol w:w="1531"/>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20" w:type="dxa"/>
            <w:gridSpan w:val="9"/>
            <w:tcBorders>
              <w:top w:val="nil"/>
              <w:left w:val="nil"/>
              <w:bottom w:val="nil"/>
              <w:right w:val="single" w:color="80808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19" w:type="dxa"/>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部门：怀化市园林绿化服务中心</w:t>
            </w:r>
          </w:p>
        </w:tc>
        <w:tc>
          <w:tcPr>
            <w:tcW w:w="1461"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548" w:type="dxa"/>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518"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0"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09"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公开02表</w:t>
            </w:r>
          </w:p>
        </w:tc>
        <w:tc>
          <w:tcPr>
            <w:tcW w:w="2725" w:type="dxa"/>
            <w:gridSpan w:val="2"/>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19"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54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5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1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30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53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19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403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3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8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3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3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8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3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3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19"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合计</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2,850.96</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2,850.87</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一般公共服务支出</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6.80</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6.80</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20132</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组织事务</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6.80</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6.80</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2013299</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其他组织事务支出</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6.80</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6.80</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社会保障和就业支出</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199.73</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199.73</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行政事业单位养老支出</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199.73</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199.73</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2080502</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事业单位离退休</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5.26</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5.26</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2080505</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机关事业单位基本养老保险缴费支出</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100.32</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100.32</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2080599</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其他行政事业单位养老支出</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94.15</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94.15</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210</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卫生健康支出</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50.16</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50.16</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21011</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行政事业单位医疗</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50.16</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50.16</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2101101</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行政单位医疗</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47.31</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47.31</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2101199</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其他行政事业单位医疗支出</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2.85</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2.85</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城乡社区支出</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2,594.19</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2,594.19</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21201</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城乡社区管理事务</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1,034.65</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1,034.65</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2120101</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行政运行</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1,011.65</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1,011.65</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2120199</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其他城乡社区管理事务支出</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23.00</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23.00</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21205</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城乡社区环境卫生</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1,517.19</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1,517.19</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2120501</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城乡社区环境卫生</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1,517.19</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1,517.19</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21213</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城市基础设施配套费安排的支出</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42.34</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42.34</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2121399</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其他城市基础设施配套费安排的支出</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42.34</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42.34</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229</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其他支出</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0.09</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22999</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其他支出</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0.09</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2299999</w:t>
            </w:r>
          </w:p>
        </w:tc>
        <w:tc>
          <w:tcPr>
            <w:tcW w:w="4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其他支出</w:t>
            </w:r>
          </w:p>
        </w:tc>
        <w:tc>
          <w:tcPr>
            <w:tcW w:w="14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0.09</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5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2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p>
    <w:tbl>
      <w:tblPr>
        <w:tblStyle w:val="8"/>
        <w:tblW w:w="151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3"/>
        <w:gridCol w:w="3847"/>
        <w:gridCol w:w="1663"/>
        <w:gridCol w:w="1637"/>
        <w:gridCol w:w="1240"/>
        <w:gridCol w:w="1800"/>
        <w:gridCol w:w="1473"/>
        <w:gridCol w:w="2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5" w:hRule="atLeast"/>
        </w:trPr>
        <w:tc>
          <w:tcPr>
            <w:tcW w:w="15154" w:type="dxa"/>
            <w:gridSpan w:val="8"/>
            <w:tcBorders>
              <w:top w:val="nil"/>
              <w:left w:val="nil"/>
              <w:bottom w:val="nil"/>
              <w:right w:val="single" w:color="80808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00"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6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7"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80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7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41" w:type="dxa"/>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00" w:type="dxa"/>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部门：怀化市园林绿化服务中心</w:t>
            </w:r>
          </w:p>
        </w:tc>
        <w:tc>
          <w:tcPr>
            <w:tcW w:w="1663" w:type="dxa"/>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637"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40"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800"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73"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41" w:type="dxa"/>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0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6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6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2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8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4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214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5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84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4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5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7"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4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5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47"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4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0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栏次</w:t>
            </w:r>
          </w:p>
        </w:tc>
        <w:tc>
          <w:tcPr>
            <w:tcW w:w="166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16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12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14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21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0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合计</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4,269.78</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1,349.96</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2,919.82</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一般公共服务支出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13.43</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6.63</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20132</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组织事务</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6.80</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2013299</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其他组织事务支出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6.80</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20199</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其他一般公共服务支出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6.63</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6.63</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2019999</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其他一般公共服务支出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6.63</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6.63</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社会保障和就业支出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199.73</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199.73</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行政事业单位养老支出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199.73</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199.73</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2080502</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事业单位离退休</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5.26</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5.26</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2080505</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机关事业单位基本养老保险缴费支出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100.32</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100.32</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2080599</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其他行政事业单位养老支出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94.15</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94.15</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210</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卫生健康支出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50.16</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50.16</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21011</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行政事业单位医疗</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50.16</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50.16</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2101101</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行政单位医疗</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47.31</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47.31</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2101199</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其他行政事业单位医疗支出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2.85</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2.85</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城乡社区支出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3,933.11</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1,047.99</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2,885.12</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21201</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城乡社区管理事务</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1,034.99</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1,011.99</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23.00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2120101</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行政运行</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1,011.99</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1,011.99</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2120199</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其他城乡社区管理事务支出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23.00</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23.00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21203</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城乡社区公共设施</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46.98</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46.98</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2120399</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其他城乡社区公共设施支出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46.98</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46.98</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21205</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城乡社区环境卫生</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2,389.05</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36.00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2,353.05</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2120501</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城乡社区环境卫生</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2,389.05</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36.00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2,353.05</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21208</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国有土地使用权出让收入安排的支出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88.00</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88.00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2120803</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城市建设支出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88.00</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88.00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21213</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城市基础设施配套费安排的支出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374.09</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374.09</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2121399</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其他城市基础设施配套费安排的支出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374.09</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374.09</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229</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其他支出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73.35</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45.45</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27.90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22999</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其他支出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73.35</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45.45</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27.90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5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2299999</w:t>
            </w:r>
          </w:p>
        </w:tc>
        <w:tc>
          <w:tcPr>
            <w:tcW w:w="3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其他支出</w:t>
            </w:r>
          </w:p>
        </w:tc>
        <w:tc>
          <w:tcPr>
            <w:tcW w:w="1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73.35</w:t>
            </w:r>
          </w:p>
        </w:tc>
        <w:tc>
          <w:tcPr>
            <w:tcW w:w="1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45.45</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27.90</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1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2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54"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8"/>
        <w:tblpPr w:leftFromText="180" w:rightFromText="180" w:vertAnchor="text" w:horzAnchor="page" w:tblpX="842" w:tblpY="74"/>
        <w:tblOverlap w:val="never"/>
        <w:tblW w:w="15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88"/>
        <w:gridCol w:w="480"/>
        <w:gridCol w:w="1250"/>
        <w:gridCol w:w="3519"/>
        <w:gridCol w:w="1218"/>
        <w:gridCol w:w="1070"/>
        <w:gridCol w:w="1250"/>
        <w:gridCol w:w="1092"/>
        <w:gridCol w:w="1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5240" w:type="dxa"/>
            <w:gridSpan w:val="9"/>
            <w:tcBorders>
              <w:top w:val="nil"/>
              <w:left w:val="nil"/>
              <w:bottom w:val="nil"/>
              <w:right w:val="single" w:color="80808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348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8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5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51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1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7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5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92"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873" w:type="dxa"/>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3488"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部门：怀化市园林绿化服务中心</w:t>
            </w:r>
          </w:p>
        </w:tc>
        <w:tc>
          <w:tcPr>
            <w:tcW w:w="480"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50"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519"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18" w:type="dxa"/>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070"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50"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92"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873" w:type="dxa"/>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521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10022"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48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519" w:type="dxa"/>
            <w:vMerge w:val="restart"/>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2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07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09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8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3488" w:type="dxa"/>
            <w:vMerge w:val="continue"/>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4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9" w:type="dxa"/>
            <w:vMerge w:val="continue"/>
            <w:tcBorders>
              <w:top w:val="nil"/>
              <w:left w:val="nil"/>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000000"/>
                <w:sz w:val="20"/>
                <w:szCs w:val="20"/>
                <w:u w:val="none"/>
              </w:rPr>
            </w:pPr>
          </w:p>
        </w:tc>
        <w:tc>
          <w:tcPr>
            <w:tcW w:w="12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7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8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19" w:type="dxa"/>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218"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2,808.53</w:t>
            </w: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13.43</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13.43</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42.34</w:t>
            </w: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199.73</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199.73</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50.16</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50.16</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3,933.11</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3,471.02</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462.09</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2,850.87</w:t>
            </w: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4,196.42</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3,734.33</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462.09</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1,345.55</w:t>
            </w: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925.80</w:t>
            </w:r>
          </w:p>
        </w:tc>
        <w:tc>
          <w:tcPr>
            <w:tcW w:w="351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419.75</w:t>
            </w:r>
          </w:p>
        </w:tc>
        <w:tc>
          <w:tcPr>
            <w:tcW w:w="351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1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4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4,196.42</w:t>
            </w:r>
          </w:p>
        </w:tc>
        <w:tc>
          <w:tcPr>
            <w:tcW w:w="35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2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4,196.42</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3,734.33</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462.09</w:t>
            </w:r>
          </w:p>
        </w:tc>
        <w:tc>
          <w:tcPr>
            <w:tcW w:w="1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3367"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87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widowControl/>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1"/>
    <w:tbl>
      <w:tblPr>
        <w:tblStyle w:val="8"/>
        <w:tblW w:w="146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16"/>
        <w:gridCol w:w="264"/>
        <w:gridCol w:w="264"/>
        <w:gridCol w:w="4297"/>
        <w:gridCol w:w="1726"/>
        <w:gridCol w:w="1726"/>
        <w:gridCol w:w="2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614" w:type="dxa"/>
            <w:gridSpan w:val="7"/>
            <w:tcBorders>
              <w:top w:val="nil"/>
              <w:left w:val="nil"/>
              <w:bottom w:val="nil"/>
              <w:right w:val="single" w:color="80808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部门：怀化市园林绿化服务中心</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w:t>
            </w:r>
          </w:p>
        </w:tc>
        <w:tc>
          <w:tcPr>
            <w:tcW w:w="609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31"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科目名称</w:t>
            </w:r>
          </w:p>
        </w:tc>
        <w:tc>
          <w:tcPr>
            <w:tcW w:w="188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小计</w:t>
            </w:r>
          </w:p>
        </w:tc>
        <w:tc>
          <w:tcPr>
            <w:tcW w:w="188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基本支出</w:t>
            </w:r>
          </w:p>
        </w:tc>
        <w:tc>
          <w:tcPr>
            <w:tcW w:w="231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3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88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88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231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433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88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88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231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3,734.33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1,304.50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2,429.83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2013299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其他组织事务支出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199.73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199.73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199.73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199.73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事业单位离退休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94.15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94.15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47.31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47.31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2101199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其他行政事业单位医疗支出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3,471.02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1,047.99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2,423.03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1,034.99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城乡社区公共设施</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46.98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其他城乡社区公共设施支出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46.98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2,389.05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2,389.05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注：本表反映部门本年度一般公共预算财政拨款支出情况。</w:t>
            </w:r>
          </w:p>
        </w:tc>
      </w:tr>
    </w:tbl>
    <w:tbl>
      <w:tblPr>
        <w:tblStyle w:val="8"/>
        <w:tblpPr w:leftFromText="180" w:rightFromText="180" w:vertAnchor="text" w:horzAnchor="page" w:tblpX="767" w:tblpY="29"/>
        <w:tblOverlap w:val="never"/>
        <w:tblW w:w="15601" w:type="dxa"/>
        <w:tblInd w:w="0" w:type="dxa"/>
        <w:tblLayout w:type="fixed"/>
        <w:tblCellMar>
          <w:top w:w="0" w:type="dxa"/>
          <w:left w:w="108" w:type="dxa"/>
          <w:bottom w:w="0" w:type="dxa"/>
          <w:right w:w="108" w:type="dxa"/>
        </w:tblCellMar>
      </w:tblPr>
      <w:tblGrid>
        <w:gridCol w:w="1096"/>
        <w:gridCol w:w="3255"/>
        <w:gridCol w:w="1185"/>
        <w:gridCol w:w="975"/>
        <w:gridCol w:w="2415"/>
        <w:gridCol w:w="835"/>
        <w:gridCol w:w="854"/>
        <w:gridCol w:w="3996"/>
        <w:gridCol w:w="990"/>
      </w:tblGrid>
      <w:tr>
        <w:tblPrEx>
          <w:tblCellMar>
            <w:top w:w="0" w:type="dxa"/>
            <w:left w:w="108" w:type="dxa"/>
            <w:bottom w:w="0" w:type="dxa"/>
            <w:right w:w="108" w:type="dxa"/>
          </w:tblCellMar>
        </w:tblPrEx>
        <w:trPr>
          <w:trHeight w:val="113" w:hRule="atLeast"/>
        </w:trPr>
        <w:tc>
          <w:tcPr>
            <w:tcW w:w="15601" w:type="dxa"/>
            <w:gridSpan w:val="9"/>
            <w:tcBorders>
              <w:top w:val="nil"/>
              <w:left w:val="nil"/>
              <w:bottom w:val="nil"/>
              <w:right w:val="nil"/>
            </w:tcBorders>
            <w:shd w:val="clear" w:color="auto" w:fill="auto"/>
            <w:noWrap/>
            <w:vAlign w:val="center"/>
          </w:tcPr>
          <w:p>
            <w:pPr>
              <w:widowControl/>
              <w:jc w:val="center"/>
              <w:rPr>
                <w:rFonts w:ascii="Times New Roman" w:hAnsi="Times New Roman" w:eastAsia="仿宋_GB2312" w:cs="Times New Roman"/>
                <w:color w:val="000000"/>
                <w:kern w:val="0"/>
                <w:szCs w:val="21"/>
              </w:rPr>
            </w:pPr>
            <w:bookmarkStart w:id="2" w:name="RANGE!A1:I34"/>
            <w:r>
              <w:rPr>
                <w:rFonts w:hint="eastAsia" w:ascii="黑体" w:hAnsi="宋体" w:eastAsia="黑体" w:cs="黑体"/>
                <w:i w:val="0"/>
                <w:iCs w:val="0"/>
                <w:color w:val="000000"/>
                <w:kern w:val="0"/>
                <w:sz w:val="30"/>
                <w:szCs w:val="30"/>
                <w:u w:val="none"/>
                <w:lang w:val="en-US" w:eastAsia="zh-CN" w:bidi="ar"/>
              </w:rPr>
              <w:t>一般公共预算财政拨款基本支出决算明细表</w:t>
            </w:r>
            <w:bookmarkEnd w:id="2"/>
            <w:r>
              <w:rPr>
                <w:rFonts w:hint="eastAsia" w:ascii="黑体" w:hAnsi="宋体" w:eastAsia="黑体" w:cs="黑体"/>
                <w:i w:val="0"/>
                <w:iCs w:val="0"/>
                <w:color w:val="000000"/>
                <w:kern w:val="0"/>
                <w:sz w:val="30"/>
                <w:szCs w:val="30"/>
                <w:u w:val="none"/>
                <w:lang w:val="en-US" w:eastAsia="zh-CN" w:bidi="ar"/>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p>
          <w:p>
            <w:pPr>
              <w:widowControl/>
              <w:jc w:val="left"/>
              <w:rPr>
                <w:rFonts w:ascii="华文中宋" w:hAnsi="华文中宋" w:eastAsia="华文中宋" w:cs="宋体"/>
                <w:color w:val="000000"/>
                <w:kern w:val="0"/>
                <w:szCs w:val="32"/>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怀化市园林绿化服务中心</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公开06表</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经济分类科目编码</w:t>
            </w:r>
          </w:p>
        </w:tc>
        <w:tc>
          <w:tcPr>
            <w:tcW w:w="32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科目名称</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经济分类科目编码</w:t>
            </w:r>
          </w:p>
        </w:tc>
        <w:tc>
          <w:tcPr>
            <w:tcW w:w="2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科目名称</w:t>
            </w:r>
          </w:p>
        </w:tc>
        <w:tc>
          <w:tcPr>
            <w:tcW w:w="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8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经济分类科目编码</w:t>
            </w:r>
          </w:p>
        </w:tc>
        <w:tc>
          <w:tcPr>
            <w:tcW w:w="3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科目名称</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1,088.59</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106.68</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376.85</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8.66</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261.49</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0.63</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247.84</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3.69</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28.72</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101.60</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0.32</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3.69</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1.84</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54.82</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0.89</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15.51</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6.84</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1.75</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1.94</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105.54</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2.87</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0.02</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7.84</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0.36</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105.08</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0.39</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17.49</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27.43</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0.08</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2.04</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10.56</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1.42</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0.02</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0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15.50</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3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1,194.13</w:t>
            </w:r>
          </w:p>
        </w:tc>
        <w:tc>
          <w:tcPr>
            <w:tcW w:w="907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0"/>
                <w:szCs w:val="20"/>
                <w:u w:val="none"/>
                <w:lang w:val="en-US" w:eastAsia="zh-CN" w:bidi="ar"/>
              </w:rPr>
              <w:t>110.37</w:t>
            </w:r>
          </w:p>
        </w:tc>
      </w:tr>
      <w:tr>
        <w:tblPrEx>
          <w:tblCellMar>
            <w:top w:w="0" w:type="dxa"/>
            <w:left w:w="108" w:type="dxa"/>
            <w:bottom w:w="0" w:type="dxa"/>
            <w:right w:w="108" w:type="dxa"/>
          </w:tblCellMar>
        </w:tblPrEx>
        <w:trPr>
          <w:trHeight w:val="284" w:hRule="exact"/>
        </w:trPr>
        <w:tc>
          <w:tcPr>
            <w:tcW w:w="15601"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left"/>
        <w:rPr>
          <w:rFonts w:ascii="Times New Roman" w:hAnsi="Times New Roman" w:eastAsia="仿宋_GB2312" w:cs="Times New Roman"/>
          <w:bCs/>
          <w:kern w:val="0"/>
          <w:szCs w:val="21"/>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怀化市园林绿化服务中心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34.65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31.50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31.50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3.15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11.51</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11.49</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0.00</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11.49</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0.02</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怀化市园林绿化服务中心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16"/>
        <w:gridCol w:w="953"/>
        <w:gridCol w:w="1240"/>
        <w:gridCol w:w="1896"/>
        <w:gridCol w:w="1887"/>
        <w:gridCol w:w="1896"/>
        <w:gridCol w:w="1878"/>
        <w:gridCol w:w="1896"/>
        <w:gridCol w:w="1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widowControl/>
              <w:jc w:val="center"/>
              <w:rPr>
                <w:rFonts w:ascii="Times New Roman" w:hAnsi="Times New Roman" w:eastAsia="仿宋_GB2312" w:cs="Times New Roman"/>
                <w:b w:val="0"/>
                <w:bCs/>
                <w:kern w:val="0"/>
                <w:szCs w:val="21"/>
              </w:rPr>
            </w:pPr>
            <w:r>
              <w:rPr>
                <w:rFonts w:ascii="Times New Roman" w:hAnsi="Times New Roman" w:eastAsia="仿宋_GB2312" w:cs="Times New Roman"/>
                <w:b w:val="0"/>
                <w:bCs/>
                <w:kern w:val="0"/>
                <w:szCs w:val="21"/>
              </w:rPr>
              <w:t xml:space="preserve">项 </w:t>
            </w:r>
            <w:r>
              <w:rPr>
                <w:rFonts w:ascii="Times New Roman" w:hAnsi="Times New Roman" w:eastAsia="仿宋_GB2312" w:cs="Times New Roman"/>
                <w:b w:val="0"/>
                <w:bCs/>
                <w:color w:val="000000"/>
                <w:kern w:val="0"/>
                <w:szCs w:val="21"/>
              </w:rPr>
              <w:t xml:space="preserve">   </w:t>
            </w:r>
            <w:r>
              <w:rPr>
                <w:rFonts w:ascii="Times New Roman" w:hAnsi="Times New Roman" w:eastAsia="仿宋_GB2312" w:cs="Times New Roman"/>
                <w:b w:val="0"/>
                <w:bCs/>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val="0"/>
                <w:bCs/>
                <w:kern w:val="0"/>
                <w:szCs w:val="21"/>
              </w:rPr>
            </w:pPr>
            <w:r>
              <w:rPr>
                <w:rFonts w:ascii="Times New Roman" w:hAnsi="Times New Roman" w:eastAsia="仿宋_GB2312" w:cs="Times New Roman"/>
                <w:b w:val="0"/>
                <w:bCs/>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val="0"/>
                <w:bCs/>
                <w:kern w:val="0"/>
                <w:szCs w:val="21"/>
              </w:rPr>
            </w:pPr>
            <w:r>
              <w:rPr>
                <w:rFonts w:ascii="Times New Roman" w:hAnsi="Times New Roman" w:eastAsia="仿宋_GB2312" w:cs="Times New Roman"/>
                <w:b w:val="0"/>
                <w:bCs/>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val="0"/>
                <w:bCs/>
                <w:kern w:val="0"/>
                <w:szCs w:val="21"/>
              </w:rPr>
            </w:pPr>
            <w:r>
              <w:rPr>
                <w:rFonts w:ascii="Times New Roman" w:hAnsi="Times New Roman" w:eastAsia="仿宋_GB2312" w:cs="Times New Roman"/>
                <w:b w:val="0"/>
                <w:bCs/>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val="0"/>
                <w:bCs/>
                <w:kern w:val="0"/>
                <w:szCs w:val="21"/>
              </w:rPr>
            </w:pPr>
            <w:r>
              <w:rPr>
                <w:rFonts w:ascii="Times New Roman" w:hAnsi="Times New Roman" w:eastAsia="仿宋_GB2312" w:cs="Times New Roman"/>
                <w:b w:val="0"/>
                <w:bCs/>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restart"/>
            <w:shd w:val="clear" w:color="auto" w:fill="auto"/>
            <w:vAlign w:val="center"/>
          </w:tcPr>
          <w:p>
            <w:pPr>
              <w:widowControl/>
              <w:jc w:val="center"/>
              <w:rPr>
                <w:rFonts w:ascii="Times New Roman" w:hAnsi="Times New Roman" w:eastAsia="仿宋_GB2312" w:cs="Times New Roman"/>
                <w:b w:val="0"/>
                <w:bCs/>
                <w:kern w:val="0"/>
                <w:szCs w:val="21"/>
              </w:rPr>
            </w:pPr>
            <w:r>
              <w:rPr>
                <w:rFonts w:ascii="Times New Roman" w:hAnsi="Times New Roman" w:eastAsia="仿宋_GB2312" w:cs="Times New Roman"/>
                <w:b w:val="0"/>
                <w:bCs/>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val="0"/>
                <w:bCs/>
                <w:kern w:val="0"/>
                <w:szCs w:val="21"/>
              </w:rPr>
            </w:pPr>
            <w:r>
              <w:rPr>
                <w:rFonts w:ascii="Times New Roman" w:hAnsi="Times New Roman" w:eastAsia="仿宋_GB2312" w:cs="Times New Roman"/>
                <w:b w:val="0"/>
                <w:bCs/>
                <w:kern w:val="0"/>
                <w:szCs w:val="21"/>
              </w:rPr>
              <w:t>科目名称</w:t>
            </w:r>
          </w:p>
        </w:tc>
        <w:tc>
          <w:tcPr>
            <w:tcW w:w="2000" w:type="dxa"/>
            <w:vMerge w:val="continue"/>
            <w:vAlign w:val="center"/>
          </w:tcPr>
          <w:p>
            <w:pPr>
              <w:widowControl/>
              <w:jc w:val="left"/>
              <w:rPr>
                <w:rFonts w:ascii="Times New Roman" w:hAnsi="Times New Roman" w:eastAsia="仿宋_GB2312" w:cs="Times New Roman"/>
                <w:b w:val="0"/>
                <w:bCs/>
                <w:kern w:val="0"/>
                <w:szCs w:val="21"/>
              </w:rPr>
            </w:pPr>
          </w:p>
        </w:tc>
        <w:tc>
          <w:tcPr>
            <w:tcW w:w="2000" w:type="dxa"/>
            <w:vMerge w:val="continue"/>
            <w:vAlign w:val="center"/>
          </w:tcPr>
          <w:p>
            <w:pPr>
              <w:widowControl/>
              <w:jc w:val="left"/>
              <w:rPr>
                <w:rFonts w:ascii="Times New Roman" w:hAnsi="Times New Roman" w:eastAsia="仿宋_GB2312" w:cs="Times New Roman"/>
                <w:b w:val="0"/>
                <w:bCs/>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val="0"/>
                <w:bCs/>
                <w:kern w:val="0"/>
                <w:szCs w:val="21"/>
              </w:rPr>
            </w:pPr>
            <w:r>
              <w:rPr>
                <w:rFonts w:ascii="Times New Roman" w:hAnsi="Times New Roman" w:eastAsia="仿宋_GB2312" w:cs="Times New Roman"/>
                <w:b w:val="0"/>
                <w:bCs/>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val="0"/>
                <w:bCs/>
                <w:kern w:val="0"/>
                <w:szCs w:val="21"/>
              </w:rPr>
            </w:pPr>
            <w:r>
              <w:rPr>
                <w:rFonts w:ascii="Times New Roman" w:hAnsi="Times New Roman" w:eastAsia="仿宋_GB2312" w:cs="Times New Roman"/>
                <w:b w:val="0"/>
                <w:bCs/>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val="0"/>
                <w:bCs/>
                <w:kern w:val="0"/>
                <w:szCs w:val="21"/>
              </w:rPr>
            </w:pPr>
            <w:r>
              <w:rPr>
                <w:rFonts w:ascii="Times New Roman" w:hAnsi="Times New Roman" w:eastAsia="仿宋_GB2312" w:cs="Times New Roman"/>
                <w:b w:val="0"/>
                <w:bCs/>
                <w:kern w:val="0"/>
                <w:szCs w:val="21"/>
              </w:rPr>
              <w:t>项目支出</w:t>
            </w:r>
          </w:p>
        </w:tc>
        <w:tc>
          <w:tcPr>
            <w:tcW w:w="2000" w:type="dxa"/>
            <w:vMerge w:val="continue"/>
            <w:vAlign w:val="center"/>
          </w:tcPr>
          <w:p>
            <w:pPr>
              <w:widowControl/>
              <w:jc w:val="left"/>
              <w:rPr>
                <w:rFonts w:ascii="Times New Roman" w:hAnsi="Times New Roman" w:eastAsia="仿宋_GB2312" w:cs="Times New Roman"/>
                <w:b w:val="0"/>
                <w:bCs/>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keepNext w:val="0"/>
              <w:keepLines w:val="0"/>
              <w:widowControl/>
              <w:suppressLineNumbers w:val="0"/>
              <w:jc w:val="both"/>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合计</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419.75</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42.34</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462.09</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462.09</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212</w:t>
            </w: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城乡社区支出</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419.75</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42.34</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462.09</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462.09</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21208</w:t>
            </w: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国有土地使用权出让收入安排的支出</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88.00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88.00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88.00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2120803</w:t>
            </w: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 xml:space="preserve">  城市建设支出</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88.00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88.00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88.00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21213</w:t>
            </w: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城市基础设施配套费安排的支出</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331.75</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42.34</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374.09</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374.09</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2121399</w:t>
            </w: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 xml:space="preserve">  其他城市基础设施配套费安排的支出</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331.75</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42.34</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374.09</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374.09</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0"/>
                <w:szCs w:val="20"/>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keepNext w:val="0"/>
              <w:keepLines w:val="0"/>
              <w:widowControl/>
              <w:suppressLineNumbers w:val="0"/>
              <w:jc w:val="both"/>
              <w:textAlignment w:val="center"/>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auto"/>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auto"/>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部门：怀化市园林绿化服务中心</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000000"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000000"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000000"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000000"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000000"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shd w:val="clear" w:color="000000" w:fill="auto"/>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shd w:val="clear" w:color="000000" w:fill="auto"/>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shd w:val="clear" w:color="000000"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shd w:val="clear" w:color="000000" w:fill="auto"/>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shd w:val="clear" w:color="000000" w:fill="auto"/>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shd w:val="clear" w:color="000000" w:fill="auto"/>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shd w:val="clear" w:color="000000"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2"/>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2021年度收、支总计4269.78万元。与上年相比，增加（减少）</w:t>
      </w:r>
      <w:r>
        <w:rPr>
          <w:rFonts w:hint="eastAsia" w:asciiTheme="minorEastAsia" w:hAnsiTheme="minorEastAsia" w:eastAsiaTheme="minorEastAsia"/>
          <w:sz w:val="32"/>
          <w:szCs w:val="32"/>
          <w:lang w:val="en-US" w:eastAsia="zh-CN"/>
        </w:rPr>
        <w:t>849.11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24.82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基本工资、奖金、其他商品和服务支出的</w:t>
      </w:r>
      <w:r>
        <w:rPr>
          <w:rFonts w:hint="eastAsia" w:asciiTheme="minorEastAsia" w:hAnsiTheme="minorEastAsia" w:eastAsiaTheme="minorEastAsia"/>
          <w:sz w:val="32"/>
          <w:szCs w:val="32"/>
          <w:lang w:val="en-US" w:eastAsia="zh-CN"/>
        </w:rPr>
        <w:t>增加。</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2850.96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2850.87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0.09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4269.78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1349.96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31.62</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2919.85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68.38</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四、财政拨款收入支出决算总体情况说明</w:t>
      </w:r>
    </w:p>
    <w:p>
      <w:pPr>
        <w:pStyle w:val="12"/>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4196.42</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1005.14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23.95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基本工资、奖金、其他商品和服务支出的</w:t>
      </w:r>
      <w:r>
        <w:rPr>
          <w:rFonts w:hint="eastAsia" w:asciiTheme="minorEastAsia" w:hAnsiTheme="minorEastAsia" w:eastAsiaTheme="minorEastAsia"/>
          <w:sz w:val="32"/>
          <w:szCs w:val="32"/>
          <w:lang w:val="en-US" w:eastAsia="zh-CN"/>
        </w:rPr>
        <w:t>增加。</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3734.33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87.46</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1220.41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32.68</w:t>
      </w:r>
      <w:r>
        <w:rPr>
          <w:rFonts w:hint="eastAsia" w:asciiTheme="minorEastAsia" w:hAnsiTheme="minorEastAsia" w:eastAsiaTheme="minorEastAsia"/>
          <w:sz w:val="32"/>
          <w:szCs w:val="32"/>
        </w:rPr>
        <w:t>%，主要是因为因为</w:t>
      </w:r>
      <w:r>
        <w:rPr>
          <w:rFonts w:hint="eastAsia" w:asciiTheme="minorEastAsia" w:hAnsiTheme="minorEastAsia" w:eastAsiaTheme="minorEastAsia"/>
          <w:sz w:val="32"/>
          <w:szCs w:val="32"/>
          <w:lang w:eastAsia="zh-CN"/>
        </w:rPr>
        <w:t>人员经费、绿地直管养护经费等的增加</w:t>
      </w:r>
      <w:r>
        <w:rPr>
          <w:rFonts w:hint="eastAsia" w:asciiTheme="minorEastAsia" w:hAnsiTheme="minorEastAsia" w:eastAsiaTheme="minorEastAsia"/>
          <w:sz w:val="32"/>
          <w:szCs w:val="32"/>
          <w:lang w:val="en-US" w:eastAsia="zh-CN"/>
        </w:rPr>
        <w:t>。</w:t>
      </w:r>
    </w:p>
    <w:p>
      <w:pPr>
        <w:pStyle w:val="12"/>
        <w:ind w:firstLine="640" w:firstLineChars="20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3734.33</w:t>
      </w:r>
      <w:r>
        <w:rPr>
          <w:rFonts w:hint="eastAsia" w:asciiTheme="minorEastAsia" w:hAnsiTheme="minorEastAsia" w:eastAsiaTheme="minorEastAsia"/>
          <w:sz w:val="32"/>
          <w:szCs w:val="32"/>
        </w:rPr>
        <w:t>万元，主要用于以下方面：一般公共服务（类）支出13.43万元，占</w:t>
      </w:r>
      <w:r>
        <w:rPr>
          <w:rFonts w:hint="eastAsia" w:asciiTheme="minorEastAsia" w:hAnsiTheme="minorEastAsia" w:eastAsiaTheme="minorEastAsia"/>
          <w:sz w:val="32"/>
          <w:szCs w:val="32"/>
          <w:lang w:val="en-US" w:eastAsia="zh-CN"/>
        </w:rPr>
        <w:t>0.36</w:t>
      </w:r>
      <w:r>
        <w:rPr>
          <w:rFonts w:hint="eastAsia" w:asciiTheme="minorEastAsia" w:hAnsiTheme="minorEastAsia" w:eastAsiaTheme="minorEastAsia"/>
          <w:sz w:val="32"/>
          <w:szCs w:val="32"/>
        </w:rPr>
        <w:t>%；社会保障和就业支出支出199.73万元，占</w:t>
      </w:r>
      <w:r>
        <w:rPr>
          <w:rFonts w:hint="eastAsia" w:asciiTheme="minorEastAsia" w:hAnsiTheme="minorEastAsia" w:eastAsiaTheme="minorEastAsia"/>
          <w:sz w:val="32"/>
          <w:szCs w:val="32"/>
          <w:lang w:val="en-US" w:eastAsia="zh-CN"/>
        </w:rPr>
        <w:t>5.34</w:t>
      </w:r>
      <w:r>
        <w:rPr>
          <w:rFonts w:hint="eastAsia" w:asciiTheme="minorEastAsia" w:hAnsiTheme="minorEastAsia" w:eastAsiaTheme="minorEastAsia"/>
          <w:sz w:val="32"/>
          <w:szCs w:val="32"/>
        </w:rPr>
        <w:t>%;卫生健康支出50.16</w:t>
      </w:r>
      <w:r>
        <w:rPr>
          <w:rFonts w:hint="eastAsia" w:asciiTheme="minorEastAsia" w:hAnsiTheme="minorEastAsia" w:eastAsiaTheme="minorEastAsia"/>
          <w:sz w:val="32"/>
          <w:szCs w:val="32"/>
          <w:lang w:val="en-US" w:eastAsia="zh-CN"/>
        </w:rPr>
        <w:t>万元，占1.34%；城乡社区支出3471.02万元，占92.95%。</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2021年度财政拨款支出年初预算数为2153.83万元，支出决算数为4269.78万元，完成年初预算的</w:t>
      </w:r>
      <w:r>
        <w:rPr>
          <w:rFonts w:hint="eastAsia" w:asciiTheme="minorEastAsia" w:hAnsiTheme="minorEastAsia" w:eastAsiaTheme="minorEastAsia"/>
          <w:sz w:val="32"/>
          <w:szCs w:val="32"/>
          <w:lang w:val="en-US" w:eastAsia="zh-CN"/>
        </w:rPr>
        <w:t>198.24</w:t>
      </w:r>
      <w:r>
        <w:rPr>
          <w:rFonts w:hint="eastAsia" w:asciiTheme="minorEastAsia" w:hAnsiTheme="minorEastAsia" w:eastAsiaTheme="minorEastAsia"/>
          <w:sz w:val="32"/>
          <w:szCs w:val="32"/>
        </w:rPr>
        <w:t>%，其中：</w:t>
      </w:r>
      <w:r>
        <w:rPr>
          <w:rFonts w:hint="eastAsia" w:asciiTheme="minorEastAsia" w:hAnsiTheme="minorEastAsia" w:eastAsiaTheme="minorEastAsia"/>
          <w:sz w:val="32"/>
          <w:szCs w:val="32"/>
          <w:lang w:val="en-US" w:eastAsia="zh-CN"/>
        </w:rPr>
        <w:t>使用非财政拨款结余73.27万元，年初结转和结余1345.55万元。</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1、一般公共服务支出（类）组织事务（款）其他组织事务支出（项）。</w:t>
      </w:r>
    </w:p>
    <w:p>
      <w:pPr>
        <w:pStyle w:val="12"/>
        <w:ind w:firstLine="800" w:firstLineChars="250"/>
        <w:rPr>
          <w:rFonts w:hint="default" w:asciiTheme="minorEastAsia" w:hAnsiTheme="minorEastAsia" w:eastAsiaTheme="minorEastAsia"/>
          <w:sz w:val="32"/>
          <w:szCs w:val="32"/>
          <w:lang w:val="en-US" w:eastAsia="zh-CN"/>
          <w14:textFill>
            <w14:gradFill>
              <w14:gsLst>
                <w14:gs w14:pos="0">
                  <w14:srgbClr w14:val="E30000"/>
                </w14:gs>
                <w14:gs w14:pos="100000">
                  <w14:srgbClr w14:val="760303"/>
                </w14:gs>
              </w14:gsLst>
              <w14:lin w14:scaled="0"/>
            </w14:gradFill>
          </w14:textFill>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6.8</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2021年人才引生活补贴，年初预算未纳入。</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一般公共服务支出（类）其他一般公共服务支出（款）其他一般公共服务支出（项）。</w:t>
      </w:r>
    </w:p>
    <w:p>
      <w:pPr>
        <w:pStyle w:val="12"/>
        <w:ind w:firstLine="800" w:firstLineChars="250"/>
        <w:rPr>
          <w:rFonts w:hint="default" w:asciiTheme="minorEastAsia" w:hAnsiTheme="minorEastAsia" w:eastAsiaTheme="minorEastAsia"/>
          <w:sz w:val="32"/>
          <w:szCs w:val="32"/>
          <w:lang w:val="en-US" w:eastAsia="zh-CN"/>
          <w14:textFill>
            <w14:gradFill>
              <w14:gsLst>
                <w14:gs w14:pos="0">
                  <w14:srgbClr w14:val="E30000"/>
                </w14:gs>
                <w14:gs w14:pos="100000">
                  <w14:srgbClr w14:val="760303"/>
                </w14:gs>
              </w14:gsLst>
              <w14:lin w14:scaled="0"/>
            </w14:gradFill>
          </w14:textFill>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6.63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该笔资金为上年度基本支出结转，年初预算未纳入。</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、社会保障和就业支出（类）行政事业单位养老支出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款）事业单位离退休（项）。</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5.26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5.26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按年初预算执行。</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社会保障和就业支出（类）行政事业单位养老支出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款）机关事业单位基本养老保险缴费支出（项）。</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100.32</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本年度发生的机关事业单位基本养老保险缴费，而年初预算未纳入。</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社会保障和就业支出（类）行政事业单位养老支出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款）其他行政事业单位养老支出（项）。</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94.15</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本年度发生的机关事业单位基本养老保险缴费，而年初预算未纳入。</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卫生健康支出（类）行政事业单位医疗（款）行政单位医疗（项）。</w:t>
      </w:r>
    </w:p>
    <w:p>
      <w:pPr>
        <w:pStyle w:val="12"/>
        <w:ind w:firstLine="800" w:firstLineChars="250"/>
        <w:rPr>
          <w:rFonts w:asciiTheme="minorEastAsia" w:hAnsiTheme="minorEastAsia" w:eastAsiaTheme="minorEastAsia"/>
          <w:sz w:val="32"/>
          <w:szCs w:val="32"/>
          <w14:textFill>
            <w14:gradFill>
              <w14:gsLst>
                <w14:gs w14:pos="0">
                  <w14:srgbClr w14:val="E30000"/>
                </w14:gs>
                <w14:gs w14:pos="100000">
                  <w14:srgbClr w14:val="760303"/>
                </w14:gs>
              </w14:gsLst>
              <w14:lin w14:scaled="0"/>
            </w14:gradFill>
          </w14:textFill>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万元，支出决算为47.31万元，决算数大于年初预算数的主要原因是：</w:t>
      </w:r>
      <w:r>
        <w:rPr>
          <w:rFonts w:hint="eastAsia" w:asciiTheme="minorEastAsia" w:hAnsiTheme="minorEastAsia" w:eastAsiaTheme="minorEastAsia"/>
          <w:sz w:val="32"/>
          <w:szCs w:val="32"/>
          <w:lang w:val="en-US" w:eastAsia="zh-CN"/>
        </w:rPr>
        <w:t>本年度发生的职工基本医疗保险缴费，而年初预算未纳入。</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卫生健康支出（类）行政事业单位医疗（款）其他行政事业单位医疗支出（项）。</w:t>
      </w:r>
    </w:p>
    <w:p>
      <w:pPr>
        <w:pStyle w:val="12"/>
        <w:ind w:firstLine="800" w:firstLineChars="250"/>
        <w:rPr>
          <w:rFonts w:asciiTheme="minorEastAsia" w:hAnsiTheme="minorEastAsia" w:eastAsiaTheme="minorEastAsia"/>
          <w:sz w:val="32"/>
          <w:szCs w:val="32"/>
          <w14:textFill>
            <w14:gradFill>
              <w14:gsLst>
                <w14:gs w14:pos="0">
                  <w14:srgbClr w14:val="E30000"/>
                </w14:gs>
                <w14:gs w14:pos="100000">
                  <w14:srgbClr w14:val="760303"/>
                </w14:gs>
              </w14:gsLst>
              <w14:lin w14:scaled="0"/>
            </w14:gradFill>
          </w14:textFill>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万元，支出决算为2.85万元，决算数大于年初预算数的主要原因是：</w:t>
      </w:r>
      <w:r>
        <w:rPr>
          <w:rFonts w:hint="eastAsia" w:asciiTheme="minorEastAsia" w:hAnsiTheme="minorEastAsia" w:eastAsiaTheme="minorEastAsia"/>
          <w:sz w:val="32"/>
          <w:szCs w:val="32"/>
          <w:lang w:val="en-US" w:eastAsia="zh-CN"/>
        </w:rPr>
        <w:t>本年度发生的职工基本医疗保险缴费，而年初预算未纳入。</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城乡社区支出（类）城乡社区管理事务（款）行政运行（项）。</w:t>
      </w:r>
    </w:p>
    <w:p>
      <w:pPr>
        <w:pStyle w:val="12"/>
        <w:ind w:firstLine="800" w:firstLineChars="250"/>
        <w:rPr>
          <w:rFonts w:asciiTheme="minorEastAsia" w:hAnsiTheme="minorEastAsia" w:eastAsiaTheme="minorEastAsia"/>
          <w:sz w:val="32"/>
          <w:szCs w:val="32"/>
          <w14:textFill>
            <w14:gradFill>
              <w14:gsLst>
                <w14:gs w14:pos="0">
                  <w14:srgbClr w14:val="E30000"/>
                </w14:gs>
                <w14:gs w14:pos="100000">
                  <w14:srgbClr w14:val="760303"/>
                </w14:gs>
              </w14:gsLst>
              <w14:lin w14:scaled="0"/>
            </w14:gradFill>
          </w14:textFill>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743.57</w:t>
      </w:r>
      <w:r>
        <w:rPr>
          <w:rFonts w:hint="eastAsia" w:asciiTheme="minorEastAsia" w:hAnsiTheme="minorEastAsia" w:eastAsiaTheme="minorEastAsia"/>
          <w:sz w:val="32"/>
          <w:szCs w:val="32"/>
        </w:rPr>
        <w:t>万元，支出决算为1011.99万元，完成年初预算的</w:t>
      </w:r>
      <w:r>
        <w:rPr>
          <w:rFonts w:hint="eastAsia" w:asciiTheme="minorEastAsia" w:hAnsiTheme="minorEastAsia" w:eastAsiaTheme="minorEastAsia"/>
          <w:sz w:val="32"/>
          <w:szCs w:val="32"/>
          <w:lang w:val="en-US" w:eastAsia="zh-CN"/>
        </w:rPr>
        <w:t>136.10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本年度发生了奖金，而年初预算未纳入。</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城乡社区支出（类）城乡社区管理事务（款）其他城乡社区管理事务支出（项）。</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万元，支出决算为23万元，完成年初预算的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按预算执行。</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城乡社区支出（类）城乡社区公共设施（款）其他城乡社区公共设施支出（项）。</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万元，支出决算为46.9万元，决算数大于年初预算数的主要原因是：</w:t>
      </w:r>
      <w:r>
        <w:rPr>
          <w:rFonts w:hint="eastAsia" w:asciiTheme="minorEastAsia" w:hAnsiTheme="minorEastAsia" w:eastAsiaTheme="minorEastAsia"/>
          <w:sz w:val="32"/>
          <w:szCs w:val="32"/>
          <w:lang w:val="en-US" w:eastAsia="zh-CN"/>
        </w:rPr>
        <w:t>新增城区移交绿地养护内容，而年初预算未纳入。</w:t>
      </w:r>
    </w:p>
    <w:p>
      <w:pPr>
        <w:pStyle w:val="12"/>
        <w:ind w:firstLine="800" w:firstLineChars="250"/>
        <w:rPr>
          <w:rFonts w:hint="eastAsia" w:asciiTheme="minorEastAsia" w:hAnsiTheme="minorEastAsia" w:eastAsiaTheme="minorEastAsia"/>
          <w:sz w:val="32"/>
          <w:szCs w:val="32"/>
        </w:rPr>
      </w:pP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城乡社区支出（类）城乡社区环境卫生（款）城乡社区环境卫生（项）。</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1382</w:t>
      </w:r>
      <w:r>
        <w:rPr>
          <w:rFonts w:hint="eastAsia" w:asciiTheme="minorEastAsia" w:hAnsiTheme="minorEastAsia" w:eastAsiaTheme="minorEastAsia"/>
          <w:sz w:val="32"/>
          <w:szCs w:val="32"/>
        </w:rPr>
        <w:t>万元，支出决算为2389.05万元，完成年初预算的</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新增城区移交绿地养护内容，而年初预算未纳入。</w:t>
      </w:r>
    </w:p>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1304.5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1194.13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91.54</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机关事业单位基本养老保险费、职业年金缴费、职工基本医疗保险缴费、其他社会保障缴费、住房公积金、医疗费补助、其他工资福利支出、离休费、退休费、抚恤金、生活补助、奖励金、其他对个人和家庭的补助；公用经费</w:t>
      </w:r>
      <w:r>
        <w:rPr>
          <w:rFonts w:hint="eastAsia" w:asciiTheme="minorEastAsia" w:hAnsiTheme="minorEastAsia" w:eastAsiaTheme="minorEastAsia"/>
          <w:sz w:val="32"/>
          <w:szCs w:val="32"/>
          <w:lang w:val="en-US" w:eastAsia="zh-CN"/>
        </w:rPr>
        <w:t>110.37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8.46</w:t>
      </w:r>
      <w:r>
        <w:rPr>
          <w:rFonts w:hint="eastAsia" w:asciiTheme="minorEastAsia" w:hAnsiTheme="minorEastAsia" w:eastAsiaTheme="minorEastAsia"/>
          <w:sz w:val="32"/>
          <w:szCs w:val="32"/>
        </w:rPr>
        <w:t>%，主要包括办公费、印刷费、咨询费、水费、电费、邮电费、差旅费、因公出国出境费、维修（护）费、租赁费、会议费、公务接待费、专用材料费、劳务费、工会经费、福利费、公务用车维护费、其他交通费用、其他商品和服务支出及资本性支出。</w:t>
      </w: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34.65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34.65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决算数与年初预算数相等。</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0.63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单位厉行节约，</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val="en-US" w:eastAsia="zh-CN"/>
        </w:rPr>
        <w:t>支出保持一致</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决算数与年初预算数相等。</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31.5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11.49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36.48</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本年度实际发生公务用车运行维护费减少</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1.19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增长10.36%，</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val="en-US" w:eastAsia="zh-CN"/>
        </w:rPr>
        <w:t>城区绿地养护面积增加，车辆使用燃油增加</w:t>
      </w:r>
      <w:r>
        <w:rPr>
          <w:rFonts w:hint="eastAsia" w:asciiTheme="minorEastAsia" w:hAnsiTheme="minorEastAsia" w:eastAsiaTheme="minorEastAsia"/>
          <w:sz w:val="32"/>
          <w:szCs w:val="32"/>
        </w:rPr>
        <w:t>。</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0.02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0.17</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11.49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99.83</w:t>
      </w:r>
      <w:r>
        <w:rPr>
          <w:rFonts w:hint="eastAsia" w:asciiTheme="minorEastAsia" w:hAnsiTheme="minorEastAsia" w:eastAsiaTheme="minorEastAsia"/>
          <w:sz w:val="32"/>
          <w:szCs w:val="32"/>
        </w:rPr>
        <w:t>%。其中：</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0.02</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创国家园林城市专家考察</w:t>
      </w:r>
      <w:r>
        <w:rPr>
          <w:rFonts w:hint="eastAsia" w:asciiTheme="minorEastAsia" w:hAnsiTheme="minorEastAsia" w:eastAsiaTheme="minorEastAsia"/>
          <w:sz w:val="32"/>
          <w:szCs w:val="32"/>
        </w:rPr>
        <w:t>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11.49</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11.49</w:t>
      </w:r>
      <w:r>
        <w:rPr>
          <w:rFonts w:hint="eastAsia" w:asciiTheme="minorEastAsia" w:hAnsiTheme="minorEastAsia"/>
          <w:sz w:val="32"/>
          <w:szCs w:val="32"/>
        </w:rPr>
        <w:t>万元，主要是</w:t>
      </w:r>
      <w:r>
        <w:rPr>
          <w:rFonts w:hint="eastAsia" w:asciiTheme="minorEastAsia" w:hAnsiTheme="minorEastAsia"/>
          <w:sz w:val="32"/>
          <w:szCs w:val="32"/>
          <w:lang w:val="en-US" w:eastAsia="zh-CN"/>
        </w:rPr>
        <w:t>其他公务用车车辆运行维护</w:t>
      </w:r>
      <w:r>
        <w:rPr>
          <w:rFonts w:hint="eastAsia" w:asciiTheme="minorEastAsia" w:hAnsiTheme="minorEastAsia"/>
          <w:sz w:val="32"/>
          <w:szCs w:val="32"/>
        </w:rPr>
        <w:t>支出，截止202</w:t>
      </w:r>
      <w:r>
        <w:rPr>
          <w:rFonts w:hint="eastAsia" w:asciiTheme="minorEastAsia" w:hAnsiTheme="minorEastAsia"/>
          <w:sz w:val="32"/>
          <w:szCs w:val="32"/>
          <w:lang w:val="en-US" w:eastAsia="zh-CN"/>
        </w:rPr>
        <w:t>1</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25</w:t>
      </w:r>
      <w:r>
        <w:rPr>
          <w:rFonts w:hint="eastAsia" w:asciiTheme="minorEastAsia" w:hAnsiTheme="minorEastAsia"/>
          <w:sz w:val="32"/>
          <w:szCs w:val="32"/>
        </w:rPr>
        <w:t>辆。</w:t>
      </w:r>
    </w:p>
    <w:p>
      <w:pPr>
        <w:pStyle w:val="12"/>
        <w:rPr>
          <w:rFonts w:hAnsi="黑体"/>
          <w:b/>
          <w:sz w:val="32"/>
          <w:szCs w:val="32"/>
        </w:rPr>
      </w:pPr>
      <w:r>
        <w:rPr>
          <w:rFonts w:hint="eastAsia" w:hAnsi="黑体"/>
          <w:b/>
          <w:sz w:val="32"/>
          <w:szCs w:val="32"/>
        </w:rPr>
        <w:t>八、政府性基金预算收入支出决算情况</w:t>
      </w:r>
    </w:p>
    <w:p>
      <w:pPr>
        <w:pStyle w:val="12"/>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42.34</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419.75</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462.09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462.09</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1、城乡社区支出（类）国有土地使用权出让收入安排的支出（款）城市建设支出（项）。</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88</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财政统筹安排，年初未编制预算。</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城乡社区支出（类）城市基础设施配套费安排的支出（款）其他城市基础设施配套费安排的支出（项）。</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374.09</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财政统筹安排，年初未编制预算。</w:t>
      </w:r>
    </w:p>
    <w:p>
      <w:pPr>
        <w:pStyle w:val="12"/>
        <w:rPr>
          <w:rFonts w:hAnsi="黑体"/>
          <w:b/>
          <w:sz w:val="32"/>
          <w:szCs w:val="32"/>
        </w:rPr>
      </w:pPr>
      <w:r>
        <w:rPr>
          <w:rFonts w:hint="eastAsia" w:hAnsi="黑体"/>
          <w:b/>
          <w:sz w:val="32"/>
          <w:szCs w:val="32"/>
        </w:rPr>
        <w:t>九、机关运行经费支出说明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2"/>
        <w:rPr>
          <w:rFonts w:hAnsi="黑体"/>
          <w:b/>
          <w:sz w:val="32"/>
          <w:szCs w:val="32"/>
        </w:rPr>
      </w:pPr>
      <w:r>
        <w:rPr>
          <w:rFonts w:hint="eastAsia" w:hAnsi="黑体"/>
          <w:b/>
          <w:sz w:val="32"/>
          <w:szCs w:val="32"/>
        </w:rPr>
        <w:t>十、一般性支出情况说明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万元；开支培训费2.87万元，</w:t>
      </w:r>
      <w:r>
        <w:rPr>
          <w:rFonts w:hint="eastAsia" w:asciiTheme="minorEastAsia" w:hAnsiTheme="minorEastAsia" w:eastAsiaTheme="minorEastAsia"/>
          <w:sz w:val="32"/>
          <w:szCs w:val="32"/>
          <w:lang w:val="en-US" w:eastAsia="zh-CN"/>
        </w:rPr>
        <w:t>事业单位岗位培训费、新进人员人事岗位培训、会计人员后续教育培训。</w:t>
      </w:r>
    </w:p>
    <w:p>
      <w:pPr>
        <w:pStyle w:val="12"/>
        <w:rPr>
          <w:rFonts w:hAnsi="黑体"/>
          <w:b/>
          <w:sz w:val="32"/>
          <w:szCs w:val="32"/>
        </w:rPr>
      </w:pPr>
      <w:r>
        <w:rPr>
          <w:rFonts w:hint="eastAsia" w:hAnsi="黑体"/>
          <w:b/>
          <w:sz w:val="32"/>
          <w:szCs w:val="32"/>
        </w:rPr>
        <w:t>十一、政府采购支出说明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本部门2021年度政府采购支出总额</w:t>
      </w:r>
      <w:r>
        <w:rPr>
          <w:rFonts w:hint="eastAsia" w:asciiTheme="minorEastAsia" w:hAnsiTheme="minorEastAsia" w:eastAsiaTheme="minorEastAsia"/>
          <w:sz w:val="32"/>
          <w:szCs w:val="32"/>
          <w:lang w:val="en-US" w:eastAsia="zh-CN"/>
        </w:rPr>
        <w:t>2734.39</w:t>
      </w:r>
      <w:r>
        <w:rPr>
          <w:rFonts w:hint="eastAsia" w:asciiTheme="minorEastAsia" w:hAnsiTheme="minorEastAsia" w:eastAsiaTheme="minorEastAsia"/>
          <w:sz w:val="32"/>
          <w:szCs w:val="32"/>
          <w:lang w:eastAsia="zh-CN"/>
        </w:rPr>
        <w:t>万元，其中：政府采购货物支出</w:t>
      </w:r>
      <w:r>
        <w:rPr>
          <w:rFonts w:hint="eastAsia" w:asciiTheme="minorEastAsia" w:hAnsiTheme="minorEastAsia" w:eastAsiaTheme="minorEastAsia"/>
          <w:sz w:val="32"/>
          <w:szCs w:val="32"/>
          <w:lang w:val="en-US" w:eastAsia="zh-CN"/>
        </w:rPr>
        <w:t>23.14</w:t>
      </w:r>
      <w:r>
        <w:rPr>
          <w:rFonts w:hint="eastAsia" w:asciiTheme="minorEastAsia" w:hAnsiTheme="minorEastAsia" w:eastAsiaTheme="minorEastAsia"/>
          <w:sz w:val="32"/>
          <w:szCs w:val="32"/>
          <w:lang w:eastAsia="zh-CN"/>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万元、政府采购服务支出</w:t>
      </w:r>
      <w:r>
        <w:rPr>
          <w:rFonts w:hint="eastAsia" w:asciiTheme="minorEastAsia" w:hAnsiTheme="minorEastAsia" w:eastAsiaTheme="minorEastAsia"/>
          <w:sz w:val="32"/>
          <w:szCs w:val="32"/>
          <w:lang w:val="en-US" w:eastAsia="zh-CN"/>
        </w:rPr>
        <w:t>2711.25</w:t>
      </w:r>
      <w:r>
        <w:rPr>
          <w:rFonts w:hint="eastAsia" w:asciiTheme="minorEastAsia" w:hAnsiTheme="minorEastAsia" w:eastAsiaTheme="minorEastAsia"/>
          <w:sz w:val="32"/>
          <w:szCs w:val="32"/>
          <w:lang w:eastAsia="zh-CN"/>
        </w:rPr>
        <w:t>万元。授予中小企业合同金额</w:t>
      </w:r>
      <w:r>
        <w:rPr>
          <w:rFonts w:hint="eastAsia" w:asciiTheme="minorEastAsia" w:hAnsiTheme="minorEastAsia" w:eastAsiaTheme="minorEastAsia"/>
          <w:sz w:val="32"/>
          <w:szCs w:val="32"/>
          <w:lang w:val="en-US" w:eastAsia="zh-CN"/>
        </w:rPr>
        <w:t>2734.39</w:t>
      </w:r>
      <w:r>
        <w:rPr>
          <w:rFonts w:hint="eastAsia" w:asciiTheme="minorEastAsia" w:hAnsiTheme="minorEastAsia" w:eastAsiaTheme="minorEastAsia"/>
          <w:sz w:val="32"/>
          <w:szCs w:val="32"/>
          <w:lang w:eastAsia="zh-CN"/>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lang w:eastAsia="zh-CN"/>
        </w:rPr>
        <w:t>%，其中：授予小微企业合同金额</w:t>
      </w:r>
      <w:r>
        <w:rPr>
          <w:rFonts w:hint="eastAsia" w:asciiTheme="minorEastAsia" w:hAnsiTheme="minorEastAsia" w:eastAsiaTheme="minorEastAsia"/>
          <w:sz w:val="32"/>
          <w:szCs w:val="32"/>
          <w:lang w:val="en-US" w:eastAsia="zh-CN"/>
        </w:rPr>
        <w:t>2734.39</w:t>
      </w:r>
      <w:r>
        <w:rPr>
          <w:rFonts w:hint="eastAsia" w:asciiTheme="minorEastAsia" w:hAnsiTheme="minorEastAsia" w:eastAsiaTheme="minorEastAsia"/>
          <w:sz w:val="32"/>
          <w:szCs w:val="32"/>
          <w:lang w:eastAsia="zh-CN"/>
        </w:rPr>
        <w:t>万元，占授予中小企业合同金额的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lang w:eastAsia="zh-CN"/>
        </w:rPr>
        <w:t>%；货物采购授予中小企业合同金额占货物支出金额的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lang w:eastAsia="zh-CN"/>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%，服务采购授予中小企业合同金额占服务支出金额的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lang w:eastAsia="zh-CN"/>
        </w:rPr>
        <w:t>%。</w:t>
      </w:r>
    </w:p>
    <w:p>
      <w:pPr>
        <w:pStyle w:val="12"/>
        <w:rPr>
          <w:rFonts w:hAnsi="黑体"/>
          <w:b/>
          <w:sz w:val="32"/>
          <w:szCs w:val="32"/>
        </w:rPr>
      </w:pP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年12月31日，本单位共有车辆</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园林绿化维护业务用车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2"/>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b/>
          <w:color w:val="auto"/>
          <w:kern w:val="0"/>
          <w:sz w:val="32"/>
          <w:szCs w:val="32"/>
        </w:rPr>
        <w:t>（1）绩效管理评价工作开展情况</w:t>
      </w:r>
      <w:r>
        <w:rPr>
          <w:rFonts w:hint="eastAsia" w:cs="黑体" w:asciiTheme="minorEastAsia" w:hAnsiTheme="minorEastAsia"/>
          <w:color w:val="auto"/>
          <w:kern w:val="0"/>
          <w:sz w:val="32"/>
          <w:szCs w:val="32"/>
        </w:rPr>
        <w:t>。</w:t>
      </w:r>
    </w:p>
    <w:p>
      <w:pPr>
        <w:pStyle w:val="7"/>
        <w:keepNext w:val="0"/>
        <w:keepLines w:val="0"/>
        <w:widowControl/>
        <w:suppressLineNumbers w:val="0"/>
        <w:spacing w:before="0" w:beforeAutospacing="0" w:after="0" w:afterAutospacing="0" w:line="22" w:lineRule="atLeast"/>
        <w:ind w:right="-150" w:firstLine="640" w:firstLineChars="200"/>
        <w:jc w:val="both"/>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根据预算绩效管理要求，我部门一般公共预算项目支出</w:t>
      </w:r>
      <w:r>
        <w:rPr>
          <w:rFonts w:hint="eastAsia" w:cs="黑体" w:asciiTheme="minorEastAsia" w:hAnsiTheme="minorEastAsia"/>
          <w:color w:val="auto"/>
          <w:kern w:val="0"/>
          <w:sz w:val="32"/>
          <w:szCs w:val="32"/>
          <w:lang w:val="en-US" w:eastAsia="zh-CN"/>
        </w:rPr>
        <w:t>2429.83</w:t>
      </w:r>
      <w:r>
        <w:rPr>
          <w:rFonts w:hint="eastAsia" w:cs="黑体" w:asciiTheme="minorEastAsia" w:hAnsiTheme="minorEastAsia"/>
          <w:color w:val="auto"/>
          <w:kern w:val="0"/>
          <w:sz w:val="32"/>
          <w:szCs w:val="32"/>
        </w:rPr>
        <w:t xml:space="preserve"> 万元，政府性基金预算项目支出</w:t>
      </w:r>
      <w:r>
        <w:rPr>
          <w:rFonts w:hint="eastAsia" w:cs="黑体" w:asciiTheme="minorEastAsia" w:hAnsiTheme="minorEastAsia"/>
          <w:color w:val="auto"/>
          <w:kern w:val="0"/>
          <w:sz w:val="32"/>
          <w:szCs w:val="32"/>
          <w:lang w:val="en-US" w:eastAsia="zh-CN"/>
        </w:rPr>
        <w:t>462.09</w:t>
      </w:r>
      <w:r>
        <w:rPr>
          <w:rFonts w:hint="eastAsia" w:cs="黑体" w:asciiTheme="minorEastAsia" w:hAnsiTheme="minorEastAsia"/>
          <w:color w:val="auto"/>
          <w:kern w:val="0"/>
          <w:sz w:val="32"/>
          <w:szCs w:val="32"/>
        </w:rPr>
        <w:t>万元</w:t>
      </w:r>
      <w:r>
        <w:rPr>
          <w:rFonts w:hint="eastAsia" w:cs="黑体" w:asciiTheme="minorEastAsia" w:hAnsiTheme="minorEastAsia"/>
          <w:color w:val="auto"/>
          <w:kern w:val="0"/>
          <w:sz w:val="32"/>
          <w:szCs w:val="32"/>
          <w:lang w:eastAsia="zh-CN"/>
        </w:rPr>
        <w:t>，</w:t>
      </w:r>
      <w:r>
        <w:rPr>
          <w:rFonts w:hint="eastAsia" w:cs="黑体" w:asciiTheme="minorEastAsia" w:hAnsiTheme="minorEastAsia"/>
          <w:color w:val="auto"/>
          <w:kern w:val="0"/>
          <w:sz w:val="32"/>
          <w:szCs w:val="32"/>
          <w:lang w:val="en-US" w:eastAsia="zh-CN"/>
        </w:rPr>
        <w:t>主要用于直管绿地养护费项目（含城市主次干道、风光带、城区广场游园、背街小巷）；绿城攻坚基础设施建设；城建预算调整项目2018年城区主次干道新增双排行道树工程；科研基地建设；鹤鸣洲、丰溪苑、香洲广场、天星广场公厕维护经费；古树名木保护经费；市城市园林绿地管养单位绿化养护考评工作；开展园林绿化相关主题活动等</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pStyle w:val="15"/>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2021年度直管绿地养护费项目绩效自评综述：根据年初设定的绩效目标，项目绩效自评得分为</w:t>
      </w:r>
      <w:r>
        <w:rPr>
          <w:rFonts w:hint="eastAsia" w:cs="黑体" w:asciiTheme="minorEastAsia" w:hAnsiTheme="minorEastAsia"/>
          <w:color w:val="000000"/>
          <w:kern w:val="0"/>
          <w:sz w:val="32"/>
          <w:szCs w:val="32"/>
          <w:lang w:val="en-US" w:eastAsia="zh-CN"/>
        </w:rPr>
        <w:t>95</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2000.90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2000.90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做好行道树和绿地日常养护。完成乔木修剪119006株，绿篱修剪294.1万平方米，乔木补植28190株，绿篱补植2.4万平方米，麦冬草补植29000斤，草坪修剪82.2万平方米，除杂444.5万平方米，施肥86.8吨，清理垃圾4151.6吨，洗尘30776.5吨，抗旱用水343706吨挖隔草圈2486株，挖隔草沟2000米，更换草花130余万盆</w:t>
      </w:r>
      <w:r>
        <w:rPr>
          <w:rFonts w:hint="eastAsia" w:cs="黑体" w:asciiTheme="minorEastAsia" w:hAnsiTheme="minorEastAsia"/>
          <w:color w:val="000000"/>
          <w:kern w:val="0"/>
          <w:sz w:val="32"/>
          <w:szCs w:val="32"/>
          <w:lang w:val="en-US" w:eastAsia="zh-CN"/>
        </w:rPr>
        <w:t>；</w:t>
      </w:r>
      <w:r>
        <w:rPr>
          <w:rFonts w:hint="eastAsia" w:cs="黑体" w:asciiTheme="minorEastAsia" w:hAnsiTheme="minorEastAsia"/>
          <w:color w:val="000000"/>
          <w:kern w:val="0"/>
          <w:sz w:val="32"/>
          <w:szCs w:val="32"/>
        </w:rPr>
        <w:t>二是乔木病虫害防治13万余株，处置死树枯树21株，完成乔木涂白56644株，整改安全隐患2079处，新增灭鼠站450个，投药7872斤，投蜡块955斤，堵鼠洞687处，病媒生物防治药水389473.6千克</w:t>
      </w:r>
      <w:r>
        <w:rPr>
          <w:rFonts w:hint="eastAsia" w:cs="黑体" w:asciiTheme="minorEastAsia" w:hAnsiTheme="minorEastAsia"/>
          <w:color w:val="000000"/>
          <w:kern w:val="0"/>
          <w:sz w:val="32"/>
          <w:szCs w:val="32"/>
          <w:lang w:val="en-US" w:eastAsia="zh-CN"/>
        </w:rPr>
        <w:t>；</w:t>
      </w:r>
      <w:r>
        <w:rPr>
          <w:rFonts w:hint="eastAsia" w:cs="黑体" w:asciiTheme="minorEastAsia" w:hAnsiTheme="minorEastAsia"/>
          <w:color w:val="000000"/>
          <w:kern w:val="0"/>
          <w:sz w:val="32"/>
          <w:szCs w:val="32"/>
        </w:rPr>
        <w:t>三是设施维修2410件，绿地亮化维修1364盏，更换电线、线管1193米，路面维护6845.7平方米</w:t>
      </w:r>
      <w:r>
        <w:rPr>
          <w:rFonts w:hint="eastAsia" w:cs="黑体" w:asciiTheme="minorEastAsia" w:hAnsiTheme="minorEastAsia"/>
          <w:color w:val="000000"/>
          <w:kern w:val="0"/>
          <w:sz w:val="32"/>
          <w:szCs w:val="32"/>
          <w:lang w:val="en-US" w:eastAsia="zh-CN"/>
        </w:rPr>
        <w:t>；</w:t>
      </w:r>
      <w:r>
        <w:rPr>
          <w:rFonts w:hint="eastAsia" w:cs="黑体" w:asciiTheme="minorEastAsia" w:hAnsiTheme="minorEastAsia"/>
          <w:color w:val="000000"/>
          <w:kern w:val="0"/>
          <w:sz w:val="32"/>
          <w:szCs w:val="32"/>
        </w:rPr>
        <w:t>四是智慧城管案件1576件，解决1472件，综合解决率93.22%</w:t>
      </w:r>
      <w:r>
        <w:rPr>
          <w:rFonts w:hint="eastAsia" w:cs="黑体" w:asciiTheme="minorEastAsia" w:hAnsiTheme="minorEastAsia"/>
          <w:color w:val="000000"/>
          <w:kern w:val="0"/>
          <w:sz w:val="32"/>
          <w:szCs w:val="32"/>
          <w:lang w:val="en-US" w:eastAsia="zh-CN"/>
        </w:rPr>
        <w:t>；</w:t>
      </w:r>
      <w:r>
        <w:rPr>
          <w:rFonts w:hint="eastAsia" w:cs="黑体" w:asciiTheme="minorEastAsia" w:hAnsiTheme="minorEastAsia"/>
          <w:color w:val="000000"/>
          <w:kern w:val="0"/>
          <w:sz w:val="32"/>
          <w:szCs w:val="32"/>
        </w:rPr>
        <w:t>五是推广一线绩效考核工作法。由局分管领导亲自带队，组织个承包管理单位到现场一块块绿地、一株株行道树、一件件设施查看检查，现场点评、讲评、总结和部署。成立专门园林评价所，对施肥、打药、修剪等养护工作进行量化考核。发现的主要问题及原因：</w:t>
      </w:r>
      <w:r>
        <w:rPr>
          <w:rFonts w:hint="eastAsia" w:cs="黑体" w:asciiTheme="minorEastAsia" w:hAnsiTheme="minorEastAsia"/>
          <w:color w:val="000000"/>
          <w:kern w:val="0"/>
          <w:sz w:val="32"/>
          <w:szCs w:val="32"/>
          <w:lang w:val="en-US" w:eastAsia="zh-CN"/>
        </w:rPr>
        <w:t>制定了一线园林绿化养护绩效考核办法，执行《城市绿化条例》（国务院令第</w:t>
      </w:r>
      <w:r>
        <w:rPr>
          <w:rFonts w:hint="default"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lang w:val="en-US" w:eastAsia="zh-CN"/>
        </w:rPr>
        <w:t>号）《园林绿化工程建设管理规定》（建城〔</w:t>
      </w:r>
      <w:r>
        <w:rPr>
          <w:rFonts w:hint="default" w:cs="黑体" w:asciiTheme="minorEastAsia" w:hAnsiTheme="minorEastAsia"/>
          <w:color w:val="000000"/>
          <w:kern w:val="0"/>
          <w:sz w:val="32"/>
          <w:szCs w:val="32"/>
          <w:lang w:val="en-US" w:eastAsia="zh-CN"/>
        </w:rPr>
        <w:t>2017</w:t>
      </w:r>
      <w:r>
        <w:rPr>
          <w:rFonts w:hint="eastAsia" w:cs="黑体" w:asciiTheme="minorEastAsia" w:hAnsiTheme="minorEastAsia"/>
          <w:color w:val="000000"/>
          <w:kern w:val="0"/>
          <w:sz w:val="32"/>
          <w:szCs w:val="32"/>
          <w:lang w:val="en-US" w:eastAsia="zh-CN"/>
        </w:rPr>
        <w:t>〕）《湖南省住房和城乡建设厅关于进一步加强和规范园林绿化工程建设管理的通知》（湘建城〔</w:t>
      </w:r>
      <w:r>
        <w:rPr>
          <w:rFonts w:hint="default"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lang w:val="en-US" w:eastAsia="zh-CN"/>
        </w:rPr>
        <w:t>20〕63号）的规定不够，资金使用效率有待。</w:t>
      </w:r>
      <w:r>
        <w:rPr>
          <w:rFonts w:hint="eastAsia" w:cs="黑体" w:asciiTheme="minorEastAsia" w:hAnsiTheme="minorEastAsia"/>
          <w:color w:val="000000"/>
          <w:kern w:val="0"/>
          <w:sz w:val="32"/>
          <w:szCs w:val="32"/>
        </w:rPr>
        <w:t>下一步改进措施：</w:t>
      </w:r>
      <w:r>
        <w:rPr>
          <w:rFonts w:hint="eastAsia" w:cs="黑体" w:asciiTheme="minorEastAsia" w:hAnsiTheme="minorEastAsia"/>
          <w:color w:val="000000"/>
          <w:kern w:val="0"/>
          <w:sz w:val="32"/>
          <w:szCs w:val="32"/>
          <w:lang w:val="en-US" w:eastAsia="zh-CN"/>
        </w:rPr>
        <w:t>一是</w:t>
      </w:r>
      <w:r>
        <w:rPr>
          <w:rFonts w:hint="eastAsia" w:cs="黑体" w:asciiTheme="minorEastAsia" w:hAnsiTheme="minorEastAsia"/>
          <w:color w:val="000000"/>
          <w:kern w:val="0"/>
          <w:sz w:val="32"/>
          <w:szCs w:val="32"/>
        </w:rPr>
        <w:t>专项资金绩效评价结果和全过程，作为以后年度本专项资金预算安排的参考依据</w:t>
      </w:r>
      <w:r>
        <w:rPr>
          <w:rFonts w:hint="eastAsia" w:cs="黑体" w:asciiTheme="minorEastAsia" w:hAnsiTheme="minorEastAsia"/>
          <w:color w:val="000000"/>
          <w:kern w:val="0"/>
          <w:sz w:val="32"/>
          <w:szCs w:val="32"/>
          <w:lang w:val="en-US" w:eastAsia="zh-CN"/>
        </w:rPr>
        <w:t>；二是</w:t>
      </w:r>
      <w:r>
        <w:rPr>
          <w:rFonts w:hint="eastAsia" w:cs="黑体" w:asciiTheme="minorEastAsia" w:hAnsiTheme="minorEastAsia"/>
          <w:color w:val="000000"/>
          <w:kern w:val="0"/>
          <w:sz w:val="32"/>
          <w:szCs w:val="32"/>
        </w:rPr>
        <w:t>专项资金实行相关的制度和办法、绩效评价的全过程公开。</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直管绿地养护费项目绩效自评综述：“直管绿地养护费”2021年度项目立项符合国家法律法规；项目管理制度健全，资金和监管措施落实到位；各项工作具体扎实，项目建设任务全面完成，项目实施效果显著。</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w:t>
      </w: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cs="黑体" w:asciiTheme="minorEastAsia" w:hAnsiTheme="minorEastAsia"/>
          <w:color w:val="000000"/>
          <w:kern w:val="0"/>
          <w:sz w:val="32"/>
          <w:szCs w:val="32"/>
        </w:rPr>
        <w:t>……</w:t>
      </w:r>
    </w:p>
    <w:p>
      <w:pPr>
        <w:pStyle w:val="12"/>
        <w:jc w:val="center"/>
        <w:rPr>
          <w:rFonts w:asciiTheme="minorEastAsia" w:hAnsiTheme="minorEastAsia"/>
          <w:sz w:val="32"/>
          <w:szCs w:val="32"/>
        </w:rPr>
      </w:pPr>
      <w:r>
        <w:rPr>
          <w:rFonts w:asciiTheme="minorEastAsia" w:hAnsiTheme="minorEastAsia"/>
          <w:sz w:val="32"/>
          <w:szCs w:val="32"/>
        </w:rPr>
        <w:t>………</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pStyle w:val="7"/>
        <w:keepNext w:val="0"/>
        <w:keepLines w:val="0"/>
        <w:widowControl/>
        <w:suppressLineNumbers w:val="0"/>
        <w:spacing w:before="0" w:beforeAutospacing="0" w:after="0" w:afterAutospacing="0" w:line="499" w:lineRule="auto"/>
        <w:ind w:left="0" w:right="0" w:firstLine="627"/>
        <w:jc w:val="left"/>
        <w:rPr>
          <w:rFonts w:hint="eastAsia" w:ascii="仿宋" w:hAnsi="仿宋" w:eastAsia="仿宋" w:cs="Times New Roman"/>
          <w:spacing w:val="-2"/>
          <w:sz w:val="32"/>
          <w:szCs w:val="32"/>
          <w:lang w:val="en-US" w:eastAsia="zh-CN"/>
        </w:rPr>
      </w:pPr>
    </w:p>
    <w:p>
      <w:pPr>
        <w:pStyle w:val="7"/>
        <w:keepNext w:val="0"/>
        <w:keepLines w:val="0"/>
        <w:widowControl/>
        <w:suppressLineNumbers w:val="0"/>
        <w:spacing w:before="0" w:beforeAutospacing="0" w:after="0" w:afterAutospacing="0" w:line="499" w:lineRule="auto"/>
        <w:ind w:left="0" w:right="0" w:firstLine="627"/>
        <w:jc w:val="left"/>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根据《中华人民共和国预算法》、《中共湖南省委办公厅 湖南省人民政府办公厅关于全面实施预算绩效管理的实施意见》（湘办发〔2019〕10号）、《湖南省预算支出绩效评价管理办法》（湘财绩〔2020〕7号）及《怀化市财政局关于开展2021年度部门整体支出 专项资金绩效自评工作的通知》（怀财绩〔2022〕51号）等相关文件要求，我中心现将评价情况报告如下：</w:t>
      </w:r>
    </w:p>
    <w:p>
      <w:pPr>
        <w:pStyle w:val="7"/>
        <w:keepNext w:val="0"/>
        <w:keepLines w:val="0"/>
        <w:widowControl/>
        <w:suppressLineNumbers w:val="0"/>
        <w:spacing w:before="0" w:beforeAutospacing="0" w:after="0" w:afterAutospacing="0" w:line="499" w:lineRule="auto"/>
        <w:ind w:left="0" w:right="0" w:firstLine="627"/>
        <w:jc w:val="left"/>
        <w:rPr>
          <w:rFonts w:hint="eastAsia" w:ascii="仿宋" w:hAnsi="仿宋" w:eastAsia="仿宋" w:cs="Times New Roman"/>
          <w:b/>
          <w:bCs/>
          <w:spacing w:val="-2"/>
          <w:sz w:val="32"/>
          <w:szCs w:val="32"/>
          <w:lang w:val="en-US" w:eastAsia="zh-CN"/>
        </w:rPr>
      </w:pPr>
      <w:r>
        <w:rPr>
          <w:rFonts w:hint="eastAsia" w:ascii="仿宋" w:hAnsi="仿宋" w:eastAsia="仿宋" w:cs="Times New Roman"/>
          <w:b/>
          <w:bCs/>
          <w:spacing w:val="-2"/>
          <w:sz w:val="32"/>
          <w:szCs w:val="32"/>
          <w:lang w:val="en-US" w:eastAsia="zh-CN"/>
        </w:rPr>
        <w:t>一、部门概况</w:t>
      </w:r>
    </w:p>
    <w:p>
      <w:pPr>
        <w:pStyle w:val="7"/>
        <w:keepNext w:val="0"/>
        <w:keepLines w:val="0"/>
        <w:widowControl/>
        <w:suppressLineNumbers w:val="0"/>
        <w:spacing w:before="0" w:beforeAutospacing="0" w:after="0" w:afterAutospacing="0" w:line="499" w:lineRule="auto"/>
        <w:ind w:left="0" w:right="0" w:firstLine="627"/>
        <w:jc w:val="left"/>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（一）部门基本情况（包括部门的在职人员情况、机构设置、主要职能及重点工作计划等）。</w:t>
      </w:r>
    </w:p>
    <w:p>
      <w:pPr>
        <w:pStyle w:val="7"/>
        <w:keepNext w:val="0"/>
        <w:keepLines w:val="0"/>
        <w:widowControl/>
        <w:suppressLineNumbers w:val="0"/>
        <w:spacing w:before="0" w:beforeAutospacing="0" w:after="0" w:afterAutospacing="0" w:line="499" w:lineRule="auto"/>
        <w:ind w:left="0" w:right="0" w:firstLine="627"/>
        <w:jc w:val="left"/>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1、在职人员情况。《中共怀化市机构编制委员会办公室关于怀化市园林绿化服务中心机构编制事项调整的通知》（怀编〔2021〕45号）批复怀化市园林绿化服务中心的编制数86人，截止2021年末实际在岗人数95人。</w:t>
      </w:r>
    </w:p>
    <w:p>
      <w:pPr>
        <w:pStyle w:val="7"/>
        <w:keepNext w:val="0"/>
        <w:keepLines w:val="0"/>
        <w:widowControl/>
        <w:suppressLineNumbers w:val="0"/>
        <w:spacing w:before="0" w:beforeAutospacing="0" w:after="0" w:afterAutospacing="0" w:line="499" w:lineRule="auto"/>
        <w:ind w:left="0" w:right="0" w:firstLine="627"/>
        <w:jc w:val="left"/>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2、机构设置。怀化市园林绿化服务中心作为一级部门预算单位，内设部室有：办公室、人事和财务部、工程技术部、绿化服务部、园林科研部。</w:t>
      </w:r>
    </w:p>
    <w:p>
      <w:pPr>
        <w:spacing w:line="620" w:lineRule="exact"/>
        <w:ind w:firstLine="632" w:firstLineChars="20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3、主要职能。</w:t>
      </w:r>
    </w:p>
    <w:p>
      <w:pPr>
        <w:spacing w:line="620" w:lineRule="exact"/>
        <w:ind w:firstLine="632" w:firstLineChars="20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（1）贯彻执行国家、省有关园林绿化管理的方针、政策、法律、法规和规章，配合有关部门研究拟订本市实施细则。</w:t>
      </w:r>
    </w:p>
    <w:p>
      <w:pPr>
        <w:spacing w:line="620" w:lineRule="exact"/>
        <w:ind w:firstLine="632" w:firstLineChars="20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（2）承担编制城区园林绿化近期、远期发展规划和园林绿化建设管理资金计划的有关具体工作。</w:t>
      </w:r>
    </w:p>
    <w:p>
      <w:pPr>
        <w:spacing w:line="620" w:lineRule="exact"/>
        <w:ind w:firstLine="632" w:firstLineChars="20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（3）承担城市新建、改建、扩建工程附属绿化工程初审及施工监督、竣工验收的有关事务性工作。</w:t>
      </w:r>
    </w:p>
    <w:p>
      <w:pPr>
        <w:spacing w:line="620" w:lineRule="exact"/>
        <w:ind w:firstLine="632" w:firstLineChars="20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4）承担改变城市绿地规划、绿化用地使用性质审批初审及临时占用城市绿地、砍伐、移植、修剪城市树木（包括古树名木）许可初审的有关事务性工作；协助主管部门开展园林绿化执法督查，协助上级征收城市绿化补偿费等相关费用。</w:t>
      </w:r>
    </w:p>
    <w:p>
      <w:pPr>
        <w:spacing w:line="620" w:lineRule="exact"/>
        <w:ind w:firstLine="632" w:firstLineChars="20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（5）负责街旁绿地、街头游园、防护绿地、风景林地、行道及干道绿化带、滨江（水）风光带、广场等公共绿地的保护、管理和日常养护工作。</w:t>
      </w:r>
    </w:p>
    <w:p>
      <w:pPr>
        <w:spacing w:line="620" w:lineRule="exact"/>
        <w:ind w:firstLine="632" w:firstLineChars="20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（6）承担城区城市公园、城市雕塑管理和维护的具体工作；负责城市规划区内生物多样性保护工作；推广城市园林绿化科技新成果、新技术，开展对外技术交流。</w:t>
      </w:r>
    </w:p>
    <w:p>
      <w:pPr>
        <w:spacing w:line="620" w:lineRule="exact"/>
        <w:ind w:firstLine="632" w:firstLineChars="20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（7）参与指导县市区城镇园林绿化工作，促进园林绿化事业的发展。</w:t>
      </w:r>
    </w:p>
    <w:p>
      <w:pPr>
        <w:spacing w:line="620" w:lineRule="exact"/>
        <w:ind w:firstLine="632" w:firstLineChars="200"/>
        <w:rPr>
          <w:rFonts w:hint="eastAsia" w:ascii="仿宋_GB2312" w:eastAsia="仿宋_GB2312"/>
          <w:b/>
          <w:sz w:val="32"/>
          <w:szCs w:val="32"/>
          <w:lang w:eastAsia="zh-CN"/>
        </w:rPr>
      </w:pPr>
      <w:r>
        <w:rPr>
          <w:rFonts w:hint="eastAsia" w:ascii="仿宋" w:hAnsi="仿宋" w:eastAsia="仿宋" w:cs="Times New Roman"/>
          <w:spacing w:val="-2"/>
          <w:sz w:val="32"/>
          <w:szCs w:val="32"/>
          <w:lang w:val="en-US" w:eastAsia="zh-CN"/>
        </w:rPr>
        <w:t>（8）承办市委、市政府和市城市管理和行政执法局交办的其他事项。4、重点工作计划。</w:t>
      </w:r>
      <w:r>
        <w:rPr>
          <w:rFonts w:hint="eastAsia" w:ascii="仿宋" w:hAnsi="仿宋" w:eastAsia="仿宋" w:cs="仿宋"/>
          <w:spacing w:val="-2"/>
          <w:sz w:val="32"/>
          <w:szCs w:val="21"/>
          <w:lang w:val="en-US" w:eastAsia="zh-CN"/>
        </w:rPr>
        <w:t>（1）扎实开展绿地日常维护管理；（2） 积极推进城区绿地移交接收管理；（3）扎实推进安全文明生产；（4）扎实推进各项城市创建工作；（5）全面深化内部机构改革；（6）全面加强绩效考评管理；（6）全面加强车辆设备管理。</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color w:val="auto"/>
          <w:spacing w:val="-2"/>
          <w:kern w:val="2"/>
          <w:sz w:val="32"/>
          <w:szCs w:val="21"/>
          <w:lang w:val="en-US" w:eastAsia="zh-CN" w:bidi="ar-SA"/>
        </w:rPr>
      </w:pPr>
      <w:r>
        <w:rPr>
          <w:rFonts w:hint="eastAsia" w:ascii="仿宋" w:hAnsi="仿宋" w:eastAsia="仿宋" w:cs="仿宋"/>
          <w:color w:val="auto"/>
          <w:spacing w:val="-2"/>
          <w:kern w:val="2"/>
          <w:sz w:val="32"/>
          <w:szCs w:val="21"/>
          <w:lang w:val="en-US" w:eastAsia="zh-CN" w:bidi="ar-SA"/>
        </w:rPr>
        <w:t>（二）部门整体支出规模、使用方向和主要内容、涉及范围等。</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color w:val="auto"/>
          <w:spacing w:val="-2"/>
          <w:kern w:val="2"/>
          <w:sz w:val="32"/>
          <w:szCs w:val="21"/>
          <w:lang w:val="en-US" w:eastAsia="zh-CN" w:bidi="ar-SA"/>
        </w:rPr>
      </w:pPr>
      <w:r>
        <w:rPr>
          <w:rFonts w:hint="eastAsia" w:ascii="仿宋" w:hAnsi="仿宋" w:eastAsia="仿宋" w:cs="仿宋"/>
          <w:color w:val="auto"/>
          <w:spacing w:val="-2"/>
          <w:kern w:val="2"/>
          <w:sz w:val="32"/>
          <w:szCs w:val="21"/>
          <w:lang w:val="en-US" w:eastAsia="zh-CN" w:bidi="ar-SA"/>
        </w:rPr>
        <w:t>1、2021年部门预算情况</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color w:val="auto"/>
          <w:spacing w:val="-2"/>
          <w:kern w:val="2"/>
          <w:sz w:val="32"/>
          <w:szCs w:val="21"/>
          <w:lang w:val="en-US" w:eastAsia="zh-CN" w:bidi="ar-SA"/>
        </w:rPr>
      </w:pPr>
      <w:r>
        <w:rPr>
          <w:rFonts w:hint="eastAsia" w:ascii="仿宋" w:hAnsi="仿宋" w:eastAsia="仿宋" w:cs="仿宋"/>
          <w:color w:val="auto"/>
          <w:spacing w:val="-2"/>
          <w:kern w:val="2"/>
          <w:sz w:val="32"/>
          <w:szCs w:val="21"/>
          <w:lang w:val="en-US" w:eastAsia="zh-CN" w:bidi="ar-SA"/>
        </w:rPr>
        <w:t>依据怀财预（2021）22号预算批复，我中心2021年年初年初部门整体支出总预算2153.83万元，其中：基本支出748.83万元（工资福利支出646.99万元，商品和服务支出90.12万元，对个人和家庭的补助11.72万元）；项目支出1405.00万元。</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color w:val="auto"/>
          <w:spacing w:val="-2"/>
          <w:kern w:val="2"/>
          <w:sz w:val="32"/>
          <w:szCs w:val="21"/>
          <w:lang w:val="en-US" w:eastAsia="zh-CN" w:bidi="ar-SA"/>
        </w:rPr>
      </w:pPr>
      <w:r>
        <w:rPr>
          <w:rFonts w:hint="eastAsia" w:ascii="仿宋" w:hAnsi="仿宋" w:eastAsia="仿宋" w:cs="仿宋"/>
          <w:color w:val="auto"/>
          <w:spacing w:val="-2"/>
          <w:kern w:val="2"/>
          <w:sz w:val="32"/>
          <w:szCs w:val="21"/>
          <w:lang w:val="en-US" w:eastAsia="zh-CN" w:bidi="ar-SA"/>
        </w:rPr>
        <w:t>2021年支出预算调整预算数2115.94万元，与年初预算安排的差额主要是上年结转留用1418.82万元、年中预算调整数697.14万元。部门整体支出预算调整数中基本支出548.80万元（工资福利支出450.16万元，商品和服务支出-8.89万元，对个人和家庭的补助支出107.53万元），项目支出148.34万元。</w:t>
      </w:r>
    </w:p>
    <w:p>
      <w:pPr>
        <w:pStyle w:val="7"/>
        <w:keepNext w:val="0"/>
        <w:keepLines w:val="0"/>
        <w:widowControl/>
        <w:suppressLineNumbers w:val="0"/>
        <w:spacing w:before="0" w:beforeAutospacing="0" w:after="0" w:afterAutospacing="0" w:line="22" w:lineRule="atLeast"/>
        <w:ind w:right="-150" w:firstLine="632" w:firstLineChars="200"/>
        <w:jc w:val="both"/>
      </w:pPr>
      <w:r>
        <w:rPr>
          <w:rFonts w:hint="eastAsia" w:ascii="仿宋" w:hAnsi="仿宋" w:eastAsia="仿宋" w:cs="仿宋"/>
          <w:color w:val="auto"/>
          <w:spacing w:val="-2"/>
          <w:kern w:val="2"/>
          <w:sz w:val="32"/>
          <w:szCs w:val="21"/>
          <w:lang w:val="en-US" w:eastAsia="zh-CN" w:bidi="ar-SA"/>
        </w:rPr>
        <w:t>2、2021年部门决算情况2021年度部门整体决算总支出4269.78万元，其中：基本支出1349.96万元，占总支出的31.62%，使用内容为人员经费和日常公用经费</w:t>
      </w:r>
      <w:r>
        <w:rPr>
          <w:rFonts w:hint="eastAsia" w:ascii="仿宋" w:hAnsi="仿宋" w:eastAsia="仿宋" w:cs="仿宋"/>
          <w:spacing w:val="-2"/>
          <w:sz w:val="32"/>
          <w:szCs w:val="21"/>
        </w:rPr>
        <w:t>；项目支出</w:t>
      </w:r>
      <w:r>
        <w:rPr>
          <w:rFonts w:hint="eastAsia" w:ascii="仿宋" w:hAnsi="仿宋" w:eastAsia="仿宋" w:cs="仿宋"/>
          <w:color w:val="auto"/>
          <w:spacing w:val="-2"/>
          <w:kern w:val="2"/>
          <w:sz w:val="32"/>
          <w:szCs w:val="21"/>
          <w:lang w:val="en-US" w:eastAsia="zh-CN" w:bidi="ar-SA"/>
        </w:rPr>
        <w:t>2919.82</w:t>
      </w:r>
      <w:r>
        <w:rPr>
          <w:rFonts w:hint="eastAsia" w:ascii="仿宋" w:hAnsi="仿宋" w:eastAsia="仿宋" w:cs="仿宋"/>
          <w:spacing w:val="-2"/>
          <w:sz w:val="32"/>
          <w:szCs w:val="21"/>
        </w:rPr>
        <w:t>万元，占总支出的</w:t>
      </w:r>
      <w:r>
        <w:rPr>
          <w:rFonts w:hint="eastAsia" w:ascii="仿宋" w:hAnsi="仿宋" w:eastAsia="仿宋" w:cs="仿宋"/>
          <w:color w:val="auto"/>
          <w:spacing w:val="-2"/>
          <w:kern w:val="2"/>
          <w:sz w:val="32"/>
          <w:szCs w:val="21"/>
          <w:lang w:val="en-US" w:eastAsia="zh-CN" w:bidi="ar-SA"/>
        </w:rPr>
        <w:t>68.38</w:t>
      </w:r>
      <w:r>
        <w:rPr>
          <w:rFonts w:hint="eastAsia" w:ascii="仿宋" w:hAnsi="仿宋" w:eastAsia="仿宋" w:cs="仿宋"/>
          <w:spacing w:val="-2"/>
          <w:sz w:val="32"/>
          <w:szCs w:val="21"/>
        </w:rPr>
        <w:t>%。</w:t>
      </w:r>
      <w:r>
        <w:rPr>
          <w:rFonts w:hint="eastAsia" w:ascii="仿宋" w:hAnsi="仿宋" w:eastAsia="仿宋" w:cs="仿宋"/>
          <w:color w:val="auto"/>
          <w:spacing w:val="-2"/>
          <w:kern w:val="2"/>
          <w:sz w:val="32"/>
          <w:szCs w:val="21"/>
          <w:lang w:val="en-US" w:eastAsia="zh-CN" w:bidi="ar-SA"/>
        </w:rPr>
        <w:t>主要用于直管绿地养护费项目（含城市主次干道、风光带、城区广场游园、背街小巷）；绿城攻坚基础设施建设；城建预算调整项目2018年城区主次干道新增双排行道树工程；科研基地建设；鹤鸣洲、丰溪苑、香洲广场、天星广场公厕维护经费；古树名木保护经费；市城市园林绿地管养单位绿化养护考评工作；开展园林绿化相关主题活动等</w:t>
      </w:r>
      <w:r>
        <w:rPr>
          <w:rFonts w:hint="eastAsia" w:ascii="仿宋" w:hAnsi="仿宋" w:eastAsia="仿宋" w:cs="仿宋"/>
          <w:spacing w:val="-2"/>
          <w:sz w:val="32"/>
          <w:szCs w:val="21"/>
        </w:rPr>
        <w:t>。</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b/>
          <w:bCs/>
          <w:color w:val="auto"/>
          <w:spacing w:val="-2"/>
          <w:kern w:val="2"/>
          <w:sz w:val="32"/>
          <w:szCs w:val="21"/>
          <w:lang w:val="en-US" w:eastAsia="zh-CN" w:bidi="ar-SA"/>
        </w:rPr>
      </w:pPr>
      <w:r>
        <w:rPr>
          <w:rFonts w:hint="eastAsia" w:ascii="仿宋" w:hAnsi="仿宋" w:eastAsia="仿宋" w:cs="仿宋"/>
          <w:b/>
          <w:bCs/>
          <w:color w:val="auto"/>
          <w:spacing w:val="-2"/>
          <w:kern w:val="2"/>
          <w:sz w:val="32"/>
          <w:szCs w:val="21"/>
          <w:lang w:val="en-US" w:eastAsia="zh-CN" w:bidi="ar-SA"/>
        </w:rPr>
        <w:t>二、部门整体支出管理及使用情况</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b/>
          <w:bCs/>
          <w:color w:val="auto"/>
          <w:spacing w:val="-2"/>
          <w:kern w:val="2"/>
          <w:sz w:val="32"/>
          <w:szCs w:val="21"/>
          <w:lang w:val="en-US" w:eastAsia="zh-CN" w:bidi="ar-SA"/>
        </w:rPr>
      </w:pPr>
      <w:r>
        <w:rPr>
          <w:rFonts w:hint="eastAsia" w:ascii="仿宋" w:hAnsi="仿宋" w:eastAsia="仿宋" w:cs="仿宋"/>
          <w:b/>
          <w:bCs/>
          <w:color w:val="auto"/>
          <w:spacing w:val="-2"/>
          <w:kern w:val="2"/>
          <w:sz w:val="32"/>
          <w:szCs w:val="21"/>
          <w:lang w:val="en-US" w:eastAsia="zh-CN" w:bidi="ar-SA"/>
        </w:rPr>
        <w:t>（一）基本支出</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21"/>
          <w:lang w:val="en-US" w:eastAsia="zh-CN" w:bidi="ar-SA"/>
        </w:rPr>
        <w:t>基本支出系保障我中心正常运转、完成日常工作任务而发生的人员经费和日常公用经费。具体包括：工资福利支出、对个人和家庭的补助、商品和服务支出、资本性支出。</w:t>
      </w:r>
      <w:r>
        <w:rPr>
          <w:rFonts w:ascii="仿宋" w:hAnsi="仿宋" w:eastAsia="仿宋" w:cs="仿宋"/>
          <w:color w:val="auto"/>
          <w:spacing w:val="-2"/>
          <w:kern w:val="2"/>
          <w:sz w:val="32"/>
          <w:szCs w:val="32"/>
          <w:lang w:val="en-US" w:eastAsia="zh-CN" w:bidi="ar-SA"/>
        </w:rPr>
        <w:t>202</w:t>
      </w:r>
      <w:r>
        <w:rPr>
          <w:rFonts w:hint="eastAsia" w:ascii="仿宋" w:hAnsi="仿宋" w:eastAsia="仿宋" w:cs="仿宋"/>
          <w:color w:val="auto"/>
          <w:spacing w:val="-2"/>
          <w:kern w:val="2"/>
          <w:sz w:val="32"/>
          <w:szCs w:val="32"/>
          <w:lang w:val="en-US" w:eastAsia="zh-CN" w:bidi="ar-SA"/>
        </w:rPr>
        <w:t>1</w:t>
      </w:r>
      <w:r>
        <w:rPr>
          <w:rFonts w:ascii="仿宋" w:hAnsi="仿宋" w:eastAsia="仿宋" w:cs="仿宋"/>
          <w:color w:val="auto"/>
          <w:spacing w:val="-2"/>
          <w:kern w:val="2"/>
          <w:sz w:val="32"/>
          <w:szCs w:val="32"/>
          <w:lang w:val="en-US" w:eastAsia="zh-CN" w:bidi="ar-SA"/>
        </w:rPr>
        <w:t>年基本支出</w:t>
      </w:r>
      <w:r>
        <w:rPr>
          <w:rFonts w:hint="eastAsia" w:ascii="仿宋" w:hAnsi="仿宋" w:eastAsia="仿宋" w:cs="仿宋"/>
          <w:color w:val="auto"/>
          <w:spacing w:val="-2"/>
          <w:kern w:val="2"/>
          <w:sz w:val="32"/>
          <w:szCs w:val="21"/>
          <w:lang w:val="en-US" w:eastAsia="zh-CN" w:bidi="ar-SA"/>
        </w:rPr>
        <w:t>1349.96</w:t>
      </w:r>
      <w:r>
        <w:rPr>
          <w:rFonts w:ascii="仿宋" w:hAnsi="仿宋" w:eastAsia="仿宋" w:cs="仿宋"/>
          <w:color w:val="auto"/>
          <w:spacing w:val="-2"/>
          <w:kern w:val="2"/>
          <w:sz w:val="32"/>
          <w:szCs w:val="32"/>
          <w:lang w:val="en-US" w:eastAsia="zh-CN" w:bidi="ar-SA"/>
        </w:rPr>
        <w:t>万元较上年</w:t>
      </w:r>
      <w:r>
        <w:rPr>
          <w:rFonts w:hint="eastAsia" w:ascii="仿宋" w:hAnsi="仿宋" w:eastAsia="仿宋" w:cs="仿宋"/>
          <w:color w:val="auto"/>
          <w:spacing w:val="-2"/>
          <w:kern w:val="2"/>
          <w:sz w:val="32"/>
          <w:szCs w:val="32"/>
          <w:lang w:val="en-US" w:eastAsia="zh-CN" w:bidi="ar-SA"/>
        </w:rPr>
        <w:t>减少160.95</w:t>
      </w:r>
      <w:r>
        <w:rPr>
          <w:rFonts w:ascii="仿宋" w:hAnsi="仿宋" w:eastAsia="仿宋" w:cs="仿宋"/>
          <w:color w:val="auto"/>
          <w:spacing w:val="-2"/>
          <w:kern w:val="2"/>
          <w:sz w:val="32"/>
          <w:szCs w:val="32"/>
          <w:lang w:val="en-US" w:eastAsia="zh-CN" w:bidi="ar-SA"/>
        </w:rPr>
        <w:t>万元，</w:t>
      </w:r>
      <w:r>
        <w:rPr>
          <w:rFonts w:hint="eastAsia" w:ascii="仿宋" w:hAnsi="仿宋" w:eastAsia="仿宋" w:cs="仿宋"/>
          <w:color w:val="auto"/>
          <w:spacing w:val="-2"/>
          <w:kern w:val="2"/>
          <w:sz w:val="32"/>
          <w:szCs w:val="32"/>
          <w:lang w:val="en-US" w:eastAsia="zh-CN" w:bidi="ar-SA"/>
        </w:rPr>
        <w:t>减少10.65</w:t>
      </w:r>
      <w:r>
        <w:rPr>
          <w:rFonts w:ascii="仿宋" w:hAnsi="仿宋" w:eastAsia="仿宋" w:cs="仿宋"/>
          <w:color w:val="auto"/>
          <w:spacing w:val="-2"/>
          <w:kern w:val="2"/>
          <w:sz w:val="32"/>
          <w:szCs w:val="32"/>
          <w:lang w:val="en-US" w:eastAsia="zh-CN" w:bidi="ar-SA"/>
        </w:rPr>
        <w:t>%。</w:t>
      </w:r>
      <w:r>
        <w:rPr>
          <w:rFonts w:hint="eastAsia" w:ascii="仿宋" w:hAnsi="仿宋" w:eastAsia="仿宋" w:cs="仿宋"/>
          <w:color w:val="auto"/>
          <w:spacing w:val="-2"/>
          <w:kern w:val="2"/>
          <w:sz w:val="32"/>
          <w:szCs w:val="32"/>
          <w:lang w:val="en-US" w:eastAsia="zh-CN" w:bidi="ar-SA"/>
        </w:rPr>
        <w:t>1、人员经费。人员经费1209.60万元，占基本支出的89.60%，较上年增加8.22%，主要是社保缴费增加的人员经费。</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（1）工资福利支出1097.15万元，主要包括在职人员工资、津补贴、政策规定奖金、伙食补助、基本养老保险、基本医疗保险、其他社会保障费和医疗费等支出。</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（2）对个人和家庭补助支出112.45万元。主要包括抚恤金、生活补助费、奖励金、其他对个人和家庭的补助等支出。</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2、日常公用经费。日常公用经费140.36万元（含资本性支出13.89万元），较上年减少64.30%，主要是上年度绿地养护日常维护经费计入了公用经费等核算口径不一致影响。</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（1）商品和服务支出126.47万元。包括日常运行正常的办公费、印刷费、电费、邮电费、物业管理费、差旅费、维修（护）费、 培训费、劳务费、委托业务费、工会经费、职工福利费、公务用车维护费、其他交通费用、其他商品服务支出等。</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（2）“三公”经费支出11.51万元。一般公共预算中“三公经费”总体支出比上年增加1.19万元，是本年实际发生的支出数。</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（3）会议费和培训费支出2.87万元。会议费0万元，发生培训费2.87万元，主要是事业单位岗位培训费、新进人员人事岗位培训、会计人员后续教育培训。</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b/>
          <w:bCs/>
          <w:color w:val="auto"/>
          <w:spacing w:val="-2"/>
          <w:kern w:val="2"/>
          <w:sz w:val="32"/>
          <w:szCs w:val="32"/>
          <w:lang w:val="en-US" w:eastAsia="zh-CN" w:bidi="ar-SA"/>
        </w:rPr>
      </w:pPr>
      <w:r>
        <w:rPr>
          <w:rFonts w:hint="eastAsia" w:ascii="仿宋" w:hAnsi="仿宋" w:eastAsia="仿宋" w:cs="仿宋"/>
          <w:b/>
          <w:bCs/>
          <w:color w:val="auto"/>
          <w:spacing w:val="-2"/>
          <w:kern w:val="2"/>
          <w:sz w:val="32"/>
          <w:szCs w:val="32"/>
          <w:lang w:val="en-US" w:eastAsia="zh-CN" w:bidi="ar-SA"/>
        </w:rPr>
        <w:t>（二）专项支出</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1、专项资金（包括财政资金、自筹资金等）安排落实、总投入等情况分析。</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根据怀财预（2021）22号文件安排，2021年度市财政安排专项项目资金2919.82万元（年初财政预算安排1553.33万元，上年财政拨款结转1338.59万元，其他资金27.90万元），资金到位率100%，其中商品和服务支出2849.88万元，对个人和家庭的补助支出6.8万元，资本性支出63.14万元。</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2、专项资金（主要指财政资金）实际使用情况分析。</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2021年度我中心项目支出2891.92万元，主要用于一般公共服务支出（类）其他组织事务支出、城乡社区支出（类）其他城乡社区管理事务支出、城乡社区支出（类）其他城乡社区公共设施支出、城乡社区支出（类）城乡社区环境卫生、城乡社区支出（类）城市建设支出、城乡社区支出（类）其他城市基础设施配套费安排的支出，其中：人才资源开发专项资金6.80万元；特种作业车上户费23.00万元；2018年城区主次干道新增双排行道树工程65.28万元；鹤鸣洲、丰溪苑、香洲广场、天星广场公厕维护经费16.12万元；绿城攻坚基础设施建设资金752.00万元；古树名木保护经费7.82万元；科研基地建设工程20.00万元；直管绿地日常养护费2000.90万元。</w:t>
      </w:r>
    </w:p>
    <w:p>
      <w:pPr>
        <w:pStyle w:val="7"/>
        <w:keepNext w:val="0"/>
        <w:keepLines w:val="0"/>
        <w:widowControl/>
        <w:suppressLineNumbers w:val="0"/>
        <w:spacing w:before="0" w:beforeAutospacing="0" w:after="0" w:afterAutospacing="0" w:line="22" w:lineRule="atLeast"/>
        <w:ind w:right="-150" w:firstLine="632" w:firstLineChars="200"/>
        <w:jc w:val="both"/>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3、专项资金管理情况分析，主要包括管理制度、办法的制订及执行情况。</w:t>
      </w:r>
    </w:p>
    <w:p>
      <w:pPr>
        <w:pStyle w:val="7"/>
        <w:keepNext w:val="0"/>
        <w:keepLines w:val="0"/>
        <w:widowControl/>
        <w:suppressLineNumbers w:val="0"/>
        <w:spacing w:before="0" w:beforeAutospacing="0" w:after="0" w:afterAutospacing="0" w:line="22" w:lineRule="atLeast"/>
        <w:ind w:right="-150" w:firstLine="632" w:firstLineChars="200"/>
        <w:jc w:val="both"/>
      </w:pPr>
      <w:r>
        <w:rPr>
          <w:rFonts w:hint="eastAsia" w:ascii="仿宋" w:hAnsi="仿宋" w:eastAsia="仿宋" w:cs="仿宋"/>
          <w:color w:val="auto"/>
          <w:spacing w:val="-2"/>
          <w:kern w:val="2"/>
          <w:sz w:val="32"/>
          <w:szCs w:val="32"/>
          <w:lang w:val="en-US" w:eastAsia="zh-CN" w:bidi="ar-SA"/>
        </w:rPr>
        <w:t>我中心制定了《财务管理制度》、《专项资金管理办法》《合同管理制度》。专项资金的分配、使用、管理严格按制度执行，专款专用，大额资金支出实行“三重一大”集体决策机制，项目招标、评审、结算按政府采购管理办法等相关要求进行，确保资金使用公开、公正、科学、高效，专款专用、不被挤占、挪用、借用或随意调整。</w:t>
      </w:r>
    </w:p>
    <w:p>
      <w:pPr>
        <w:ind w:firstLine="640"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三、部门专项组织实施情况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（一）专项组织情况分析，主要包括项目招投标、调整、竣工验收等情况。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绿地绿化日常养护项目。按园林绿化工程施工及验收规范（DB11T212-2003）城市主次干道、风光带、城区广场游园、背街小巷绿地绿化，包括但不限于：整理绿地地形；修剪、补植乔木、绿篱、麦冬草，乔木病虫害防治、处置死树枯树、乔木涂白；修剪草坪、除杂、施肥；清理垃圾；洗尘；抗旱用水；设施维修；绿地亮化维修；挖隔草圈、隔草沟；整改绿地安全隐患，堵鼠洞；病媒生物防治。为保障城市绿地常绿，通过公开招投标等形式确定了怀化市康林园艺有限公司、怀化锦园物业服务有限公司、怀化品格建筑工程有限公司、中方县园林绿化有限责任公司、怀化龙盘园林绿化工程有限公司、怀化桂和园林有限公司、湖南阳光生态农林开发有限公司、怀化君德园林绿化工程有限公司、湖南阳光生态农林开发有限公司按照园林绿化工程施工及验收规范实施2021年度直观绿地养护经费项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2、绿城攻坚基础设施建设项目。根据怀化市绿城攻坚城市景观大提质计划安排实施的项目。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3、2018年城区主次干道新增双排行道树工程。通过城建预算调整结算2018城区主次干道新增双排行道树工程项目尾款，项目已于2018年招投标。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科研基地建设。联合城南街道办事处、杨村村委、城管支队进行保护性施工，完成科研所废弃物处置厂车间工程施工，已购买好树枝粉碎设备，争取在今冬明春完成园林绿化废弃物处置试运行。计划明年与市自然资源和规划局办理好科研基地的土地手续。同时制定天牛、白蚁的研究防治方法。通过竞争性谈判、询价等形式确定怀化市绿家园园林绿化有限公司、湖南永宏钢结构有限公司实施。5、古树名木保护经费。城建调整预算增补的市区内古树名木保护经费项目，主要是对古树名木74株、古树名木后备资源322株进行了建档、挂牌、入库。</w:t>
      </w:r>
    </w:p>
    <w:p>
      <w:pPr>
        <w:ind w:firstLine="640" w:firstLineChars="200"/>
        <w:rPr>
          <w:rFonts w:hint="eastAsia" w:ascii="仿宋" w:hAnsi="仿宋" w:eastAsia="仿宋" w:cs="仿宋"/>
          <w:color w:val="auto"/>
          <w:spacing w:val="-2"/>
          <w:kern w:val="2"/>
          <w:sz w:val="32"/>
          <w:szCs w:val="21"/>
          <w:lang w:val="en-US" w:eastAsia="zh-CN" w:bidi="ar-SA"/>
        </w:rPr>
      </w:pPr>
      <w:r>
        <w:rPr>
          <w:rFonts w:hint="eastAsia" w:ascii="仿宋" w:hAnsi="仿宋" w:eastAsia="仿宋" w:cs="仿宋"/>
          <w:sz w:val="32"/>
          <w:szCs w:val="32"/>
          <w:lang w:val="en-US" w:eastAsia="zh-CN"/>
        </w:rPr>
        <w:t>6、市城市园林绿地管养单位绿化养护考</w:t>
      </w:r>
      <w:r>
        <w:rPr>
          <w:rFonts w:hint="eastAsia" w:ascii="仿宋" w:hAnsi="仿宋" w:eastAsia="仿宋" w:cs="仿宋"/>
          <w:color w:val="auto"/>
          <w:spacing w:val="-2"/>
          <w:kern w:val="2"/>
          <w:sz w:val="32"/>
          <w:szCs w:val="21"/>
          <w:lang w:val="en-US" w:eastAsia="zh-CN" w:bidi="ar-SA"/>
        </w:rPr>
        <w:t>评工作：</w:t>
      </w:r>
      <w:r>
        <w:rPr>
          <w:rFonts w:hint="eastAsia" w:ascii="仿宋" w:hAnsi="仿宋" w:eastAsia="仿宋" w:cs="仿宋"/>
          <w:sz w:val="32"/>
          <w:szCs w:val="32"/>
          <w:vertAlign w:val="baseline"/>
          <w:lang w:val="en-US" w:eastAsia="zh-CN"/>
        </w:rPr>
        <w:t>推广一线绩效考核工作法，由局分管领导亲自带队，组织个承包管理单位到现场一块块绿地、一株株行道树、一件件设施查看检查，现场点评、讲评、总结和部署</w:t>
      </w:r>
      <w:r>
        <w:rPr>
          <w:rFonts w:hint="eastAsia" w:ascii="仿宋" w:hAnsi="仿宋" w:eastAsia="仿宋" w:cs="仿宋"/>
          <w:color w:val="auto"/>
          <w:spacing w:val="-2"/>
          <w:kern w:val="2"/>
          <w:sz w:val="32"/>
          <w:szCs w:val="21"/>
          <w:lang w:val="en-US" w:eastAsia="zh-CN" w:bidi="ar-SA"/>
        </w:rPr>
        <w:t>，举办月考评12次。</w:t>
      </w:r>
    </w:p>
    <w:p>
      <w:pPr>
        <w:ind w:firstLine="640" w:firstLineChars="200"/>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（二）专项管理情况分析，主要包括项目管理制度建设、日常检查监督管理等情况。</w:t>
      </w:r>
    </w:p>
    <w:p>
      <w:pPr>
        <w:ind w:firstLine="640" w:firstLineChars="200"/>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制定了项目管理制度，包括三重一大集体决策机制、项目管理制度等。在项目实施过程中，工作人员能严格执行制度的相关规定，实施日常检查并建立了日常检查台账。</w:t>
      </w:r>
    </w:p>
    <w:p>
      <w:pPr>
        <w:spacing w:line="580" w:lineRule="exact"/>
        <w:ind w:firstLine="640"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四、资产管理情况</w:t>
      </w:r>
    </w:p>
    <w:p>
      <w:pPr>
        <w:spacing w:line="58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中心资产按照资产管理信息化的要求，建立了规范的固定资产台账，将全部资产录入资产信息管理系统并及时更新。资产的配置、购置、验收、入账、领用均按照《行政事业性国有资产管理条例》（国务院令738号）《固定资产管理制度》执行，落实资产关键岗位、使用人员的职责。2021年末资产总额1,187.94万元，负债总额866.37万元，净资产321.57万元。与上年相比，资产减少174.39万元，负债减少0.82万元，净资产减少173.54万元。</w:t>
      </w:r>
    </w:p>
    <w:p>
      <w:pPr>
        <w:spacing w:line="580" w:lineRule="exact"/>
        <w:ind w:firstLine="640"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五、部门整体支出绩效情况</w:t>
      </w:r>
    </w:p>
    <w:p>
      <w:pPr>
        <w:spacing w:line="58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对照怀财绩〔2022〕51号文件规定的考核指标，从经济性、效率性、有效性和可持续性等对2021年部门整体支出绩效开展了评价，自评得分178.49分，其中部门整体支出绩效评价共性指标自评得分81.49分，部门整体支出绩效自评得分97.00分，具体情况如下：</w:t>
      </w:r>
    </w:p>
    <w:p>
      <w:pPr>
        <w:spacing w:line="580" w:lineRule="exact"/>
        <w:ind w:firstLine="640"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（一）经济性分析</w:t>
      </w:r>
    </w:p>
    <w:p>
      <w:pPr>
        <w:spacing w:line="580" w:lineRule="exact"/>
        <w:ind w:firstLine="640" w:firstLineChars="200"/>
        <w:rPr>
          <w:rFonts w:hint="eastAsia" w:ascii="仿宋" w:hAnsi="仿宋" w:eastAsia="仿宋" w:cs="仿宋"/>
          <w:color w:val="auto"/>
          <w:spacing w:val="-2"/>
          <w:kern w:val="2"/>
          <w:sz w:val="32"/>
          <w:szCs w:val="32"/>
          <w:lang w:val="en-US" w:eastAsia="zh-CN" w:bidi="ar-SA"/>
        </w:rPr>
      </w:pPr>
      <w:r>
        <w:rPr>
          <w:rFonts w:hint="eastAsia" w:ascii="仿宋_GB2312" w:hAnsi="Times New Roman" w:eastAsia="仿宋_GB2312" w:cs="Times New Roman"/>
          <w:sz w:val="32"/>
          <w:szCs w:val="32"/>
          <w:lang w:val="en-US" w:eastAsia="zh-CN"/>
        </w:rPr>
        <w:t>2021年年初预算2153.83万元，消化上年结转专项项目资金1418.万元，调整年初预算697.13万元用于解决年初未纳入预算的2020年绩效奖金、基本养老保险和基本医疗保险，除此外无超预算事项。通过财政资金的直接引导，全面提升市城区园林绿化品位全面提升市城区园林绿化品位，“绿城攻坚”增绿、补绿和提质夯实创建园林城市基础。</w:t>
      </w:r>
    </w:p>
    <w:p>
      <w:pPr>
        <w:numPr>
          <w:ilvl w:val="0"/>
          <w:numId w:val="2"/>
        </w:numPr>
        <w:ind w:firstLine="640" w:firstLineChars="200"/>
        <w:rPr>
          <w:rFonts w:hint="eastAsia" w:ascii="仿宋_GB2312" w:eastAsia="仿宋_GB2312"/>
          <w:b/>
          <w:sz w:val="32"/>
          <w:szCs w:val="32"/>
          <w:lang w:val="en-US" w:eastAsia="zh-CN"/>
        </w:rPr>
      </w:pPr>
      <w:r>
        <w:rPr>
          <w:rFonts w:hint="eastAsia" w:ascii="仿宋_GB2312" w:eastAsia="仿宋_GB2312"/>
          <w:b/>
          <w:sz w:val="32"/>
          <w:szCs w:val="32"/>
          <w:lang w:val="en-US" w:eastAsia="zh-CN"/>
        </w:rPr>
        <w:t>效率性分析</w:t>
      </w:r>
    </w:p>
    <w:p>
      <w:pPr>
        <w:numPr>
          <w:ilvl w:val="0"/>
          <w:numId w:val="0"/>
        </w:numPr>
        <w:ind w:firstLine="640" w:firstLineChars="200"/>
        <w:rPr>
          <w:rFonts w:hint="eastAsia" w:ascii="仿宋_GB2312" w:eastAsia="仿宋_GB2312"/>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全面加强党的建设工作</w:t>
      </w:r>
      <w:r>
        <w:rPr>
          <w:rFonts w:hint="eastAsia" w:ascii="仿宋_GB2312" w:eastAsia="仿宋_GB2312"/>
          <w:b/>
          <w:sz w:val="32"/>
          <w:szCs w:val="32"/>
          <w:lang w:eastAsia="zh-CN"/>
        </w:rPr>
        <w:t>。</w:t>
      </w:r>
      <w:r>
        <w:rPr>
          <w:rFonts w:hint="eastAsia" w:ascii="仿宋" w:hAnsi="仿宋" w:eastAsia="仿宋" w:cs="仿宋"/>
          <w:b/>
          <w:bCs/>
          <w:color w:val="000000"/>
          <w:sz w:val="32"/>
          <w:szCs w:val="32"/>
          <w:lang w:val="en-US" w:eastAsia="zh-CN"/>
        </w:rPr>
        <w:t>一是扎实开展党史学习教育，</w:t>
      </w:r>
      <w:r>
        <w:rPr>
          <w:rFonts w:hint="eastAsia" w:ascii="仿宋" w:hAnsi="仿宋" w:eastAsia="仿宋" w:cs="仿宋"/>
          <w:color w:val="000000"/>
          <w:sz w:val="32"/>
          <w:szCs w:val="32"/>
        </w:rPr>
        <w:t>积极开展专题学习研讨、党史知识竞赛、上专题党</w:t>
      </w:r>
      <w:r>
        <w:rPr>
          <w:rFonts w:hint="eastAsia" w:ascii="仿宋" w:hAnsi="仿宋" w:eastAsia="仿宋" w:cs="仿宋"/>
          <w:color w:val="000000"/>
          <w:sz w:val="32"/>
          <w:szCs w:val="32"/>
          <w:lang w:eastAsia="zh-CN"/>
        </w:rPr>
        <w:t>课</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参加</w:t>
      </w:r>
      <w:r>
        <w:rPr>
          <w:rFonts w:hint="eastAsia" w:ascii="仿宋" w:hAnsi="仿宋" w:eastAsia="仿宋" w:cs="仿宋"/>
          <w:color w:val="000000"/>
          <w:sz w:val="32"/>
          <w:szCs w:val="32"/>
        </w:rPr>
        <w:t>主题为“回望历史，立足现在，展望未来”演讲比赛，重温入党誓词，观看红色电影，召开专题民主生活会和组织生活会。</w:t>
      </w:r>
      <w:r>
        <w:rPr>
          <w:rFonts w:hint="eastAsia" w:ascii="仿宋_GB2312" w:hAnsi="仿宋_GB2312" w:eastAsia="仿宋_GB2312" w:cs="仿宋_GB2312"/>
          <w:sz w:val="32"/>
          <w:szCs w:val="32"/>
          <w:lang w:eastAsia="zh-CN"/>
        </w:rPr>
        <w:t>二</w:t>
      </w:r>
      <w:r>
        <w:rPr>
          <w:rFonts w:hint="eastAsia" w:ascii="仿宋" w:hAnsi="仿宋" w:eastAsia="仿宋" w:cs="仿宋"/>
          <w:b/>
          <w:bCs/>
          <w:color w:val="000000"/>
          <w:sz w:val="32"/>
          <w:szCs w:val="32"/>
          <w:lang w:val="en-US" w:eastAsia="zh-CN"/>
        </w:rPr>
        <w:t>扎实开展我为群众办实事实践活动，</w:t>
      </w:r>
      <w:r>
        <w:rPr>
          <w:rFonts w:hint="eastAsia" w:ascii="仿宋_GB2312" w:hAnsi="仿宋_GB2312" w:eastAsia="仿宋_GB2312" w:cs="仿宋_GB2312"/>
          <w:sz w:val="32"/>
          <w:szCs w:val="32"/>
          <w:lang w:val="en-US" w:eastAsia="zh-CN"/>
        </w:rPr>
        <w:t>开展五个到户”上门走访活动，组织中心全体在职党员干部开展“忠党爱民献热血”无偿献血我先行活动，对结对帮扶的无物业管理小区智旺新村进行</w:t>
      </w:r>
      <w:r>
        <w:rPr>
          <w:rFonts w:hint="eastAsia" w:ascii="仿宋" w:hAnsi="仿宋" w:eastAsia="仿宋" w:cs="仿宋"/>
          <w:sz w:val="32"/>
          <w:szCs w:val="32"/>
          <w:lang w:val="en-US" w:eastAsia="zh-CN"/>
        </w:rPr>
        <w:t>基础设施改造</w:t>
      </w:r>
      <w:r>
        <w:rPr>
          <w:rFonts w:hint="eastAsia" w:ascii="仿宋_GB2312" w:hAnsi="仿宋_GB2312" w:eastAsia="仿宋_GB2312" w:cs="仿宋_GB2312"/>
          <w:sz w:val="32"/>
          <w:szCs w:val="32"/>
          <w:lang w:val="en-US" w:eastAsia="zh-CN"/>
        </w:rPr>
        <w:t>，在太平溪盈口乡胜利村4组段安装5盏太阳能路灯，切实解决了群众急难愁盼问题；</w:t>
      </w:r>
      <w:r>
        <w:rPr>
          <w:rFonts w:hint="eastAsia" w:ascii="仿宋" w:hAnsi="仿宋" w:eastAsia="仿宋" w:cs="仿宋"/>
          <w:b/>
          <w:bCs/>
          <w:color w:val="000000"/>
          <w:sz w:val="32"/>
          <w:szCs w:val="32"/>
          <w:lang w:val="en-US" w:eastAsia="zh-CN"/>
        </w:rPr>
        <w:t>三是</w:t>
      </w:r>
      <w:r>
        <w:rPr>
          <w:rFonts w:hint="eastAsia" w:ascii="仿宋" w:hAnsi="仿宋" w:eastAsia="仿宋" w:cs="仿宋"/>
          <w:b/>
          <w:bCs/>
          <w:color w:val="000000"/>
          <w:sz w:val="32"/>
          <w:szCs w:val="32"/>
        </w:rPr>
        <w:t>精心组织庆祝建党100周年活动</w:t>
      </w:r>
      <w:r>
        <w:rPr>
          <w:rFonts w:hint="eastAsia" w:ascii="仿宋" w:hAnsi="仿宋" w:eastAsia="仿宋" w:cs="仿宋"/>
          <w:b/>
          <w:bCs/>
          <w:color w:val="000000"/>
          <w:sz w:val="32"/>
          <w:szCs w:val="32"/>
          <w:lang w:eastAsia="zh-CN"/>
        </w:rPr>
        <w:t>，</w:t>
      </w:r>
      <w:r>
        <w:rPr>
          <w:rFonts w:hint="eastAsia" w:ascii="仿宋" w:hAnsi="仿宋" w:eastAsia="仿宋" w:cs="仿宋"/>
          <w:color w:val="000000"/>
          <w:sz w:val="32"/>
          <w:szCs w:val="32"/>
        </w:rPr>
        <w:t>组织集中收看收听庆祝中国共产党成立100周年大会实况</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开展争创“党员先锋岗”活动，</w:t>
      </w:r>
      <w:r>
        <w:rPr>
          <w:rFonts w:hint="eastAsia" w:ascii="仿宋_GB2312" w:hAnsi="仿宋_GB2312" w:eastAsia="仿宋_GB2312" w:cs="仿宋_GB2312"/>
          <w:sz w:val="32"/>
          <w:szCs w:val="32"/>
          <w:lang w:eastAsia="zh-CN"/>
        </w:rPr>
        <w:t>参加市委宣传部组织的“迎接中国共产党成立100周年”党内法制度建设主题征文活动；四是</w:t>
      </w:r>
      <w:r>
        <w:rPr>
          <w:rFonts w:hint="eastAsia" w:ascii="仿宋" w:hAnsi="仿宋" w:eastAsia="仿宋" w:cs="仿宋"/>
          <w:b/>
          <w:bCs/>
          <w:color w:val="000000"/>
          <w:sz w:val="32"/>
          <w:szCs w:val="32"/>
          <w:highlight w:val="none"/>
        </w:rPr>
        <w:t>严格党员教育管理监督。</w:t>
      </w:r>
      <w:r>
        <w:rPr>
          <w:rFonts w:hint="eastAsia" w:ascii="仿宋" w:hAnsi="仿宋" w:eastAsia="仿宋" w:cs="仿宋"/>
          <w:color w:val="000000"/>
          <w:sz w:val="32"/>
          <w:szCs w:val="32"/>
        </w:rPr>
        <w:t>贯彻落实《中国共产党党员教育管理工作条例》，提高党员教育</w:t>
      </w:r>
      <w:r>
        <w:rPr>
          <w:rFonts w:hint="eastAsia" w:ascii="仿宋" w:hAnsi="仿宋" w:eastAsia="仿宋" w:cs="仿宋"/>
          <w:color w:val="000000"/>
          <w:sz w:val="32"/>
          <w:szCs w:val="32"/>
          <w:lang w:eastAsia="zh-CN"/>
        </w:rPr>
        <w:t>和发展</w:t>
      </w:r>
      <w:r>
        <w:rPr>
          <w:rFonts w:hint="eastAsia" w:ascii="仿宋" w:hAnsi="仿宋" w:eastAsia="仿宋" w:cs="仿宋"/>
          <w:color w:val="000000"/>
          <w:sz w:val="32"/>
          <w:szCs w:val="32"/>
        </w:rPr>
        <w:t>质量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严格规范和完善“三会一课”的程序内容和保障措施，推动组织生活会、谈心谈话、民主评议党员、请示报告等组织生活制度落实落地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组织开展“光影铸魂”“</w:t>
      </w:r>
      <w:r>
        <w:rPr>
          <w:rFonts w:hint="eastAsia" w:ascii="仿宋" w:hAnsi="仿宋" w:eastAsia="仿宋" w:cs="仿宋"/>
          <w:color w:val="000000"/>
          <w:sz w:val="32"/>
          <w:szCs w:val="32"/>
          <w:lang w:eastAsia="zh-CN"/>
        </w:rPr>
        <w:t>电影党课</w:t>
      </w:r>
      <w:r>
        <w:rPr>
          <w:rFonts w:hint="eastAsia" w:ascii="仿宋" w:hAnsi="仿宋" w:eastAsia="仿宋" w:cs="仿宋"/>
          <w:color w:val="000000"/>
          <w:sz w:val="32"/>
          <w:szCs w:val="32"/>
        </w:rPr>
        <w:t>”等主题观影活动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推动基层党组织加强对党员特别是党员领导干部的日常监督，发挥党支部在选人用人中的监督作用，认真落实党员干部选拔任用、评优评先应听取所在党支部意见的要求。深化党内关怀帮扶，关心关爱生活困难党员、老党员。</w:t>
      </w:r>
      <w:r>
        <w:rPr>
          <w:rFonts w:hint="eastAsia" w:ascii="仿宋" w:hAnsi="仿宋" w:eastAsia="仿宋" w:cs="仿宋"/>
          <w:color w:val="000000"/>
          <w:sz w:val="32"/>
          <w:szCs w:val="32"/>
          <w:lang w:eastAsia="zh-CN"/>
        </w:rPr>
        <w:t>五是</w:t>
      </w:r>
      <w:r>
        <w:rPr>
          <w:rFonts w:hint="eastAsia" w:ascii="仿宋" w:hAnsi="仿宋" w:eastAsia="仿宋" w:cs="仿宋"/>
          <w:b/>
          <w:bCs/>
          <w:color w:val="000000"/>
          <w:sz w:val="32"/>
          <w:szCs w:val="32"/>
          <w:highlight w:val="none"/>
        </w:rPr>
        <w:t>深化作风</w:t>
      </w:r>
      <w:r>
        <w:rPr>
          <w:rFonts w:hint="eastAsia" w:ascii="仿宋" w:hAnsi="仿宋" w:eastAsia="仿宋" w:cs="仿宋"/>
          <w:b/>
          <w:bCs/>
          <w:color w:val="000000"/>
          <w:sz w:val="32"/>
          <w:szCs w:val="32"/>
          <w:highlight w:val="none"/>
          <w:lang w:eastAsia="zh-CN"/>
        </w:rPr>
        <w:t>纪律</w:t>
      </w:r>
      <w:r>
        <w:rPr>
          <w:rFonts w:hint="eastAsia" w:ascii="仿宋" w:hAnsi="仿宋" w:eastAsia="仿宋" w:cs="仿宋"/>
          <w:b/>
          <w:bCs/>
          <w:color w:val="000000"/>
          <w:sz w:val="32"/>
          <w:szCs w:val="32"/>
          <w:highlight w:val="none"/>
        </w:rPr>
        <w:t>建设</w:t>
      </w:r>
      <w:r>
        <w:rPr>
          <w:rFonts w:hint="eastAsia" w:ascii="仿宋" w:hAnsi="仿宋" w:eastAsia="仿宋" w:cs="仿宋"/>
          <w:b/>
          <w:bCs/>
          <w:color w:val="000000"/>
          <w:sz w:val="32"/>
          <w:szCs w:val="32"/>
          <w:highlight w:val="none"/>
          <w:lang w:eastAsia="zh-CN"/>
        </w:rPr>
        <w:t>，</w:t>
      </w:r>
      <w:r>
        <w:rPr>
          <w:rFonts w:hint="eastAsia" w:ascii="仿宋" w:hAnsi="仿宋" w:eastAsia="仿宋" w:cs="仿宋"/>
          <w:color w:val="000000"/>
          <w:sz w:val="32"/>
          <w:szCs w:val="32"/>
        </w:rPr>
        <w:t>严格落实中央八项规定及其实施细则精神</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持续整治形式主义、官僚主义，持续精简会议、文件，减少不必要的督查检查考核，着力解决不担当不负责、疲沓拖拉、敷衍应付，重痕迹不重实绩、多头派任务要表格等问题。深入开展“加强纪律建设、锻造过硬作风、在实施‘三高四新’战略中干在实处走在前列大行动”，持之以恒正风肃纪反腐。紧盯重要时间节点、关键环节，及时发通知、提要求、明规矩。坚持勤俭节约、反对铺张浪费。开展忠诚、纪律、政德、家风教育</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引导党员干部增强自律意识，严格家教家风，管好亲属子女，筑牢拒腐防变的思想防线。</w:t>
      </w:r>
    </w:p>
    <w:p>
      <w:pPr>
        <w:spacing w:line="580" w:lineRule="exact"/>
        <w:ind w:firstLine="640" w:firstLineChars="200"/>
        <w:rPr>
          <w:rFonts w:hint="eastAsia" w:ascii="仿宋" w:hAnsi="仿宋" w:eastAsia="仿宋" w:cs="仿宋"/>
          <w:color w:val="000000"/>
          <w:sz w:val="32"/>
          <w:szCs w:val="32"/>
          <w:lang w:val="en-US" w:eastAsia="zh-CN"/>
        </w:rPr>
      </w:pPr>
      <w:r>
        <w:rPr>
          <w:rFonts w:hint="eastAsia" w:ascii="仿宋_GB2312" w:eastAsia="仿宋_GB2312"/>
          <w:sz w:val="32"/>
          <w:szCs w:val="32"/>
          <w:lang w:val="en-US" w:eastAsia="zh-CN"/>
        </w:rPr>
        <w:t>2、</w:t>
      </w:r>
      <w:r>
        <w:rPr>
          <w:rFonts w:hint="eastAsia" w:ascii="仿宋_GB2312" w:hAnsi="黑体" w:eastAsia="仿宋_GB2312"/>
          <w:b/>
          <w:spacing w:val="4"/>
          <w:sz w:val="32"/>
          <w:szCs w:val="32"/>
          <w:lang w:eastAsia="zh-CN"/>
        </w:rPr>
        <w:t>精细化</w:t>
      </w:r>
      <w:r>
        <w:rPr>
          <w:rFonts w:hint="eastAsia" w:ascii="仿宋_GB2312" w:hAnsi="黑体" w:eastAsia="仿宋_GB2312"/>
          <w:b/>
          <w:sz w:val="32"/>
          <w:szCs w:val="32"/>
          <w:lang w:val="zh-CN"/>
        </w:rPr>
        <w:t>绿地养护与管理。</w:t>
      </w:r>
      <w:r>
        <w:rPr>
          <w:rFonts w:hint="eastAsia" w:ascii="仿宋" w:hAnsi="仿宋" w:eastAsia="仿宋" w:cs="仿宋"/>
          <w:b w:val="0"/>
          <w:bCs w:val="0"/>
          <w:color w:val="000000"/>
          <w:sz w:val="32"/>
          <w:szCs w:val="32"/>
          <w:lang w:val="en-US" w:eastAsia="zh-CN"/>
        </w:rPr>
        <w:t>一是做好行道树和绿地日常养护。</w:t>
      </w:r>
      <w:r>
        <w:rPr>
          <w:rFonts w:hint="eastAsia" w:ascii="仿宋" w:hAnsi="仿宋" w:eastAsia="仿宋" w:cs="仿宋"/>
          <w:color w:val="000000"/>
          <w:sz w:val="32"/>
          <w:szCs w:val="32"/>
          <w:lang w:val="en-US" w:eastAsia="zh-CN"/>
        </w:rPr>
        <w:t>完成</w:t>
      </w:r>
      <w:r>
        <w:rPr>
          <w:rFonts w:hint="eastAsia" w:ascii="仿宋" w:hAnsi="仿宋" w:eastAsia="仿宋" w:cs="仿宋"/>
          <w:color w:val="000000"/>
          <w:sz w:val="32"/>
          <w:szCs w:val="32"/>
          <w:lang w:eastAsia="zh-CN"/>
        </w:rPr>
        <w:t>乔木修剪</w:t>
      </w:r>
      <w:r>
        <w:rPr>
          <w:rFonts w:hint="eastAsia" w:ascii="仿宋" w:hAnsi="仿宋" w:eastAsia="仿宋" w:cs="仿宋"/>
          <w:color w:val="000000"/>
          <w:sz w:val="32"/>
          <w:szCs w:val="32"/>
          <w:lang w:val="en-US" w:eastAsia="zh-CN"/>
        </w:rPr>
        <w:t>119006株，绿篱修剪294.1万平方米，乔木补植28190株，绿篱补植2.4万平方米，麦冬草补植29000斤，草坪修剪82.2万平方米，除杂444.5万平方米，施肥86.8吨，清理垃圾4151.6吨，洗尘30776.5吨，抗旱用水343706吨，设施维修2410件，绿地亮化维修1364盏，更换电线、线管1193米，路面维护6845.7平方米。挖隔草圈2486株，挖隔草沟2000米，</w:t>
      </w:r>
      <w:r>
        <w:rPr>
          <w:rFonts w:hint="eastAsia" w:ascii="仿宋" w:hAnsi="仿宋" w:eastAsia="仿宋" w:cs="仿宋"/>
          <w:color w:val="000000"/>
          <w:sz w:val="32"/>
          <w:szCs w:val="32"/>
        </w:rPr>
        <w:t>更换草花</w:t>
      </w:r>
      <w:r>
        <w:rPr>
          <w:rFonts w:hint="eastAsia" w:ascii="仿宋" w:hAnsi="仿宋" w:eastAsia="仿宋" w:cs="仿宋"/>
          <w:color w:val="000000"/>
          <w:sz w:val="32"/>
          <w:szCs w:val="32"/>
          <w:lang w:val="en-US" w:eastAsia="zh-CN"/>
        </w:rPr>
        <w:t>130余万</w:t>
      </w:r>
      <w:r>
        <w:rPr>
          <w:rFonts w:hint="eastAsia" w:ascii="仿宋" w:hAnsi="仿宋" w:eastAsia="仿宋" w:cs="仿宋"/>
          <w:color w:val="000000"/>
          <w:sz w:val="32"/>
          <w:szCs w:val="32"/>
          <w:lang w:eastAsia="zh-CN"/>
        </w:rPr>
        <w:t>盆，乔木</w:t>
      </w:r>
      <w:r>
        <w:rPr>
          <w:rFonts w:hint="eastAsia" w:ascii="仿宋" w:hAnsi="仿宋" w:eastAsia="仿宋" w:cs="仿宋"/>
          <w:color w:val="000000"/>
          <w:sz w:val="32"/>
          <w:szCs w:val="32"/>
        </w:rPr>
        <w:t>病虫害</w:t>
      </w:r>
      <w:r>
        <w:rPr>
          <w:rFonts w:hint="eastAsia" w:ascii="仿宋" w:hAnsi="仿宋" w:eastAsia="仿宋" w:cs="仿宋"/>
          <w:color w:val="000000"/>
          <w:sz w:val="32"/>
          <w:szCs w:val="32"/>
          <w:lang w:eastAsia="zh-CN"/>
        </w:rPr>
        <w:t>防治</w:t>
      </w:r>
      <w:r>
        <w:rPr>
          <w:rFonts w:hint="eastAsia" w:ascii="仿宋" w:hAnsi="仿宋" w:eastAsia="仿宋" w:cs="仿宋"/>
          <w:color w:val="000000"/>
          <w:sz w:val="32"/>
          <w:szCs w:val="32"/>
          <w:lang w:val="en-US" w:eastAsia="zh-CN"/>
        </w:rPr>
        <w:t>13万余株，处置死树枯树21株，完成乔木涂白56644株，整改安全隐患2079处，新增灭鼠站450个，投药7872斤，投蜡块955斤，堵鼠洞687处，病媒生物防治药水389473.6千克。</w:t>
      </w:r>
      <w:r>
        <w:rPr>
          <w:rFonts w:hint="eastAsia" w:ascii="仿宋" w:hAnsi="仿宋" w:eastAsia="仿宋" w:cs="仿宋"/>
          <w:b/>
          <w:bCs/>
          <w:color w:val="000000"/>
          <w:sz w:val="32"/>
          <w:szCs w:val="32"/>
          <w:lang w:val="en-US" w:eastAsia="zh-CN"/>
        </w:rPr>
        <w:t>二是智慧城管</w:t>
      </w:r>
      <w:r>
        <w:rPr>
          <w:rFonts w:hint="eastAsia" w:ascii="仿宋" w:hAnsi="仿宋" w:eastAsia="仿宋" w:cs="仿宋"/>
          <w:color w:val="000000"/>
          <w:sz w:val="32"/>
          <w:szCs w:val="32"/>
          <w:lang w:val="en-US" w:eastAsia="zh-CN"/>
        </w:rPr>
        <w:t>案件1576件，解决1472件，综合解决率93.22%。</w:t>
      </w:r>
      <w:r>
        <w:rPr>
          <w:rFonts w:hint="eastAsia" w:ascii="仿宋" w:hAnsi="仿宋" w:eastAsia="仿宋" w:cs="仿宋"/>
          <w:b/>
          <w:bCs/>
          <w:color w:val="000000"/>
          <w:sz w:val="32"/>
          <w:szCs w:val="32"/>
          <w:lang w:val="en-US" w:eastAsia="zh-CN"/>
        </w:rPr>
        <w:t>三是推广一线绩效考核工作法</w:t>
      </w:r>
      <w:r>
        <w:rPr>
          <w:rFonts w:hint="eastAsia" w:ascii="仿宋" w:hAnsi="仿宋" w:eastAsia="仿宋" w:cs="仿宋"/>
          <w:color w:val="000000"/>
          <w:sz w:val="32"/>
          <w:szCs w:val="32"/>
          <w:lang w:val="en-US" w:eastAsia="zh-CN"/>
        </w:rPr>
        <w:t>。由局分管领导亲自带队，组织个承包管理单位到现场一块块绿地、一株株行道树、一件件设施查看检查，现场点评、讲评、总结和部署。四是成立专门园林评价所，对施肥、打药、修剪等养护工作进行量化考核。</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_GB2312" w:hAnsi="黑体" w:eastAsia="仿宋_GB2312" w:cs="Times New Roman"/>
          <w:b/>
          <w:sz w:val="32"/>
          <w:szCs w:val="32"/>
          <w:lang w:val="en-US" w:eastAsia="zh-CN"/>
        </w:rPr>
        <w:t>3、加强网络舆情管理。</w:t>
      </w:r>
      <w:r>
        <w:rPr>
          <w:rFonts w:hint="eastAsia" w:ascii="仿宋" w:hAnsi="仿宋" w:eastAsia="仿宋" w:cs="仿宋"/>
          <w:sz w:val="32"/>
          <w:szCs w:val="32"/>
          <w:lang w:val="en-US" w:eastAsia="zh-CN"/>
        </w:rPr>
        <w:t>一是对来电、来访人员所反应的情况，做好登记、汇报，及时交办相关责任单位限时办结，并电话进行回访，全年共接访来访来电人员38人次。二是规范市长热线、市长信箱办理流程，按领导签署意见及时交办相关责任单位限时完成，并电话告知来电市民处置情况，完成网上回复，全年共办结市长热线82件。三是加强网络舆情管理，对抖音APP等网络短视频平台、微博、微信群、微信朋友圈规范本单位、本行业网络舆情，对发现的舆情进行正面评论引导，并及时向中心领导和上级网信部门汇报。</w:t>
      </w:r>
      <w:bookmarkStart w:id="3" w:name="_GoBack"/>
      <w:bookmarkEnd w:id="3"/>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4、加强安全生产检查。</w:t>
      </w:r>
      <w:r>
        <w:rPr>
          <w:rFonts w:hint="eastAsia" w:ascii="仿宋" w:hAnsi="仿宋" w:eastAsia="仿宋" w:cs="仿宋"/>
          <w:sz w:val="32"/>
          <w:szCs w:val="32"/>
          <w:lang w:val="en-US" w:eastAsia="zh-CN"/>
        </w:rPr>
        <w:t>一是分管安全工作的副主任和绿化服务部每月开展一次安全生产工作检查，及时排查安全隐患，立即整改存在的问题，切实把安全责任落到实处。二是全年共排查安全隐患1783处，其中鹤鸣洲“听溪阁”主塔、鲁班雅苑临太平溪风光带安全隐患已分别向怀化市城市建设投资有限公司、怀化市天富集团下达安全隐患整改函，其他安全隐患均已限时整改完毕。三是开展一次消防安全知识培训，有效提升全部干部防火意识。四是对市委大院、市自然资源和规划局等单位院内危树进行勘察处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b/>
          <w:sz w:val="32"/>
          <w:szCs w:val="32"/>
          <w:lang w:val="en-US" w:eastAsia="zh-CN"/>
        </w:rPr>
      </w:pPr>
      <w:r>
        <w:rPr>
          <w:rFonts w:hint="eastAsia" w:ascii="仿宋_GB2312" w:eastAsia="仿宋_GB2312"/>
          <w:b/>
          <w:sz w:val="32"/>
          <w:szCs w:val="32"/>
          <w:lang w:val="en-US" w:eastAsia="zh-CN"/>
        </w:rPr>
        <w:t>5、</w:t>
      </w:r>
      <w:r>
        <w:rPr>
          <w:rFonts w:hint="eastAsia" w:ascii="仿宋" w:hAnsi="仿宋" w:eastAsia="仿宋" w:cs="仿宋"/>
          <w:b/>
          <w:bCs/>
          <w:sz w:val="32"/>
          <w:szCs w:val="32"/>
          <w:lang w:val="en-US" w:eastAsia="zh-CN"/>
        </w:rPr>
        <w:t>做好公务用车日常管理。</w:t>
      </w:r>
      <w:r>
        <w:rPr>
          <w:rFonts w:hint="eastAsia" w:ascii="仿宋" w:hAnsi="仿宋" w:eastAsia="仿宋" w:cs="仿宋"/>
          <w:sz w:val="32"/>
          <w:szCs w:val="32"/>
          <w:lang w:val="en-US" w:eastAsia="zh-CN"/>
        </w:rPr>
        <w:t>一是严格落实公务车辆派遣制度；二是严格执行车辆维修管理制度；三是进一步强化驾驶操作规范，不酒驾、醉驾、毒驾，做到安全驾驶、文明驾驶；四是按时购买保险，完成车辆年检；五是加快推进事业单位公车改革，对中心9辆未上户特种车辆进行上户，完成了6辆，其中3辆特种作业车辆因历史和生产厂家原因，交警系统内车辆信息不完整，经与市交警队、税务部门多次协调，3辆特种作业车辆均无法上户，现已停止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eastAsia" w:ascii="仿宋_GB2312" w:eastAsia="仿宋_GB2312"/>
          <w:b/>
          <w:sz w:val="32"/>
          <w:szCs w:val="32"/>
          <w:lang w:val="en-US" w:eastAsia="zh-CN"/>
        </w:rPr>
      </w:pPr>
      <w:r>
        <w:rPr>
          <w:rFonts w:hint="eastAsia" w:ascii="仿宋_GB2312" w:eastAsia="仿宋_GB2312"/>
          <w:b/>
          <w:sz w:val="32"/>
          <w:szCs w:val="32"/>
          <w:highlight w:val="none"/>
          <w:lang w:val="en-US" w:eastAsia="zh-CN"/>
        </w:rPr>
        <w:t>6、</w:t>
      </w:r>
      <w:r>
        <w:rPr>
          <w:rFonts w:hint="eastAsia" w:ascii="仿宋" w:hAnsi="仿宋" w:eastAsia="仿宋" w:cs="仿宋"/>
          <w:b/>
          <w:bCs/>
          <w:sz w:val="32"/>
          <w:szCs w:val="32"/>
          <w:highlight w:val="none"/>
          <w:lang w:val="en-US" w:eastAsia="zh-CN"/>
        </w:rPr>
        <w:t>开展专项整治活动。</w:t>
      </w:r>
      <w:r>
        <w:rPr>
          <w:rFonts w:hint="eastAsia" w:ascii="仿宋" w:hAnsi="仿宋" w:eastAsia="仿宋" w:cs="仿宋"/>
          <w:sz w:val="32"/>
          <w:szCs w:val="32"/>
          <w:lang w:val="en-US" w:eastAsia="zh-CN"/>
        </w:rPr>
        <w:t>一是对五溪文化广场各摊主下发整改告之书200余份，并配合鹤城区行政执法局坨院大队开展广场内摆摊设点专项整治。二是协同湖天桥社区、梨园路社区、西兴社区，开展一次清理违规种菜及退地还绿专项综合整治行动。在老湖天桥、沿河风光带水岸蓝城、太平溪风光带华桥钢材市场、高炮团大门口对面、智旺鑫村小区、盈口桥附近、职中巷、狮子岩桥、市水务投办公楼后侧、红星北路斜坡等周边共清除违规种菜10处357个点，面积1.2万余平方米。并进行植树复绿，彻底消除种菜乱象并达到美化、靓化城市的目标。三是查处损、毁绿案件52起，批评教育105人次，清理乱牵乱挂 1411处，治理</w:t>
      </w:r>
      <w:r>
        <w:rPr>
          <w:rFonts w:hint="eastAsia" w:ascii="仿宋" w:hAnsi="仿宋" w:eastAsia="仿宋" w:cs="仿宋"/>
          <w:color w:val="000000"/>
          <w:sz w:val="32"/>
          <w:szCs w:val="32"/>
        </w:rPr>
        <w:t>树木“牛</w:t>
      </w:r>
      <w:r>
        <w:rPr>
          <w:rFonts w:hint="eastAsia" w:ascii="仿宋" w:hAnsi="仿宋" w:eastAsia="仿宋" w:cs="仿宋"/>
          <w:sz w:val="32"/>
          <w:szCs w:val="32"/>
          <w:lang w:val="en-US" w:eastAsia="zh-CN"/>
        </w:rPr>
        <w:t>皮癣”754处。四是对因侵占公共绿地生态环境损害案鸿涛房地产公司异地建绿1000平方米，鹤城区住建局在对市老旧小区（银湾小区）异地建绿360平方米。五是对154处行道树及绿篱内牵挂的彩灯、装饰灯笼进行拆除。六是对铁五局医院前、湖天中学旁等违规绿地围栏进行拆除。</w:t>
      </w:r>
    </w:p>
    <w:p>
      <w:pPr>
        <w:spacing w:line="580" w:lineRule="exact"/>
        <w:ind w:firstLine="660"/>
        <w:rPr>
          <w:rFonts w:hint="eastAsia" w:ascii="仿宋_GB2312" w:eastAsia="仿宋_GB2312"/>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认真完成人大建议和政协提案交办任务</w:t>
      </w:r>
      <w:r>
        <w:rPr>
          <w:rFonts w:hint="eastAsia" w:ascii="仿宋_GB2312" w:eastAsia="仿宋_GB2312"/>
          <w:b/>
          <w:sz w:val="32"/>
          <w:szCs w:val="32"/>
          <w:lang w:eastAsia="zh-CN"/>
        </w:rPr>
        <w:t>。</w:t>
      </w:r>
      <w:r>
        <w:rPr>
          <w:rFonts w:hint="eastAsia" w:ascii="仿宋" w:hAnsi="仿宋" w:eastAsia="仿宋" w:cs="仿宋"/>
          <w:sz w:val="32"/>
          <w:szCs w:val="32"/>
          <w:lang w:val="en-US" w:eastAsia="zh-CN"/>
        </w:rPr>
        <w:t>人大建议和政协提案共8件，其中主办件6件、协办件2件，均已办理完成。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_GB2312" w:hAnsi="Times New Roman" w:eastAsia="仿宋_GB2312" w:cs="Times New Roman"/>
          <w:b/>
          <w:sz w:val="32"/>
          <w:szCs w:val="32"/>
          <w:lang w:val="en-US" w:eastAsia="zh-CN"/>
        </w:rPr>
        <w:t>8、积极推进绿城攻坚基础设施建设。</w:t>
      </w:r>
      <w:r>
        <w:rPr>
          <w:rFonts w:hint="eastAsia" w:ascii="仿宋" w:hAnsi="仿宋" w:eastAsia="仿宋" w:cs="仿宋"/>
          <w:b w:val="0"/>
          <w:bCs w:val="0"/>
          <w:sz w:val="32"/>
          <w:szCs w:val="32"/>
          <w:lang w:val="en-US" w:eastAsia="zh-CN"/>
        </w:rPr>
        <w:t>一是</w:t>
      </w:r>
      <w:r>
        <w:rPr>
          <w:rFonts w:hint="eastAsia" w:ascii="仿宋" w:hAnsi="仿宋" w:eastAsia="仿宋" w:cs="仿宋"/>
          <w:sz w:val="32"/>
          <w:szCs w:val="32"/>
        </w:rPr>
        <w:t>黄花坪小游园、三桥桥下</w:t>
      </w:r>
      <w:r>
        <w:rPr>
          <w:rFonts w:hint="eastAsia" w:ascii="仿宋" w:hAnsi="仿宋" w:eastAsia="仿宋" w:cs="仿宋"/>
          <w:sz w:val="32"/>
          <w:szCs w:val="32"/>
          <w:lang w:eastAsia="zh-CN"/>
        </w:rPr>
        <w:t>小</w:t>
      </w:r>
      <w:r>
        <w:rPr>
          <w:rFonts w:hint="eastAsia" w:ascii="仿宋" w:hAnsi="仿宋" w:eastAsia="仿宋" w:cs="仿宋"/>
          <w:sz w:val="32"/>
          <w:szCs w:val="32"/>
        </w:rPr>
        <w:t>游园</w:t>
      </w:r>
      <w:r>
        <w:rPr>
          <w:rFonts w:hint="eastAsia" w:ascii="仿宋" w:hAnsi="仿宋" w:eastAsia="仿宋" w:cs="仿宋"/>
          <w:sz w:val="32"/>
          <w:szCs w:val="32"/>
          <w:lang w:eastAsia="zh-CN"/>
        </w:rPr>
        <w:t>、花溪路小游园、盈口桥小游园、</w:t>
      </w:r>
      <w:r>
        <w:rPr>
          <w:rFonts w:hint="eastAsia" w:ascii="仿宋" w:hAnsi="仿宋" w:eastAsia="仿宋" w:cs="仿宋"/>
          <w:sz w:val="32"/>
          <w:szCs w:val="32"/>
        </w:rPr>
        <w:t>主次干道提质工程</w:t>
      </w:r>
      <w:r>
        <w:rPr>
          <w:rFonts w:hint="eastAsia" w:ascii="仿宋" w:hAnsi="仿宋" w:eastAsia="仿宋" w:cs="仿宋"/>
          <w:sz w:val="32"/>
          <w:szCs w:val="32"/>
          <w:lang w:eastAsia="zh-CN"/>
        </w:rPr>
        <w:t>均</w:t>
      </w:r>
      <w:r>
        <w:rPr>
          <w:rFonts w:hint="eastAsia" w:ascii="仿宋" w:hAnsi="仿宋" w:eastAsia="仿宋" w:cs="仿宋"/>
          <w:sz w:val="32"/>
          <w:szCs w:val="32"/>
        </w:rPr>
        <w:t>已完工</w:t>
      </w:r>
      <w:r>
        <w:rPr>
          <w:rFonts w:hint="eastAsia" w:ascii="仿宋" w:hAnsi="仿宋" w:eastAsia="仿宋" w:cs="仿宋"/>
          <w:sz w:val="32"/>
          <w:szCs w:val="32"/>
          <w:lang w:eastAsia="zh-CN"/>
        </w:rPr>
        <w:t>。二是解除和停止实施部分绿城攻坚提质工程，如</w:t>
      </w:r>
      <w:r>
        <w:rPr>
          <w:rFonts w:hint="eastAsia" w:ascii="仿宋" w:hAnsi="仿宋" w:eastAsia="仿宋" w:cs="仿宋"/>
          <w:sz w:val="32"/>
          <w:szCs w:val="32"/>
        </w:rPr>
        <w:t>主次干道57个树池改造</w:t>
      </w:r>
      <w:r>
        <w:rPr>
          <w:rFonts w:hint="eastAsia" w:ascii="仿宋" w:hAnsi="仿宋" w:eastAsia="仿宋" w:cs="仿宋"/>
          <w:sz w:val="32"/>
          <w:szCs w:val="32"/>
          <w:lang w:eastAsia="zh-CN"/>
        </w:rPr>
        <w:t>、太平溪栽植水生植物净化水体工程项目。三是</w:t>
      </w:r>
      <w:r>
        <w:rPr>
          <w:rFonts w:hint="eastAsia" w:ascii="仿宋" w:hAnsi="仿宋" w:eastAsia="仿宋" w:cs="仿宋"/>
          <w:b/>
          <w:bCs/>
          <w:sz w:val="32"/>
          <w:szCs w:val="32"/>
        </w:rPr>
        <w:t>设计变更</w:t>
      </w:r>
      <w:r>
        <w:rPr>
          <w:rFonts w:hint="eastAsia" w:ascii="仿宋" w:hAnsi="仿宋" w:eastAsia="仿宋" w:cs="仿宋"/>
          <w:b/>
          <w:bCs/>
          <w:sz w:val="32"/>
          <w:szCs w:val="32"/>
          <w:lang w:val="en-US" w:eastAsia="zh-CN"/>
        </w:rPr>
        <w:t>11项绿化工程项目</w:t>
      </w:r>
      <w:r>
        <w:rPr>
          <w:rFonts w:hint="eastAsia" w:ascii="仿宋" w:hAnsi="仿宋" w:eastAsia="仿宋" w:cs="仿宋"/>
          <w:b/>
          <w:bCs/>
          <w:sz w:val="32"/>
          <w:szCs w:val="32"/>
          <w:lang w:eastAsia="zh-CN"/>
        </w:rPr>
        <w:t>：</w:t>
      </w:r>
      <w:r>
        <w:rPr>
          <w:rFonts w:hint="eastAsia" w:ascii="仿宋" w:hAnsi="仿宋" w:eastAsia="仿宋" w:cs="仿宋"/>
          <w:sz w:val="32"/>
          <w:szCs w:val="32"/>
        </w:rPr>
        <w:t>黄花坪小游园排水管网工程漏项</w:t>
      </w:r>
      <w:r>
        <w:rPr>
          <w:rFonts w:hint="eastAsia" w:ascii="仿宋" w:hAnsi="仿宋" w:eastAsia="仿宋" w:cs="仿宋"/>
          <w:sz w:val="32"/>
          <w:szCs w:val="32"/>
          <w:lang w:eastAsia="zh-CN"/>
        </w:rPr>
        <w:t>、</w:t>
      </w:r>
      <w:r>
        <w:rPr>
          <w:rFonts w:hint="eastAsia" w:ascii="仿宋" w:hAnsi="仿宋" w:eastAsia="仿宋" w:cs="仿宋"/>
          <w:sz w:val="32"/>
          <w:szCs w:val="32"/>
        </w:rPr>
        <w:t>黄花坪小游园土方清理</w:t>
      </w:r>
      <w:r>
        <w:rPr>
          <w:rFonts w:hint="eastAsia" w:ascii="仿宋" w:hAnsi="仿宋" w:eastAsia="仿宋" w:cs="仿宋"/>
          <w:sz w:val="32"/>
          <w:szCs w:val="32"/>
          <w:lang w:eastAsia="zh-CN"/>
        </w:rPr>
        <w:t>项目、</w:t>
      </w:r>
      <w:r>
        <w:rPr>
          <w:rFonts w:hint="eastAsia" w:ascii="仿宋" w:hAnsi="仿宋" w:eastAsia="仿宋" w:cs="仿宋"/>
          <w:sz w:val="32"/>
          <w:szCs w:val="32"/>
        </w:rPr>
        <w:t>红星北路边坡绿化重新设计</w:t>
      </w:r>
      <w:r>
        <w:rPr>
          <w:rFonts w:hint="eastAsia" w:ascii="仿宋" w:hAnsi="仿宋" w:eastAsia="仿宋" w:cs="仿宋"/>
          <w:sz w:val="32"/>
          <w:szCs w:val="32"/>
          <w:lang w:eastAsia="zh-CN"/>
        </w:rPr>
        <w:t>；</w:t>
      </w:r>
      <w:r>
        <w:rPr>
          <w:rFonts w:hint="eastAsia" w:ascii="仿宋" w:hAnsi="仿宋" w:eastAsia="仿宋" w:cs="仿宋"/>
          <w:sz w:val="32"/>
          <w:szCs w:val="32"/>
        </w:rPr>
        <w:t>顺天南路人行道</w:t>
      </w:r>
      <w:r>
        <w:rPr>
          <w:rFonts w:hint="eastAsia" w:ascii="仿宋" w:hAnsi="仿宋" w:eastAsia="仿宋" w:cs="仿宋"/>
          <w:sz w:val="32"/>
          <w:szCs w:val="32"/>
          <w:lang w:eastAsia="zh-CN"/>
        </w:rPr>
        <w:t>改建地</w:t>
      </w:r>
      <w:r>
        <w:rPr>
          <w:rFonts w:hint="eastAsia" w:ascii="仿宋" w:hAnsi="仿宋" w:eastAsia="仿宋" w:cs="仿宋"/>
          <w:sz w:val="32"/>
          <w:szCs w:val="32"/>
          <w:lang w:val="en-US" w:eastAsia="zh-CN"/>
        </w:rPr>
        <w:t>--</w:t>
      </w:r>
      <w:r>
        <w:rPr>
          <w:rFonts w:hint="eastAsia" w:ascii="仿宋" w:hAnsi="仿宋" w:eastAsia="仿宋" w:cs="仿宋"/>
          <w:sz w:val="32"/>
          <w:szCs w:val="32"/>
        </w:rPr>
        <w:t>食尚筷乐门前修建人行道花坛</w:t>
      </w:r>
      <w:r>
        <w:rPr>
          <w:rFonts w:hint="eastAsia" w:ascii="仿宋" w:hAnsi="仿宋" w:eastAsia="仿宋" w:cs="仿宋"/>
          <w:sz w:val="32"/>
          <w:szCs w:val="32"/>
          <w:lang w:eastAsia="zh-CN"/>
        </w:rPr>
        <w:t>项目；</w:t>
      </w:r>
      <w:r>
        <w:rPr>
          <w:rFonts w:hint="eastAsia" w:ascii="仿宋" w:hAnsi="仿宋" w:eastAsia="仿宋" w:cs="仿宋"/>
          <w:sz w:val="32"/>
          <w:szCs w:val="32"/>
        </w:rPr>
        <w:t>黄花坪小游园增加麻石路缘石、更换玻璃钢化粪池、入口新增台阶</w:t>
      </w:r>
      <w:r>
        <w:rPr>
          <w:rFonts w:hint="eastAsia" w:ascii="仿宋" w:hAnsi="仿宋" w:eastAsia="仿宋" w:cs="仿宋"/>
          <w:sz w:val="32"/>
          <w:szCs w:val="32"/>
          <w:lang w:eastAsia="zh-CN"/>
        </w:rPr>
        <w:t>项目</w:t>
      </w:r>
      <w:r>
        <w:rPr>
          <w:rFonts w:hint="eastAsia" w:ascii="仿宋" w:hAnsi="仿宋" w:eastAsia="仿宋" w:cs="仿宋"/>
          <w:sz w:val="32"/>
          <w:szCs w:val="32"/>
        </w:rPr>
        <w:t>；舞水三桥小游园抬高三处检查井</w:t>
      </w:r>
      <w:r>
        <w:rPr>
          <w:rFonts w:hint="eastAsia" w:ascii="仿宋" w:hAnsi="仿宋" w:eastAsia="仿宋" w:cs="仿宋"/>
          <w:sz w:val="32"/>
          <w:szCs w:val="32"/>
          <w:lang w:eastAsia="zh-CN"/>
        </w:rPr>
        <w:t>项目</w:t>
      </w:r>
      <w:r>
        <w:rPr>
          <w:rFonts w:hint="eastAsia" w:ascii="仿宋" w:hAnsi="仿宋" w:eastAsia="仿宋" w:cs="仿宋"/>
          <w:sz w:val="32"/>
          <w:szCs w:val="32"/>
        </w:rPr>
        <w:t>；顺天南路行道树树池变更为10cm厚1:2.5水泥砂浆垫层加树池麻石边框</w:t>
      </w:r>
      <w:r>
        <w:rPr>
          <w:rFonts w:hint="eastAsia" w:ascii="仿宋" w:hAnsi="仿宋" w:eastAsia="仿宋" w:cs="仿宋"/>
          <w:sz w:val="32"/>
          <w:szCs w:val="32"/>
          <w:lang w:eastAsia="zh-CN"/>
        </w:rPr>
        <w:t>、</w:t>
      </w:r>
      <w:r>
        <w:rPr>
          <w:rFonts w:hint="eastAsia" w:ascii="仿宋" w:hAnsi="仿宋" w:eastAsia="仿宋" w:cs="仿宋"/>
          <w:sz w:val="32"/>
          <w:szCs w:val="32"/>
        </w:rPr>
        <w:t>开挖深度为20cm</w:t>
      </w:r>
      <w:r>
        <w:rPr>
          <w:rFonts w:hint="eastAsia" w:ascii="仿宋" w:hAnsi="仿宋" w:eastAsia="仿宋" w:cs="仿宋"/>
          <w:sz w:val="32"/>
          <w:szCs w:val="32"/>
          <w:lang w:eastAsia="zh-CN"/>
        </w:rPr>
        <w:t>项目</w:t>
      </w:r>
      <w:r>
        <w:rPr>
          <w:rFonts w:hint="eastAsia" w:ascii="仿宋" w:hAnsi="仿宋" w:eastAsia="仿宋" w:cs="仿宋"/>
          <w:sz w:val="32"/>
          <w:szCs w:val="32"/>
        </w:rPr>
        <w:t>；刘塘路四医院边坡坡底修砌砖砌临时挡墙</w:t>
      </w:r>
      <w:r>
        <w:rPr>
          <w:rFonts w:hint="eastAsia" w:ascii="仿宋" w:hAnsi="仿宋" w:eastAsia="仿宋" w:cs="仿宋"/>
          <w:sz w:val="32"/>
          <w:szCs w:val="32"/>
          <w:lang w:eastAsia="zh-CN"/>
        </w:rPr>
        <w:t>项目；</w:t>
      </w:r>
      <w:r>
        <w:rPr>
          <w:rFonts w:hint="eastAsia" w:ascii="仿宋" w:hAnsi="仿宋" w:eastAsia="仿宋" w:cs="仿宋"/>
          <w:sz w:val="32"/>
          <w:szCs w:val="32"/>
        </w:rPr>
        <w:t>刘塘路树池联池麻石边框变更为10cm厚1:2.5水泥砂浆垫层加麻石边框</w:t>
      </w:r>
      <w:r>
        <w:rPr>
          <w:rFonts w:hint="eastAsia" w:ascii="仿宋" w:hAnsi="仿宋" w:eastAsia="仿宋" w:cs="仿宋"/>
          <w:sz w:val="32"/>
          <w:szCs w:val="32"/>
          <w:lang w:eastAsia="zh-CN"/>
        </w:rPr>
        <w:t>、</w:t>
      </w:r>
      <w:r>
        <w:rPr>
          <w:rFonts w:hint="eastAsia" w:ascii="仿宋" w:hAnsi="仿宋" w:eastAsia="仿宋" w:cs="仿宋"/>
          <w:sz w:val="32"/>
          <w:szCs w:val="32"/>
        </w:rPr>
        <w:t>开挖深度为20cm</w:t>
      </w:r>
      <w:r>
        <w:rPr>
          <w:rFonts w:hint="eastAsia" w:ascii="仿宋" w:hAnsi="仿宋" w:eastAsia="仿宋" w:cs="仿宋"/>
          <w:sz w:val="32"/>
          <w:szCs w:val="32"/>
          <w:lang w:eastAsia="zh-CN"/>
        </w:rPr>
        <w:t>项目</w:t>
      </w:r>
      <w:r>
        <w:rPr>
          <w:rFonts w:hint="eastAsia" w:ascii="仿宋" w:hAnsi="仿宋" w:eastAsia="仿宋" w:cs="仿宋"/>
          <w:sz w:val="32"/>
          <w:szCs w:val="32"/>
        </w:rPr>
        <w:t>。</w:t>
      </w:r>
      <w:r>
        <w:rPr>
          <w:rFonts w:hint="eastAsia" w:ascii="仿宋" w:hAnsi="仿宋" w:eastAsia="仿宋" w:cs="仿宋"/>
          <w:sz w:val="32"/>
          <w:szCs w:val="32"/>
          <w:lang w:eastAsia="zh-CN"/>
        </w:rPr>
        <w:t>三是推进</w:t>
      </w:r>
      <w:r>
        <w:rPr>
          <w:rFonts w:hint="eastAsia" w:ascii="仿宋" w:hAnsi="仿宋" w:eastAsia="仿宋" w:cs="仿宋"/>
          <w:b/>
          <w:bCs/>
          <w:sz w:val="32"/>
          <w:szCs w:val="32"/>
          <w:lang w:val="en-US" w:eastAsia="zh-CN"/>
        </w:rPr>
        <w:t>四个小游园建设设计方案，</w:t>
      </w:r>
      <w:r>
        <w:rPr>
          <w:rFonts w:hint="eastAsia" w:ascii="仿宋" w:hAnsi="仿宋" w:eastAsia="仿宋" w:cs="仿宋"/>
          <w:sz w:val="32"/>
          <w:szCs w:val="32"/>
        </w:rPr>
        <w:t>完成了文化山、医药学院、顺天路、四方路4个小游园地形图的测绘</w:t>
      </w:r>
      <w:r>
        <w:rPr>
          <w:rFonts w:hint="eastAsia" w:ascii="仿宋" w:hAnsi="仿宋" w:eastAsia="仿宋" w:cs="仿宋"/>
          <w:sz w:val="32"/>
          <w:szCs w:val="32"/>
          <w:lang w:eastAsia="zh-CN"/>
        </w:rPr>
        <w:t>、</w:t>
      </w:r>
      <w:r>
        <w:rPr>
          <w:rFonts w:hint="eastAsia" w:ascii="仿宋" w:hAnsi="仿宋" w:eastAsia="仿宋" w:cs="仿宋"/>
          <w:sz w:val="32"/>
          <w:szCs w:val="32"/>
        </w:rPr>
        <w:t>初步征求意见</w:t>
      </w:r>
      <w:r>
        <w:rPr>
          <w:rFonts w:hint="eastAsia" w:ascii="仿宋" w:hAnsi="仿宋" w:eastAsia="仿宋" w:cs="仿宋"/>
          <w:sz w:val="32"/>
          <w:szCs w:val="32"/>
          <w:lang w:eastAsia="zh-CN"/>
        </w:rPr>
        <w:t>和</w:t>
      </w:r>
      <w:r>
        <w:rPr>
          <w:rFonts w:hint="eastAsia" w:ascii="仿宋" w:hAnsi="仿宋" w:eastAsia="仿宋" w:cs="仿宋"/>
          <w:sz w:val="32"/>
          <w:szCs w:val="32"/>
        </w:rPr>
        <w:t>游园方案设计</w:t>
      </w:r>
      <w:r>
        <w:rPr>
          <w:rFonts w:hint="eastAsia" w:ascii="仿宋" w:hAnsi="仿宋" w:eastAsia="仿宋" w:cs="仿宋"/>
          <w:sz w:val="32"/>
          <w:szCs w:val="32"/>
          <w:lang w:eastAsia="zh-CN"/>
        </w:rPr>
        <w:t>，经市规委会评审目前在第二次征求意见，完善方案设计。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_GB2312" w:hAnsi="Times New Roman" w:eastAsia="仿宋_GB2312" w:cs="Times New Roman"/>
          <w:b/>
          <w:sz w:val="32"/>
          <w:szCs w:val="32"/>
          <w:lang w:val="en-US" w:eastAsia="zh-CN"/>
        </w:rPr>
        <w:t>9、持续推进三城同创创建工作。一是</w:t>
      </w:r>
      <w:r>
        <w:rPr>
          <w:rFonts w:hint="eastAsia" w:ascii="仿宋" w:hAnsi="仿宋" w:eastAsia="仿宋" w:cs="仿宋"/>
          <w:b/>
          <w:bCs/>
          <w:sz w:val="32"/>
          <w:szCs w:val="32"/>
          <w:lang w:val="en-US" w:eastAsia="zh-CN"/>
        </w:rPr>
        <w:t>创卫工作，</w:t>
      </w:r>
      <w:r>
        <w:rPr>
          <w:rFonts w:hint="eastAsia" w:ascii="仿宋" w:hAnsi="仿宋" w:eastAsia="仿宋" w:cs="仿宋"/>
          <w:b w:val="0"/>
          <w:bCs w:val="0"/>
          <w:sz w:val="32"/>
          <w:szCs w:val="32"/>
          <w:lang w:val="en-US" w:eastAsia="zh-CN"/>
        </w:rPr>
        <w:t>扎实开展垃圾分类工作，</w:t>
      </w:r>
      <w:r>
        <w:rPr>
          <w:rFonts w:hint="eastAsia" w:ascii="仿宋" w:hAnsi="仿宋" w:eastAsia="仿宋" w:cs="仿宋"/>
          <w:sz w:val="32"/>
          <w:szCs w:val="32"/>
          <w:lang w:eastAsia="zh-CN"/>
        </w:rPr>
        <w:t>在广场、风光带新增</w:t>
      </w:r>
      <w:r>
        <w:rPr>
          <w:rFonts w:hint="eastAsia" w:ascii="仿宋" w:hAnsi="仿宋" w:eastAsia="仿宋" w:cs="仿宋"/>
          <w:sz w:val="32"/>
          <w:szCs w:val="32"/>
        </w:rPr>
        <w:t>二分类桶</w:t>
      </w:r>
      <w:r>
        <w:rPr>
          <w:rFonts w:hint="eastAsia" w:ascii="仿宋" w:hAnsi="仿宋" w:eastAsia="仿宋" w:cs="仿宋"/>
          <w:sz w:val="32"/>
          <w:szCs w:val="32"/>
          <w:lang w:val="en-US" w:eastAsia="zh-CN"/>
        </w:rPr>
        <w:t>160</w:t>
      </w:r>
      <w:r>
        <w:rPr>
          <w:rFonts w:hint="eastAsia" w:ascii="仿宋" w:hAnsi="仿宋" w:eastAsia="仿宋" w:cs="仿宋"/>
          <w:sz w:val="32"/>
          <w:szCs w:val="32"/>
        </w:rPr>
        <w:t>个，四分类桶</w:t>
      </w:r>
      <w:r>
        <w:rPr>
          <w:rFonts w:hint="eastAsia" w:ascii="仿宋" w:hAnsi="仿宋" w:eastAsia="仿宋" w:cs="仿宋"/>
          <w:sz w:val="32"/>
          <w:szCs w:val="32"/>
          <w:lang w:val="en-US" w:eastAsia="zh-CN"/>
        </w:rPr>
        <w:t>100</w:t>
      </w:r>
      <w:r>
        <w:rPr>
          <w:rFonts w:hint="eastAsia" w:ascii="仿宋" w:hAnsi="仿宋" w:eastAsia="仿宋" w:cs="仿宋"/>
          <w:sz w:val="32"/>
          <w:szCs w:val="32"/>
        </w:rPr>
        <w:t>个，</w:t>
      </w:r>
      <w:r>
        <w:rPr>
          <w:rFonts w:hint="eastAsia" w:ascii="仿宋" w:hAnsi="仿宋" w:eastAsia="仿宋" w:cs="仿宋"/>
          <w:sz w:val="32"/>
          <w:szCs w:val="32"/>
          <w:lang w:eastAsia="zh-CN"/>
        </w:rPr>
        <w:t>更换市委市民休闲广场分类垃圾桶标识</w:t>
      </w:r>
      <w:r>
        <w:rPr>
          <w:rFonts w:hint="eastAsia" w:ascii="仿宋" w:hAnsi="仿宋" w:eastAsia="仿宋" w:cs="仿宋"/>
          <w:sz w:val="32"/>
          <w:szCs w:val="32"/>
          <w:lang w:val="en-US" w:eastAsia="zh-CN"/>
        </w:rPr>
        <w:t>30套；利用宣传栏、LED电子显示屏滚动播放生活垃圾分类宣传标语，在市民休闲广场安装造型宣传牌10块，在广场风光带张贴生活垃圾分类宣传横幅10条；</w:t>
      </w:r>
      <w:r>
        <w:rPr>
          <w:rFonts w:hint="eastAsia" w:ascii="仿宋" w:hAnsi="仿宋" w:eastAsia="仿宋" w:cs="仿宋"/>
          <w:b w:val="0"/>
          <w:bCs w:val="0"/>
          <w:sz w:val="32"/>
          <w:szCs w:val="32"/>
          <w:lang w:val="en-US" w:eastAsia="zh-CN"/>
        </w:rPr>
        <w:t>积极开展无物业管理小区环境卫生帮扶工作，做好</w:t>
      </w:r>
      <w:r>
        <w:rPr>
          <w:rFonts w:hint="eastAsia" w:ascii="仿宋" w:hAnsi="仿宋" w:eastAsia="仿宋" w:cs="仿宋"/>
          <w:sz w:val="32"/>
          <w:szCs w:val="32"/>
          <w:lang w:val="en-US" w:eastAsia="zh-CN"/>
        </w:rPr>
        <w:t>智旺鑫村无物业小区环境卫生帮扶工作，给小区居民营造了绿化、亮化、美化、硬化的居住环境。</w:t>
      </w:r>
      <w:r>
        <w:rPr>
          <w:rFonts w:hint="eastAsia" w:ascii="仿宋" w:hAnsi="仿宋" w:eastAsia="仿宋" w:cs="仿宋"/>
          <w:b/>
          <w:bCs/>
          <w:sz w:val="32"/>
          <w:szCs w:val="32"/>
          <w:lang w:val="en-US" w:eastAsia="zh-CN"/>
        </w:rPr>
        <w:t>二是创园工作。</w:t>
      </w:r>
      <w:r>
        <w:rPr>
          <w:rFonts w:hint="eastAsia" w:ascii="仿宋" w:hAnsi="仿宋" w:eastAsia="仿宋" w:cs="仿宋"/>
          <w:b w:val="0"/>
          <w:bCs w:val="0"/>
          <w:sz w:val="32"/>
          <w:szCs w:val="32"/>
        </w:rPr>
        <w:t>加强园林绿化技术指导和日常督查</w:t>
      </w:r>
      <w:r>
        <w:rPr>
          <w:rFonts w:hint="eastAsia" w:ascii="仿宋" w:hAnsi="仿宋" w:eastAsia="仿宋" w:cs="仿宋"/>
          <w:b w:val="0"/>
          <w:bCs w:val="0"/>
          <w:sz w:val="32"/>
          <w:szCs w:val="32"/>
          <w:lang w:eastAsia="zh-CN"/>
        </w:rPr>
        <w:t>，</w:t>
      </w:r>
      <w:r>
        <w:rPr>
          <w:rFonts w:hint="eastAsia" w:ascii="仿宋" w:hAnsi="仿宋" w:eastAsia="仿宋" w:cs="仿宋"/>
          <w:sz w:val="32"/>
          <w:szCs w:val="32"/>
        </w:rPr>
        <w:t>就园林绿化有关问题给市城建投、交建投、鹤城区执法局、鹤城区城建投、鹤城区环卫办</w:t>
      </w:r>
      <w:r>
        <w:rPr>
          <w:rFonts w:hint="eastAsia" w:ascii="仿宋" w:hAnsi="仿宋" w:eastAsia="仿宋" w:cs="仿宋"/>
          <w:sz w:val="32"/>
          <w:szCs w:val="32"/>
          <w:lang w:eastAsia="zh-CN"/>
        </w:rPr>
        <w:t>等单位</w:t>
      </w:r>
      <w:r>
        <w:rPr>
          <w:rFonts w:hint="eastAsia" w:ascii="仿宋" w:hAnsi="仿宋" w:eastAsia="仿宋" w:cs="仿宋"/>
          <w:sz w:val="32"/>
          <w:szCs w:val="32"/>
        </w:rPr>
        <w:t>去函</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份</w:t>
      </w:r>
      <w:r>
        <w:rPr>
          <w:rFonts w:hint="eastAsia" w:ascii="仿宋" w:hAnsi="仿宋" w:eastAsia="仿宋" w:cs="仿宋"/>
          <w:color w:val="auto"/>
          <w:sz w:val="32"/>
          <w:szCs w:val="32"/>
          <w:lang w:eastAsia="zh-CN"/>
        </w:rPr>
        <w:t>；</w:t>
      </w:r>
      <w:r>
        <w:rPr>
          <w:rFonts w:hint="eastAsia" w:ascii="仿宋" w:hAnsi="仿宋" w:eastAsia="仿宋" w:cs="仿宋"/>
          <w:sz w:val="32"/>
          <w:szCs w:val="32"/>
        </w:rPr>
        <w:t>督促各二级单位及招标承包养护单位绿地精细化养护管理工作，并对其进行技术指导达300余次</w:t>
      </w:r>
      <w:r>
        <w:rPr>
          <w:rFonts w:hint="eastAsia" w:ascii="仿宋" w:hAnsi="仿宋" w:eastAsia="仿宋" w:cs="仿宋"/>
          <w:sz w:val="32"/>
          <w:szCs w:val="32"/>
          <w:lang w:eastAsia="zh-CN"/>
        </w:rPr>
        <w:t>；</w:t>
      </w:r>
      <w:r>
        <w:rPr>
          <w:rFonts w:hint="eastAsia" w:ascii="仿宋" w:hAnsi="仿宋" w:eastAsia="仿宋" w:cs="仿宋"/>
          <w:sz w:val="32"/>
          <w:szCs w:val="32"/>
        </w:rPr>
        <w:t>协助造价站完成202</w:t>
      </w:r>
      <w:r>
        <w:rPr>
          <w:rFonts w:hint="eastAsia" w:ascii="仿宋" w:hAnsi="仿宋" w:eastAsia="仿宋" w:cs="仿宋"/>
          <w:sz w:val="32"/>
          <w:szCs w:val="32"/>
          <w:lang w:val="en-US" w:eastAsia="zh-CN"/>
        </w:rPr>
        <w:t>1</w:t>
      </w:r>
      <w:r>
        <w:rPr>
          <w:rFonts w:hint="eastAsia" w:ascii="仿宋" w:hAnsi="仿宋" w:eastAsia="仿宋" w:cs="仿宋"/>
          <w:sz w:val="32"/>
          <w:szCs w:val="32"/>
        </w:rPr>
        <w:t>年怀化市苗木实地</w:t>
      </w:r>
      <w:r>
        <w:rPr>
          <w:rFonts w:hint="eastAsia" w:ascii="仿宋" w:hAnsi="仿宋" w:eastAsia="仿宋" w:cs="仿宋"/>
          <w:sz w:val="32"/>
          <w:szCs w:val="32"/>
          <w:lang w:eastAsia="zh-CN"/>
        </w:rPr>
        <w:t>两次</w:t>
      </w:r>
      <w:r>
        <w:rPr>
          <w:rFonts w:hint="eastAsia" w:ascii="仿宋" w:hAnsi="仿宋" w:eastAsia="仿宋" w:cs="仿宋"/>
          <w:sz w:val="32"/>
          <w:szCs w:val="32"/>
        </w:rPr>
        <w:t>询价工作</w:t>
      </w:r>
      <w:r>
        <w:rPr>
          <w:rFonts w:hint="eastAsia" w:ascii="仿宋" w:hAnsi="仿宋" w:eastAsia="仿宋" w:cs="仿宋"/>
          <w:sz w:val="32"/>
          <w:szCs w:val="32"/>
          <w:lang w:eastAsia="zh-CN"/>
        </w:rPr>
        <w:t>；组织局系统及相关</w:t>
      </w:r>
      <w:r>
        <w:rPr>
          <w:rFonts w:hint="eastAsia" w:ascii="仿宋" w:hAnsi="仿宋" w:eastAsia="仿宋" w:cs="仿宋"/>
          <w:sz w:val="32"/>
          <w:szCs w:val="32"/>
          <w:lang w:val="en-US" w:eastAsia="zh-CN"/>
        </w:rPr>
        <w:t>市直机关单位积极参与“3.12”义务植树活动，在舞水河风光带盈口桥段种植栾树、桃花、北美海棠、竹子、红叶石楠、胡枝子等3780棵；</w:t>
      </w:r>
      <w:r>
        <w:rPr>
          <w:rFonts w:hint="eastAsia" w:ascii="仿宋" w:hAnsi="仿宋" w:eastAsia="仿宋" w:cs="仿宋"/>
          <w:b w:val="0"/>
          <w:bCs w:val="0"/>
          <w:sz w:val="32"/>
          <w:szCs w:val="32"/>
          <w:lang w:val="en-US" w:eastAsia="zh-CN"/>
        </w:rPr>
        <w:t>做好绿地移交工作，</w:t>
      </w:r>
      <w:r>
        <w:rPr>
          <w:rFonts w:hint="eastAsia" w:ascii="仿宋" w:hAnsi="仿宋" w:eastAsia="仿宋" w:cs="仿宋"/>
          <w:sz w:val="32"/>
          <w:szCs w:val="32"/>
        </w:rPr>
        <w:t>完成</w:t>
      </w:r>
      <w:r>
        <w:rPr>
          <w:rFonts w:hint="eastAsia" w:ascii="仿宋" w:hAnsi="仿宋" w:eastAsia="仿宋" w:cs="仿宋"/>
          <w:sz w:val="32"/>
          <w:szCs w:val="32"/>
          <w:lang w:eastAsia="zh-CN"/>
        </w:rPr>
        <w:t>市、区两级共</w:t>
      </w:r>
      <w:r>
        <w:rPr>
          <w:rFonts w:hint="eastAsia" w:ascii="仿宋" w:hAnsi="仿宋" w:eastAsia="仿宋" w:cs="仿宋"/>
          <w:sz w:val="32"/>
          <w:szCs w:val="32"/>
          <w:lang w:val="en-US" w:eastAsia="zh-CN"/>
        </w:rPr>
        <w:t>73</w:t>
      </w:r>
      <w:r>
        <w:rPr>
          <w:rFonts w:hint="eastAsia" w:ascii="仿宋" w:hAnsi="仿宋" w:eastAsia="仿宋" w:cs="仿宋"/>
          <w:sz w:val="32"/>
          <w:szCs w:val="32"/>
        </w:rPr>
        <w:t>个项目的移交，</w:t>
      </w:r>
      <w:r>
        <w:rPr>
          <w:rFonts w:hint="eastAsia" w:ascii="仿宋" w:hAnsi="仿宋" w:eastAsia="仿宋" w:cs="仿宋"/>
          <w:b w:val="0"/>
          <w:bCs w:val="0"/>
          <w:sz w:val="32"/>
          <w:szCs w:val="32"/>
          <w:lang w:val="en-US" w:eastAsia="zh-CN"/>
        </w:rPr>
        <w:t>全面接管太平溪二、三期风光带、二环路、城东片区绿地和115条背街小巷；</w:t>
      </w:r>
      <w:r>
        <w:rPr>
          <w:rFonts w:hint="eastAsia" w:ascii="仿宋" w:hAnsi="仿宋" w:eastAsia="仿宋" w:cs="仿宋"/>
          <w:b w:val="0"/>
          <w:bCs w:val="0"/>
          <w:sz w:val="32"/>
          <w:szCs w:val="32"/>
        </w:rPr>
        <w:t>加强绿线管理</w:t>
      </w:r>
      <w:r>
        <w:rPr>
          <w:rFonts w:hint="eastAsia" w:ascii="仿宋" w:hAnsi="仿宋" w:eastAsia="仿宋" w:cs="仿宋"/>
          <w:b w:val="0"/>
          <w:bCs w:val="0"/>
          <w:sz w:val="32"/>
          <w:szCs w:val="32"/>
          <w:lang w:eastAsia="zh-CN"/>
        </w:rPr>
        <w:t>，</w:t>
      </w:r>
      <w:r>
        <w:rPr>
          <w:rFonts w:hint="eastAsia" w:ascii="仿宋" w:hAnsi="仿宋" w:eastAsia="仿宋" w:cs="仿宋"/>
          <w:sz w:val="32"/>
          <w:szCs w:val="32"/>
        </w:rPr>
        <w:t>对</w:t>
      </w:r>
      <w:r>
        <w:rPr>
          <w:rFonts w:hint="eastAsia" w:ascii="仿宋" w:hAnsi="仿宋" w:eastAsia="仿宋" w:cs="仿宋"/>
          <w:sz w:val="32"/>
          <w:szCs w:val="32"/>
          <w:lang w:eastAsia="zh-CN"/>
        </w:rPr>
        <w:t>黔锦园售楼部及湖天北路路侧景观绿化、怀化市迎丰公园二期建设公共部分园林景观工程、佳惠物流园小游园绿化工程、金钟御墅湾景观方案</w:t>
      </w:r>
      <w:r>
        <w:rPr>
          <w:rFonts w:hint="eastAsia" w:ascii="仿宋" w:hAnsi="仿宋" w:eastAsia="仿宋" w:cs="仿宋"/>
          <w:sz w:val="32"/>
          <w:szCs w:val="32"/>
        </w:rPr>
        <w:t>4个项目进行了技术审查</w:t>
      </w:r>
      <w:r>
        <w:rPr>
          <w:rFonts w:hint="eastAsia" w:ascii="仿宋" w:hAnsi="仿宋" w:eastAsia="仿宋" w:cs="仿宋"/>
          <w:sz w:val="32"/>
          <w:szCs w:val="32"/>
          <w:lang w:eastAsia="zh-CN"/>
        </w:rPr>
        <w:t>；</w:t>
      </w:r>
      <w:r>
        <w:rPr>
          <w:rFonts w:hint="eastAsia" w:ascii="仿宋" w:hAnsi="仿宋" w:eastAsia="仿宋" w:cs="仿宋"/>
          <w:b w:val="0"/>
          <w:bCs w:val="0"/>
          <w:sz w:val="32"/>
          <w:szCs w:val="32"/>
          <w:lang w:val="en-US" w:eastAsia="zh-CN"/>
        </w:rPr>
        <w:t>加强园林绿化科研建设。</w:t>
      </w:r>
      <w:r>
        <w:rPr>
          <w:rFonts w:hint="eastAsia" w:ascii="仿宋" w:hAnsi="仿宋" w:eastAsia="仿宋" w:cs="仿宋"/>
          <w:sz w:val="32"/>
          <w:szCs w:val="32"/>
          <w:lang w:eastAsia="zh-CN"/>
        </w:rPr>
        <w:t>联合城南街道办事处、杨村村委、城管支队进行保护性施工，完成科研所废弃物处置厂车间工程施工</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对古树名木和古树名木后备资源进行保护。</w:t>
      </w:r>
      <w:r>
        <w:rPr>
          <w:rFonts w:hint="eastAsia" w:ascii="仿宋" w:hAnsi="仿宋" w:eastAsia="仿宋" w:cs="仿宋"/>
          <w:sz w:val="32"/>
          <w:szCs w:val="32"/>
          <w:lang w:val="en-US" w:eastAsia="zh-CN"/>
        </w:rPr>
        <w:t>今年对古树名木74株、古树名木后</w:t>
      </w:r>
      <w:r>
        <w:rPr>
          <w:rFonts w:hint="eastAsia" w:ascii="仿宋" w:hAnsi="仿宋" w:eastAsia="仿宋" w:cs="仿宋"/>
          <w:sz w:val="32"/>
          <w:szCs w:val="32"/>
          <w:highlight w:val="none"/>
          <w:lang w:val="en-US" w:eastAsia="zh-CN"/>
        </w:rPr>
        <w:t>备资源322株进行了建档、挂牌</w:t>
      </w:r>
      <w:r>
        <w:rPr>
          <w:rFonts w:hint="eastAsia" w:ascii="仿宋" w:hAnsi="仿宋" w:eastAsia="仿宋" w:cs="仿宋"/>
          <w:sz w:val="32"/>
          <w:szCs w:val="32"/>
          <w:lang w:val="en-US" w:eastAsia="zh-CN"/>
        </w:rPr>
        <w:t>、入库，同时，在今冬明春期间进行一次对古树名木及后备资源的保养维护工作；</w:t>
      </w:r>
      <w:r>
        <w:rPr>
          <w:rFonts w:hint="eastAsia" w:ascii="仿宋" w:hAnsi="仿宋" w:eastAsia="仿宋" w:cs="仿宋"/>
          <w:b w:val="0"/>
          <w:bCs w:val="0"/>
          <w:sz w:val="32"/>
          <w:szCs w:val="32"/>
          <w:lang w:val="en-US" w:eastAsia="zh-CN"/>
        </w:rPr>
        <w:t>开展园林式单位（小区）的验收和检查，</w:t>
      </w:r>
      <w:r>
        <w:rPr>
          <w:rFonts w:hint="eastAsia" w:ascii="仿宋" w:hAnsi="仿宋" w:eastAsia="仿宋" w:cs="仿宋"/>
          <w:sz w:val="32"/>
          <w:szCs w:val="32"/>
          <w:lang w:val="en-US" w:eastAsia="zh-CN"/>
        </w:rPr>
        <w:t>检查了27个单位（小区），目前正在结合报审资料和现场验收情况，筛查符合园林式标准的单位（小区）。制作、安装100块园林式单位（小区）创建宣传栏；积极配合局里开展迎省级园林城市复核工作。</w:t>
      </w:r>
      <w:r>
        <w:rPr>
          <w:rFonts w:hint="eastAsia" w:ascii="仿宋" w:hAnsi="仿宋" w:eastAsia="仿宋" w:cs="仿宋"/>
          <w:b/>
          <w:bCs/>
          <w:sz w:val="32"/>
          <w:szCs w:val="32"/>
          <w:lang w:val="en-US" w:eastAsia="zh-CN"/>
        </w:rPr>
        <w:t>三是创文工作，</w:t>
      </w:r>
      <w:r>
        <w:rPr>
          <w:rFonts w:hint="eastAsia" w:ascii="仿宋" w:hAnsi="仿宋" w:eastAsia="仿宋" w:cs="仿宋"/>
          <w:b w:val="0"/>
          <w:bCs w:val="0"/>
          <w:sz w:val="32"/>
          <w:szCs w:val="32"/>
          <w:lang w:val="en-US" w:eastAsia="zh-CN"/>
        </w:rPr>
        <w:t>开展市级文明单位创建。</w:t>
      </w:r>
      <w:r>
        <w:rPr>
          <w:rFonts w:hint="eastAsia" w:ascii="仿宋" w:hAnsi="仿宋" w:eastAsia="仿宋" w:cs="仿宋"/>
          <w:sz w:val="32"/>
          <w:szCs w:val="32"/>
          <w:lang w:val="en-US" w:eastAsia="zh-CN"/>
        </w:rPr>
        <w:t>制定文明单位创建工作方案；</w:t>
      </w:r>
      <w:r>
        <w:rPr>
          <w:rFonts w:hint="eastAsia" w:ascii="仿宋" w:hAnsi="仿宋" w:eastAsia="仿宋" w:cs="仿宋"/>
          <w:b w:val="0"/>
          <w:bCs w:val="0"/>
          <w:color w:val="auto"/>
          <w:sz w:val="32"/>
          <w:szCs w:val="32"/>
        </w:rPr>
        <w:t>做好省级文明城市复核迎检工作对鹤城区移交的金海广场、五溪广场、东环线、南环线、怀黔路园林绿化，斥资20多万元进行全面整改。斥资30余万元补植行道树285株、灌木166株、地被和小苗700余平方、草皮6700余平方、覆盖仿真草皮400余平方</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设立学雷锋志愿服务工作站</w:t>
      </w:r>
      <w:r>
        <w:rPr>
          <w:rFonts w:hint="eastAsia" w:ascii="仿宋" w:hAnsi="仿宋" w:eastAsia="仿宋" w:cs="仿宋"/>
          <w:b w:val="0"/>
          <w:bCs w:val="0"/>
          <w:color w:val="auto"/>
          <w:sz w:val="32"/>
          <w:szCs w:val="32"/>
          <w:lang w:eastAsia="zh-CN"/>
        </w:rPr>
        <w:t>。辖区广场</w:t>
      </w:r>
      <w:r>
        <w:rPr>
          <w:rFonts w:hint="eastAsia" w:ascii="仿宋" w:hAnsi="仿宋" w:eastAsia="仿宋" w:cs="仿宋"/>
          <w:b w:val="0"/>
          <w:bCs w:val="0"/>
          <w:color w:val="auto"/>
          <w:sz w:val="32"/>
          <w:szCs w:val="32"/>
        </w:rPr>
        <w:t>组织志愿者定期开展文明劝导活动</w:t>
      </w:r>
      <w:r>
        <w:rPr>
          <w:rFonts w:hint="eastAsia" w:ascii="仿宋" w:hAnsi="仿宋" w:eastAsia="仿宋" w:cs="仿宋"/>
          <w:b w:val="0"/>
          <w:bCs w:val="0"/>
          <w:color w:val="auto"/>
          <w:sz w:val="32"/>
          <w:szCs w:val="32"/>
          <w:lang w:eastAsia="zh-CN"/>
        </w:rPr>
        <w:t>，全年共劝导不签绳遛狗、广场舞噪音超标扰民、卡拉</w:t>
      </w:r>
      <w:r>
        <w:rPr>
          <w:rFonts w:hint="eastAsia" w:ascii="仿宋" w:hAnsi="仿宋" w:eastAsia="仿宋" w:cs="仿宋"/>
          <w:b w:val="0"/>
          <w:bCs w:val="0"/>
          <w:color w:val="auto"/>
          <w:sz w:val="32"/>
          <w:szCs w:val="32"/>
          <w:lang w:val="en-US" w:eastAsia="zh-CN"/>
        </w:rPr>
        <w:t>OK音量超标、短视频主播直播音量超标等各类不文明行为5000余起，组织机关全体干部职工、辖区绿化所、维保所70余人分组分路段在溪河两岸风光带、广场和城区绿地开展“中元节”文明祭祀劝导活动，劝离人员300余人次。</w:t>
      </w:r>
      <w:r>
        <w:rPr>
          <w:rFonts w:hint="eastAsia" w:ascii="仿宋" w:hAnsi="仿宋" w:eastAsia="仿宋" w:cs="仿宋"/>
          <w:color w:val="auto"/>
          <w:sz w:val="32"/>
          <w:szCs w:val="32"/>
          <w:lang w:val="en-US" w:eastAsia="zh-CN"/>
        </w:rPr>
        <w:t>有效提升了市民文明素质；</w:t>
      </w:r>
      <w:r>
        <w:rPr>
          <w:rFonts w:hint="eastAsia" w:ascii="仿宋" w:hAnsi="仿宋" w:eastAsia="仿宋" w:cs="仿宋"/>
          <w:b w:val="0"/>
          <w:bCs w:val="0"/>
          <w:sz w:val="32"/>
          <w:szCs w:val="32"/>
          <w:lang w:eastAsia="zh-CN"/>
        </w:rPr>
        <w:t>广泛开展文体活动。</w:t>
      </w:r>
      <w:r>
        <w:rPr>
          <w:rFonts w:hint="eastAsia" w:ascii="仿宋" w:hAnsi="仿宋" w:eastAsia="仿宋" w:cs="仿宋"/>
          <w:sz w:val="32"/>
          <w:szCs w:val="32"/>
        </w:rPr>
        <w:t>组织开展登山、</w:t>
      </w:r>
      <w:r>
        <w:rPr>
          <w:rFonts w:hint="eastAsia" w:ascii="仿宋" w:hAnsi="仿宋" w:eastAsia="仿宋" w:cs="仿宋"/>
          <w:b w:val="0"/>
          <w:bCs w:val="0"/>
          <w:color w:val="auto"/>
          <w:sz w:val="32"/>
          <w:szCs w:val="32"/>
          <w:lang w:val="en-US" w:eastAsia="zh-CN"/>
        </w:rPr>
        <w:t>拔河、演讲等各类文体活动，营造和谐健康的工作氛围。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（三）有效性分析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1、财政供应人员配置控制率。2021年度编制人数110人，年末实际在岗在编人数88人，财政供养人员空置率80%。</w:t>
      </w:r>
    </w:p>
    <w:p>
      <w:pPr>
        <w:spacing w:line="640" w:lineRule="exact"/>
        <w:ind w:left="0" w:right="0" w:firstLine="632"/>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、“三公经费”变动率</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2021年三公经费年初预算为34.65万元，上年预算38.50万元，变动率-10.00%</w:t>
      </w:r>
    </w:p>
    <w:p>
      <w:pPr>
        <w:spacing w:line="640" w:lineRule="exact"/>
        <w:ind w:left="0" w:right="0" w:firstLine="632"/>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3、预算完成率。2021年上年结转1418.82万元，年初预算2153.83万元，调整预算697.13万元，年末结转0万元，预算完成率100.00%。</w:t>
      </w:r>
    </w:p>
    <w:p>
      <w:pPr>
        <w:spacing w:line="640" w:lineRule="exact"/>
        <w:ind w:left="0" w:right="0" w:firstLine="632"/>
      </w:pP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、预算控制率。202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w:t>
      </w:r>
      <w:r>
        <w:rPr>
          <w:rFonts w:hint="eastAsia" w:ascii="仿宋" w:hAnsi="仿宋" w:eastAsia="仿宋" w:cs="仿宋"/>
          <w:spacing w:val="-2"/>
          <w:sz w:val="32"/>
          <w:szCs w:val="32"/>
          <w:lang w:eastAsia="zh-CN"/>
        </w:rPr>
        <w:t>本年预算调整</w:t>
      </w:r>
      <w:r>
        <w:rPr>
          <w:rFonts w:hint="eastAsia" w:ascii="仿宋" w:hAnsi="仿宋" w:eastAsia="仿宋" w:cs="仿宋"/>
          <w:spacing w:val="-2"/>
          <w:sz w:val="32"/>
          <w:szCs w:val="32"/>
          <w:lang w:val="en-US" w:eastAsia="zh-CN"/>
        </w:rPr>
        <w:t>697.13万元，</w:t>
      </w:r>
      <w:r>
        <w:rPr>
          <w:rFonts w:hint="eastAsia" w:ascii="仿宋" w:hAnsi="仿宋" w:eastAsia="仿宋" w:cs="仿宋"/>
          <w:spacing w:val="-2"/>
          <w:sz w:val="32"/>
          <w:szCs w:val="32"/>
        </w:rPr>
        <w:t>预算控制率</w:t>
      </w:r>
      <w:r>
        <w:rPr>
          <w:rFonts w:hint="eastAsia" w:ascii="仿宋" w:hAnsi="仿宋" w:eastAsia="仿宋" w:cs="仿宋"/>
          <w:spacing w:val="-2"/>
          <w:sz w:val="32"/>
          <w:szCs w:val="32"/>
          <w:lang w:val="en-US" w:eastAsia="zh-CN"/>
        </w:rPr>
        <w:t>32.37</w:t>
      </w:r>
      <w:r>
        <w:rPr>
          <w:rFonts w:hint="eastAsia" w:ascii="仿宋" w:hAnsi="仿宋" w:eastAsia="仿宋" w:cs="仿宋"/>
          <w:spacing w:val="-2"/>
          <w:sz w:val="32"/>
          <w:szCs w:val="32"/>
        </w:rPr>
        <w:t>%，预算控制</w:t>
      </w:r>
      <w:r>
        <w:rPr>
          <w:rFonts w:hint="eastAsia" w:ascii="仿宋" w:hAnsi="仿宋" w:eastAsia="仿宋" w:cs="仿宋"/>
          <w:spacing w:val="-2"/>
          <w:sz w:val="32"/>
          <w:szCs w:val="32"/>
          <w:lang w:eastAsia="zh-CN"/>
        </w:rPr>
        <w:t>未</w:t>
      </w:r>
      <w:r>
        <w:rPr>
          <w:rFonts w:hint="eastAsia" w:ascii="仿宋" w:hAnsi="仿宋" w:eastAsia="仿宋" w:cs="仿宋"/>
          <w:spacing w:val="-2"/>
          <w:sz w:val="32"/>
          <w:szCs w:val="32"/>
        </w:rPr>
        <w:t>达到预期目标。</w:t>
      </w:r>
    </w:p>
    <w:p>
      <w:pPr>
        <w:spacing w:line="640" w:lineRule="exact"/>
        <w:ind w:left="0" w:right="0" w:firstLine="632"/>
      </w:pPr>
      <w:r>
        <w:rPr>
          <w:rFonts w:hint="eastAsia" w:ascii="仿宋" w:hAnsi="仿宋" w:eastAsia="仿宋" w:cs="仿宋"/>
          <w:spacing w:val="-2"/>
          <w:sz w:val="32"/>
          <w:szCs w:val="32"/>
          <w:lang w:val="en-US" w:eastAsia="zh-CN"/>
        </w:rPr>
        <w:t>5</w:t>
      </w:r>
      <w:r>
        <w:rPr>
          <w:rFonts w:hint="eastAsia" w:ascii="仿宋" w:hAnsi="仿宋" w:eastAsia="仿宋" w:cs="仿宋"/>
          <w:spacing w:val="-2"/>
          <w:sz w:val="32"/>
          <w:szCs w:val="32"/>
        </w:rPr>
        <w:t>、新建楼堂馆所面积和投资概算控制率。无新建楼堂管所情况。</w:t>
      </w:r>
    </w:p>
    <w:p>
      <w:pPr>
        <w:spacing w:line="640" w:lineRule="exact"/>
        <w:ind w:left="0" w:right="0" w:firstLine="632"/>
      </w:pPr>
      <w:r>
        <w:rPr>
          <w:rFonts w:hint="eastAsia" w:ascii="仿宋" w:hAnsi="仿宋" w:eastAsia="仿宋" w:cs="仿宋"/>
          <w:spacing w:val="-2"/>
          <w:sz w:val="32"/>
          <w:szCs w:val="32"/>
          <w:lang w:val="en-US" w:eastAsia="zh-CN"/>
        </w:rPr>
        <w:t>6</w:t>
      </w:r>
      <w:r>
        <w:rPr>
          <w:rFonts w:hint="eastAsia" w:ascii="仿宋" w:hAnsi="仿宋" w:eastAsia="仿宋" w:cs="仿宋"/>
          <w:spacing w:val="-2"/>
          <w:sz w:val="32"/>
          <w:szCs w:val="32"/>
        </w:rPr>
        <w:t>、公用经费控制率。202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年度</w:t>
      </w:r>
      <w:r>
        <w:rPr>
          <w:rFonts w:hint="eastAsia" w:ascii="仿宋" w:hAnsi="仿宋" w:eastAsia="仿宋" w:cs="仿宋"/>
          <w:spacing w:val="-2"/>
          <w:sz w:val="32"/>
          <w:szCs w:val="32"/>
          <w:lang w:eastAsia="zh-CN"/>
        </w:rPr>
        <w:t>我中心</w:t>
      </w:r>
      <w:r>
        <w:rPr>
          <w:rFonts w:hint="eastAsia" w:ascii="仿宋" w:hAnsi="仿宋" w:eastAsia="仿宋" w:cs="仿宋"/>
          <w:spacing w:val="-2"/>
          <w:sz w:val="32"/>
          <w:szCs w:val="32"/>
        </w:rPr>
        <w:t>日常公用经费实际支出公用经费总额</w:t>
      </w:r>
      <w:r>
        <w:rPr>
          <w:rFonts w:hint="eastAsia" w:ascii="仿宋" w:hAnsi="仿宋" w:eastAsia="仿宋" w:cs="仿宋"/>
          <w:spacing w:val="-2"/>
          <w:sz w:val="32"/>
          <w:szCs w:val="32"/>
          <w:lang w:val="en-US" w:eastAsia="zh-CN"/>
        </w:rPr>
        <w:t>126.74</w:t>
      </w:r>
      <w:r>
        <w:rPr>
          <w:rFonts w:hint="eastAsia" w:ascii="仿宋" w:hAnsi="仿宋" w:eastAsia="仿宋" w:cs="仿宋"/>
          <w:spacing w:val="-2"/>
          <w:sz w:val="32"/>
          <w:szCs w:val="32"/>
        </w:rPr>
        <w:t>万元，预算安排公用经费总额</w:t>
      </w:r>
      <w:r>
        <w:rPr>
          <w:rFonts w:hint="eastAsia" w:ascii="仿宋" w:hAnsi="仿宋" w:eastAsia="仿宋" w:cs="仿宋"/>
          <w:spacing w:val="-2"/>
          <w:sz w:val="32"/>
          <w:szCs w:val="32"/>
          <w:lang w:val="en-US" w:eastAsia="zh-CN"/>
        </w:rPr>
        <w:t>90.12</w:t>
      </w:r>
      <w:r>
        <w:rPr>
          <w:rFonts w:hint="eastAsia" w:ascii="仿宋" w:hAnsi="仿宋" w:eastAsia="仿宋" w:cs="仿宋"/>
          <w:spacing w:val="-2"/>
          <w:sz w:val="32"/>
          <w:szCs w:val="32"/>
        </w:rPr>
        <w:t>万元，公用经费控制率</w:t>
      </w:r>
      <w:r>
        <w:rPr>
          <w:rFonts w:hint="eastAsia" w:ascii="仿宋" w:hAnsi="仿宋" w:eastAsia="仿宋" w:cs="仿宋"/>
          <w:spacing w:val="-2"/>
          <w:sz w:val="32"/>
          <w:szCs w:val="32"/>
          <w:lang w:val="en-US" w:eastAsia="zh-CN"/>
        </w:rPr>
        <w:t>140.34</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，公用经费控制未</w:t>
      </w:r>
      <w:r>
        <w:rPr>
          <w:rFonts w:hint="eastAsia" w:ascii="仿宋" w:hAnsi="仿宋" w:eastAsia="仿宋" w:cs="仿宋"/>
          <w:spacing w:val="-2"/>
          <w:sz w:val="32"/>
          <w:szCs w:val="32"/>
        </w:rPr>
        <w:t>达到预期目标。</w:t>
      </w:r>
    </w:p>
    <w:p>
      <w:pPr>
        <w:spacing w:line="640" w:lineRule="exact"/>
        <w:ind w:left="0" w:right="0" w:firstLine="632"/>
      </w:pPr>
      <w:r>
        <w:rPr>
          <w:rFonts w:hint="eastAsia" w:ascii="仿宋" w:hAnsi="仿宋" w:eastAsia="仿宋" w:cs="仿宋"/>
          <w:spacing w:val="-2"/>
          <w:sz w:val="32"/>
          <w:szCs w:val="32"/>
          <w:lang w:val="en-US" w:eastAsia="zh-CN"/>
        </w:rPr>
        <w:t>7</w:t>
      </w:r>
      <w:r>
        <w:rPr>
          <w:rFonts w:hint="eastAsia" w:ascii="仿宋" w:hAnsi="仿宋" w:eastAsia="仿宋" w:cs="仿宋"/>
          <w:spacing w:val="-2"/>
          <w:sz w:val="32"/>
          <w:szCs w:val="32"/>
        </w:rPr>
        <w:t>、“三公经费”控制率。“三公经费”实际支出数为</w:t>
      </w:r>
      <w:r>
        <w:rPr>
          <w:rFonts w:hint="eastAsia" w:ascii="仿宋" w:hAnsi="仿宋" w:eastAsia="仿宋" w:cs="仿宋"/>
          <w:spacing w:val="-2"/>
          <w:sz w:val="32"/>
          <w:szCs w:val="32"/>
          <w:lang w:val="en-US" w:eastAsia="zh-CN"/>
        </w:rPr>
        <w:t>11.51</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（一般公共预算安排）</w:t>
      </w:r>
      <w:r>
        <w:rPr>
          <w:rFonts w:hint="eastAsia" w:ascii="仿宋" w:hAnsi="仿宋" w:eastAsia="仿宋" w:cs="仿宋"/>
          <w:spacing w:val="-2"/>
          <w:sz w:val="32"/>
          <w:szCs w:val="32"/>
        </w:rPr>
        <w:t>，预算安排</w:t>
      </w:r>
      <w:r>
        <w:rPr>
          <w:rFonts w:hint="eastAsia" w:ascii="仿宋" w:hAnsi="仿宋" w:eastAsia="仿宋" w:cs="仿宋"/>
          <w:spacing w:val="-2"/>
          <w:sz w:val="32"/>
          <w:szCs w:val="32"/>
          <w:lang w:val="en-US" w:eastAsia="zh-CN"/>
        </w:rPr>
        <w:t>34.65</w:t>
      </w:r>
      <w:r>
        <w:rPr>
          <w:rFonts w:hint="eastAsia" w:ascii="仿宋" w:hAnsi="仿宋" w:eastAsia="仿宋" w:cs="仿宋"/>
          <w:spacing w:val="-2"/>
          <w:sz w:val="32"/>
          <w:szCs w:val="32"/>
        </w:rPr>
        <w:t>万元，“三公经费”控制率为</w:t>
      </w:r>
      <w:r>
        <w:rPr>
          <w:rFonts w:hint="eastAsia" w:ascii="仿宋" w:hAnsi="仿宋" w:eastAsia="仿宋" w:cs="仿宋"/>
          <w:spacing w:val="-2"/>
          <w:sz w:val="32"/>
          <w:szCs w:val="32"/>
          <w:lang w:val="en-US" w:eastAsia="zh-CN"/>
        </w:rPr>
        <w:t>33.22</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，三公经费控制到位</w:t>
      </w:r>
      <w:r>
        <w:rPr>
          <w:rFonts w:hint="eastAsia" w:ascii="仿宋" w:hAnsi="仿宋" w:eastAsia="仿宋" w:cs="仿宋"/>
          <w:spacing w:val="-2"/>
          <w:sz w:val="32"/>
          <w:szCs w:val="32"/>
        </w:rPr>
        <w:t>。</w:t>
      </w:r>
    </w:p>
    <w:p>
      <w:pPr>
        <w:spacing w:line="640" w:lineRule="exact"/>
        <w:ind w:left="0" w:right="0" w:firstLine="632"/>
      </w:pPr>
      <w:r>
        <w:rPr>
          <w:rFonts w:hint="eastAsia" w:ascii="仿宋" w:hAnsi="仿宋" w:eastAsia="仿宋" w:cs="仿宋"/>
          <w:spacing w:val="-2"/>
          <w:sz w:val="32"/>
          <w:szCs w:val="32"/>
          <w:lang w:val="en-US" w:eastAsia="zh-CN"/>
        </w:rPr>
        <w:t>8</w:t>
      </w:r>
      <w:r>
        <w:rPr>
          <w:rFonts w:hint="eastAsia" w:ascii="仿宋" w:hAnsi="仿宋" w:eastAsia="仿宋" w:cs="仿宋"/>
          <w:spacing w:val="-2"/>
          <w:sz w:val="32"/>
          <w:szCs w:val="32"/>
        </w:rPr>
        <w:t>、政府采购执行率。政府采购预算</w:t>
      </w:r>
      <w:r>
        <w:rPr>
          <w:rFonts w:hint="eastAsia" w:ascii="仿宋" w:hAnsi="仿宋" w:eastAsia="仿宋" w:cs="仿宋"/>
          <w:spacing w:val="-2"/>
          <w:sz w:val="32"/>
          <w:szCs w:val="32"/>
          <w:lang w:val="en-US" w:eastAsia="zh-CN"/>
        </w:rPr>
        <w:t>1343.20</w:t>
      </w:r>
      <w:r>
        <w:rPr>
          <w:rFonts w:hint="eastAsia" w:ascii="仿宋" w:hAnsi="仿宋" w:eastAsia="仿宋" w:cs="仿宋"/>
          <w:spacing w:val="-2"/>
          <w:sz w:val="32"/>
          <w:szCs w:val="32"/>
        </w:rPr>
        <w:t>万元，实际政府采</w:t>
      </w:r>
      <w:r>
        <w:rPr>
          <w:rFonts w:hint="eastAsia" w:ascii="仿宋" w:hAnsi="仿宋" w:eastAsia="仿宋" w:cs="仿宋"/>
          <w:spacing w:val="-2"/>
          <w:sz w:val="32"/>
          <w:szCs w:val="32"/>
          <w:lang w:eastAsia="zh-CN"/>
        </w:rPr>
        <w:t>购金额</w:t>
      </w:r>
      <w:r>
        <w:rPr>
          <w:rFonts w:hint="eastAsia" w:ascii="仿宋" w:hAnsi="仿宋" w:eastAsia="仿宋" w:cs="仿宋"/>
          <w:spacing w:val="-2"/>
          <w:sz w:val="32"/>
          <w:szCs w:val="32"/>
          <w:lang w:val="en-US" w:eastAsia="zh-CN"/>
        </w:rPr>
        <w:t>2734.39</w:t>
      </w:r>
      <w:r>
        <w:rPr>
          <w:rFonts w:hint="eastAsia" w:ascii="仿宋" w:hAnsi="仿宋" w:eastAsia="仿宋" w:cs="仿宋"/>
          <w:spacing w:val="-2"/>
          <w:sz w:val="32"/>
          <w:szCs w:val="32"/>
          <w:lang w:eastAsia="zh-CN"/>
        </w:rPr>
        <w:t>万元，照预算执行</w:t>
      </w:r>
      <w:r>
        <w:rPr>
          <w:rFonts w:hint="eastAsia" w:ascii="仿宋" w:hAnsi="仿宋" w:eastAsia="仿宋" w:cs="仿宋"/>
          <w:spacing w:val="-2"/>
          <w:sz w:val="32"/>
          <w:szCs w:val="32"/>
          <w:lang w:val="en-US" w:eastAsia="zh-CN"/>
        </w:rPr>
        <w:t>,政府采购控制</w:t>
      </w:r>
      <w:r>
        <w:rPr>
          <w:rFonts w:hint="eastAsia" w:ascii="仿宋" w:hAnsi="仿宋" w:eastAsia="仿宋" w:cs="仿宋"/>
          <w:spacing w:val="-2"/>
          <w:sz w:val="32"/>
          <w:szCs w:val="32"/>
          <w:lang w:eastAsia="zh-CN"/>
        </w:rPr>
        <w:t>未</w:t>
      </w:r>
      <w:r>
        <w:rPr>
          <w:rFonts w:hint="eastAsia" w:ascii="仿宋" w:hAnsi="仿宋" w:eastAsia="仿宋" w:cs="仿宋"/>
          <w:spacing w:val="-2"/>
          <w:sz w:val="32"/>
          <w:szCs w:val="32"/>
        </w:rPr>
        <w:t>达到预期目标。</w:t>
      </w:r>
    </w:p>
    <w:p>
      <w:pPr>
        <w:spacing w:line="640" w:lineRule="exact"/>
        <w:ind w:left="0" w:right="0" w:firstLine="632"/>
      </w:pPr>
      <w:r>
        <w:rPr>
          <w:rFonts w:hint="eastAsia" w:ascii="仿宋" w:hAnsi="仿宋" w:eastAsia="仿宋" w:cs="仿宋"/>
          <w:spacing w:val="-2"/>
          <w:sz w:val="32"/>
          <w:szCs w:val="32"/>
          <w:lang w:val="en-US" w:eastAsia="zh-CN"/>
        </w:rPr>
        <w:t>9</w:t>
      </w:r>
      <w:r>
        <w:rPr>
          <w:rFonts w:hint="eastAsia" w:ascii="仿宋" w:hAnsi="仿宋" w:eastAsia="仿宋" w:cs="仿宋"/>
          <w:spacing w:val="-2"/>
          <w:sz w:val="32"/>
          <w:szCs w:val="32"/>
        </w:rPr>
        <w:t>、管理制度健全性。严格落实《财务管理办法》等有关管理制度，规范财务审批程序，推行公务卡结算，严格差旅费和接待费支出标准、范围和程序的审核，购买中介机构服务的支出按统一的标准和审批程序执行。</w:t>
      </w:r>
    </w:p>
    <w:p>
      <w:pPr>
        <w:spacing w:line="640" w:lineRule="exact"/>
        <w:ind w:left="0" w:right="0" w:firstLine="632"/>
      </w:pPr>
      <w:r>
        <w:rPr>
          <w:rFonts w:hint="eastAsia" w:ascii="仿宋" w:hAnsi="仿宋" w:eastAsia="仿宋" w:cs="仿宋"/>
          <w:spacing w:val="-2"/>
          <w:sz w:val="32"/>
          <w:szCs w:val="32"/>
          <w:lang w:val="en-US" w:eastAsia="zh-CN"/>
        </w:rPr>
        <w:t>10</w:t>
      </w:r>
      <w:r>
        <w:rPr>
          <w:rFonts w:hint="eastAsia" w:ascii="仿宋" w:hAnsi="仿宋" w:eastAsia="仿宋" w:cs="仿宋"/>
          <w:spacing w:val="-2"/>
          <w:sz w:val="32"/>
          <w:szCs w:val="32"/>
        </w:rPr>
        <w:t>、资金使用合规性。严格落实中央八项规定和有关公务支出标准。加强经费合法合规性审核和预算控制，严格按制度政策办事，资金使用合法合规，支出手续齐全，程序到位。</w:t>
      </w:r>
    </w:p>
    <w:p>
      <w:pPr>
        <w:pStyle w:val="2"/>
        <w:ind w:left="0" w:leftChars="0" w:firstLine="632" w:firstLineChars="200"/>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11、预决算信息公开性。真实准确编制部门预算和决算，按时上报基础数据资料。对上年度部门整体支出进行了绩效评价，对标找差距。按规定时限和规定内容公开2021年预算、2020年决算。</w:t>
      </w:r>
    </w:p>
    <w:p>
      <w:pPr>
        <w:pStyle w:val="2"/>
        <w:ind w:left="0" w:leftChars="0" w:firstLine="632" w:firstLineChars="200"/>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12、重点工作实际完成率。根据中共怀化市委办  怀化市人民政府办公室关于2021年绩效评估结果的通报》（怀办〔2022〕15号），考核得分93.64分，考核等次为优秀。</w:t>
      </w:r>
    </w:p>
    <w:p>
      <w:pPr>
        <w:pStyle w:val="2"/>
        <w:ind w:left="0" w:leftChars="0" w:firstLine="632" w:firstLineChars="200"/>
        <w:rPr>
          <w:rFonts w:hint="default"/>
          <w:lang w:val="en-US" w:eastAsia="zh-CN"/>
        </w:rPr>
      </w:pPr>
      <w:r>
        <w:rPr>
          <w:rFonts w:hint="eastAsia" w:ascii="仿宋" w:hAnsi="仿宋" w:eastAsia="仿宋" w:cs="仿宋"/>
          <w:color w:val="auto"/>
          <w:spacing w:val="-2"/>
          <w:kern w:val="2"/>
          <w:sz w:val="32"/>
          <w:szCs w:val="32"/>
          <w:lang w:val="en-US" w:eastAsia="zh-CN" w:bidi="ar-SA"/>
        </w:rPr>
        <w:t>13、满意度在95%以上。通过实施城区绿地养护等保障了怀化市鹤城区内绿地绿化环境，提升城市品位，满意度95%以上。14、年初绩效目标实际完成好。对标年初部门整体绩效目标，细化三级考核目标和分解权重，考评得分97.00分。</w:t>
      </w:r>
    </w:p>
    <w:p>
      <w:pPr>
        <w:numPr>
          <w:ilvl w:val="0"/>
          <w:numId w:val="0"/>
        </w:numPr>
        <w:spacing w:line="360" w:lineRule="auto"/>
        <w:ind w:firstLine="640" w:firstLineChars="200"/>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（四）可持续性分析</w:t>
      </w:r>
    </w:p>
    <w:p>
      <w:pPr>
        <w:numPr>
          <w:ilvl w:val="0"/>
          <w:numId w:val="0"/>
        </w:numPr>
        <w:spacing w:line="360" w:lineRule="auto"/>
        <w:ind w:firstLine="640" w:firstLineChars="200"/>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通过前述对我中心整体支出的分析，尚需要：</w:t>
      </w:r>
    </w:p>
    <w:p>
      <w:pPr>
        <w:numPr>
          <w:ilvl w:val="0"/>
          <w:numId w:val="0"/>
        </w:numPr>
        <w:spacing w:line="360" w:lineRule="auto"/>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1、舞水河、太平溪等滨水风光带建设欠完善。</w:t>
      </w:r>
      <w:r>
        <w:rPr>
          <w:rFonts w:hint="eastAsia" w:ascii="仿宋_GB2312" w:hAnsi="Times New Roman" w:eastAsia="仿宋_GB2312" w:cs="Times New Roman"/>
          <w:kern w:val="2"/>
          <w:sz w:val="32"/>
          <w:szCs w:val="32"/>
          <w:lang w:val="en-US" w:eastAsia="zh-CN" w:bidi="ar-SA"/>
        </w:rPr>
        <w:t>舞水河、太平溪及其支流（潭口溪、坨院溪、岩堰溪）等滨水风光带存在建设不完整、设施不完善问题，影响城市风光带功能发挥，</w:t>
      </w:r>
      <w:r>
        <w:rPr>
          <w:rFonts w:hint="default" w:ascii="仿宋_GB2312" w:hAnsi="Times New Roman" w:eastAsia="仿宋_GB2312" w:cs="Times New Roman"/>
          <w:kern w:val="2"/>
          <w:sz w:val="32"/>
          <w:szCs w:val="32"/>
          <w:lang w:val="en-US" w:eastAsia="zh-CN" w:bidi="ar-SA"/>
        </w:rPr>
        <w:t>如</w:t>
      </w:r>
      <w:r>
        <w:rPr>
          <w:rFonts w:hint="eastAsia" w:ascii="仿宋_GB2312" w:hAnsi="Times New Roman" w:eastAsia="仿宋_GB2312" w:cs="Times New Roman"/>
          <w:kern w:val="2"/>
          <w:sz w:val="32"/>
          <w:szCs w:val="32"/>
          <w:lang w:val="en-US" w:eastAsia="zh-CN" w:bidi="ar-SA"/>
        </w:rPr>
        <w:t>太平溪龙田湾一线目前处于停工状态，潭口溪只做了市政府周边的简单绿化，除太平溪一期工程外的其余地段景观灯、座椅、垃圾桶等未配置到位。建议市财政增加投入，完成城区滨水风光带扫尾工程，完善风光带景观灯、座椅、垃圾桶等配套设施。</w:t>
      </w:r>
    </w:p>
    <w:p>
      <w:pPr>
        <w:keepNext w:val="0"/>
        <w:keepLines w:val="0"/>
        <w:pageBreakBefore w:val="0"/>
        <w:numPr>
          <w:ilvl w:val="0"/>
          <w:numId w:val="0"/>
        </w:numPr>
        <w:kinsoku/>
        <w:wordWrap/>
        <w:overflowPunct/>
        <w:topLinePunct w:val="0"/>
        <w:autoSpaceDN/>
        <w:bidi w:val="0"/>
        <w:adjustRightInd/>
        <w:snapToGrid/>
        <w:spacing w:beforeAutospacing="0" w:afterAutospacing="0" w:line="240" w:lineRule="auto"/>
        <w:ind w:left="0" w:leftChars="0" w:firstLine="640" w:firstLineChars="200"/>
        <w:textAlignment w:val="auto"/>
        <w:rPr>
          <w:rFonts w:hint="default"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2、区级绿地移交工作严重滞后。</w:t>
      </w:r>
      <w:r>
        <w:rPr>
          <w:rFonts w:hint="eastAsia" w:ascii="仿宋_GB2312" w:hAnsi="Times New Roman" w:eastAsia="仿宋_GB2312" w:cs="Times New Roman"/>
          <w:b w:val="0"/>
          <w:bCs w:val="0"/>
          <w:kern w:val="2"/>
          <w:sz w:val="32"/>
          <w:szCs w:val="32"/>
          <w:lang w:val="en-US" w:eastAsia="zh-CN" w:bidi="ar-SA"/>
        </w:rPr>
        <w:t>根据市政府、区政府、主管局关于市、区两级移交备忘录，我中心从2020年5月20日起全面接管了鹤城区城东片区30万平方米绿地和115条背街小巷绿地养护管理工作。但养护管理经费一直未得到落实，正式移交手续因各种原因一直未能完成。</w:t>
      </w:r>
    </w:p>
    <w:p>
      <w:pPr>
        <w:keepNext w:val="0"/>
        <w:keepLines w:val="0"/>
        <w:pageBreakBefore w:val="0"/>
        <w:numPr>
          <w:ilvl w:val="0"/>
          <w:numId w:val="0"/>
        </w:numPr>
        <w:kinsoku/>
        <w:wordWrap/>
        <w:overflowPunct/>
        <w:topLinePunct w:val="0"/>
        <w:autoSpaceDN/>
        <w:bidi w:val="0"/>
        <w:adjustRightInd/>
        <w:snapToGrid/>
        <w:spacing w:beforeAutospacing="0" w:afterAutospacing="0" w:line="240" w:lineRule="auto"/>
        <w:ind w:left="0" w:lef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3、主次干道临街单位及门店自建绿地管理难以到位。</w:t>
      </w:r>
      <w:r>
        <w:rPr>
          <w:rFonts w:hint="eastAsia" w:ascii="仿宋_GB2312" w:hAnsi="Times New Roman" w:eastAsia="仿宋_GB2312" w:cs="Times New Roman"/>
          <w:kern w:val="2"/>
          <w:sz w:val="32"/>
          <w:szCs w:val="32"/>
          <w:lang w:val="en-US" w:eastAsia="zh-CN" w:bidi="ar-SA"/>
        </w:rPr>
        <w:t>城区主次干道由临街单位及门店自建的绿地约5万平方米，目前没有纳入城市公共绿地管理范畴，也没有核算财政养护经费，养护标准未能达标，影响城市景观效果。建议将主次干道临街单位及门店自建绿地全部纳入城市公共绿地管理范围，由市财政安排日常养护预算资金。</w:t>
      </w:r>
    </w:p>
    <w:p>
      <w:pPr>
        <w:numPr>
          <w:ilvl w:val="0"/>
          <w:numId w:val="0"/>
        </w:numPr>
        <w:spacing w:line="560" w:lineRule="exact"/>
        <w:ind w:firstLine="640" w:firstLineChars="200"/>
        <w:rPr>
          <w:rFonts w:hint="eastAsia" w:ascii="Times New Roman" w:hAnsi="Times New Roman" w:eastAsia="仿宋" w:cs="Times New Roman"/>
          <w:bCs/>
          <w:sz w:val="32"/>
          <w:szCs w:val="28"/>
          <w:lang w:val="en-US" w:eastAsia="zh-CN"/>
        </w:rPr>
      </w:pPr>
      <w:r>
        <w:rPr>
          <w:rFonts w:hint="eastAsia" w:ascii="宋体" w:hAnsi="宋体" w:eastAsia="仿宋"/>
          <w:b/>
          <w:bCs/>
          <w:sz w:val="32"/>
          <w:szCs w:val="28"/>
          <w:lang w:val="en-US" w:eastAsia="zh-CN"/>
        </w:rPr>
        <w:t>4、</w:t>
      </w:r>
      <w:r>
        <w:rPr>
          <w:rFonts w:hint="eastAsia" w:ascii="Times New Roman" w:hAnsi="Times New Roman" w:eastAsia="仿宋" w:cs="Times New Roman"/>
          <w:b/>
          <w:bCs/>
          <w:sz w:val="32"/>
          <w:szCs w:val="28"/>
          <w:lang w:eastAsia="zh-CN"/>
        </w:rPr>
        <w:t>科研基地土地权属未能办理。</w:t>
      </w:r>
      <w:r>
        <w:rPr>
          <w:rFonts w:hint="default" w:ascii="Times New Roman" w:hAnsi="Times New Roman" w:eastAsia="仿宋" w:cs="Times New Roman"/>
          <w:bCs/>
          <w:sz w:val="32"/>
          <w:szCs w:val="28"/>
          <w:lang w:val="en-US" w:eastAsia="zh-CN"/>
        </w:rPr>
        <w:t>2017年底，市政府</w:t>
      </w:r>
      <w:r>
        <w:rPr>
          <w:rFonts w:hint="eastAsia" w:ascii="Times New Roman" w:hAnsi="Times New Roman" w:eastAsia="仿宋" w:cs="Times New Roman"/>
          <w:bCs/>
          <w:sz w:val="32"/>
          <w:szCs w:val="28"/>
          <w:lang w:val="en-US" w:eastAsia="zh-CN"/>
        </w:rPr>
        <w:t>同意</w:t>
      </w:r>
      <w:r>
        <w:rPr>
          <w:rFonts w:hint="default" w:ascii="Times New Roman" w:hAnsi="Times New Roman" w:eastAsia="仿宋" w:cs="Times New Roman"/>
          <w:bCs/>
          <w:sz w:val="32"/>
          <w:szCs w:val="28"/>
          <w:lang w:val="en-US" w:eastAsia="zh-CN"/>
        </w:rPr>
        <w:t>将属原市环卫处第一垃圾填埋场</w:t>
      </w:r>
      <w:r>
        <w:rPr>
          <w:rFonts w:hint="eastAsia" w:ascii="Times New Roman" w:hAnsi="Times New Roman" w:eastAsia="仿宋" w:cs="Times New Roman"/>
          <w:bCs/>
          <w:sz w:val="32"/>
          <w:szCs w:val="28"/>
          <w:lang w:val="en-US" w:eastAsia="zh-CN"/>
        </w:rPr>
        <w:t>（面积106.09亩）</w:t>
      </w:r>
      <w:r>
        <w:rPr>
          <w:rFonts w:hint="default" w:ascii="Times New Roman" w:hAnsi="Times New Roman" w:eastAsia="仿宋" w:cs="Times New Roman"/>
          <w:bCs/>
          <w:sz w:val="32"/>
          <w:szCs w:val="28"/>
          <w:lang w:val="en-US" w:eastAsia="zh-CN"/>
        </w:rPr>
        <w:t>划转给</w:t>
      </w:r>
      <w:r>
        <w:rPr>
          <w:rFonts w:hint="eastAsia" w:ascii="Times New Roman" w:hAnsi="Times New Roman" w:eastAsia="仿宋" w:cs="Times New Roman"/>
          <w:bCs/>
          <w:sz w:val="32"/>
          <w:szCs w:val="28"/>
          <w:lang w:val="en-US" w:eastAsia="zh-CN"/>
        </w:rPr>
        <w:t>我</w:t>
      </w:r>
      <w:r>
        <w:rPr>
          <w:rFonts w:hint="default" w:ascii="Times New Roman" w:hAnsi="Times New Roman" w:eastAsia="仿宋" w:cs="Times New Roman"/>
          <w:bCs/>
          <w:sz w:val="32"/>
          <w:szCs w:val="28"/>
          <w:lang w:val="en-US" w:eastAsia="zh-CN"/>
        </w:rPr>
        <w:t>中心作为科研基地使用</w:t>
      </w:r>
      <w:r>
        <w:rPr>
          <w:rFonts w:hint="eastAsia" w:ascii="Times New Roman" w:hAnsi="Times New Roman" w:eastAsia="仿宋" w:cs="Times New Roman"/>
          <w:bCs/>
          <w:sz w:val="32"/>
          <w:szCs w:val="28"/>
          <w:lang w:val="en-US" w:eastAsia="zh-CN"/>
        </w:rPr>
        <w:t>。</w:t>
      </w:r>
      <w:r>
        <w:rPr>
          <w:rFonts w:hint="default" w:ascii="Times New Roman" w:hAnsi="Times New Roman" w:eastAsia="仿宋" w:cs="Times New Roman"/>
          <w:bCs/>
          <w:sz w:val="32"/>
          <w:szCs w:val="28"/>
          <w:lang w:val="en-US" w:eastAsia="zh-CN"/>
        </w:rPr>
        <w:t>2018年年初成立园林科学研究所。</w:t>
      </w:r>
      <w:r>
        <w:rPr>
          <w:rFonts w:hint="eastAsia" w:ascii="Times New Roman" w:hAnsi="Times New Roman" w:eastAsia="仿宋" w:cs="Times New Roman"/>
          <w:bCs/>
          <w:sz w:val="32"/>
          <w:szCs w:val="28"/>
          <w:lang w:val="en-US" w:eastAsia="zh-CN"/>
        </w:rPr>
        <w:t>之后在市国土局</w:t>
      </w:r>
      <w:r>
        <w:rPr>
          <w:rFonts w:hint="default" w:ascii="Times New Roman" w:hAnsi="Times New Roman" w:eastAsia="仿宋" w:cs="Times New Roman"/>
          <w:bCs/>
          <w:sz w:val="32"/>
          <w:szCs w:val="28"/>
          <w:lang w:val="en-US" w:eastAsia="zh-CN"/>
        </w:rPr>
        <w:t>办理科研基地土地权属登记</w:t>
      </w:r>
      <w:r>
        <w:rPr>
          <w:rFonts w:hint="eastAsia" w:ascii="Times New Roman" w:hAnsi="Times New Roman" w:eastAsia="仿宋" w:cs="Times New Roman"/>
          <w:bCs/>
          <w:sz w:val="32"/>
          <w:szCs w:val="28"/>
          <w:lang w:val="en-US" w:eastAsia="zh-CN"/>
        </w:rPr>
        <w:t>的过程中</w:t>
      </w:r>
      <w:r>
        <w:rPr>
          <w:rFonts w:hint="default" w:ascii="Times New Roman" w:hAnsi="Times New Roman" w:eastAsia="仿宋" w:cs="Times New Roman"/>
          <w:bCs/>
          <w:sz w:val="32"/>
          <w:szCs w:val="28"/>
          <w:lang w:val="en-US" w:eastAsia="zh-CN"/>
        </w:rPr>
        <w:t>，发现</w:t>
      </w:r>
      <w:r>
        <w:rPr>
          <w:rFonts w:hint="eastAsia" w:ascii="Times New Roman" w:hAnsi="Times New Roman" w:eastAsia="仿宋" w:cs="Times New Roman"/>
          <w:bCs/>
          <w:sz w:val="32"/>
          <w:szCs w:val="28"/>
          <w:lang w:val="en-US" w:eastAsia="zh-CN"/>
        </w:rPr>
        <w:t>该地块</w:t>
      </w:r>
      <w:r>
        <w:rPr>
          <w:rFonts w:hint="default" w:ascii="Times New Roman" w:hAnsi="Times New Roman" w:eastAsia="仿宋" w:cs="Times New Roman"/>
          <w:bCs/>
          <w:sz w:val="32"/>
          <w:szCs w:val="28"/>
          <w:lang w:val="en-US" w:eastAsia="zh-CN"/>
        </w:rPr>
        <w:t>与市城建投</w:t>
      </w:r>
      <w:r>
        <w:rPr>
          <w:rFonts w:hint="eastAsia" w:ascii="Times New Roman" w:hAnsi="Times New Roman" w:eastAsia="仿宋" w:cs="Times New Roman"/>
          <w:bCs/>
          <w:sz w:val="32"/>
          <w:szCs w:val="28"/>
          <w:lang w:val="en-US" w:eastAsia="zh-CN"/>
        </w:rPr>
        <w:t>（首钢综合农场、杨村经济林场）</w:t>
      </w:r>
      <w:r>
        <w:rPr>
          <w:rFonts w:hint="default" w:ascii="Times New Roman" w:hAnsi="Times New Roman" w:eastAsia="仿宋" w:cs="Times New Roman"/>
          <w:bCs/>
          <w:sz w:val="32"/>
          <w:szCs w:val="28"/>
          <w:lang w:val="en-US" w:eastAsia="zh-CN"/>
        </w:rPr>
        <w:t>存在交叉重叠</w:t>
      </w:r>
      <w:r>
        <w:rPr>
          <w:rFonts w:hint="eastAsia" w:ascii="Times New Roman" w:hAnsi="Times New Roman" w:eastAsia="仿宋" w:cs="Times New Roman"/>
          <w:bCs/>
          <w:sz w:val="32"/>
          <w:szCs w:val="28"/>
          <w:lang w:val="en-US" w:eastAsia="zh-CN"/>
        </w:rPr>
        <w:t>21.41亩。经多次去函三家单位并与其协商，但重叠土地问题一直没有得到妥善解决，</w:t>
      </w:r>
      <w:r>
        <w:rPr>
          <w:rFonts w:hint="default" w:ascii="Times New Roman" w:hAnsi="Times New Roman" w:eastAsia="仿宋" w:cs="Times New Roman"/>
          <w:bCs/>
          <w:sz w:val="32"/>
          <w:szCs w:val="28"/>
          <w:lang w:val="en-US" w:eastAsia="zh-CN"/>
        </w:rPr>
        <w:t>致使土地权属登记</w:t>
      </w:r>
      <w:r>
        <w:rPr>
          <w:rFonts w:hint="eastAsia" w:ascii="Times New Roman" w:hAnsi="Times New Roman" w:eastAsia="仿宋" w:cs="Times New Roman"/>
          <w:bCs/>
          <w:sz w:val="32"/>
          <w:szCs w:val="28"/>
          <w:lang w:val="en-US" w:eastAsia="zh-CN"/>
        </w:rPr>
        <w:t>至今</w:t>
      </w:r>
      <w:r>
        <w:rPr>
          <w:rFonts w:hint="default" w:ascii="Times New Roman" w:hAnsi="Times New Roman" w:eastAsia="仿宋" w:cs="Times New Roman"/>
          <w:bCs/>
          <w:sz w:val="32"/>
          <w:szCs w:val="28"/>
          <w:lang w:val="en-US" w:eastAsia="zh-CN"/>
        </w:rPr>
        <w:t>未能办下。</w:t>
      </w:r>
      <w:r>
        <w:rPr>
          <w:rFonts w:hint="eastAsia" w:ascii="Times New Roman" w:hAnsi="Times New Roman" w:eastAsia="仿宋" w:cs="Times New Roman"/>
          <w:bCs/>
          <w:sz w:val="32"/>
          <w:szCs w:val="28"/>
          <w:lang w:eastAsia="zh-CN"/>
        </w:rPr>
        <w:t>请求市政府协调市自然资源和规划局、市城建投</w:t>
      </w:r>
      <w:r>
        <w:rPr>
          <w:rFonts w:hint="eastAsia" w:ascii="Times New Roman" w:hAnsi="Times New Roman" w:eastAsia="仿宋" w:cs="Times New Roman"/>
          <w:bCs/>
          <w:sz w:val="32"/>
          <w:szCs w:val="28"/>
          <w:lang w:val="en-US" w:eastAsia="zh-CN"/>
        </w:rPr>
        <w:t>（首钢综合农场、杨村经济林场）</w:t>
      </w:r>
      <w:r>
        <w:rPr>
          <w:rFonts w:hint="eastAsia" w:ascii="Times New Roman" w:hAnsi="Times New Roman" w:eastAsia="仿宋" w:cs="Times New Roman"/>
          <w:bCs/>
          <w:sz w:val="32"/>
          <w:szCs w:val="28"/>
          <w:lang w:eastAsia="zh-CN"/>
        </w:rPr>
        <w:t>等相关单位解决科研基地土地交叉重叠问题并办理好科研基地土地权属登记。</w:t>
      </w:r>
    </w:p>
    <w:p>
      <w:pPr>
        <w:numPr>
          <w:ilvl w:val="0"/>
          <w:numId w:val="0"/>
        </w:numPr>
        <w:spacing w:line="560" w:lineRule="exact"/>
        <w:ind w:firstLine="640" w:firstLineChars="200"/>
        <w:rPr>
          <w:rFonts w:hint="eastAsia" w:ascii="Times New Roman" w:hAnsi="Times New Roman" w:eastAsia="仿宋" w:cs="Times New Roman"/>
          <w:bCs/>
          <w:sz w:val="32"/>
          <w:szCs w:val="28"/>
          <w:lang w:val="en-US" w:eastAsia="zh-CN"/>
        </w:rPr>
      </w:pPr>
      <w:r>
        <w:rPr>
          <w:rFonts w:hint="eastAsia" w:ascii="Times New Roman" w:hAnsi="Times New Roman" w:eastAsia="仿宋" w:cs="Times New Roman"/>
          <w:b/>
          <w:bCs w:val="0"/>
          <w:sz w:val="32"/>
          <w:szCs w:val="28"/>
          <w:lang w:val="en-US" w:eastAsia="zh-CN"/>
        </w:rPr>
        <w:t>5、加快绿地养护市场化步伐。</w:t>
      </w:r>
      <w:r>
        <w:rPr>
          <w:rFonts w:hint="eastAsia" w:ascii="Times New Roman" w:hAnsi="Times New Roman" w:eastAsia="仿宋" w:cs="Times New Roman"/>
          <w:bCs/>
          <w:sz w:val="32"/>
          <w:szCs w:val="28"/>
          <w:lang w:val="en-US" w:eastAsia="zh-CN"/>
        </w:rPr>
        <w:t>目前，我中心管护绿地多达300万平方米，现在一线作业工人只退不进，造成基层一线工作人员严重不足。请求局里同意一线员工按定额划定自管养护工作量，对其余绿地养护实行社会化招投标市场化承包养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val="0"/>
          <w:sz w:val="32"/>
          <w:szCs w:val="32"/>
          <w:lang w:val="en-US" w:eastAsia="zh-CN"/>
        </w:rPr>
        <w:t>6、青山溪移苗工程款未落实。</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按张吉怀客运专线铁路建设要求，我中心已于2019年9月</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2021年3月分两次</w:t>
      </w:r>
      <w:r>
        <w:rPr>
          <w:rFonts w:hint="eastAsia" w:ascii="仿宋_GB2312" w:hAnsi="仿宋_GB2312" w:eastAsia="仿宋_GB2312" w:cs="仿宋_GB2312"/>
          <w:sz w:val="32"/>
          <w:szCs w:val="32"/>
        </w:rPr>
        <w:t>移完了</w:t>
      </w:r>
      <w:r>
        <w:rPr>
          <w:rFonts w:hint="eastAsia" w:ascii="仿宋_GB2312" w:hAnsi="仿宋_GB2312" w:eastAsia="仿宋_GB2312" w:cs="仿宋_GB2312"/>
          <w:sz w:val="32"/>
          <w:szCs w:val="32"/>
          <w:lang w:eastAsia="zh-CN"/>
        </w:rPr>
        <w:t>青山溪</w:t>
      </w:r>
      <w:r>
        <w:rPr>
          <w:rFonts w:hint="eastAsia" w:ascii="仿宋_GB2312" w:hAnsi="仿宋_GB2312" w:eastAsia="仿宋_GB2312" w:cs="仿宋_GB2312"/>
          <w:sz w:val="32"/>
          <w:szCs w:val="32"/>
        </w:rPr>
        <w:t>所有铁路建设红线范围内的绿化苗木。该项移植工程包括苗木移植费、民工工资、吊车费用等工程预算1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lang w:val="en-US" w:eastAsia="zh-CN"/>
        </w:rPr>
        <w:t>根据铁路建设后期恢复规划，需对原有路段损毁绿地（3140平方米）进行绿地恢复，但铁路一直未予落实。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1、部分绩效指标及目标有待进一步细化和量化。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绩效管理理念不足，宣导力度不够，年初申报绩效目标各</w:t>
      </w:r>
      <w:r>
        <w:rPr>
          <w:rFonts w:hint="eastAsia" w:ascii="仿宋_GB2312" w:hAnsi="仿宋_GB2312" w:eastAsia="仿宋_GB2312" w:cs="仿宋_GB2312"/>
          <w:sz w:val="32"/>
          <w:szCs w:val="32"/>
          <w:lang w:eastAsia="zh-CN"/>
        </w:rPr>
        <w:t>部室参与不够，</w:t>
      </w:r>
      <w:r>
        <w:rPr>
          <w:rFonts w:hint="eastAsia" w:ascii="仿宋_GB2312" w:hAnsi="仿宋_GB2312" w:eastAsia="仿宋_GB2312" w:cs="仿宋_GB2312"/>
          <w:sz w:val="32"/>
          <w:szCs w:val="32"/>
        </w:rPr>
        <w:t>对绩效目标概念认识不足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部分绩效指标及目标有待进一步细化和量化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2、预算控制率有待降低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受年中追加经费影响，预算控制率为-31.36%，日常公用经费控制率293.74%，没有实现零追加。应在以后年度加以重视，尽量减少追加资金，逐步降低预算控制率。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3、政府采购预算管理不到位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尚未对绩效考评制定比较明确的实施细则，受年中呈签项目、日常维护费专项项目影响，政府采购执行率高达203.57%，绩效考核制度有待进一步完善。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七、改进措施和有关建议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1、科学合理地设置绩效指标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首先，加强绩效管理工作的宣传力度，强化资金使用和绩效目标意识；其次，根据单位职能科学合理地设置绩效指标，提高预算绩效指标的针对性和可测性，充分发挥预算绩效目标管理的导向作用。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2、强化预算约束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各部室合力加速流程管理，确保在2022年度加快项目进度及专项项目资金的支付，强化预算执行的严肃性。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3、建立和完善部门整体支出绩效考评实施细则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建立和完善部门整体支出绩效考评实施细则，提高绩效预算管理水平。严格按照预算和政府采购管理要求，实施政府采购项目。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6409D"/>
    <w:multiLevelType w:val="singleLevel"/>
    <w:tmpl w:val="91B6409D"/>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Njk1MTBkYzEwYTA5NjFjYTBlYWI5ZDI5MWVjYmE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6E1BBC"/>
    <w:rsid w:val="0BF0024B"/>
    <w:rsid w:val="0F3A0A84"/>
    <w:rsid w:val="1D697685"/>
    <w:rsid w:val="27C847B0"/>
    <w:rsid w:val="2D7921CC"/>
    <w:rsid w:val="31CB0B39"/>
    <w:rsid w:val="3E23065E"/>
    <w:rsid w:val="413F4513"/>
    <w:rsid w:val="41EB0AF9"/>
    <w:rsid w:val="44C60A0F"/>
    <w:rsid w:val="492559C0"/>
    <w:rsid w:val="63AA1358"/>
    <w:rsid w:val="65962C14"/>
    <w:rsid w:val="66FD603A"/>
    <w:rsid w:val="73D6605F"/>
    <w:rsid w:val="757038D2"/>
    <w:rsid w:val="7C536D12"/>
    <w:rsid w:val="7D570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cs="宋体"/>
      <w:kern w:val="0"/>
      <w:sz w:val="24"/>
      <w:lang w:bidi="ar-SA"/>
    </w:rPr>
  </w:style>
  <w:style w:type="character" w:customStyle="1" w:styleId="10">
    <w:name w:val="页眉 Char"/>
    <w:basedOn w:val="9"/>
    <w:link w:val="6"/>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paragraph" w:customStyle="1" w:styleId="15">
    <w:name w:val="无间隔"/>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19969</Words>
  <Characters>24829</Characters>
  <Lines>69</Lines>
  <Paragraphs>19</Paragraphs>
  <TotalTime>10</TotalTime>
  <ScaleCrop>false</ScaleCrop>
  <LinksUpToDate>false</LinksUpToDate>
  <CharactersWithSpaces>25664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靁靁</cp:lastModifiedBy>
  <cp:lastPrinted>2022-07-27T12:55:00Z</cp:lastPrinted>
  <dcterms:modified xsi:type="dcterms:W3CDTF">2022-09-15T01:39:00Z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FE6DA1ADB2BE422699CE4F2F10119497</vt:lpwstr>
  </property>
</Properties>
</file>