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right="0"/>
        <w:jc w:val="center"/>
        <w:textAlignment w:val="auto"/>
        <w:rPr>
          <w:rFonts w:hint="eastAsia" w:ascii="仿宋" w:hAnsi="仿宋" w:eastAsia="仿宋" w:cs="仿宋"/>
          <w:b/>
          <w:bCs/>
          <w:sz w:val="48"/>
          <w:szCs w:val="48"/>
        </w:rPr>
      </w:pPr>
      <w:r>
        <w:rPr>
          <w:rFonts w:hint="eastAsia" w:ascii="仿宋" w:hAnsi="仿宋" w:eastAsia="仿宋" w:cs="仿宋"/>
          <w:b/>
          <w:bCs/>
          <w:sz w:val="48"/>
          <w:szCs w:val="48"/>
        </w:rPr>
        <w:t>2021年度</w:t>
      </w:r>
      <w:r>
        <w:rPr>
          <w:rFonts w:hint="eastAsia" w:ascii="仿宋" w:hAnsi="仿宋" w:eastAsia="仿宋" w:cs="仿宋"/>
          <w:b/>
          <w:bCs/>
          <w:sz w:val="48"/>
          <w:szCs w:val="48"/>
          <w:lang w:val="en-US" w:eastAsia="zh-CN"/>
        </w:rPr>
        <w:t>怀化市园林绿化服务中心</w:t>
      </w:r>
      <w:r>
        <w:rPr>
          <w:rFonts w:hint="eastAsia" w:ascii="仿宋" w:hAnsi="仿宋" w:eastAsia="仿宋" w:cs="仿宋"/>
          <w:b/>
          <w:bCs/>
          <w:sz w:val="48"/>
          <w:szCs w:val="48"/>
        </w:rPr>
        <w:t>部门决算</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center"/>
        <w:textAlignment w:val="auto"/>
        <w:rPr>
          <w:rFonts w:hint="eastAsia" w:ascii="黑体" w:hAnsi="黑体" w:eastAsia="黑体" w:cs="黑体"/>
          <w:b/>
          <w:sz w:val="32"/>
          <w:szCs w:val="32"/>
        </w:rPr>
      </w:pPr>
      <w:r>
        <w:rPr>
          <w:rFonts w:hint="eastAsia" w:ascii="黑体" w:hAnsi="黑体" w:eastAsia="黑体" w:cs="黑体"/>
          <w:b/>
          <w:sz w:val="32"/>
          <w:szCs w:val="32"/>
        </w:rPr>
        <w:t>目录</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left"/>
        <w:textAlignment w:val="auto"/>
        <w:rPr>
          <w:rFonts w:hint="eastAsia" w:ascii="黑体" w:hAnsi="黑体" w:eastAsia="黑体" w:cs="黑体"/>
          <w:b/>
          <w:sz w:val="32"/>
          <w:szCs w:val="32"/>
        </w:rPr>
      </w:pPr>
      <w:r>
        <w:rPr>
          <w:rFonts w:hint="eastAsia" w:ascii="黑体" w:hAnsi="黑体" w:eastAsia="黑体" w:cs="黑体"/>
          <w:b/>
          <w:sz w:val="32"/>
          <w:szCs w:val="32"/>
        </w:rPr>
        <w:t>第一部分</w:t>
      </w:r>
      <w:r>
        <w:rPr>
          <w:rFonts w:hint="eastAsia" w:ascii="黑体" w:hAnsi="黑体" w:eastAsia="黑体" w:cs="黑体"/>
          <w:b/>
          <w:bCs/>
          <w:sz w:val="32"/>
          <w:szCs w:val="32"/>
          <w:lang w:val="en-US" w:eastAsia="zh-CN"/>
        </w:rPr>
        <w:t>怀化市园林绿化服务中心</w:t>
      </w:r>
      <w:r>
        <w:rPr>
          <w:rFonts w:hint="eastAsia" w:ascii="黑体" w:hAnsi="黑体" w:eastAsia="黑体" w:cs="黑体"/>
          <w:b/>
          <w:bCs/>
          <w:sz w:val="32"/>
          <w:szCs w:val="32"/>
        </w:rPr>
        <w:t>部门</w:t>
      </w:r>
      <w:r>
        <w:rPr>
          <w:rFonts w:hint="eastAsia" w:ascii="黑体" w:hAnsi="黑体" w:eastAsia="黑体" w:cs="黑体"/>
          <w:b/>
          <w:sz w:val="32"/>
          <w:szCs w:val="32"/>
        </w:rPr>
        <w:t>概况</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一、部门职责</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二、机构设置</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第二部分2021年度部门决算表</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一、收入支出决算总表</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二、收入决算表</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三、支出决算表</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四、财政拨款收入支出决算总表</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五、一般公共预算财政拨款支出决算表</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六、一般公共预算财政拨款基本支出决算明细表</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七、一般公共预算财政拨款“三公”经费支出决算表</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八、政府性基金预算财政拨款收入支出决算表</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九、国有资本经营预算财政拨款支出决算表</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第三部分2021年度部门决算情况说明</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一、收入支出决算总体情况说明</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二、收入决算情况说明</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三、支出决算情况说明</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四、财政拨款收入支出决算总体情况说明</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五、一般公共预算财政拨款支出决算情况说明</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六、一般公共预算财政拨款基本支出决算情况说明</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七、一般公共预算财政拨款“三公”经费支出决算情况说明</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八、政府性基金预算收入支出决算情况</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九、国有资本经营预算财政拨款支出决算情况说明</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十、</w:t>
      </w:r>
      <w:r>
        <w:rPr>
          <w:rFonts w:hint="eastAsia" w:ascii="仿宋" w:hAnsi="仿宋" w:eastAsia="仿宋" w:cs="仿宋"/>
          <w:sz w:val="32"/>
          <w:szCs w:val="32"/>
        </w:rPr>
        <w:t>机关运行经费支出说明</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val="en-US" w:eastAsia="zh-CN"/>
        </w:rPr>
        <w:t>一</w:t>
      </w:r>
      <w:r>
        <w:rPr>
          <w:rFonts w:hint="eastAsia" w:ascii="仿宋" w:hAnsi="仿宋" w:eastAsia="仿宋" w:cs="仿宋"/>
          <w:sz w:val="32"/>
          <w:szCs w:val="32"/>
        </w:rPr>
        <w:t>、一般性支出情况说明</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val="en-US" w:eastAsia="zh-CN"/>
        </w:rPr>
        <w:t>二</w:t>
      </w:r>
      <w:r>
        <w:rPr>
          <w:rFonts w:hint="eastAsia" w:ascii="仿宋" w:hAnsi="仿宋" w:eastAsia="仿宋" w:cs="仿宋"/>
          <w:sz w:val="32"/>
          <w:szCs w:val="32"/>
        </w:rPr>
        <w:t>、政府采购支出说明</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val="en-US" w:eastAsia="zh-CN"/>
        </w:rPr>
        <w:t>三</w:t>
      </w:r>
      <w:r>
        <w:rPr>
          <w:rFonts w:hint="eastAsia" w:ascii="仿宋" w:hAnsi="仿宋" w:eastAsia="仿宋" w:cs="仿宋"/>
          <w:sz w:val="32"/>
          <w:szCs w:val="32"/>
        </w:rPr>
        <w:t>、国有资产占用情况说明</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val="en-US" w:eastAsia="zh-CN"/>
        </w:rPr>
        <w:t>四</w:t>
      </w:r>
      <w:r>
        <w:rPr>
          <w:rFonts w:hint="eastAsia" w:ascii="仿宋" w:hAnsi="仿宋" w:eastAsia="仿宋" w:cs="仿宋"/>
          <w:sz w:val="32"/>
          <w:szCs w:val="32"/>
        </w:rPr>
        <w:t>、2021年度预算绩效情况说明</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jc w:val="left"/>
        <w:textAlignment w:val="auto"/>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第四部分名词解释</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jc w:val="left"/>
        <w:textAlignment w:val="auto"/>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第五部分附件</w:t>
      </w:r>
    </w:p>
    <w:p>
      <w:pPr>
        <w:pStyle w:val="12"/>
        <w:keepNext w:val="0"/>
        <w:keepLines w:val="0"/>
        <w:pageBreakBefore w:val="0"/>
        <w:widowControl w:val="0"/>
        <w:kinsoku/>
        <w:wordWrap/>
        <w:overflowPunct/>
        <w:topLinePunct w:val="0"/>
        <w:bidi w:val="0"/>
        <w:adjustRightInd/>
        <w:snapToGrid/>
        <w:spacing w:line="600" w:lineRule="exact"/>
        <w:ind w:left="0" w:leftChars="0" w:right="0"/>
        <w:jc w:val="center"/>
        <w:textAlignment w:val="auto"/>
        <w:rPr>
          <w:sz w:val="44"/>
          <w:szCs w:val="44"/>
        </w:rPr>
      </w:pPr>
      <w:r>
        <w:rPr>
          <w:rFonts w:hint="eastAsia"/>
          <w:sz w:val="44"/>
          <w:szCs w:val="44"/>
        </w:rPr>
        <w:t>第一部分</w:t>
      </w:r>
      <w:r>
        <w:rPr>
          <w:rFonts w:hint="eastAsia"/>
          <w:sz w:val="44"/>
          <w:szCs w:val="44"/>
          <w:lang w:val="en-US" w:eastAsia="zh-CN"/>
        </w:rPr>
        <w:t>怀化市园林绿化服务中心</w:t>
      </w:r>
      <w:r>
        <w:rPr>
          <w:rFonts w:hint="eastAsia"/>
          <w:sz w:val="44"/>
          <w:szCs w:val="44"/>
        </w:rPr>
        <w:t>单位概况</w:t>
      </w:r>
    </w:p>
    <w:p>
      <w:pPr>
        <w:pStyle w:val="13"/>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黑体" w:hAnsi="黑体" w:eastAsia="黑体"/>
          <w:sz w:val="32"/>
          <w:szCs w:val="32"/>
        </w:rPr>
      </w:pPr>
      <w:r>
        <w:rPr>
          <w:rFonts w:hint="default" w:ascii="黑体" w:hAnsi="黑体" w:eastAsia="黑体" w:cstheme="minorBidi"/>
          <w:kern w:val="2"/>
          <w:sz w:val="32"/>
          <w:szCs w:val="32"/>
          <w:lang w:val="en-US" w:eastAsia="zh-CN" w:bidi="ar-SA"/>
        </w:rPr>
        <w:t>一、</w:t>
      </w:r>
      <w:r>
        <w:rPr>
          <w:rFonts w:ascii="黑体" w:hAnsi="黑体" w:eastAsia="黑体"/>
          <w:sz w:val="32"/>
          <w:szCs w:val="32"/>
        </w:rPr>
        <w:t>部门职责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1.贯彻执行国家、省有关园林绿化管理的方针、政策、法律、法规和规章，配合有关部门研究拟订本市实施细则。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2.承担编制城区园林绿化近期、远期发展规划和园林绿化建设管理资金计划的有关具体工作。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3.承担城市新建、改建、扩建工程附属绿化工程初审及施工监督、竣工验收的有关事务性工作。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承担改变城市绿地规划、绿化用地使用性质审批初审及临时占用城市绿地、砍伐、移植、修剪城市树木（包括古树名木）许可初审的有关事务性工作；协助主管部门开展园林绿化执法督查，协助上级征收城市绿化补偿费等相关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5.负责街旁绿地、街头游园、防护绿地、风景林地、行道及干道绿化带、滨江（水）风光带、广场等公共绿地的保护、管理和日常养护工作。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6.承担城区城市公园、城市雕塑管理和维护的具体工作；负责城市规划区内生物多样性保护工作；推广城市园林绿化科技新成果、新技术，开展对外技术交流。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7.参与指导县市区城镇园林绿化工作，促进园林绿化事业的发展。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8.承办市委、市政府和市城市管理和行政执法局交办的其他事项。</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auto"/>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b/>
          <w:bCs w:val="0"/>
          <w:kern w:val="0"/>
          <w:sz w:val="32"/>
          <w:szCs w:val="32"/>
        </w:rPr>
      </w:pPr>
      <w:r>
        <w:rPr>
          <w:rFonts w:hint="eastAsia" w:ascii="仿宋" w:hAnsi="仿宋" w:eastAsia="仿宋" w:cs="仿宋"/>
          <w:b/>
          <w:bCs w:val="0"/>
          <w:kern w:val="0"/>
          <w:sz w:val="32"/>
          <w:szCs w:val="32"/>
        </w:rPr>
        <w:t>（一）内设机构设置</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bCs/>
          <w:kern w:val="0"/>
          <w:sz w:val="32"/>
          <w:szCs w:val="32"/>
        </w:rPr>
      </w:pPr>
      <w:r>
        <w:rPr>
          <w:rFonts w:hint="eastAsia" w:ascii="仿宋" w:hAnsi="仿宋" w:eastAsia="仿宋" w:cs="仿宋"/>
          <w:sz w:val="32"/>
          <w:szCs w:val="32"/>
          <w:lang w:val="en-US" w:eastAsia="zh-CN"/>
        </w:rPr>
        <w:t>本单位怀化市园林绿化服务中心为市城市管理和综合执法管理的公益一类事业单位，机构规格相当于副处级，本单位下设办公室、人事教育部、计划财务部、工程技术部、绿化服务部、园林科研部、城市公园部、园林信息所、园林评价所、园林绿化维保所、道路绿化养护所、园林废弃物处置所等部门</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b/>
          <w:bCs w:val="0"/>
          <w:kern w:val="0"/>
          <w:sz w:val="32"/>
          <w:szCs w:val="32"/>
        </w:rPr>
      </w:pPr>
      <w:r>
        <w:rPr>
          <w:rFonts w:hint="eastAsia" w:ascii="仿宋" w:hAnsi="仿宋" w:eastAsia="仿宋" w:cs="仿宋"/>
          <w:b/>
          <w:bCs w:val="0"/>
          <w:kern w:val="0"/>
          <w:sz w:val="32"/>
          <w:szCs w:val="32"/>
        </w:rPr>
        <w:t>（二）决算单位构成</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i w:val="0"/>
          <w:iCs w:val="0"/>
          <w:caps w:val="0"/>
          <w:color w:val="3D3D3D"/>
          <w:spacing w:val="0"/>
          <w:sz w:val="32"/>
          <w:szCs w:val="32"/>
        </w:rPr>
      </w:pPr>
      <w:r>
        <w:rPr>
          <w:rFonts w:hint="eastAsia" w:ascii="仿宋" w:hAnsi="仿宋" w:eastAsia="仿宋" w:cs="仿宋"/>
          <w:sz w:val="32"/>
          <w:szCs w:val="32"/>
          <w:lang w:val="en-US" w:eastAsia="zh-CN"/>
        </w:rPr>
        <w:t>怀化市园林绿化服务中心2021年部门决算汇总公开单位构成包括：</w:t>
      </w:r>
      <w:r>
        <w:rPr>
          <w:rFonts w:hint="eastAsia" w:ascii="仿宋" w:hAnsi="仿宋" w:eastAsia="仿宋" w:cs="仿宋"/>
          <w:i w:val="0"/>
          <w:iCs w:val="0"/>
          <w:caps w:val="0"/>
          <w:color w:val="3D3D3D"/>
          <w:spacing w:val="0"/>
          <w:sz w:val="32"/>
          <w:szCs w:val="32"/>
        </w:rPr>
        <w:t>怀化市园林绿化服务中心（二级部门）</w:t>
      </w:r>
    </w:p>
    <w:p>
      <w:pPr>
        <w:pStyle w:val="7"/>
        <w:rPr>
          <w:rFonts w:hint="eastAsia"/>
          <w:lang w:val="en-US" w:eastAsia="zh-CN"/>
        </w:rPr>
      </w:pPr>
    </w:p>
    <w:p>
      <w:pPr>
        <w:keepNext w:val="0"/>
        <w:keepLines w:val="0"/>
        <w:pageBreakBefore w:val="0"/>
        <w:widowControl w:val="0"/>
        <w:kinsoku/>
        <w:wordWrap/>
        <w:overflowPunct/>
        <w:topLinePunct w:val="0"/>
        <w:bidi w:val="0"/>
        <w:adjustRightInd/>
        <w:snapToGrid/>
        <w:spacing w:line="600" w:lineRule="exact"/>
        <w:ind w:left="0" w:leftChars="0" w:right="0"/>
        <w:jc w:val="center"/>
        <w:textAlignment w:val="auto"/>
        <w:rPr>
          <w:rFonts w:hint="eastAsia" w:ascii="黑体" w:eastAsia="黑体" w:cs="黑体" w:hAnsiTheme="minorHAnsi"/>
          <w:color w:val="000000"/>
          <w:kern w:val="0"/>
          <w:sz w:val="44"/>
          <w:szCs w:val="44"/>
          <w:lang w:val="en-US" w:eastAsia="zh-CN" w:bidi="ar-SA"/>
        </w:rPr>
      </w:pPr>
      <w:r>
        <w:rPr>
          <w:rFonts w:hint="eastAsia" w:ascii="黑体" w:eastAsia="黑体" w:cs="黑体" w:hAnsiTheme="minorHAnsi"/>
          <w:color w:val="000000"/>
          <w:kern w:val="0"/>
          <w:sz w:val="44"/>
          <w:szCs w:val="44"/>
          <w:lang w:val="en-US" w:eastAsia="zh-CN" w:bidi="ar-SA"/>
        </w:rPr>
        <w:t>第二部分部门决算表</w:t>
      </w:r>
    </w:p>
    <w:p>
      <w:pPr>
        <w:keepNext w:val="0"/>
        <w:keepLines w:val="0"/>
        <w:pageBreakBefore w:val="0"/>
        <w:kinsoku/>
        <w:wordWrap/>
        <w:overflowPunct/>
        <w:topLinePunct w:val="0"/>
        <w:bidi w:val="0"/>
        <w:snapToGrid/>
        <w:spacing w:line="600" w:lineRule="exact"/>
        <w:ind w:firstLine="3840" w:firstLineChars="1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详情见附件）</w:t>
      </w:r>
    </w:p>
    <w:p>
      <w:pPr>
        <w:pStyle w:val="7"/>
        <w:rPr>
          <w:rFonts w:hint="eastAsia"/>
          <w:lang w:val="en-US" w:eastAsia="zh-CN"/>
        </w:rPr>
      </w:pPr>
    </w:p>
    <w:p>
      <w:pPr>
        <w:pStyle w:val="12"/>
        <w:keepNext w:val="0"/>
        <w:keepLines w:val="0"/>
        <w:pageBreakBefore w:val="0"/>
        <w:widowControl w:val="0"/>
        <w:kinsoku/>
        <w:wordWrap/>
        <w:overflowPunct/>
        <w:topLinePunct w:val="0"/>
        <w:bidi w:val="0"/>
        <w:adjustRightInd/>
        <w:snapToGrid/>
        <w:spacing w:line="600" w:lineRule="exact"/>
        <w:ind w:left="0" w:leftChars="0" w:right="0"/>
        <w:jc w:val="center"/>
        <w:textAlignment w:val="auto"/>
        <w:rPr>
          <w:sz w:val="44"/>
          <w:szCs w:val="44"/>
        </w:rPr>
      </w:pPr>
      <w:r>
        <w:rPr>
          <w:rFonts w:hint="eastAsia"/>
          <w:sz w:val="44"/>
          <w:szCs w:val="44"/>
        </w:rPr>
        <w:t>第三部分</w:t>
      </w:r>
      <w:r>
        <w:rPr>
          <w:sz w:val="44"/>
          <w:szCs w:val="44"/>
        </w:rPr>
        <w:t>20</w:t>
      </w:r>
      <w:r>
        <w:rPr>
          <w:rFonts w:hint="eastAsia"/>
          <w:sz w:val="44"/>
          <w:szCs w:val="44"/>
        </w:rPr>
        <w:t>21年度部门决算情况说明</w:t>
      </w:r>
    </w:p>
    <w:p>
      <w:pPr>
        <w:keepNext w:val="0"/>
        <w:keepLines w:val="0"/>
        <w:pageBreakBefore w:val="0"/>
        <w:widowControl/>
        <w:kinsoku/>
        <w:wordWrap/>
        <w:overflowPunct/>
        <w:topLinePunct w:val="0"/>
        <w:bidi w:val="0"/>
        <w:adjustRightInd/>
        <w:snapToGrid/>
        <w:spacing w:line="600" w:lineRule="exact"/>
        <w:ind w:left="0" w:leftChars="0" w:right="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2021年度收、支总计</w:t>
      </w:r>
      <w:r>
        <w:rPr>
          <w:rFonts w:hint="eastAsia" w:ascii="仿宋" w:hAnsi="仿宋" w:eastAsia="仿宋" w:cs="仿宋"/>
          <w:sz w:val="32"/>
          <w:szCs w:val="32"/>
          <w:lang w:val="en-US" w:eastAsia="zh-CN"/>
        </w:rPr>
        <w:t>各</w:t>
      </w: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269.78万元。与上年相比，增加（减少）</w:t>
      </w:r>
      <w:r>
        <w:rPr>
          <w:rFonts w:hint="eastAsia" w:ascii="仿宋" w:hAnsi="仿宋" w:eastAsia="仿宋" w:cs="仿宋"/>
          <w:sz w:val="32"/>
          <w:szCs w:val="32"/>
          <w:lang w:val="en-US" w:eastAsia="zh-CN"/>
        </w:rPr>
        <w:t>849.11</w:t>
      </w:r>
      <w:r>
        <w:rPr>
          <w:rFonts w:hint="eastAsia" w:ascii="仿宋" w:hAnsi="仿宋" w:eastAsia="仿宋" w:cs="仿宋"/>
          <w:sz w:val="32"/>
          <w:szCs w:val="32"/>
        </w:rPr>
        <w:t>万元，增长</w:t>
      </w:r>
      <w:r>
        <w:rPr>
          <w:rFonts w:hint="eastAsia" w:ascii="仿宋" w:hAnsi="仿宋" w:eastAsia="仿宋" w:cs="仿宋"/>
          <w:sz w:val="32"/>
          <w:szCs w:val="32"/>
          <w:lang w:val="en-US" w:eastAsia="zh-CN"/>
        </w:rPr>
        <w:t>24.82</w:t>
      </w:r>
      <w:r>
        <w:rPr>
          <w:rFonts w:hint="eastAsia" w:ascii="仿宋" w:hAnsi="仿宋" w:eastAsia="仿宋" w:cs="仿宋"/>
          <w:sz w:val="32"/>
          <w:szCs w:val="32"/>
        </w:rPr>
        <w:t>%，主要是因为</w:t>
      </w:r>
      <w:r>
        <w:rPr>
          <w:rFonts w:hint="eastAsia" w:ascii="仿宋" w:hAnsi="仿宋" w:eastAsia="仿宋" w:cs="仿宋"/>
          <w:sz w:val="32"/>
          <w:szCs w:val="32"/>
          <w:lang w:eastAsia="zh-CN"/>
        </w:rPr>
        <w:t>基本工资、奖金、其他商品和服务支出的</w:t>
      </w:r>
      <w:r>
        <w:rPr>
          <w:rFonts w:hint="eastAsia" w:ascii="仿宋" w:hAnsi="仿宋" w:eastAsia="仿宋" w:cs="仿宋"/>
          <w:sz w:val="32"/>
          <w:szCs w:val="32"/>
          <w:lang w:val="en-US" w:eastAsia="zh-CN"/>
        </w:rPr>
        <w:t>增加。</w:t>
      </w:r>
    </w:p>
    <w:p>
      <w:pPr>
        <w:keepNext w:val="0"/>
        <w:keepLines w:val="0"/>
        <w:pageBreakBefore w:val="0"/>
        <w:widowControl/>
        <w:kinsoku/>
        <w:wordWrap/>
        <w:overflowPunct/>
        <w:topLinePunct w:val="0"/>
        <w:bidi w:val="0"/>
        <w:adjustRightInd/>
        <w:snapToGrid/>
        <w:spacing w:line="600" w:lineRule="exact"/>
        <w:ind w:left="0" w:leftChars="0" w:right="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2021年度收入合计</w:t>
      </w:r>
      <w:r>
        <w:rPr>
          <w:rFonts w:hint="eastAsia" w:ascii="仿宋" w:hAnsi="仿宋" w:eastAsia="仿宋" w:cs="仿宋"/>
          <w:sz w:val="32"/>
          <w:szCs w:val="32"/>
          <w:lang w:val="en-US" w:eastAsia="zh-CN"/>
        </w:rPr>
        <w:t>2,850.96</w:t>
      </w:r>
      <w:r>
        <w:rPr>
          <w:rFonts w:hint="eastAsia" w:ascii="仿宋" w:hAnsi="仿宋" w:eastAsia="仿宋" w:cs="仿宋"/>
          <w:sz w:val="32"/>
          <w:szCs w:val="32"/>
        </w:rPr>
        <w:t>万元，其中：财政拨款收入</w:t>
      </w:r>
      <w:r>
        <w:rPr>
          <w:rFonts w:hint="eastAsia" w:ascii="仿宋" w:hAnsi="仿宋" w:eastAsia="仿宋" w:cs="仿宋"/>
          <w:sz w:val="32"/>
          <w:szCs w:val="32"/>
          <w:lang w:val="en-US" w:eastAsia="zh-CN"/>
        </w:rPr>
        <w:t>2,850.87</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hint="eastAsia" w:ascii="仿宋" w:hAnsi="仿宋" w:eastAsia="仿宋" w:cs="仿宋"/>
          <w:sz w:val="32"/>
          <w:szCs w:val="32"/>
        </w:rPr>
        <w:t>%；上级补助收入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%；事业收入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%；经营收入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%；附属单位上缴收入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%；其他收入</w:t>
      </w:r>
      <w:r>
        <w:rPr>
          <w:rFonts w:hint="eastAsia" w:ascii="仿宋" w:hAnsi="仿宋" w:eastAsia="仿宋" w:cs="仿宋"/>
          <w:sz w:val="32"/>
          <w:szCs w:val="32"/>
          <w:lang w:val="en-US" w:eastAsia="zh-CN"/>
        </w:rPr>
        <w:t>0.09</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keepNext w:val="0"/>
        <w:keepLines w:val="0"/>
        <w:pageBreakBefore w:val="0"/>
        <w:widowControl/>
        <w:kinsoku/>
        <w:wordWrap/>
        <w:overflowPunct/>
        <w:topLinePunct w:val="0"/>
        <w:bidi w:val="0"/>
        <w:adjustRightInd/>
        <w:snapToGrid/>
        <w:spacing w:line="600" w:lineRule="exact"/>
        <w:ind w:left="0" w:leftChars="0" w:right="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2021年度支出合计</w:t>
      </w:r>
      <w:r>
        <w:rPr>
          <w:rFonts w:hint="eastAsia" w:ascii="仿宋" w:hAnsi="仿宋" w:eastAsia="仿宋" w:cs="仿宋"/>
          <w:sz w:val="32"/>
          <w:szCs w:val="32"/>
          <w:lang w:val="en-US" w:eastAsia="zh-CN"/>
        </w:rPr>
        <w:t>4,269.78</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1,349.96</w:t>
      </w:r>
      <w:r>
        <w:rPr>
          <w:rFonts w:hint="eastAsia" w:ascii="仿宋" w:hAnsi="仿宋" w:eastAsia="仿宋" w:cs="仿宋"/>
          <w:sz w:val="32"/>
          <w:szCs w:val="32"/>
        </w:rPr>
        <w:t>万元，占</w:t>
      </w:r>
      <w:r>
        <w:rPr>
          <w:rFonts w:hint="eastAsia" w:ascii="仿宋" w:hAnsi="仿宋" w:eastAsia="仿宋" w:cs="仿宋"/>
          <w:sz w:val="32"/>
          <w:szCs w:val="32"/>
          <w:lang w:val="en-US" w:eastAsia="zh-CN"/>
        </w:rPr>
        <w:t>31.62</w:t>
      </w:r>
      <w:r>
        <w:rPr>
          <w:rFonts w:hint="eastAsia" w:ascii="仿宋" w:hAnsi="仿宋" w:eastAsia="仿宋" w:cs="仿宋"/>
          <w:sz w:val="32"/>
          <w:szCs w:val="32"/>
        </w:rPr>
        <w:t>%；项目支出</w:t>
      </w:r>
      <w:r>
        <w:rPr>
          <w:rFonts w:hint="eastAsia" w:ascii="仿宋" w:hAnsi="仿宋" w:eastAsia="仿宋" w:cs="仿宋"/>
          <w:sz w:val="32"/>
          <w:szCs w:val="32"/>
          <w:lang w:val="en-US" w:eastAsia="zh-CN"/>
        </w:rPr>
        <w:t>2,919.82</w:t>
      </w:r>
      <w:r>
        <w:rPr>
          <w:rFonts w:hint="eastAsia" w:ascii="仿宋" w:hAnsi="仿宋" w:eastAsia="仿宋" w:cs="仿宋"/>
          <w:sz w:val="32"/>
          <w:szCs w:val="32"/>
        </w:rPr>
        <w:t>万元，占</w:t>
      </w:r>
      <w:r>
        <w:rPr>
          <w:rFonts w:hint="eastAsia" w:ascii="仿宋" w:hAnsi="仿宋" w:eastAsia="仿宋" w:cs="仿宋"/>
          <w:sz w:val="32"/>
          <w:szCs w:val="32"/>
          <w:lang w:val="en-US" w:eastAsia="zh-CN"/>
        </w:rPr>
        <w:t>68.38</w:t>
      </w:r>
      <w:r>
        <w:rPr>
          <w:rFonts w:hint="eastAsia" w:ascii="仿宋" w:hAnsi="仿宋" w:eastAsia="仿宋" w:cs="仿宋"/>
          <w:sz w:val="32"/>
          <w:szCs w:val="32"/>
        </w:rPr>
        <w:t>%；上缴上级支出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%；经营支出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%；对附属单位补助支出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keepNext w:val="0"/>
        <w:keepLines w:val="0"/>
        <w:pageBreakBefore w:val="0"/>
        <w:widowControl/>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rPr>
      </w:pPr>
      <w:r>
        <w:rPr>
          <w:rFonts w:hint="eastAsia" w:ascii="黑体" w:hAnsi="黑体" w:eastAsia="黑体" w:cs="黑体"/>
          <w:b w:val="0"/>
          <w:bCs/>
          <w:sz w:val="32"/>
          <w:szCs w:val="32"/>
        </w:rPr>
        <w:t>四、财政拨款收入支出决算总体情况说明</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2021年度财政拨款收、支总计</w:t>
      </w:r>
      <w:r>
        <w:rPr>
          <w:rFonts w:hint="eastAsia" w:ascii="仿宋" w:hAnsi="仿宋" w:eastAsia="仿宋" w:cs="仿宋"/>
          <w:sz w:val="32"/>
          <w:szCs w:val="32"/>
          <w:lang w:val="en-US" w:eastAsia="zh-CN"/>
        </w:rPr>
        <w:t>各4,196.42</w:t>
      </w:r>
      <w:r>
        <w:rPr>
          <w:rFonts w:hint="eastAsia" w:ascii="仿宋" w:hAnsi="仿宋" w:eastAsia="仿宋" w:cs="仿宋"/>
          <w:sz w:val="32"/>
          <w:szCs w:val="32"/>
        </w:rPr>
        <w:t>万元，与上年相比，增加</w:t>
      </w:r>
      <w:r>
        <w:rPr>
          <w:rFonts w:hint="eastAsia" w:ascii="仿宋" w:hAnsi="仿宋" w:eastAsia="仿宋" w:cs="仿宋"/>
          <w:sz w:val="32"/>
          <w:szCs w:val="32"/>
          <w:lang w:val="en-US" w:eastAsia="zh-CN"/>
        </w:rPr>
        <w:t>1,005.14</w:t>
      </w:r>
      <w:r>
        <w:rPr>
          <w:rFonts w:hint="eastAsia" w:ascii="仿宋" w:hAnsi="仿宋" w:eastAsia="仿宋" w:cs="仿宋"/>
          <w:sz w:val="32"/>
          <w:szCs w:val="32"/>
        </w:rPr>
        <w:t>万元,增长</w:t>
      </w:r>
      <w:r>
        <w:rPr>
          <w:rFonts w:hint="eastAsia" w:ascii="仿宋" w:hAnsi="仿宋" w:eastAsia="仿宋" w:cs="仿宋"/>
          <w:sz w:val="32"/>
          <w:szCs w:val="32"/>
          <w:lang w:val="en-US" w:eastAsia="zh-CN"/>
        </w:rPr>
        <w:t>23.95</w:t>
      </w:r>
      <w:r>
        <w:rPr>
          <w:rFonts w:hint="eastAsia" w:ascii="仿宋" w:hAnsi="仿宋" w:eastAsia="仿宋" w:cs="仿宋"/>
          <w:sz w:val="32"/>
          <w:szCs w:val="32"/>
        </w:rPr>
        <w:t>%，主要是因为</w:t>
      </w:r>
      <w:r>
        <w:rPr>
          <w:rFonts w:hint="eastAsia" w:ascii="仿宋" w:hAnsi="仿宋" w:eastAsia="仿宋" w:cs="仿宋"/>
          <w:sz w:val="32"/>
          <w:szCs w:val="32"/>
          <w:lang w:eastAsia="zh-CN"/>
        </w:rPr>
        <w:t>基本工资、奖金、其他商品和服务支出的</w:t>
      </w:r>
      <w:r>
        <w:rPr>
          <w:rFonts w:hint="eastAsia" w:ascii="仿宋" w:hAnsi="仿宋" w:eastAsia="仿宋" w:cs="仿宋"/>
          <w:sz w:val="32"/>
          <w:szCs w:val="32"/>
          <w:lang w:val="en-US" w:eastAsia="zh-CN"/>
        </w:rPr>
        <w:t>增加。</w:t>
      </w:r>
    </w:p>
    <w:p>
      <w:pPr>
        <w:keepNext w:val="0"/>
        <w:keepLines w:val="0"/>
        <w:pageBreakBefore w:val="0"/>
        <w:widowControl/>
        <w:kinsoku/>
        <w:wordWrap/>
        <w:overflowPunct/>
        <w:topLinePunct w:val="0"/>
        <w:bidi w:val="0"/>
        <w:adjustRightInd/>
        <w:snapToGrid/>
        <w:spacing w:line="600" w:lineRule="exact"/>
        <w:ind w:left="0" w:leftChars="0" w:right="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2"/>
        <w:keepNext w:val="0"/>
        <w:keepLines w:val="0"/>
        <w:pageBreakBefore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（一）财政拨款支出决算总体情况</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rPr>
        <w:t>2021年度财政拨款支出</w:t>
      </w:r>
      <w:r>
        <w:rPr>
          <w:rFonts w:hint="eastAsia" w:ascii="仿宋" w:hAnsi="仿宋" w:eastAsia="仿宋" w:cs="仿宋"/>
          <w:sz w:val="32"/>
          <w:szCs w:val="32"/>
          <w:lang w:val="en-US" w:eastAsia="zh-CN"/>
        </w:rPr>
        <w:t>3,734.33</w:t>
      </w:r>
      <w:r>
        <w:rPr>
          <w:rFonts w:hint="eastAsia" w:ascii="仿宋" w:hAnsi="仿宋" w:eastAsia="仿宋" w:cs="仿宋"/>
          <w:sz w:val="32"/>
          <w:szCs w:val="32"/>
        </w:rPr>
        <w:t>万元，占本年支出合计的</w:t>
      </w:r>
      <w:r>
        <w:rPr>
          <w:rFonts w:hint="eastAsia" w:ascii="仿宋" w:hAnsi="仿宋" w:eastAsia="仿宋" w:cs="仿宋"/>
          <w:sz w:val="32"/>
          <w:szCs w:val="32"/>
          <w:lang w:val="en-US" w:eastAsia="zh-CN"/>
        </w:rPr>
        <w:t>87.46</w:t>
      </w:r>
      <w:r>
        <w:rPr>
          <w:rFonts w:hint="eastAsia" w:ascii="仿宋" w:hAnsi="仿宋" w:eastAsia="仿宋" w:cs="仿宋"/>
          <w:sz w:val="32"/>
          <w:szCs w:val="32"/>
        </w:rPr>
        <w:t>%，与上年相比，财政拨款支出增加</w:t>
      </w:r>
      <w:r>
        <w:rPr>
          <w:rFonts w:hint="eastAsia" w:ascii="仿宋" w:hAnsi="仿宋" w:eastAsia="仿宋" w:cs="仿宋"/>
          <w:sz w:val="32"/>
          <w:szCs w:val="32"/>
          <w:lang w:val="en-US" w:eastAsia="zh-CN"/>
        </w:rPr>
        <w:t>1,220.41</w:t>
      </w:r>
      <w:r>
        <w:rPr>
          <w:rFonts w:hint="eastAsia" w:ascii="仿宋" w:hAnsi="仿宋" w:eastAsia="仿宋" w:cs="仿宋"/>
          <w:sz w:val="32"/>
          <w:szCs w:val="32"/>
        </w:rPr>
        <w:t>万元，增长</w:t>
      </w:r>
      <w:r>
        <w:rPr>
          <w:rFonts w:hint="eastAsia" w:ascii="仿宋" w:hAnsi="仿宋" w:eastAsia="仿宋" w:cs="仿宋"/>
          <w:sz w:val="32"/>
          <w:szCs w:val="32"/>
          <w:lang w:val="en-US" w:eastAsia="zh-CN"/>
        </w:rPr>
        <w:t>32.68</w:t>
      </w:r>
      <w:r>
        <w:rPr>
          <w:rFonts w:hint="eastAsia" w:ascii="仿宋" w:hAnsi="仿宋" w:eastAsia="仿宋" w:cs="仿宋"/>
          <w:sz w:val="32"/>
          <w:szCs w:val="32"/>
        </w:rPr>
        <w:t>%，主要是因为因为</w:t>
      </w:r>
      <w:r>
        <w:rPr>
          <w:rFonts w:hint="eastAsia" w:ascii="仿宋" w:hAnsi="仿宋" w:eastAsia="仿宋" w:cs="仿宋"/>
          <w:sz w:val="32"/>
          <w:szCs w:val="32"/>
          <w:lang w:eastAsia="zh-CN"/>
        </w:rPr>
        <w:t>人员经费、绿地直管养护经费等的增加</w:t>
      </w:r>
      <w:r>
        <w:rPr>
          <w:rFonts w:hint="eastAsia" w:ascii="仿宋" w:hAnsi="仿宋" w:eastAsia="仿宋" w:cs="仿宋"/>
          <w:sz w:val="32"/>
          <w:szCs w:val="32"/>
          <w:lang w:val="en-US" w:eastAsia="zh-CN"/>
        </w:rPr>
        <w:t>。</w:t>
      </w:r>
    </w:p>
    <w:p>
      <w:pPr>
        <w:pStyle w:val="12"/>
        <w:keepNext w:val="0"/>
        <w:keepLines w:val="0"/>
        <w:pageBreakBefore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（二）财政拨款支出决算结构情况</w:t>
      </w:r>
    </w:p>
    <w:p>
      <w:pPr>
        <w:pStyle w:val="12"/>
        <w:keepNext w:val="0"/>
        <w:keepLines w:val="0"/>
        <w:pageBreakBefore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2021年度财政拨款支出</w:t>
      </w:r>
      <w:r>
        <w:rPr>
          <w:rFonts w:hint="eastAsia" w:ascii="仿宋" w:hAnsi="仿宋" w:eastAsia="仿宋" w:cs="仿宋"/>
          <w:sz w:val="32"/>
          <w:szCs w:val="32"/>
          <w:lang w:val="en-US" w:eastAsia="zh-CN"/>
        </w:rPr>
        <w:t>3,734.33</w:t>
      </w:r>
      <w:r>
        <w:rPr>
          <w:rFonts w:hint="eastAsia" w:ascii="仿宋" w:hAnsi="仿宋" w:eastAsia="仿宋" w:cs="仿宋"/>
          <w:sz w:val="32"/>
          <w:szCs w:val="32"/>
        </w:rPr>
        <w:t>万元，主要用于以下方面：一般公共服务（类）支出13.43万元，占</w:t>
      </w:r>
      <w:r>
        <w:rPr>
          <w:rFonts w:hint="eastAsia" w:ascii="仿宋" w:hAnsi="仿宋" w:eastAsia="仿宋" w:cs="仿宋"/>
          <w:sz w:val="32"/>
          <w:szCs w:val="32"/>
          <w:lang w:val="en-US" w:eastAsia="zh-CN"/>
        </w:rPr>
        <w:t>0.36</w:t>
      </w:r>
      <w:r>
        <w:rPr>
          <w:rFonts w:hint="eastAsia" w:ascii="仿宋" w:hAnsi="仿宋" w:eastAsia="仿宋" w:cs="仿宋"/>
          <w:sz w:val="32"/>
          <w:szCs w:val="32"/>
        </w:rPr>
        <w:t>%；社会保障和就业支出支出199.73万元，占</w:t>
      </w:r>
      <w:r>
        <w:rPr>
          <w:rFonts w:hint="eastAsia" w:ascii="仿宋" w:hAnsi="仿宋" w:eastAsia="仿宋" w:cs="仿宋"/>
          <w:sz w:val="32"/>
          <w:szCs w:val="32"/>
          <w:lang w:val="en-US" w:eastAsia="zh-CN"/>
        </w:rPr>
        <w:t>5.35</w:t>
      </w:r>
      <w:r>
        <w:rPr>
          <w:rFonts w:hint="eastAsia" w:ascii="仿宋" w:hAnsi="仿宋" w:eastAsia="仿宋" w:cs="仿宋"/>
          <w:sz w:val="32"/>
          <w:szCs w:val="32"/>
        </w:rPr>
        <w:t>%;卫生健康支出50.16</w:t>
      </w:r>
      <w:r>
        <w:rPr>
          <w:rFonts w:hint="eastAsia" w:ascii="仿宋" w:hAnsi="仿宋" w:eastAsia="仿宋" w:cs="仿宋"/>
          <w:sz w:val="32"/>
          <w:szCs w:val="32"/>
          <w:lang w:val="en-US" w:eastAsia="zh-CN"/>
        </w:rPr>
        <w:t>万元，占1.34%；城乡社区支出3,471.02万元，占92.95%。</w:t>
      </w:r>
    </w:p>
    <w:p>
      <w:pPr>
        <w:pStyle w:val="12"/>
        <w:keepNext w:val="0"/>
        <w:keepLines w:val="0"/>
        <w:pageBreakBefore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（三）财政拨款支出决算具体情况</w:t>
      </w:r>
    </w:p>
    <w:p>
      <w:pPr>
        <w:pStyle w:val="12"/>
        <w:keepNext w:val="0"/>
        <w:keepLines w:val="0"/>
        <w:pageBreakBefore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2021年度财政拨款支出年初预算数为2</w:t>
      </w:r>
      <w:r>
        <w:rPr>
          <w:rFonts w:hint="eastAsia" w:ascii="仿宋" w:hAnsi="仿宋" w:eastAsia="仿宋" w:cs="仿宋"/>
          <w:sz w:val="32"/>
          <w:szCs w:val="32"/>
          <w:lang w:val="en-US" w:eastAsia="zh-CN"/>
        </w:rPr>
        <w:t>,</w:t>
      </w:r>
      <w:r>
        <w:rPr>
          <w:rFonts w:hint="eastAsia" w:ascii="仿宋" w:hAnsi="仿宋" w:eastAsia="仿宋" w:cs="仿宋"/>
          <w:sz w:val="32"/>
          <w:szCs w:val="32"/>
        </w:rPr>
        <w:t>153.83万元，支出决算数为4</w:t>
      </w:r>
      <w:r>
        <w:rPr>
          <w:rFonts w:hint="eastAsia" w:ascii="仿宋" w:hAnsi="仿宋" w:eastAsia="仿宋" w:cs="仿宋"/>
          <w:sz w:val="32"/>
          <w:szCs w:val="32"/>
          <w:lang w:val="en-US" w:eastAsia="zh-CN"/>
        </w:rPr>
        <w:t>,</w:t>
      </w:r>
      <w:r>
        <w:rPr>
          <w:rFonts w:hint="eastAsia" w:ascii="仿宋" w:hAnsi="仿宋" w:eastAsia="仿宋" w:cs="仿宋"/>
          <w:sz w:val="32"/>
          <w:szCs w:val="32"/>
        </w:rPr>
        <w:t>269.78万元，完成年初预算的</w:t>
      </w:r>
      <w:r>
        <w:rPr>
          <w:rFonts w:hint="eastAsia" w:ascii="仿宋" w:hAnsi="仿宋" w:eastAsia="仿宋" w:cs="仿宋"/>
          <w:sz w:val="32"/>
          <w:szCs w:val="32"/>
          <w:lang w:val="en-US" w:eastAsia="zh-CN"/>
        </w:rPr>
        <w:t>198.24</w:t>
      </w:r>
      <w:r>
        <w:rPr>
          <w:rFonts w:hint="eastAsia" w:ascii="仿宋" w:hAnsi="仿宋" w:eastAsia="仿宋" w:cs="仿宋"/>
          <w:sz w:val="32"/>
          <w:szCs w:val="32"/>
        </w:rPr>
        <w:t>%，其中：</w:t>
      </w:r>
      <w:r>
        <w:rPr>
          <w:rFonts w:hint="eastAsia" w:ascii="仿宋" w:hAnsi="仿宋" w:eastAsia="仿宋" w:cs="仿宋"/>
          <w:sz w:val="32"/>
          <w:szCs w:val="32"/>
          <w:lang w:val="en-US" w:eastAsia="zh-CN"/>
        </w:rPr>
        <w:t>使用非财政拨款结余73.27万元，年初结转和结余1,345.55万元。</w:t>
      </w:r>
    </w:p>
    <w:p>
      <w:pPr>
        <w:pStyle w:val="12"/>
        <w:keepNext w:val="0"/>
        <w:keepLines w:val="0"/>
        <w:pageBreakBefore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1、一般公共服务支出（类）组织事务（款）其他组织事务支出（项）。</w:t>
      </w:r>
    </w:p>
    <w:p>
      <w:pPr>
        <w:pStyle w:val="12"/>
        <w:keepNext w:val="0"/>
        <w:keepLines w:val="0"/>
        <w:pageBreakBefore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lang w:val="en-US" w:eastAsia="zh-CN"/>
          <w14:textFill>
            <w14:gradFill>
              <w14:gsLst>
                <w14:gs w14:pos="0">
                  <w14:srgbClr w14:val="E30000"/>
                </w14:gs>
                <w14:gs w14:pos="100000">
                  <w14:srgbClr w14:val="760303"/>
                </w14:gs>
              </w14:gsLst>
              <w14:lin w14:scaled="0"/>
            </w14:gradFill>
          </w14:textFill>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6.8</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无法计算完成比例。决算数大于年初预算数的主要原因是：</w:t>
      </w:r>
      <w:r>
        <w:rPr>
          <w:rFonts w:hint="eastAsia" w:ascii="仿宋" w:hAnsi="仿宋" w:eastAsia="仿宋" w:cs="仿宋"/>
          <w:sz w:val="32"/>
          <w:szCs w:val="32"/>
          <w:lang w:val="en-US" w:eastAsia="zh-CN"/>
        </w:rPr>
        <w:t>2021年人才引生活补贴，年初预算未纳入。</w:t>
      </w:r>
    </w:p>
    <w:p>
      <w:pPr>
        <w:pStyle w:val="12"/>
        <w:keepNext w:val="0"/>
        <w:keepLines w:val="0"/>
        <w:pageBreakBefore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一般公共服务支出（类）其他一般公共服务支出（款）其他一般公共服务支出（项）。</w:t>
      </w:r>
    </w:p>
    <w:p>
      <w:pPr>
        <w:pStyle w:val="12"/>
        <w:keepNext w:val="0"/>
        <w:keepLines w:val="0"/>
        <w:pageBreakBefore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lang w:val="en-US" w:eastAsia="zh-CN"/>
          <w14:textFill>
            <w14:gradFill>
              <w14:gsLst>
                <w14:gs w14:pos="0">
                  <w14:srgbClr w14:val="E30000"/>
                </w14:gs>
                <w14:gs w14:pos="100000">
                  <w14:srgbClr w14:val="760303"/>
                </w14:gs>
              </w14:gsLst>
              <w14:lin w14:scaled="0"/>
            </w14:gradFill>
          </w14:textFill>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6.63</w:t>
      </w:r>
      <w:r>
        <w:rPr>
          <w:rFonts w:hint="eastAsia" w:ascii="仿宋" w:hAnsi="仿宋" w:eastAsia="仿宋" w:cs="仿宋"/>
          <w:sz w:val="32"/>
          <w:szCs w:val="32"/>
        </w:rPr>
        <w:t>万元，无法计算完成比例。决算数大于年初预算数的主要原因是：</w:t>
      </w:r>
      <w:r>
        <w:rPr>
          <w:rFonts w:hint="eastAsia" w:ascii="仿宋" w:hAnsi="仿宋" w:eastAsia="仿宋" w:cs="仿宋"/>
          <w:sz w:val="32"/>
          <w:szCs w:val="32"/>
          <w:lang w:val="en-US" w:eastAsia="zh-CN"/>
        </w:rPr>
        <w:t>该笔资金为上年度基本支出结转，年初预算未纳入。</w:t>
      </w:r>
    </w:p>
    <w:p>
      <w:pPr>
        <w:pStyle w:val="12"/>
        <w:keepNext w:val="0"/>
        <w:keepLines w:val="0"/>
        <w:pageBreakBefore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、社会保障和就业支出（类）行政事业单位养老支出</w:t>
      </w:r>
      <w:r>
        <w:rPr>
          <w:rFonts w:hint="eastAsia" w:ascii="仿宋" w:hAnsi="仿宋" w:eastAsia="仿宋" w:cs="仿宋"/>
          <w:sz w:val="32"/>
          <w:szCs w:val="32"/>
          <w:lang w:eastAsia="zh-CN"/>
        </w:rPr>
        <w:t>（</w:t>
      </w:r>
      <w:r>
        <w:rPr>
          <w:rFonts w:hint="eastAsia" w:ascii="仿宋" w:hAnsi="仿宋" w:eastAsia="仿宋" w:cs="仿宋"/>
          <w:sz w:val="32"/>
          <w:szCs w:val="32"/>
        </w:rPr>
        <w:t>款）事业单位离退休（项）。</w:t>
      </w:r>
    </w:p>
    <w:p>
      <w:pPr>
        <w:pStyle w:val="12"/>
        <w:keepNext w:val="0"/>
        <w:keepLines w:val="0"/>
        <w:pageBreakBefore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5.26</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5.26</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100</w:t>
      </w:r>
      <w:r>
        <w:rPr>
          <w:rFonts w:hint="eastAsia" w:ascii="仿宋" w:hAnsi="仿宋" w:eastAsia="仿宋" w:cs="仿宋"/>
          <w:sz w:val="32"/>
          <w:szCs w:val="32"/>
        </w:rPr>
        <w:t>%，决算数</w:t>
      </w:r>
      <w:r>
        <w:rPr>
          <w:rFonts w:hint="eastAsia" w:ascii="仿宋" w:hAnsi="仿宋" w:eastAsia="仿宋" w:cs="仿宋"/>
          <w:sz w:val="32"/>
          <w:szCs w:val="32"/>
          <w:lang w:val="en-US" w:eastAsia="zh-CN"/>
        </w:rPr>
        <w:t>等于</w:t>
      </w:r>
      <w:r>
        <w:rPr>
          <w:rFonts w:hint="eastAsia" w:ascii="仿宋" w:hAnsi="仿宋" w:eastAsia="仿宋" w:cs="仿宋"/>
          <w:sz w:val="32"/>
          <w:szCs w:val="32"/>
        </w:rPr>
        <w:t>年初预算数的主要原因是：</w:t>
      </w:r>
      <w:r>
        <w:rPr>
          <w:rFonts w:hint="eastAsia" w:ascii="仿宋" w:hAnsi="仿宋" w:eastAsia="仿宋" w:cs="仿宋"/>
          <w:sz w:val="32"/>
          <w:szCs w:val="32"/>
          <w:lang w:val="en-US" w:eastAsia="zh-CN"/>
        </w:rPr>
        <w:t>按年初预算执行。</w:t>
      </w:r>
    </w:p>
    <w:p>
      <w:pPr>
        <w:pStyle w:val="12"/>
        <w:keepNext w:val="0"/>
        <w:keepLines w:val="0"/>
        <w:pageBreakBefore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社会保障和就业支出（类）行政事业单位养老支出</w:t>
      </w:r>
      <w:r>
        <w:rPr>
          <w:rFonts w:hint="eastAsia" w:ascii="仿宋" w:hAnsi="仿宋" w:eastAsia="仿宋" w:cs="仿宋"/>
          <w:sz w:val="32"/>
          <w:szCs w:val="32"/>
          <w:lang w:eastAsia="zh-CN"/>
        </w:rPr>
        <w:t>（</w:t>
      </w:r>
      <w:r>
        <w:rPr>
          <w:rFonts w:hint="eastAsia" w:ascii="仿宋" w:hAnsi="仿宋" w:eastAsia="仿宋" w:cs="仿宋"/>
          <w:sz w:val="32"/>
          <w:szCs w:val="32"/>
        </w:rPr>
        <w:t>款）机关事业单位基本养老保险缴费支出（项）。</w:t>
      </w:r>
    </w:p>
    <w:p>
      <w:pPr>
        <w:pStyle w:val="12"/>
        <w:keepNext w:val="0"/>
        <w:keepLines w:val="0"/>
        <w:pageBreakBefore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100.32</w:t>
      </w:r>
      <w:r>
        <w:rPr>
          <w:rFonts w:hint="eastAsia" w:ascii="仿宋" w:hAnsi="仿宋" w:eastAsia="仿宋" w:cs="仿宋"/>
          <w:sz w:val="32"/>
          <w:szCs w:val="32"/>
        </w:rPr>
        <w:t>万元，无法计算完成比例。决算数大于年初预算数的主要原因是：</w:t>
      </w:r>
      <w:r>
        <w:rPr>
          <w:rFonts w:hint="eastAsia" w:ascii="仿宋" w:hAnsi="仿宋" w:eastAsia="仿宋" w:cs="仿宋"/>
          <w:sz w:val="32"/>
          <w:szCs w:val="32"/>
          <w:lang w:val="en-US" w:eastAsia="zh-CN"/>
        </w:rPr>
        <w:t>本年度发生的机关事业单位基本养老保险缴费，而年初预算未纳入。</w:t>
      </w:r>
    </w:p>
    <w:p>
      <w:pPr>
        <w:pStyle w:val="12"/>
        <w:keepNext w:val="0"/>
        <w:keepLines w:val="0"/>
        <w:pageBreakBefore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社会保障和就业支出（类）行政事业单位养老支出</w:t>
      </w:r>
      <w:r>
        <w:rPr>
          <w:rFonts w:hint="eastAsia" w:ascii="仿宋" w:hAnsi="仿宋" w:eastAsia="仿宋" w:cs="仿宋"/>
          <w:sz w:val="32"/>
          <w:szCs w:val="32"/>
          <w:lang w:eastAsia="zh-CN"/>
        </w:rPr>
        <w:t>（</w:t>
      </w:r>
      <w:r>
        <w:rPr>
          <w:rFonts w:hint="eastAsia" w:ascii="仿宋" w:hAnsi="仿宋" w:eastAsia="仿宋" w:cs="仿宋"/>
          <w:sz w:val="32"/>
          <w:szCs w:val="32"/>
        </w:rPr>
        <w:t>款）其他行政事业单位养老支出（项）。</w:t>
      </w:r>
    </w:p>
    <w:p>
      <w:pPr>
        <w:pStyle w:val="12"/>
        <w:keepNext w:val="0"/>
        <w:keepLines w:val="0"/>
        <w:pageBreakBefore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94.15</w:t>
      </w:r>
      <w:r>
        <w:rPr>
          <w:rFonts w:hint="eastAsia" w:ascii="仿宋" w:hAnsi="仿宋" w:eastAsia="仿宋" w:cs="仿宋"/>
          <w:sz w:val="32"/>
          <w:szCs w:val="32"/>
        </w:rPr>
        <w:t>万元，无法计算完成比例。决算数大于年初预算数的主要原因是：</w:t>
      </w:r>
      <w:r>
        <w:rPr>
          <w:rFonts w:hint="eastAsia" w:ascii="仿宋" w:hAnsi="仿宋" w:eastAsia="仿宋" w:cs="仿宋"/>
          <w:sz w:val="32"/>
          <w:szCs w:val="32"/>
          <w:lang w:val="en-US" w:eastAsia="zh-CN"/>
        </w:rPr>
        <w:t>本年度发生的机关事业单位基本养老保险缴费，而年初预算未纳入。</w:t>
      </w:r>
    </w:p>
    <w:p>
      <w:pPr>
        <w:pStyle w:val="12"/>
        <w:keepNext w:val="0"/>
        <w:keepLines w:val="0"/>
        <w:pageBreakBefore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卫生健康支出（类）行政事业单位医疗（款）行政单位医疗（项）。</w:t>
      </w:r>
    </w:p>
    <w:p>
      <w:pPr>
        <w:pStyle w:val="12"/>
        <w:keepNext w:val="0"/>
        <w:keepLines w:val="0"/>
        <w:pageBreakBefore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14:textFill>
            <w14:gradFill>
              <w14:gsLst>
                <w14:gs w14:pos="0">
                  <w14:srgbClr w14:val="E30000"/>
                </w14:gs>
                <w14:gs w14:pos="100000">
                  <w14:srgbClr w14:val="760303"/>
                </w14:gs>
              </w14:gsLst>
              <w14:lin w14:scaled="0"/>
            </w14:gradFill>
          </w14:textFill>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万元，支出决算为47.31万元，无法计算完成比例。决算数大于年初预算数的主要原因是：</w:t>
      </w:r>
      <w:r>
        <w:rPr>
          <w:rFonts w:hint="eastAsia" w:ascii="仿宋" w:hAnsi="仿宋" w:eastAsia="仿宋" w:cs="仿宋"/>
          <w:sz w:val="32"/>
          <w:szCs w:val="32"/>
          <w:lang w:val="en-US" w:eastAsia="zh-CN"/>
        </w:rPr>
        <w:t>本年度发生的职工基本医疗保险缴费，而年初预算未纳入。</w:t>
      </w:r>
    </w:p>
    <w:p>
      <w:pPr>
        <w:pStyle w:val="12"/>
        <w:keepNext w:val="0"/>
        <w:keepLines w:val="0"/>
        <w:pageBreakBefore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卫生健康支出（类）行政事业单位医疗（款）其他行政事业单位医疗支出（项）。</w:t>
      </w:r>
    </w:p>
    <w:p>
      <w:pPr>
        <w:pStyle w:val="12"/>
        <w:keepNext w:val="0"/>
        <w:keepLines w:val="0"/>
        <w:pageBreakBefore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14:textFill>
            <w14:gradFill>
              <w14:gsLst>
                <w14:gs w14:pos="0">
                  <w14:srgbClr w14:val="E30000"/>
                </w14:gs>
                <w14:gs w14:pos="100000">
                  <w14:srgbClr w14:val="760303"/>
                </w14:gs>
              </w14:gsLst>
              <w14:lin w14:scaled="0"/>
            </w14:gradFill>
          </w14:textFill>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万元，支出决算为2.85万元，无法计算完成比例。决算数大于年初预算数的主要原因是：</w:t>
      </w:r>
      <w:r>
        <w:rPr>
          <w:rFonts w:hint="eastAsia" w:ascii="仿宋" w:hAnsi="仿宋" w:eastAsia="仿宋" w:cs="仿宋"/>
          <w:sz w:val="32"/>
          <w:szCs w:val="32"/>
          <w:lang w:val="en-US" w:eastAsia="zh-CN"/>
        </w:rPr>
        <w:t>本年度发生的职工基本医疗保险缴费，而年初预算未纳入。</w:t>
      </w:r>
    </w:p>
    <w:p>
      <w:pPr>
        <w:pStyle w:val="12"/>
        <w:keepNext w:val="0"/>
        <w:keepLines w:val="0"/>
        <w:pageBreakBefore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城乡社区支出（类）城乡社区管理事务（款）行政运行（项）。</w:t>
      </w:r>
    </w:p>
    <w:p>
      <w:pPr>
        <w:pStyle w:val="12"/>
        <w:keepNext w:val="0"/>
        <w:keepLines w:val="0"/>
        <w:pageBreakBefore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14:textFill>
            <w14:gradFill>
              <w14:gsLst>
                <w14:gs w14:pos="0">
                  <w14:srgbClr w14:val="E30000"/>
                </w14:gs>
                <w14:gs w14:pos="100000">
                  <w14:srgbClr w14:val="760303"/>
                </w14:gs>
              </w14:gsLst>
              <w14:lin w14:scaled="0"/>
            </w14:gradFill>
          </w14:textFill>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743.57</w:t>
      </w:r>
      <w:r>
        <w:rPr>
          <w:rFonts w:hint="eastAsia" w:ascii="仿宋" w:hAnsi="仿宋" w:eastAsia="仿宋" w:cs="仿宋"/>
          <w:sz w:val="32"/>
          <w:szCs w:val="32"/>
        </w:rPr>
        <w:t>万元，支出决算为1011.99万元，完成年初预算的</w:t>
      </w:r>
      <w:r>
        <w:rPr>
          <w:rFonts w:hint="eastAsia" w:ascii="仿宋" w:hAnsi="仿宋" w:eastAsia="仿宋" w:cs="仿宋"/>
          <w:sz w:val="32"/>
          <w:szCs w:val="32"/>
          <w:lang w:val="en-US" w:eastAsia="zh-CN"/>
        </w:rPr>
        <w:t>136.10</w:t>
      </w:r>
      <w:r>
        <w:rPr>
          <w:rFonts w:hint="eastAsia" w:ascii="仿宋" w:hAnsi="仿宋" w:eastAsia="仿宋" w:cs="仿宋"/>
          <w:sz w:val="32"/>
          <w:szCs w:val="32"/>
        </w:rPr>
        <w:t>%，决算数大于年初预算数的主要原因是：</w:t>
      </w:r>
      <w:r>
        <w:rPr>
          <w:rFonts w:hint="eastAsia" w:ascii="仿宋" w:hAnsi="仿宋" w:eastAsia="仿宋" w:cs="仿宋"/>
          <w:sz w:val="32"/>
          <w:szCs w:val="32"/>
          <w:lang w:val="en-US" w:eastAsia="zh-CN"/>
        </w:rPr>
        <w:t>本年度发生了奖金，而年初预算未纳入。</w:t>
      </w:r>
    </w:p>
    <w:p>
      <w:pPr>
        <w:pStyle w:val="12"/>
        <w:keepNext w:val="0"/>
        <w:keepLines w:val="0"/>
        <w:pageBreakBefore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城乡社区支出（类）城乡社区管理事务（款）其他城乡社区管理事务支出（项）。</w:t>
      </w:r>
    </w:p>
    <w:p>
      <w:pPr>
        <w:pStyle w:val="12"/>
        <w:keepNext w:val="0"/>
        <w:keepLines w:val="0"/>
        <w:pageBreakBefore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23</w:t>
      </w:r>
      <w:r>
        <w:rPr>
          <w:rFonts w:hint="eastAsia" w:ascii="仿宋" w:hAnsi="仿宋" w:eastAsia="仿宋" w:cs="仿宋"/>
          <w:sz w:val="32"/>
          <w:szCs w:val="32"/>
        </w:rPr>
        <w:t>万元，支出决算为23万元，完成年初预算的</w:t>
      </w:r>
      <w:r>
        <w:rPr>
          <w:rFonts w:hint="eastAsia" w:ascii="仿宋" w:hAnsi="仿宋" w:eastAsia="仿宋" w:cs="仿宋"/>
          <w:sz w:val="32"/>
          <w:szCs w:val="32"/>
          <w:lang w:val="en-US" w:eastAsia="zh-CN"/>
        </w:rPr>
        <w:t>100</w:t>
      </w:r>
      <w:r>
        <w:rPr>
          <w:rFonts w:hint="eastAsia" w:ascii="仿宋" w:hAnsi="仿宋" w:eastAsia="仿宋" w:cs="仿宋"/>
          <w:sz w:val="32"/>
          <w:szCs w:val="32"/>
        </w:rPr>
        <w:t>%，决算数</w:t>
      </w:r>
      <w:r>
        <w:rPr>
          <w:rFonts w:hint="eastAsia" w:ascii="仿宋" w:hAnsi="仿宋" w:eastAsia="仿宋" w:cs="仿宋"/>
          <w:sz w:val="32"/>
          <w:szCs w:val="32"/>
          <w:lang w:val="en-US" w:eastAsia="zh-CN"/>
        </w:rPr>
        <w:t>等于</w:t>
      </w:r>
      <w:r>
        <w:rPr>
          <w:rFonts w:hint="eastAsia" w:ascii="仿宋" w:hAnsi="仿宋" w:eastAsia="仿宋" w:cs="仿宋"/>
          <w:sz w:val="32"/>
          <w:szCs w:val="32"/>
        </w:rPr>
        <w:t>年初预算数的主要原因是：</w:t>
      </w:r>
      <w:r>
        <w:rPr>
          <w:rFonts w:hint="eastAsia" w:ascii="仿宋" w:hAnsi="仿宋" w:eastAsia="仿宋" w:cs="仿宋"/>
          <w:sz w:val="32"/>
          <w:szCs w:val="32"/>
          <w:lang w:val="en-US" w:eastAsia="zh-CN"/>
        </w:rPr>
        <w:t>按预算执行。</w:t>
      </w:r>
    </w:p>
    <w:p>
      <w:pPr>
        <w:pStyle w:val="12"/>
        <w:keepNext w:val="0"/>
        <w:keepLines w:val="0"/>
        <w:pageBreakBefore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城乡社区支出（类）城乡社区公共设施（款）其他城乡社区公共设施支出（项）。</w:t>
      </w:r>
    </w:p>
    <w:p>
      <w:pPr>
        <w:pStyle w:val="12"/>
        <w:keepNext w:val="0"/>
        <w:keepLines w:val="0"/>
        <w:pageBreakBefore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万元，支出决算为46.9</w:t>
      </w:r>
      <w:r>
        <w:rPr>
          <w:rFonts w:hint="eastAsia" w:ascii="仿宋" w:hAnsi="仿宋" w:eastAsia="仿宋" w:cs="仿宋"/>
          <w:sz w:val="32"/>
          <w:szCs w:val="32"/>
          <w:lang w:val="en-US" w:eastAsia="zh-CN"/>
        </w:rPr>
        <w:t>8</w:t>
      </w:r>
      <w:r>
        <w:rPr>
          <w:rFonts w:hint="eastAsia" w:ascii="仿宋" w:hAnsi="仿宋" w:eastAsia="仿宋" w:cs="仿宋"/>
          <w:sz w:val="32"/>
          <w:szCs w:val="32"/>
        </w:rPr>
        <w:t>万元，无法计算完成比例。决算数大于年初预算数的主要原因是：</w:t>
      </w:r>
      <w:r>
        <w:rPr>
          <w:rFonts w:hint="eastAsia" w:ascii="仿宋" w:hAnsi="仿宋" w:eastAsia="仿宋" w:cs="仿宋"/>
          <w:sz w:val="32"/>
          <w:szCs w:val="32"/>
          <w:lang w:val="en-US" w:eastAsia="zh-CN"/>
        </w:rPr>
        <w:t>新增城区移交绿地养护内容，而年初预算未纳入。</w:t>
      </w:r>
    </w:p>
    <w:p>
      <w:pPr>
        <w:pStyle w:val="12"/>
        <w:keepNext w:val="0"/>
        <w:keepLines w:val="0"/>
        <w:pageBreakBefore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城乡社区支出（类）城乡社区环境卫生（款）城乡社区环境卫生（项）。</w:t>
      </w:r>
    </w:p>
    <w:p>
      <w:pPr>
        <w:pStyle w:val="12"/>
        <w:keepNext w:val="0"/>
        <w:keepLines w:val="0"/>
        <w:pageBreakBefore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1,382</w:t>
      </w:r>
      <w:r>
        <w:rPr>
          <w:rFonts w:hint="eastAsia" w:ascii="仿宋" w:hAnsi="仿宋" w:eastAsia="仿宋" w:cs="仿宋"/>
          <w:sz w:val="32"/>
          <w:szCs w:val="32"/>
        </w:rPr>
        <w:t>万元，支出决算为2</w:t>
      </w:r>
      <w:r>
        <w:rPr>
          <w:rFonts w:hint="eastAsia" w:ascii="仿宋" w:hAnsi="仿宋" w:eastAsia="仿宋" w:cs="仿宋"/>
          <w:sz w:val="32"/>
          <w:szCs w:val="32"/>
          <w:lang w:val="en-US" w:eastAsia="zh-CN"/>
        </w:rPr>
        <w:t>,</w:t>
      </w:r>
      <w:r>
        <w:rPr>
          <w:rFonts w:hint="eastAsia" w:ascii="仿宋" w:hAnsi="仿宋" w:eastAsia="仿宋" w:cs="仿宋"/>
          <w:sz w:val="32"/>
          <w:szCs w:val="32"/>
        </w:rPr>
        <w:t>389.05万元，完成年初预算的</w:t>
      </w:r>
      <w:r>
        <w:rPr>
          <w:rFonts w:hint="eastAsia" w:ascii="仿宋" w:hAnsi="仿宋" w:eastAsia="仿宋" w:cs="仿宋"/>
          <w:sz w:val="32"/>
          <w:szCs w:val="32"/>
          <w:lang w:val="en-US" w:eastAsia="zh-CN"/>
        </w:rPr>
        <w:t>172.87</w:t>
      </w:r>
      <w:r>
        <w:rPr>
          <w:rFonts w:hint="eastAsia" w:ascii="仿宋" w:hAnsi="仿宋" w:eastAsia="仿宋" w:cs="仿宋"/>
          <w:sz w:val="32"/>
          <w:szCs w:val="32"/>
        </w:rPr>
        <w:t>%，决算数大于年初预算数的主要原因是：</w:t>
      </w:r>
      <w:r>
        <w:rPr>
          <w:rFonts w:hint="eastAsia" w:ascii="仿宋" w:hAnsi="仿宋" w:eastAsia="仿宋" w:cs="仿宋"/>
          <w:sz w:val="32"/>
          <w:szCs w:val="32"/>
          <w:lang w:val="en-US" w:eastAsia="zh-CN"/>
        </w:rPr>
        <w:t>新增城区移交绿地养护内容，而年初预算未纳入。</w:t>
      </w:r>
    </w:p>
    <w:p>
      <w:pPr>
        <w:keepNext w:val="0"/>
        <w:keepLines w:val="0"/>
        <w:pageBreakBefore w:val="0"/>
        <w:widowControl/>
        <w:kinsoku/>
        <w:wordWrap/>
        <w:overflowPunct/>
        <w:topLinePunct w:val="0"/>
        <w:bidi w:val="0"/>
        <w:adjustRightInd/>
        <w:snapToGrid/>
        <w:spacing w:line="600" w:lineRule="exact"/>
        <w:ind w:left="0" w:leftChars="0" w:right="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仿宋" w:hAnsi="仿宋" w:eastAsia="仿宋" w:cs="仿宋"/>
          <w:i/>
          <w:color w:val="FF0000"/>
          <w:sz w:val="32"/>
          <w:szCs w:val="32"/>
        </w:rPr>
      </w:pPr>
      <w:r>
        <w:rPr>
          <w:rFonts w:hint="eastAsia" w:ascii="仿宋" w:hAnsi="仿宋" w:eastAsia="仿宋" w:cs="仿宋"/>
          <w:sz w:val="32"/>
          <w:szCs w:val="32"/>
        </w:rPr>
        <w:t>2021年度财政拨款基本支出</w:t>
      </w:r>
      <w:r>
        <w:rPr>
          <w:rFonts w:hint="eastAsia" w:ascii="仿宋" w:hAnsi="仿宋" w:eastAsia="仿宋" w:cs="仿宋"/>
          <w:sz w:val="32"/>
          <w:szCs w:val="32"/>
          <w:lang w:val="en-US" w:eastAsia="zh-CN"/>
        </w:rPr>
        <w:t>1,304.5</w:t>
      </w:r>
      <w:r>
        <w:rPr>
          <w:rFonts w:hint="eastAsia" w:ascii="仿宋" w:hAnsi="仿宋" w:eastAsia="仿宋" w:cs="仿宋"/>
          <w:sz w:val="32"/>
          <w:szCs w:val="32"/>
        </w:rPr>
        <w:t>万元，其中：人员经费</w:t>
      </w:r>
      <w:r>
        <w:rPr>
          <w:rFonts w:hint="eastAsia" w:ascii="仿宋" w:hAnsi="仿宋" w:eastAsia="仿宋" w:cs="仿宋"/>
          <w:sz w:val="32"/>
          <w:szCs w:val="32"/>
          <w:lang w:val="en-US" w:eastAsia="zh-CN"/>
        </w:rPr>
        <w:t>1,194.13</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91.54</w:t>
      </w:r>
      <w:r>
        <w:rPr>
          <w:rFonts w:hint="eastAsia" w:ascii="仿宋" w:hAnsi="仿宋" w:eastAsia="仿宋" w:cs="仿宋"/>
          <w:sz w:val="32"/>
          <w:szCs w:val="32"/>
        </w:rPr>
        <w:t>%,主要包括基本工资、津贴补贴、奖金、伙食补助费</w:t>
      </w:r>
      <w:r>
        <w:rPr>
          <w:rFonts w:hint="eastAsia" w:ascii="仿宋" w:hAnsi="仿宋" w:eastAsia="仿宋" w:cs="仿宋"/>
          <w:sz w:val="32"/>
          <w:szCs w:val="32"/>
          <w:lang w:eastAsia="zh-CN"/>
        </w:rPr>
        <w:t>、</w:t>
      </w:r>
      <w:r>
        <w:rPr>
          <w:rFonts w:hint="eastAsia" w:ascii="仿宋" w:hAnsi="仿宋" w:eastAsia="仿宋" w:cs="仿宋"/>
          <w:sz w:val="32"/>
          <w:szCs w:val="32"/>
        </w:rPr>
        <w:t>机关事业单位基本养老保险费、职业年金缴费、职工基本医疗保险缴费、其他社会保障缴费、住房公积金、医疗费补助、其他工资福利支出、离休费、退休费、抚恤金、生活补助、奖励金、其他对个人和家庭的补助；公用经费</w:t>
      </w:r>
      <w:r>
        <w:rPr>
          <w:rFonts w:hint="eastAsia" w:ascii="仿宋" w:hAnsi="仿宋" w:eastAsia="仿宋" w:cs="仿宋"/>
          <w:sz w:val="32"/>
          <w:szCs w:val="32"/>
          <w:lang w:val="en-US" w:eastAsia="zh-CN"/>
        </w:rPr>
        <w:t>110.37</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8.46</w:t>
      </w:r>
      <w:r>
        <w:rPr>
          <w:rFonts w:hint="eastAsia" w:ascii="仿宋" w:hAnsi="仿宋" w:eastAsia="仿宋" w:cs="仿宋"/>
          <w:sz w:val="32"/>
          <w:szCs w:val="32"/>
        </w:rPr>
        <w:t>%，主要包括办公费、印刷费、咨询费、水费、电费、邮电费、差旅费、因公出国出境费、维修（护）费、租赁费、会议费、公务接待费、专用材料费、劳务费、工会经费、福利费、公务用车维护费、其他交通费用、其他商品和服务支出及资本性支出。</w:t>
      </w:r>
    </w:p>
    <w:p>
      <w:pPr>
        <w:keepNext w:val="0"/>
        <w:keepLines w:val="0"/>
        <w:pageBreakBefore w:val="0"/>
        <w:widowControl/>
        <w:kinsoku/>
        <w:wordWrap/>
        <w:overflowPunct/>
        <w:topLinePunct w:val="0"/>
        <w:bidi w:val="0"/>
        <w:adjustRightInd/>
        <w:snapToGrid/>
        <w:spacing w:line="600" w:lineRule="exact"/>
        <w:ind w:left="0" w:leftChars="0" w:right="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七、一般公共预算财政拨款“三公”经费支出决算情况说明</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（一）“三公”经费财政拨款支出决算总体情况说明</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2021年度“三公”经费财政拨款支出预算为</w:t>
      </w:r>
      <w:r>
        <w:rPr>
          <w:rFonts w:hint="eastAsia" w:ascii="仿宋" w:hAnsi="仿宋" w:eastAsia="仿宋" w:cs="仿宋"/>
          <w:sz w:val="32"/>
          <w:szCs w:val="32"/>
          <w:lang w:val="en-US" w:eastAsia="zh-CN"/>
        </w:rPr>
        <w:t>34.65</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34.65</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%，其中：</w:t>
      </w:r>
    </w:p>
    <w:p>
      <w:pPr>
        <w:pStyle w:val="12"/>
        <w:ind w:firstLine="800" w:firstLineChars="250"/>
        <w:rPr>
          <w:rFonts w:hint="eastAsia" w:ascii="仿宋" w:hAnsi="仿宋" w:eastAsia="仿宋" w:cs="仿宋"/>
          <w:sz w:val="32"/>
          <w:szCs w:val="32"/>
        </w:rPr>
      </w:pPr>
      <w:r>
        <w:rPr>
          <w:rFonts w:hint="eastAsia" w:ascii="仿宋" w:hAnsi="仿宋" w:eastAsia="仿宋" w:cs="仿宋"/>
          <w:sz w:val="32"/>
          <w:szCs w:val="32"/>
        </w:rPr>
        <w:t>因公出国（境）费支出预算为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val="en-US" w:eastAsia="zh-CN"/>
        </w:rPr>
        <w:t>决算数与年初预算数相等。主要原因按预算执行，与上年数持平，主要原因本年度未安排因公出国（境）。</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公务接待费支出预算为</w:t>
      </w:r>
      <w:r>
        <w:rPr>
          <w:rFonts w:hint="eastAsia" w:ascii="仿宋" w:hAnsi="仿宋" w:eastAsia="仿宋" w:cs="仿宋"/>
          <w:sz w:val="32"/>
          <w:szCs w:val="32"/>
          <w:lang w:val="en-US" w:eastAsia="zh-CN"/>
        </w:rPr>
        <w:t>3.15</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0.2</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0.63</w:t>
      </w:r>
      <w:r>
        <w:rPr>
          <w:rFonts w:hint="eastAsia" w:ascii="仿宋" w:hAnsi="仿宋" w:eastAsia="仿宋" w:cs="仿宋"/>
          <w:sz w:val="32"/>
          <w:szCs w:val="32"/>
        </w:rPr>
        <w:t>%，决算数小于预算数的主要原因是</w:t>
      </w:r>
      <w:r>
        <w:rPr>
          <w:rFonts w:hint="eastAsia" w:ascii="仿宋" w:hAnsi="仿宋" w:eastAsia="仿宋" w:cs="仿宋"/>
          <w:sz w:val="32"/>
          <w:szCs w:val="32"/>
          <w:lang w:val="en-US" w:eastAsia="zh-CN"/>
        </w:rPr>
        <w:t>单位厉行节约</w:t>
      </w:r>
      <w:r>
        <w:rPr>
          <w:rFonts w:hint="eastAsia" w:ascii="仿宋" w:hAnsi="仿宋" w:eastAsia="仿宋" w:cs="仿宋"/>
          <w:sz w:val="32"/>
          <w:szCs w:val="32"/>
        </w:rPr>
        <w:t>。</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both"/>
        <w:textAlignment w:val="auto"/>
        <w:rPr>
          <w:rFonts w:hint="default" w:ascii="仿宋" w:hAnsi="仿宋" w:eastAsia="仿宋" w:cs="仿宋"/>
          <w:sz w:val="32"/>
          <w:szCs w:val="32"/>
          <w:lang w:val="en-US"/>
        </w:rPr>
      </w:pPr>
      <w:r>
        <w:rPr>
          <w:rFonts w:hint="eastAsia" w:ascii="仿宋" w:hAnsi="仿宋" w:eastAsia="仿宋" w:cs="仿宋"/>
          <w:sz w:val="32"/>
          <w:szCs w:val="32"/>
        </w:rPr>
        <w:t>公务用车购置费支出预算为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val="en-US" w:eastAsia="zh-CN"/>
        </w:rPr>
        <w:t>决算数与年初预算数相等。</w:t>
      </w:r>
      <w:r>
        <w:rPr>
          <w:rFonts w:hint="eastAsia" w:ascii="仿宋" w:hAnsi="仿宋" w:eastAsia="仿宋" w:cs="仿宋"/>
          <w:sz w:val="32"/>
          <w:szCs w:val="32"/>
        </w:rPr>
        <w:t>主要原因是</w:t>
      </w:r>
      <w:r>
        <w:rPr>
          <w:rFonts w:hint="eastAsia" w:ascii="仿宋" w:hAnsi="仿宋" w:eastAsia="仿宋" w:cs="仿宋"/>
          <w:sz w:val="32"/>
          <w:szCs w:val="32"/>
          <w:lang w:val="en-US" w:eastAsia="zh-CN"/>
        </w:rPr>
        <w:t>单位厉行节约</w:t>
      </w:r>
      <w:r>
        <w:rPr>
          <w:rFonts w:hint="eastAsia" w:ascii="仿宋" w:hAnsi="仿宋" w:eastAsia="仿宋" w:cs="仿宋"/>
          <w:sz w:val="32"/>
          <w:szCs w:val="32"/>
        </w:rPr>
        <w:t>。</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公务用车运行维护费支出预算为</w:t>
      </w:r>
      <w:r>
        <w:rPr>
          <w:rFonts w:hint="eastAsia" w:ascii="仿宋" w:hAnsi="仿宋" w:eastAsia="仿宋" w:cs="仿宋"/>
          <w:sz w:val="32"/>
          <w:szCs w:val="32"/>
          <w:lang w:val="en-US" w:eastAsia="zh-CN"/>
        </w:rPr>
        <w:t>31.5</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11.49</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36.48</w:t>
      </w:r>
      <w:r>
        <w:rPr>
          <w:rFonts w:hint="eastAsia" w:ascii="仿宋" w:hAnsi="仿宋" w:eastAsia="仿宋" w:cs="仿宋"/>
          <w:sz w:val="32"/>
          <w:szCs w:val="32"/>
        </w:rPr>
        <w:t>%，决算数小于预算数的主要原因是</w:t>
      </w:r>
      <w:r>
        <w:rPr>
          <w:rFonts w:hint="eastAsia" w:ascii="仿宋" w:hAnsi="仿宋" w:eastAsia="仿宋" w:cs="仿宋"/>
          <w:sz w:val="32"/>
          <w:szCs w:val="32"/>
          <w:lang w:val="en-US" w:eastAsia="zh-CN"/>
        </w:rPr>
        <w:t>本年度实际发生公务用车运行维护费减少</w:t>
      </w:r>
      <w:r>
        <w:rPr>
          <w:rFonts w:hint="eastAsia" w:ascii="仿宋" w:hAnsi="仿宋" w:eastAsia="仿宋" w:cs="仿宋"/>
          <w:sz w:val="32"/>
          <w:szCs w:val="32"/>
        </w:rPr>
        <w:t>，与上年相比增加</w:t>
      </w:r>
      <w:r>
        <w:rPr>
          <w:rFonts w:hint="eastAsia" w:ascii="仿宋" w:hAnsi="仿宋" w:eastAsia="仿宋" w:cs="仿宋"/>
          <w:sz w:val="32"/>
          <w:szCs w:val="32"/>
          <w:lang w:val="en-US" w:eastAsia="zh-CN"/>
        </w:rPr>
        <w:t>1.19</w:t>
      </w:r>
      <w:r>
        <w:rPr>
          <w:rFonts w:hint="eastAsia" w:ascii="仿宋" w:hAnsi="仿宋" w:eastAsia="仿宋" w:cs="仿宋"/>
          <w:sz w:val="32"/>
          <w:szCs w:val="32"/>
        </w:rPr>
        <w:t>万元，</w:t>
      </w:r>
      <w:r>
        <w:rPr>
          <w:rFonts w:hint="eastAsia" w:ascii="仿宋" w:hAnsi="仿宋" w:eastAsia="仿宋" w:cs="仿宋"/>
          <w:sz w:val="32"/>
          <w:szCs w:val="32"/>
          <w:lang w:val="en-US" w:eastAsia="zh-CN"/>
        </w:rPr>
        <w:t>增长10.36%，</w:t>
      </w:r>
      <w:r>
        <w:rPr>
          <w:rFonts w:hint="eastAsia" w:ascii="仿宋" w:hAnsi="仿宋" w:eastAsia="仿宋" w:cs="仿宋"/>
          <w:sz w:val="32"/>
          <w:szCs w:val="32"/>
        </w:rPr>
        <w:t>增长的主要原因是</w:t>
      </w:r>
      <w:r>
        <w:rPr>
          <w:rFonts w:hint="eastAsia" w:ascii="仿宋" w:hAnsi="仿宋" w:eastAsia="仿宋" w:cs="仿宋"/>
          <w:sz w:val="32"/>
          <w:szCs w:val="32"/>
          <w:lang w:val="en-US" w:eastAsia="zh-CN"/>
        </w:rPr>
        <w:t>城区绿地养护面积增加，车辆使用燃油增加</w:t>
      </w:r>
      <w:r>
        <w:rPr>
          <w:rFonts w:hint="eastAsia" w:ascii="仿宋" w:hAnsi="仿宋" w:eastAsia="仿宋" w:cs="仿宋"/>
          <w:sz w:val="32"/>
          <w:szCs w:val="32"/>
        </w:rPr>
        <w:t>。</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（二）“三公”经费财政拨款支出决算具体情况说明</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2021年度“三公”经费财政拨款支出决算中，公务接待费支出决算</w:t>
      </w:r>
      <w:r>
        <w:rPr>
          <w:rFonts w:hint="eastAsia" w:ascii="仿宋" w:hAnsi="仿宋" w:eastAsia="仿宋" w:cs="仿宋"/>
          <w:sz w:val="32"/>
          <w:szCs w:val="32"/>
          <w:lang w:val="en-US" w:eastAsia="zh-CN"/>
        </w:rPr>
        <w:t>0.02</w:t>
      </w:r>
      <w:r>
        <w:rPr>
          <w:rFonts w:hint="eastAsia" w:ascii="仿宋" w:hAnsi="仿宋" w:eastAsia="仿宋" w:cs="仿宋"/>
          <w:sz w:val="32"/>
          <w:szCs w:val="32"/>
        </w:rPr>
        <w:t>万元，占</w:t>
      </w:r>
      <w:r>
        <w:rPr>
          <w:rFonts w:hint="eastAsia" w:ascii="仿宋" w:hAnsi="仿宋" w:eastAsia="仿宋" w:cs="仿宋"/>
          <w:sz w:val="32"/>
          <w:szCs w:val="32"/>
          <w:lang w:val="en-US" w:eastAsia="zh-CN"/>
        </w:rPr>
        <w:t>0.17</w:t>
      </w:r>
      <w:r>
        <w:rPr>
          <w:rFonts w:hint="eastAsia" w:ascii="仿宋" w:hAnsi="仿宋" w:eastAsia="仿宋" w:cs="仿宋"/>
          <w:sz w:val="32"/>
          <w:szCs w:val="32"/>
        </w:rPr>
        <w:t>%,因公出国（境）费支出决算</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%,公务用车购置费及运行维护费支出决算</w:t>
      </w:r>
      <w:r>
        <w:rPr>
          <w:rFonts w:hint="eastAsia" w:ascii="仿宋" w:hAnsi="仿宋" w:eastAsia="仿宋" w:cs="仿宋"/>
          <w:sz w:val="32"/>
          <w:szCs w:val="32"/>
          <w:lang w:val="en-US" w:eastAsia="zh-CN"/>
        </w:rPr>
        <w:t>11.49</w:t>
      </w:r>
      <w:r>
        <w:rPr>
          <w:rFonts w:hint="eastAsia" w:ascii="仿宋" w:hAnsi="仿宋" w:eastAsia="仿宋" w:cs="仿宋"/>
          <w:sz w:val="32"/>
          <w:szCs w:val="32"/>
        </w:rPr>
        <w:t>万元，占</w:t>
      </w:r>
      <w:r>
        <w:rPr>
          <w:rFonts w:hint="eastAsia" w:ascii="仿宋" w:hAnsi="仿宋" w:eastAsia="仿宋" w:cs="仿宋"/>
          <w:sz w:val="32"/>
          <w:szCs w:val="32"/>
          <w:lang w:val="en-US" w:eastAsia="zh-CN"/>
        </w:rPr>
        <w:t>99.83</w:t>
      </w:r>
      <w:r>
        <w:rPr>
          <w:rFonts w:hint="eastAsia" w:ascii="仿宋" w:hAnsi="仿宋" w:eastAsia="仿宋" w:cs="仿宋"/>
          <w:sz w:val="32"/>
          <w:szCs w:val="32"/>
        </w:rPr>
        <w:t>%。其中：</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1、因公出国（境）费支出决算为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万元，全年安排因公出国（境）团组</w:t>
      </w:r>
      <w:r>
        <w:rPr>
          <w:rFonts w:hint="eastAsia" w:ascii="仿宋" w:hAnsi="仿宋" w:eastAsia="仿宋" w:cs="仿宋"/>
          <w:sz w:val="32"/>
          <w:szCs w:val="32"/>
          <w:lang w:val="en-US" w:eastAsia="zh-CN"/>
        </w:rPr>
        <w:t>0</w:t>
      </w:r>
      <w:r>
        <w:rPr>
          <w:rFonts w:hint="eastAsia" w:ascii="仿宋" w:hAnsi="仿宋" w:eastAsia="仿宋" w:cs="仿宋"/>
          <w:sz w:val="32"/>
          <w:szCs w:val="32"/>
        </w:rPr>
        <w:t>个，累计</w:t>
      </w:r>
      <w:r>
        <w:rPr>
          <w:rFonts w:hint="eastAsia" w:ascii="仿宋" w:hAnsi="仿宋" w:eastAsia="仿宋" w:cs="仿宋"/>
          <w:sz w:val="32"/>
          <w:szCs w:val="32"/>
          <w:lang w:val="en-US" w:eastAsia="zh-CN"/>
        </w:rPr>
        <w:t>0</w:t>
      </w:r>
      <w:r>
        <w:rPr>
          <w:rFonts w:hint="eastAsia" w:ascii="仿宋" w:hAnsi="仿宋" w:eastAsia="仿宋" w:cs="仿宋"/>
          <w:sz w:val="32"/>
          <w:szCs w:val="32"/>
        </w:rPr>
        <w:t>人次</w:t>
      </w:r>
      <w:r>
        <w:rPr>
          <w:rFonts w:hint="eastAsia" w:ascii="仿宋" w:hAnsi="仿宋" w:eastAsia="仿宋" w:cs="仿宋"/>
          <w:sz w:val="32"/>
          <w:szCs w:val="32"/>
          <w:lang w:eastAsia="zh-CN"/>
        </w:rPr>
        <w:t>。</w:t>
      </w:r>
    </w:p>
    <w:p>
      <w:pPr>
        <w:pStyle w:val="12"/>
        <w:keepNext w:val="0"/>
        <w:keepLines w:val="0"/>
        <w:pageBreakBefore w:val="0"/>
        <w:widowControl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2、公务接待费支出决算为</w:t>
      </w:r>
      <w:r>
        <w:rPr>
          <w:rFonts w:hint="eastAsia" w:ascii="仿宋" w:hAnsi="仿宋" w:eastAsia="仿宋" w:cs="仿宋"/>
          <w:sz w:val="32"/>
          <w:szCs w:val="32"/>
          <w:lang w:val="en-US" w:eastAsia="zh-CN"/>
        </w:rPr>
        <w:t>0.02</w:t>
      </w:r>
      <w:r>
        <w:rPr>
          <w:rFonts w:hint="eastAsia" w:ascii="仿宋" w:hAnsi="仿宋" w:eastAsia="仿宋" w:cs="仿宋"/>
          <w:sz w:val="32"/>
          <w:szCs w:val="32"/>
        </w:rPr>
        <w:t>万元，全年共接待来访团组</w:t>
      </w:r>
      <w:r>
        <w:rPr>
          <w:rFonts w:hint="eastAsia" w:ascii="仿宋" w:hAnsi="仿宋" w:eastAsia="仿宋" w:cs="仿宋"/>
          <w:sz w:val="32"/>
          <w:szCs w:val="32"/>
          <w:lang w:val="en-US" w:eastAsia="zh-CN"/>
        </w:rPr>
        <w:t>1</w:t>
      </w:r>
      <w:r>
        <w:rPr>
          <w:rFonts w:hint="eastAsia" w:ascii="仿宋" w:hAnsi="仿宋" w:eastAsia="仿宋" w:cs="仿宋"/>
          <w:sz w:val="32"/>
          <w:szCs w:val="32"/>
        </w:rPr>
        <w:t>个、来宾</w:t>
      </w:r>
      <w:r>
        <w:rPr>
          <w:rFonts w:hint="eastAsia" w:ascii="仿宋" w:hAnsi="仿宋" w:eastAsia="仿宋" w:cs="仿宋"/>
          <w:sz w:val="32"/>
          <w:szCs w:val="32"/>
          <w:lang w:val="en-US" w:eastAsia="zh-CN"/>
        </w:rPr>
        <w:t>3</w:t>
      </w:r>
      <w:r>
        <w:rPr>
          <w:rFonts w:hint="eastAsia" w:ascii="仿宋" w:hAnsi="仿宋" w:eastAsia="仿宋" w:cs="仿宋"/>
          <w:sz w:val="32"/>
          <w:szCs w:val="32"/>
        </w:rPr>
        <w:t>人次，主要是</w:t>
      </w:r>
      <w:r>
        <w:rPr>
          <w:rFonts w:hint="eastAsia" w:ascii="仿宋" w:hAnsi="仿宋" w:eastAsia="仿宋" w:cs="仿宋"/>
          <w:sz w:val="32"/>
          <w:szCs w:val="32"/>
          <w:lang w:val="en-US" w:eastAsia="zh-CN"/>
        </w:rPr>
        <w:t>创国家园林城市专家考察</w:t>
      </w:r>
      <w:r>
        <w:rPr>
          <w:rFonts w:hint="eastAsia" w:ascii="仿宋" w:hAnsi="仿宋" w:eastAsia="仿宋" w:cs="仿宋"/>
          <w:sz w:val="32"/>
          <w:szCs w:val="32"/>
        </w:rPr>
        <w:t>发生的接待支出。</w:t>
      </w:r>
    </w:p>
    <w:p>
      <w:pPr>
        <w:keepNext w:val="0"/>
        <w:keepLines w:val="0"/>
        <w:pageBreakBefore w:val="0"/>
        <w:widowControl w:val="0"/>
        <w:kinsoku/>
        <w:wordWrap/>
        <w:overflowPunct/>
        <w:topLinePunct w:val="0"/>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sz w:val="32"/>
          <w:szCs w:val="32"/>
        </w:rPr>
        <w:t>3、公务用车购置费及运行维护费支出决算为</w:t>
      </w:r>
      <w:r>
        <w:rPr>
          <w:rFonts w:hint="eastAsia" w:ascii="仿宋" w:hAnsi="仿宋" w:eastAsia="仿宋" w:cs="仿宋"/>
          <w:sz w:val="32"/>
          <w:szCs w:val="32"/>
          <w:lang w:val="en-US" w:eastAsia="zh-CN"/>
        </w:rPr>
        <w:t>11.49</w:t>
      </w:r>
      <w:r>
        <w:rPr>
          <w:rFonts w:hint="eastAsia" w:ascii="仿宋" w:hAnsi="仿宋" w:eastAsia="仿宋" w:cs="仿宋"/>
          <w:sz w:val="32"/>
          <w:szCs w:val="32"/>
        </w:rPr>
        <w:t>万元，其中：公务用车购置费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sz w:val="32"/>
          <w:szCs w:val="32"/>
        </w:rPr>
        <w:t>公务用车运行维护费</w:t>
      </w:r>
      <w:r>
        <w:rPr>
          <w:rFonts w:hint="eastAsia" w:ascii="仿宋" w:hAnsi="仿宋" w:eastAsia="仿宋" w:cs="仿宋"/>
          <w:sz w:val="32"/>
          <w:szCs w:val="32"/>
          <w:lang w:val="en-US" w:eastAsia="zh-CN"/>
        </w:rPr>
        <w:t>11.49</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其他公务用车车辆运行维护</w:t>
      </w:r>
      <w:r>
        <w:rPr>
          <w:rFonts w:hint="eastAsia" w:ascii="仿宋" w:hAnsi="仿宋" w:eastAsia="仿宋" w:cs="仿宋"/>
          <w:sz w:val="32"/>
          <w:szCs w:val="32"/>
        </w:rPr>
        <w:t>支出，截止202</w:t>
      </w:r>
      <w:r>
        <w:rPr>
          <w:rFonts w:hint="eastAsia" w:ascii="仿宋" w:hAnsi="仿宋" w:eastAsia="仿宋" w:cs="仿宋"/>
          <w:sz w:val="32"/>
          <w:szCs w:val="32"/>
          <w:lang w:val="en-US" w:eastAsia="zh-CN"/>
        </w:rPr>
        <w:t>1</w:t>
      </w:r>
      <w:r>
        <w:rPr>
          <w:rFonts w:hint="eastAsia" w:ascii="仿宋" w:hAnsi="仿宋" w:eastAsia="仿宋" w:cs="仿宋"/>
          <w:sz w:val="32"/>
          <w:szCs w:val="32"/>
        </w:rPr>
        <w:t>年12月31日，我单位开支财政拨款的公务用车保有量为</w:t>
      </w:r>
      <w:r>
        <w:rPr>
          <w:rFonts w:hint="eastAsia" w:ascii="仿宋" w:hAnsi="仿宋" w:eastAsia="仿宋" w:cs="仿宋"/>
          <w:sz w:val="32"/>
          <w:szCs w:val="32"/>
          <w:lang w:val="en-US" w:eastAsia="zh-CN"/>
        </w:rPr>
        <w:t>25</w:t>
      </w:r>
      <w:r>
        <w:rPr>
          <w:rFonts w:hint="eastAsia" w:ascii="仿宋" w:hAnsi="仿宋" w:eastAsia="仿宋" w:cs="仿宋"/>
          <w:sz w:val="32"/>
          <w:szCs w:val="32"/>
        </w:rPr>
        <w:t>辆。</w:t>
      </w:r>
    </w:p>
    <w:p>
      <w:pPr>
        <w:keepNext w:val="0"/>
        <w:keepLines w:val="0"/>
        <w:pageBreakBefore w:val="0"/>
        <w:widowControl/>
        <w:kinsoku/>
        <w:wordWrap/>
        <w:overflowPunct/>
        <w:topLinePunct w:val="0"/>
        <w:bidi w:val="0"/>
        <w:adjustRightInd/>
        <w:snapToGrid/>
        <w:spacing w:line="600" w:lineRule="exact"/>
        <w:ind w:left="0" w:leftChars="0" w:right="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仿宋" w:hAnsi="仿宋" w:eastAsia="仿宋" w:cs="仿宋"/>
          <w:i/>
          <w:color w:val="FF0000"/>
          <w:sz w:val="32"/>
          <w:szCs w:val="32"/>
        </w:rPr>
      </w:pPr>
      <w:r>
        <w:rPr>
          <w:rFonts w:hint="eastAsia" w:ascii="仿宋" w:hAnsi="仿宋" w:eastAsia="仿宋" w:cs="仿宋"/>
          <w:sz w:val="32"/>
          <w:szCs w:val="32"/>
        </w:rPr>
        <w:t>2021年度政府性基金预算财政拨款收入</w:t>
      </w:r>
      <w:r>
        <w:rPr>
          <w:rFonts w:hint="eastAsia" w:ascii="仿宋" w:hAnsi="仿宋" w:eastAsia="仿宋" w:cs="仿宋"/>
          <w:sz w:val="32"/>
          <w:szCs w:val="32"/>
          <w:lang w:val="en-US" w:eastAsia="zh-CN"/>
        </w:rPr>
        <w:t>42.34</w:t>
      </w:r>
      <w:r>
        <w:rPr>
          <w:rFonts w:hint="eastAsia" w:ascii="仿宋" w:hAnsi="仿宋" w:eastAsia="仿宋" w:cs="仿宋"/>
          <w:sz w:val="32"/>
          <w:szCs w:val="32"/>
        </w:rPr>
        <w:t>万元；年初结转和结余</w:t>
      </w:r>
      <w:r>
        <w:rPr>
          <w:rFonts w:hint="eastAsia" w:ascii="仿宋" w:hAnsi="仿宋" w:eastAsia="仿宋" w:cs="仿宋"/>
          <w:sz w:val="32"/>
          <w:szCs w:val="32"/>
          <w:lang w:val="en-US" w:eastAsia="zh-CN"/>
        </w:rPr>
        <w:t>419.75</w:t>
      </w:r>
      <w:r>
        <w:rPr>
          <w:rFonts w:hint="eastAsia" w:ascii="仿宋" w:hAnsi="仿宋" w:eastAsia="仿宋" w:cs="仿宋"/>
          <w:sz w:val="32"/>
          <w:szCs w:val="32"/>
        </w:rPr>
        <w:t>万元；支出</w:t>
      </w:r>
      <w:r>
        <w:rPr>
          <w:rFonts w:hint="eastAsia" w:ascii="仿宋" w:hAnsi="仿宋" w:eastAsia="仿宋" w:cs="仿宋"/>
          <w:sz w:val="32"/>
          <w:szCs w:val="32"/>
          <w:lang w:val="en-US" w:eastAsia="zh-CN"/>
        </w:rPr>
        <w:t>462.09</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462.09</w:t>
      </w:r>
      <w:r>
        <w:rPr>
          <w:rFonts w:hint="eastAsia" w:ascii="仿宋" w:hAnsi="仿宋" w:eastAsia="仿宋" w:cs="仿宋"/>
          <w:sz w:val="32"/>
          <w:szCs w:val="32"/>
        </w:rPr>
        <w:t>万元；年末结转和结余</w:t>
      </w:r>
      <w:r>
        <w:rPr>
          <w:rFonts w:hint="eastAsia" w:ascii="仿宋" w:hAnsi="仿宋" w:eastAsia="仿宋" w:cs="仿宋"/>
          <w:sz w:val="32"/>
          <w:szCs w:val="32"/>
          <w:lang w:val="en-US" w:eastAsia="zh-CN"/>
        </w:rPr>
        <w:t>0</w:t>
      </w:r>
      <w:r>
        <w:rPr>
          <w:rFonts w:hint="eastAsia" w:ascii="仿宋" w:hAnsi="仿宋" w:eastAsia="仿宋" w:cs="仿宋"/>
          <w:sz w:val="32"/>
          <w:szCs w:val="32"/>
        </w:rPr>
        <w:t>万元。具体情况如下：</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1、城乡社区支出（类）国有土地使用权出让收入安排的支出（款）城市建设支出（项）。</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88</w:t>
      </w:r>
      <w:r>
        <w:rPr>
          <w:rFonts w:hint="eastAsia" w:ascii="仿宋" w:hAnsi="仿宋" w:eastAsia="仿宋" w:cs="仿宋"/>
          <w:sz w:val="32"/>
          <w:szCs w:val="32"/>
        </w:rPr>
        <w:t>万元，无法计算完成比例。决算数大于年初预算数的主要原因是：</w:t>
      </w:r>
      <w:r>
        <w:rPr>
          <w:rFonts w:hint="eastAsia" w:ascii="仿宋" w:hAnsi="仿宋" w:eastAsia="仿宋" w:cs="仿宋"/>
          <w:sz w:val="32"/>
          <w:szCs w:val="32"/>
          <w:lang w:val="en-US" w:eastAsia="zh-CN"/>
        </w:rPr>
        <w:t>财政统筹安排，年初未编制预算。</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城乡社区支出（类）城市基础设施配套费安排的支出（款）其他城市基础设施配套费安排的支出（项）。</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374.09</w:t>
      </w:r>
      <w:r>
        <w:rPr>
          <w:rFonts w:hint="eastAsia" w:ascii="仿宋" w:hAnsi="仿宋" w:eastAsia="仿宋" w:cs="仿宋"/>
          <w:sz w:val="32"/>
          <w:szCs w:val="32"/>
        </w:rPr>
        <w:t>万元，无法计算完成比例。决算数大于年初预算数的主要原因是：</w:t>
      </w:r>
      <w:r>
        <w:rPr>
          <w:rFonts w:hint="eastAsia" w:ascii="仿宋" w:hAnsi="仿宋" w:eastAsia="仿宋" w:cs="仿宋"/>
          <w:sz w:val="32"/>
          <w:szCs w:val="32"/>
          <w:lang w:val="en-US" w:eastAsia="zh-CN"/>
        </w:rPr>
        <w:t>财政统筹安排，年初未编制预算。</w:t>
      </w:r>
    </w:p>
    <w:p>
      <w:pPr>
        <w:keepNext w:val="0"/>
        <w:keepLines w:val="0"/>
        <w:pageBreakBefore w:val="0"/>
        <w:widowControl/>
        <w:kinsoku/>
        <w:wordWrap/>
        <w:overflowPunct/>
        <w:topLinePunct w:val="0"/>
        <w:bidi w:val="0"/>
        <w:adjustRightInd/>
        <w:snapToGrid/>
        <w:spacing w:line="600" w:lineRule="exact"/>
        <w:ind w:left="0" w:leftChars="0" w:right="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九、国有资本经营预算财政拨款支出决算情况说明</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本单位无国有资本经营预算财政拨款支出。</w:t>
      </w:r>
    </w:p>
    <w:p>
      <w:pPr>
        <w:keepNext w:val="0"/>
        <w:keepLines w:val="0"/>
        <w:pageBreakBefore w:val="0"/>
        <w:widowControl/>
        <w:kinsoku/>
        <w:wordWrap/>
        <w:overflowPunct/>
        <w:topLinePunct w:val="0"/>
        <w:bidi w:val="0"/>
        <w:adjustRightInd/>
        <w:snapToGrid/>
        <w:spacing w:line="600" w:lineRule="exact"/>
        <w:ind w:left="0" w:leftChars="0" w:right="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w:t>
      </w:r>
      <w:r>
        <w:rPr>
          <w:rFonts w:hint="eastAsia" w:ascii="黑体" w:hAnsi="黑体" w:eastAsia="黑体" w:cs="黑体"/>
          <w:b w:val="0"/>
          <w:bCs/>
          <w:sz w:val="32"/>
          <w:szCs w:val="32"/>
        </w:rPr>
        <w:t>机关运行经费支出说明</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本单位2021年度机关运行经费支出0万元。</w:t>
      </w:r>
    </w:p>
    <w:p>
      <w:pPr>
        <w:keepNext w:val="0"/>
        <w:keepLines w:val="0"/>
        <w:pageBreakBefore w:val="0"/>
        <w:widowControl/>
        <w:kinsoku/>
        <w:wordWrap/>
        <w:overflowPunct/>
        <w:topLinePunct w:val="0"/>
        <w:bidi w:val="0"/>
        <w:adjustRightInd/>
        <w:snapToGrid/>
        <w:spacing w:line="600" w:lineRule="exact"/>
        <w:ind w:left="0" w:leftChars="0" w:right="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、一般性支出情况说明</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2021年本部门开支会议费0万元；开支培训费2.87万元，事业单位岗位培训费、新进人员人事岗位培训、会计人员后续教育培训；</w:t>
      </w:r>
      <w:r>
        <w:rPr>
          <w:rFonts w:hint="eastAsia" w:ascii="仿宋" w:hAnsi="仿宋" w:eastAsia="仿宋" w:cs="仿宋"/>
          <w:sz w:val="32"/>
          <w:szCs w:val="32"/>
        </w:rPr>
        <w:t>举办节庆、晚会、论坛、赛事活动，开支</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keepNext w:val="0"/>
        <w:keepLines w:val="0"/>
        <w:pageBreakBefore w:val="0"/>
        <w:widowControl/>
        <w:kinsoku/>
        <w:wordWrap/>
        <w:overflowPunct/>
        <w:topLinePunct w:val="0"/>
        <w:bidi w:val="0"/>
        <w:adjustRightInd/>
        <w:snapToGrid/>
        <w:spacing w:line="600" w:lineRule="exact"/>
        <w:ind w:left="0" w:leftChars="0" w:right="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、政府采购支出说明</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val="en-US" w:eastAsia="zh-CN"/>
        </w:rPr>
      </w:pPr>
      <w:bookmarkStart w:id="0" w:name="_GoBack"/>
      <w:r>
        <w:rPr>
          <w:rFonts w:hint="eastAsia" w:ascii="仿宋" w:hAnsi="仿宋" w:eastAsia="仿宋" w:cs="仿宋"/>
          <w:sz w:val="32"/>
          <w:szCs w:val="32"/>
          <w:lang w:val="en-US" w:eastAsia="zh-CN"/>
        </w:rPr>
        <w:t>本部门2021年度政府采购支出总额2,734.39万元，其中：政府采购货物支出23.14万元、政府采购工程支出0万元、政府采购服务支出2,711.25万元。</w:t>
      </w:r>
      <w:r>
        <w:rPr>
          <w:rFonts w:hint="eastAsia" w:ascii="仿宋" w:hAnsi="仿宋" w:eastAsia="仿宋" w:cs="仿宋"/>
          <w:color w:val="000000"/>
          <w:kern w:val="0"/>
          <w:sz w:val="32"/>
          <w:szCs w:val="32"/>
          <w:lang w:val="en-US" w:eastAsia="zh-CN" w:bidi="ar-SA"/>
        </w:rPr>
        <w:t>授予中小企业合同金额0万元，占政府采购支出总额的0 %，其中：授予小微企业合同金额0万元，占政府采购支出总额的0%。</w:t>
      </w:r>
    </w:p>
    <w:bookmarkEnd w:id="0"/>
    <w:p>
      <w:pPr>
        <w:keepNext w:val="0"/>
        <w:keepLines w:val="0"/>
        <w:pageBreakBefore w:val="0"/>
        <w:widowControl/>
        <w:kinsoku/>
        <w:wordWrap/>
        <w:overflowPunct/>
        <w:topLinePunct w:val="0"/>
        <w:bidi w:val="0"/>
        <w:adjustRightInd/>
        <w:snapToGrid/>
        <w:spacing w:line="600" w:lineRule="exact"/>
        <w:ind w:left="0" w:leftChars="0" w:right="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、国有资产占用情况说明</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截至202</w:t>
      </w:r>
      <w:r>
        <w:rPr>
          <w:rFonts w:hint="eastAsia" w:ascii="仿宋" w:hAnsi="仿宋" w:eastAsia="仿宋" w:cs="仿宋"/>
          <w:sz w:val="32"/>
          <w:szCs w:val="32"/>
          <w:lang w:val="en-US" w:eastAsia="zh-CN"/>
        </w:rPr>
        <w:t>1</w:t>
      </w:r>
      <w:r>
        <w:rPr>
          <w:rFonts w:hint="eastAsia" w:ascii="仿宋" w:hAnsi="仿宋" w:eastAsia="仿宋" w:cs="仿宋"/>
          <w:sz w:val="32"/>
          <w:szCs w:val="32"/>
        </w:rPr>
        <w:t>年12月31日，本单位共有车辆</w:t>
      </w:r>
      <w:r>
        <w:rPr>
          <w:rFonts w:hint="eastAsia" w:ascii="仿宋" w:hAnsi="仿宋" w:eastAsia="仿宋" w:cs="仿宋"/>
          <w:sz w:val="32"/>
          <w:szCs w:val="32"/>
          <w:lang w:val="en-US" w:eastAsia="zh-CN"/>
        </w:rPr>
        <w:t>25</w:t>
      </w:r>
      <w:r>
        <w:rPr>
          <w:rFonts w:hint="eastAsia" w:ascii="仿宋" w:hAnsi="仿宋" w:eastAsia="仿宋" w:cs="仿宋"/>
          <w:sz w:val="32"/>
          <w:szCs w:val="32"/>
        </w:rPr>
        <w:t>辆，其中，主要领导干部用车</w:t>
      </w:r>
      <w:r>
        <w:rPr>
          <w:rFonts w:hint="eastAsia" w:ascii="仿宋" w:hAnsi="仿宋" w:eastAsia="仿宋" w:cs="仿宋"/>
          <w:sz w:val="32"/>
          <w:szCs w:val="32"/>
          <w:lang w:val="en-US" w:eastAsia="zh-CN"/>
        </w:rPr>
        <w:t>0</w:t>
      </w:r>
      <w:r>
        <w:rPr>
          <w:rFonts w:hint="eastAsia" w:ascii="仿宋" w:hAnsi="仿宋" w:eastAsia="仿宋" w:cs="仿宋"/>
          <w:sz w:val="32"/>
          <w:szCs w:val="32"/>
        </w:rPr>
        <w:t>辆，机要通信用车</w:t>
      </w:r>
      <w:r>
        <w:rPr>
          <w:rFonts w:hint="eastAsia" w:ascii="仿宋" w:hAnsi="仿宋" w:eastAsia="仿宋" w:cs="仿宋"/>
          <w:sz w:val="32"/>
          <w:szCs w:val="32"/>
          <w:lang w:val="en-US" w:eastAsia="zh-CN"/>
        </w:rPr>
        <w:t>0</w:t>
      </w:r>
      <w:r>
        <w:rPr>
          <w:rFonts w:hint="eastAsia" w:ascii="仿宋" w:hAnsi="仿宋" w:eastAsia="仿宋" w:cs="仿宋"/>
          <w:sz w:val="32"/>
          <w:szCs w:val="32"/>
        </w:rPr>
        <w:t>辆、应急保障用车</w:t>
      </w:r>
      <w:r>
        <w:rPr>
          <w:rFonts w:hint="eastAsia" w:ascii="仿宋" w:hAnsi="仿宋" w:eastAsia="仿宋" w:cs="仿宋"/>
          <w:sz w:val="32"/>
          <w:szCs w:val="32"/>
          <w:lang w:val="en-US" w:eastAsia="zh-CN"/>
        </w:rPr>
        <w:t>0</w:t>
      </w:r>
      <w:r>
        <w:rPr>
          <w:rFonts w:hint="eastAsia" w:ascii="仿宋" w:hAnsi="仿宋" w:eastAsia="仿宋" w:cs="仿宋"/>
          <w:sz w:val="32"/>
          <w:szCs w:val="32"/>
        </w:rPr>
        <w:t>辆、执法执勤用车</w:t>
      </w:r>
      <w:r>
        <w:rPr>
          <w:rFonts w:hint="eastAsia" w:ascii="仿宋" w:hAnsi="仿宋" w:eastAsia="仿宋" w:cs="仿宋"/>
          <w:sz w:val="32"/>
          <w:szCs w:val="32"/>
          <w:lang w:val="en-US" w:eastAsia="zh-CN"/>
        </w:rPr>
        <w:t>0</w:t>
      </w:r>
      <w:r>
        <w:rPr>
          <w:rFonts w:hint="eastAsia" w:ascii="仿宋" w:hAnsi="仿宋" w:eastAsia="仿宋" w:cs="仿宋"/>
          <w:sz w:val="32"/>
          <w:szCs w:val="32"/>
        </w:rPr>
        <w:t>辆、特种专业技术用车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辆、其他用车</w:t>
      </w:r>
      <w:r>
        <w:rPr>
          <w:rFonts w:hint="eastAsia" w:ascii="仿宋" w:hAnsi="仿宋" w:eastAsia="仿宋" w:cs="仿宋"/>
          <w:sz w:val="32"/>
          <w:szCs w:val="32"/>
          <w:lang w:val="en-US" w:eastAsia="zh-CN"/>
        </w:rPr>
        <w:t>25</w:t>
      </w:r>
      <w:r>
        <w:rPr>
          <w:rFonts w:hint="eastAsia" w:ascii="仿宋" w:hAnsi="仿宋" w:eastAsia="仿宋" w:cs="仿宋"/>
          <w:sz w:val="32"/>
          <w:szCs w:val="32"/>
        </w:rPr>
        <w:t>辆，其他用车主要是</w:t>
      </w:r>
      <w:r>
        <w:rPr>
          <w:rFonts w:hint="eastAsia" w:ascii="仿宋" w:hAnsi="仿宋" w:eastAsia="仿宋" w:cs="仿宋"/>
          <w:sz w:val="32"/>
          <w:szCs w:val="32"/>
          <w:lang w:eastAsia="zh-CN"/>
        </w:rPr>
        <w:t>园林绿化维护业务用车</w:t>
      </w:r>
      <w:r>
        <w:rPr>
          <w:rFonts w:hint="eastAsia" w:ascii="仿宋" w:hAnsi="仿宋" w:eastAsia="仿宋" w:cs="仿宋"/>
          <w:sz w:val="32"/>
          <w:szCs w:val="32"/>
        </w:rPr>
        <w:t>；单位价值50万元以上通用设备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台（套）；单位价值100万元以上专用设备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pPr>
        <w:keepNext w:val="0"/>
        <w:keepLines w:val="0"/>
        <w:pageBreakBefore w:val="0"/>
        <w:widowControl/>
        <w:kinsoku/>
        <w:wordWrap/>
        <w:overflowPunct/>
        <w:topLinePunct w:val="0"/>
        <w:bidi w:val="0"/>
        <w:adjustRightInd/>
        <w:snapToGrid/>
        <w:spacing w:line="600" w:lineRule="exact"/>
        <w:ind w:left="0" w:leftChars="0" w:right="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、2021年度预算绩效情况说明</w:t>
      </w:r>
    </w:p>
    <w:p>
      <w:pPr>
        <w:keepNext w:val="0"/>
        <w:keepLines w:val="0"/>
        <w:pageBreakBefore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color w:val="auto"/>
          <w:kern w:val="0"/>
          <w:sz w:val="32"/>
          <w:szCs w:val="32"/>
        </w:rPr>
        <w:t>（1）绩效管理评价工作开展情况</w:t>
      </w:r>
      <w:r>
        <w:rPr>
          <w:rFonts w:hint="eastAsia" w:ascii="仿宋" w:hAnsi="仿宋" w:eastAsia="仿宋" w:cs="仿宋"/>
          <w:color w:val="auto"/>
          <w:kern w:val="0"/>
          <w:sz w:val="32"/>
          <w:szCs w:val="32"/>
        </w:rPr>
        <w:t>。</w:t>
      </w:r>
    </w:p>
    <w:p>
      <w:pPr>
        <w:pStyle w:val="6"/>
        <w:keepNext w:val="0"/>
        <w:keepLines w:val="0"/>
        <w:pageBreakBefore w:val="0"/>
        <w:widowControl/>
        <w:suppressLineNumbers w:val="0"/>
        <w:kinsoku/>
        <w:wordWrap/>
        <w:overflowPunct/>
        <w:topLinePunct w:val="0"/>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根据预算绩效管理要求，我部门一般公共预算项目支出</w:t>
      </w:r>
      <w:r>
        <w:rPr>
          <w:rFonts w:hint="eastAsia" w:ascii="仿宋" w:hAnsi="仿宋" w:eastAsia="仿宋" w:cs="仿宋"/>
          <w:color w:val="auto"/>
          <w:kern w:val="0"/>
          <w:sz w:val="32"/>
          <w:szCs w:val="32"/>
          <w:lang w:val="en-US" w:eastAsia="zh-CN"/>
        </w:rPr>
        <w:t>2</w:t>
      </w:r>
      <w:r>
        <w:rPr>
          <w:rFonts w:hint="eastAsia" w:ascii="仿宋" w:hAnsi="仿宋" w:eastAsia="仿宋" w:cs="仿宋"/>
          <w:sz w:val="32"/>
          <w:szCs w:val="32"/>
          <w:lang w:val="en-US" w:eastAsia="zh-CN"/>
        </w:rPr>
        <w:t>,</w:t>
      </w:r>
      <w:r>
        <w:rPr>
          <w:rFonts w:hint="eastAsia" w:ascii="仿宋" w:hAnsi="仿宋" w:eastAsia="仿宋" w:cs="仿宋"/>
          <w:color w:val="auto"/>
          <w:kern w:val="0"/>
          <w:sz w:val="32"/>
          <w:szCs w:val="32"/>
          <w:lang w:val="en-US" w:eastAsia="zh-CN"/>
        </w:rPr>
        <w:t>429.83</w:t>
      </w:r>
      <w:r>
        <w:rPr>
          <w:rFonts w:hint="eastAsia" w:ascii="仿宋" w:hAnsi="仿宋" w:eastAsia="仿宋" w:cs="仿宋"/>
          <w:color w:val="auto"/>
          <w:kern w:val="0"/>
          <w:sz w:val="32"/>
          <w:szCs w:val="32"/>
        </w:rPr>
        <w:t xml:space="preserve"> 万元，政府性基金预算项目支出</w:t>
      </w:r>
      <w:r>
        <w:rPr>
          <w:rFonts w:hint="eastAsia" w:ascii="仿宋" w:hAnsi="仿宋" w:eastAsia="仿宋" w:cs="仿宋"/>
          <w:color w:val="auto"/>
          <w:kern w:val="0"/>
          <w:sz w:val="32"/>
          <w:szCs w:val="32"/>
          <w:lang w:val="en-US" w:eastAsia="zh-CN"/>
        </w:rPr>
        <w:t>462.09</w:t>
      </w:r>
      <w:r>
        <w:rPr>
          <w:rFonts w:hint="eastAsia" w:ascii="仿宋" w:hAnsi="仿宋" w:eastAsia="仿宋" w:cs="仿宋"/>
          <w:color w:val="auto"/>
          <w:kern w:val="0"/>
          <w:sz w:val="32"/>
          <w:szCs w:val="32"/>
        </w:rPr>
        <w:t>万元</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主要用于直管绿地养护费项目（含城市主次干道、风光带、城区广场游园、背街小巷）；绿城攻坚基础设施建设；城建预算调整项目2018年城区主次干道新增双排行道树工程；科研基地建设；鹤鸣洲、丰溪苑、香洲广场、天星广场公厕维护经费；古树名木保护经费；市城市园林绿地管养单位绿化养护考评工作；开展园林绿化相关主题活动等</w:t>
      </w:r>
      <w:r>
        <w:rPr>
          <w:rFonts w:hint="eastAsia" w:ascii="仿宋" w:hAnsi="仿宋" w:eastAsia="仿宋" w:cs="仿宋"/>
          <w:color w:val="auto"/>
          <w:kern w:val="0"/>
          <w:sz w:val="32"/>
          <w:szCs w:val="32"/>
        </w:rPr>
        <w:t>。</w:t>
      </w:r>
    </w:p>
    <w:p>
      <w:pPr>
        <w:keepNext w:val="0"/>
        <w:keepLines w:val="0"/>
        <w:pageBreakBefore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（2）部门决算中项目绩效自评结果。</w:t>
      </w:r>
    </w:p>
    <w:p>
      <w:pPr>
        <w:pStyle w:val="15"/>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2021年度直管绿地养护费项目绩效自评综述：根据年初设定的绩效目标，项目绩效自评得分为</w:t>
      </w:r>
      <w:r>
        <w:rPr>
          <w:rFonts w:hint="eastAsia" w:ascii="仿宋" w:hAnsi="仿宋" w:eastAsia="仿宋" w:cs="仿宋"/>
          <w:color w:val="000000"/>
          <w:kern w:val="0"/>
          <w:sz w:val="32"/>
          <w:szCs w:val="32"/>
          <w:lang w:val="en-US" w:eastAsia="zh-CN"/>
        </w:rPr>
        <w:t>95</w:t>
      </w:r>
      <w:r>
        <w:rPr>
          <w:rFonts w:hint="eastAsia" w:ascii="仿宋" w:hAnsi="仿宋" w:eastAsia="仿宋" w:cs="仿宋"/>
          <w:color w:val="000000"/>
          <w:kern w:val="0"/>
          <w:sz w:val="32"/>
          <w:szCs w:val="32"/>
        </w:rPr>
        <w:t>分。项目全年预算数为</w:t>
      </w:r>
      <w:r>
        <w:rPr>
          <w:rFonts w:hint="eastAsia" w:ascii="仿宋" w:hAnsi="仿宋" w:eastAsia="仿宋" w:cs="仿宋"/>
          <w:color w:val="000000"/>
          <w:kern w:val="0"/>
          <w:sz w:val="32"/>
          <w:szCs w:val="32"/>
          <w:lang w:val="en-US" w:eastAsia="zh-CN"/>
        </w:rPr>
        <w:t>2</w:t>
      </w:r>
      <w:r>
        <w:rPr>
          <w:rFonts w:hint="eastAsia" w:ascii="仿宋" w:hAnsi="仿宋" w:eastAsia="仿宋" w:cs="仿宋"/>
          <w:sz w:val="32"/>
          <w:szCs w:val="32"/>
          <w:lang w:val="en-US" w:eastAsia="zh-CN"/>
        </w:rPr>
        <w:t>,</w:t>
      </w:r>
      <w:r>
        <w:rPr>
          <w:rFonts w:hint="eastAsia" w:ascii="仿宋" w:hAnsi="仿宋" w:eastAsia="仿宋" w:cs="仿宋"/>
          <w:color w:val="000000"/>
          <w:kern w:val="0"/>
          <w:sz w:val="32"/>
          <w:szCs w:val="32"/>
          <w:lang w:val="en-US" w:eastAsia="zh-CN"/>
        </w:rPr>
        <w:t>000.90</w:t>
      </w:r>
      <w:r>
        <w:rPr>
          <w:rFonts w:hint="eastAsia" w:ascii="仿宋" w:hAnsi="仿宋" w:eastAsia="仿宋" w:cs="仿宋"/>
          <w:color w:val="000000"/>
          <w:kern w:val="0"/>
          <w:sz w:val="32"/>
          <w:szCs w:val="32"/>
        </w:rPr>
        <w:t>万元，执行数为</w:t>
      </w:r>
      <w:r>
        <w:rPr>
          <w:rFonts w:hint="eastAsia" w:ascii="仿宋" w:hAnsi="仿宋" w:eastAsia="仿宋" w:cs="仿宋"/>
          <w:color w:val="000000"/>
          <w:kern w:val="0"/>
          <w:sz w:val="32"/>
          <w:szCs w:val="32"/>
          <w:lang w:val="en-US" w:eastAsia="zh-CN"/>
        </w:rPr>
        <w:t>2</w:t>
      </w:r>
      <w:r>
        <w:rPr>
          <w:rFonts w:hint="eastAsia" w:ascii="仿宋" w:hAnsi="仿宋" w:eastAsia="仿宋" w:cs="仿宋"/>
          <w:sz w:val="32"/>
          <w:szCs w:val="32"/>
          <w:lang w:val="en-US" w:eastAsia="zh-CN"/>
        </w:rPr>
        <w:t>,</w:t>
      </w:r>
      <w:r>
        <w:rPr>
          <w:rFonts w:hint="eastAsia" w:ascii="仿宋" w:hAnsi="仿宋" w:eastAsia="仿宋" w:cs="仿宋"/>
          <w:color w:val="000000"/>
          <w:kern w:val="0"/>
          <w:sz w:val="32"/>
          <w:szCs w:val="32"/>
          <w:lang w:val="en-US" w:eastAsia="zh-CN"/>
        </w:rPr>
        <w:t>000.90</w:t>
      </w:r>
      <w:r>
        <w:rPr>
          <w:rFonts w:hint="eastAsia" w:ascii="仿宋" w:hAnsi="仿宋" w:eastAsia="仿宋" w:cs="仿宋"/>
          <w:color w:val="000000"/>
          <w:kern w:val="0"/>
          <w:sz w:val="32"/>
          <w:szCs w:val="32"/>
        </w:rPr>
        <w:t>万元，完成预算的</w:t>
      </w:r>
      <w:r>
        <w:rPr>
          <w:rFonts w:hint="eastAsia" w:ascii="仿宋" w:hAnsi="仿宋" w:eastAsia="仿宋" w:cs="仿宋"/>
          <w:color w:val="000000"/>
          <w:kern w:val="0"/>
          <w:sz w:val="32"/>
          <w:szCs w:val="32"/>
          <w:lang w:val="en-US" w:eastAsia="zh-CN"/>
        </w:rPr>
        <w:t>100</w:t>
      </w:r>
      <w:r>
        <w:rPr>
          <w:rFonts w:hint="eastAsia" w:ascii="仿宋" w:hAnsi="仿宋" w:eastAsia="仿宋" w:cs="仿宋"/>
          <w:color w:val="000000"/>
          <w:kern w:val="0"/>
          <w:sz w:val="32"/>
          <w:szCs w:val="32"/>
        </w:rPr>
        <w:t>%。项目绩效目标完成情况：一是做好行道树和绿地日常养护。完成乔木修剪119006株，绿篱修剪294.1万平方米，乔木补植28190株，绿篱补植2.4万平方米，麦冬草补植29000斤，草坪修剪82.2万平方米，除杂444.5万平方米，施肥86.8吨，清理垃圾4151.6吨，洗尘30776.5吨，抗旱用水343706吨挖隔草圈2486株，挖隔草沟2000米，更换草花130余万盆</w:t>
      </w:r>
      <w:r>
        <w:rPr>
          <w:rFonts w:hint="eastAsia"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rPr>
        <w:t>二是乔木病虫害防治13万余株，处置死树枯树21株，完成乔木涂白56644株，整改安全隐患2079处，新增灭鼠站450个，投药7872斤，投蜡块955斤，堵鼠洞687处，病媒生物防治药水389473.6千克</w:t>
      </w:r>
      <w:r>
        <w:rPr>
          <w:rFonts w:hint="eastAsia"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rPr>
        <w:t>三是设施维修2410件，绿地亮化维修1364盏，更换电线、线管1193米，路面维护6845.7平方米</w:t>
      </w:r>
      <w:r>
        <w:rPr>
          <w:rFonts w:hint="eastAsia"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rPr>
        <w:t>四是智慧城管案件1576件，解决1472件，综合解决率93.22%</w:t>
      </w:r>
      <w:r>
        <w:rPr>
          <w:rFonts w:hint="eastAsia"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rPr>
        <w:t>五是推广一线绩效考核工作法。由局分管领导亲自带队，组织个承包管理单位到现场一块块绿地、一株株行道树、一件件设施查看检查，现场点评、讲评、总结和部署。成立专门园林评价所，对施肥、打药、修剪等养护工作进行量化考核。发现的主要问题及原因：</w:t>
      </w:r>
      <w:r>
        <w:rPr>
          <w:rFonts w:hint="eastAsia" w:ascii="仿宋" w:hAnsi="仿宋" w:eastAsia="仿宋" w:cs="仿宋"/>
          <w:color w:val="000000"/>
          <w:kern w:val="0"/>
          <w:sz w:val="32"/>
          <w:szCs w:val="32"/>
          <w:lang w:val="en-US" w:eastAsia="zh-CN"/>
        </w:rPr>
        <w:t>制定了一线园林绿化养护绩效考核办法，执行《城市绿化条例》（国务院令第100号）《园林绿化工程建设管理规定》（建城〔2017〕）《湖南省住房和城乡建设厅关于进一步加强和规范园林绿化工程建设管理的通知》（湘建城〔2020〕63号）的规定不够，资金使用效率有待。</w:t>
      </w:r>
      <w:r>
        <w:rPr>
          <w:rFonts w:hint="eastAsia" w:ascii="仿宋" w:hAnsi="仿宋" w:eastAsia="仿宋" w:cs="仿宋"/>
          <w:color w:val="000000"/>
          <w:kern w:val="0"/>
          <w:sz w:val="32"/>
          <w:szCs w:val="32"/>
        </w:rPr>
        <w:t>下一步改进措施：</w:t>
      </w:r>
      <w:r>
        <w:rPr>
          <w:rFonts w:hint="eastAsia" w:ascii="仿宋" w:hAnsi="仿宋" w:eastAsia="仿宋" w:cs="仿宋"/>
          <w:color w:val="000000"/>
          <w:kern w:val="0"/>
          <w:sz w:val="32"/>
          <w:szCs w:val="32"/>
          <w:lang w:val="en-US" w:eastAsia="zh-CN"/>
        </w:rPr>
        <w:t>一是</w:t>
      </w:r>
      <w:r>
        <w:rPr>
          <w:rFonts w:hint="eastAsia" w:ascii="仿宋" w:hAnsi="仿宋" w:eastAsia="仿宋" w:cs="仿宋"/>
          <w:color w:val="000000"/>
          <w:kern w:val="0"/>
          <w:sz w:val="32"/>
          <w:szCs w:val="32"/>
        </w:rPr>
        <w:t>专项资金绩效评价结果和全过程，作为以后年度本专项资金预算安排的参考依据</w:t>
      </w:r>
      <w:r>
        <w:rPr>
          <w:rFonts w:hint="eastAsia" w:ascii="仿宋" w:hAnsi="仿宋" w:eastAsia="仿宋" w:cs="仿宋"/>
          <w:color w:val="000000"/>
          <w:kern w:val="0"/>
          <w:sz w:val="32"/>
          <w:szCs w:val="32"/>
          <w:lang w:val="en-US" w:eastAsia="zh-CN"/>
        </w:rPr>
        <w:t>；二是</w:t>
      </w:r>
      <w:r>
        <w:rPr>
          <w:rFonts w:hint="eastAsia" w:ascii="仿宋" w:hAnsi="仿宋" w:eastAsia="仿宋" w:cs="仿宋"/>
          <w:color w:val="000000"/>
          <w:kern w:val="0"/>
          <w:sz w:val="32"/>
          <w:szCs w:val="32"/>
        </w:rPr>
        <w:t>专项资金实行相关的制度和办法、绩效评价的全过程公开。</w:t>
      </w:r>
    </w:p>
    <w:p>
      <w:pPr>
        <w:keepNext w:val="0"/>
        <w:keepLines w:val="0"/>
        <w:pageBreakBefore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直管绿地养护费项目绩效自评综述：“直管绿地养护费”2021年度项目立项符合国家法律法规；项目管理制度健全，资金和监管措施落实到位；各项工作具体扎实，项目建设任务全面完成，项目实施效果显著。</w:t>
      </w:r>
    </w:p>
    <w:p>
      <w:pPr>
        <w:keepNext w:val="0"/>
        <w:keepLines w:val="0"/>
        <w:pageBreakBefore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（3）部门评价项目绩效评价结果。</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部门评价项目数量3个以内的，至少将1 个部门评价报告向社会公开；部门评价项目数量大于3 个的，至少将2 个部门评价报告向社会公开。报告框架可参考《项目支出绩效评价办法》（财预〔2020〕10 号）中《项目支出绩效评价报告（参考提纲）》、《湖南省预算支出绩效评价管理办法》（湘财绩〔2020〕7号）。</w:t>
      </w:r>
    </w:p>
    <w:p>
      <w:pPr>
        <w:keepNext w:val="0"/>
        <w:keepLines w:val="0"/>
        <w:pageBreakBefore w:val="0"/>
        <w:widowControl/>
        <w:kinsoku/>
        <w:wordWrap/>
        <w:overflowPunct/>
        <w:topLinePunct w:val="0"/>
        <w:bidi w:val="0"/>
        <w:adjustRightInd/>
        <w:snapToGrid/>
        <w:spacing w:line="600" w:lineRule="exact"/>
        <w:ind w:left="0" w:leftChars="0" w:right="0"/>
        <w:jc w:val="center"/>
        <w:textAlignment w:val="auto"/>
        <w:rPr>
          <w:rFonts w:ascii="黑体" w:eastAsia="黑体" w:cs="黑体"/>
          <w:color w:val="000000"/>
          <w:kern w:val="0"/>
          <w:sz w:val="70"/>
          <w:szCs w:val="70"/>
        </w:rPr>
      </w:pPr>
      <w:r>
        <w:rPr>
          <w:rFonts w:hint="eastAsia" w:ascii="黑体" w:eastAsia="黑体" w:cs="黑体"/>
          <w:color w:val="000000"/>
          <w:kern w:val="0"/>
          <w:sz w:val="44"/>
          <w:szCs w:val="44"/>
        </w:rPr>
        <w:t>第四部分名词解释</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一、财政拨款收入：指财政当年拨付的资金。 </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二、事业收入：指事业单位开展专业业务活动及辅助活动所取得的收入。如：中国财政杂志社的刊物发行收入，中国注册会计师协会、中国资产评估协会、中国国债协会、中国会计学会收取的会费收入等。 </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三、经营收入：指事业单位在专业业务活动及其辅助活动之外开展非独立核算经营活动取得的收入。如：中国财政杂志社广告收入等。 </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四、其他收入：指除上述“财政拨款收入”、“事业收入”、“经营收入”等以外的收入。主要是按规定动用的售房收入、存款利息收入等。 </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六、年初结转和结余：指以前年度尚未完成、结转到本年按有关规定继续使用的资金。 </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七、结余分配：指事业单位按规定提取的职工福利基金、事业基金和缴纳的所得税，以及建设单位按规定应交回的基本建设竣工项目结余资金。</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八、年末结转和结余：指本年度或以前年度预算安排、因客观条件发生变化无法按原计划实施，需要延迟到以后年度按有关规定继续使用的资金。 </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九、基本支出：指为保障机构正常运转、完成日常工作任务而发生的人员支出和公用支出。 </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十、项目支出：指在基本支出之外为完成特定行政任务和事业发展目标所发生的支出。 </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十一、经营支出：指事业单位在专业业务活动及其辅助活动之外开展非独立核算经营活动发生的支出。 </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十二、“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eastAsia="仿宋"/>
          <w:sz w:val="72"/>
          <w:szCs w:val="72"/>
          <w:lang w:eastAsia="zh-CN"/>
        </w:rPr>
      </w:pPr>
      <w:r>
        <w:rPr>
          <w:rFonts w:hint="eastAsia" w:ascii="仿宋" w:hAnsi="仿宋" w:eastAsia="仿宋" w:cs="仿宋"/>
          <w:color w:val="000000"/>
          <w:kern w:val="0"/>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 w:hAnsi="仿宋" w:eastAsia="仿宋" w:cs="仿宋"/>
          <w:color w:val="000000"/>
          <w:kern w:val="0"/>
          <w:sz w:val="32"/>
          <w:szCs w:val="32"/>
          <w:lang w:val="en-US" w:eastAsia="zh-CN"/>
        </w:rPr>
        <w:t>。</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right="0"/>
        <w:jc w:val="center"/>
        <w:textAlignment w:val="auto"/>
        <w:rPr>
          <w:rFonts w:ascii="黑体" w:eastAsia="黑体" w:cs="黑体"/>
          <w:color w:val="000000"/>
          <w:kern w:val="0"/>
          <w:sz w:val="44"/>
          <w:szCs w:val="44"/>
        </w:rPr>
      </w:pPr>
      <w:r>
        <w:rPr>
          <w:rFonts w:hint="eastAsia"/>
          <w:sz w:val="44"/>
          <w:szCs w:val="44"/>
        </w:rPr>
        <w:t>第五部分</w:t>
      </w:r>
      <w:r>
        <w:rPr>
          <w:rFonts w:hint="eastAsia" w:ascii="黑体" w:eastAsia="黑体" w:cs="黑体"/>
          <w:color w:val="000000"/>
          <w:kern w:val="0"/>
          <w:sz w:val="44"/>
          <w:szCs w:val="44"/>
        </w:rPr>
        <w:t>附件</w:t>
      </w:r>
    </w:p>
    <w:p>
      <w:pPr>
        <w:keepNext w:val="0"/>
        <w:keepLines w:val="0"/>
        <w:pageBreakBefore w:val="0"/>
        <w:widowControl/>
        <w:kinsoku/>
        <w:wordWrap/>
        <w:overflowPunct/>
        <w:topLinePunct w:val="0"/>
        <w:bidi w:val="0"/>
        <w:snapToGrid/>
        <w:spacing w:line="600" w:lineRule="exact"/>
        <w:ind w:left="0" w:leftChars="0" w:right="0"/>
        <w:jc w:val="left"/>
        <w:textAlignment w:val="auto"/>
        <w:rPr>
          <w:rFonts w:hint="eastAsia" w:ascii="仿宋_GB2312" w:hAnsi="仿宋_GB2312" w:eastAsia="仿宋_GB2312" w:cs="仿宋_GB2312"/>
          <w:sz w:val="32"/>
          <w:szCs w:val="32"/>
        </w:rPr>
      </w:pPr>
    </w:p>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kZmVlZWE1YThmOTUxYzdmMmU4OWMyMmJiMWY5ZTg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6E1BBC"/>
    <w:rsid w:val="0BF0024B"/>
    <w:rsid w:val="0F3A0A84"/>
    <w:rsid w:val="192F4A1F"/>
    <w:rsid w:val="1D697685"/>
    <w:rsid w:val="27C847B0"/>
    <w:rsid w:val="2D7921CC"/>
    <w:rsid w:val="301643D0"/>
    <w:rsid w:val="31CB0B39"/>
    <w:rsid w:val="3E23065E"/>
    <w:rsid w:val="413F4513"/>
    <w:rsid w:val="41EB0AF9"/>
    <w:rsid w:val="44C60A0F"/>
    <w:rsid w:val="492559C0"/>
    <w:rsid w:val="4EDE56A5"/>
    <w:rsid w:val="63AA1358"/>
    <w:rsid w:val="65962C14"/>
    <w:rsid w:val="66FD603A"/>
    <w:rsid w:val="68CB1236"/>
    <w:rsid w:val="73D6605F"/>
    <w:rsid w:val="757038D2"/>
    <w:rsid w:val="7A2D1941"/>
    <w:rsid w:val="7C536D12"/>
    <w:rsid w:val="7D570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cs="宋体"/>
      <w:kern w:val="0"/>
      <w:sz w:val="24"/>
      <w:lang w:bidi="ar-SA"/>
    </w:rPr>
  </w:style>
  <w:style w:type="paragraph" w:styleId="7">
    <w:name w:val="Body Text First Indent 2"/>
    <w:basedOn w:val="2"/>
    <w:unhideWhenUsed/>
    <w:qFormat/>
    <w:uiPriority w:val="99"/>
    <w:pPr>
      <w:ind w:firstLine="420"/>
    </w:pPr>
  </w:style>
  <w:style w:type="character" w:customStyle="1" w:styleId="10">
    <w:name w:val="页眉 Char"/>
    <w:basedOn w:val="9"/>
    <w:link w:val="5"/>
    <w:qFormat/>
    <w:uiPriority w:val="99"/>
    <w:rPr>
      <w:sz w:val="18"/>
      <w:szCs w:val="18"/>
    </w:rPr>
  </w:style>
  <w:style w:type="character" w:customStyle="1" w:styleId="11">
    <w:name w:val="页脚 Char"/>
    <w:basedOn w:val="9"/>
    <w:link w:val="4"/>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3"/>
    <w:semiHidden/>
    <w:qFormat/>
    <w:uiPriority w:val="99"/>
    <w:rPr>
      <w:sz w:val="18"/>
      <w:szCs w:val="18"/>
    </w:rPr>
  </w:style>
  <w:style w:type="paragraph" w:customStyle="1" w:styleId="15">
    <w:name w:val="无间隔"/>
    <w:qFormat/>
    <w:uiPriority w:val="0"/>
    <w:pPr>
      <w:widowControl w:val="0"/>
      <w:jc w:val="both"/>
    </w:pPr>
    <w:rPr>
      <w:rFonts w:ascii="Calibri" w:hAnsi="Calibri" w:eastAsia="宋体" w:cs="Times New Roman"/>
      <w:kern w:val="2"/>
      <w:sz w:val="21"/>
      <w:szCs w:val="22"/>
      <w:lang w:val="en-US" w:eastAsia="zh-CN" w:bidi="ar-SA"/>
    </w:rPr>
  </w:style>
  <w:style w:type="paragraph" w:styleId="16">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25449</Words>
  <Characters>30623</Characters>
  <Lines>69</Lines>
  <Paragraphs>19</Paragraphs>
  <TotalTime>0</TotalTime>
  <ScaleCrop>false</ScaleCrop>
  <LinksUpToDate>false</LinksUpToDate>
  <CharactersWithSpaces>31483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WPS_1668149522</cp:lastModifiedBy>
  <cp:lastPrinted>2022-07-27T12:55:00Z</cp:lastPrinted>
  <dcterms:modified xsi:type="dcterms:W3CDTF">2023-09-10T00:19:56Z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FE6DA1ADB2BE422699CE4F2F10119497</vt:lpwstr>
  </property>
</Properties>
</file>