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ascii="仿宋" w:hAnsi="仿宋" w:eastAsia="仿宋" w:cs="仿宋"/>
          <w:b/>
          <w:bCs/>
          <w:color w:val="000000" w:themeColor="text1"/>
          <w:sz w:val="48"/>
          <w:szCs w:val="48"/>
          <w14:textFill>
            <w14:solidFill>
              <w14:schemeClr w14:val="tx1"/>
            </w14:solidFill>
          </w14:textFill>
        </w:rPr>
      </w:pPr>
      <w:r>
        <w:rPr>
          <w:rFonts w:hint="eastAsia" w:ascii="仿宋" w:hAnsi="仿宋" w:eastAsia="仿宋" w:cs="仿宋"/>
          <w:b/>
          <w:bCs/>
          <w:color w:val="000000" w:themeColor="text1"/>
          <w:sz w:val="48"/>
          <w:szCs w:val="48"/>
          <w14:textFill>
            <w14:solidFill>
              <w14:schemeClr w14:val="tx1"/>
            </w14:solidFill>
          </w14:textFill>
        </w:rPr>
        <w:t>2021年度</w:t>
      </w:r>
    </w:p>
    <w:p>
      <w:pPr>
        <w:pStyle w:val="9"/>
        <w:jc w:val="center"/>
        <w:rPr>
          <w:rFonts w:hint="eastAsia" w:ascii="仿宋" w:hAnsi="仿宋" w:eastAsia="仿宋" w:cs="仿宋"/>
          <w:b/>
          <w:bCs/>
          <w:color w:val="000000" w:themeColor="text1"/>
          <w:sz w:val="48"/>
          <w:szCs w:val="48"/>
          <w14:textFill>
            <w14:solidFill>
              <w14:schemeClr w14:val="tx1"/>
            </w14:solidFill>
          </w14:textFill>
        </w:rPr>
      </w:pPr>
      <w:r>
        <w:rPr>
          <w:rFonts w:hint="eastAsia" w:ascii="仿宋" w:hAnsi="仿宋" w:eastAsia="仿宋" w:cs="仿宋"/>
          <w:b/>
          <w:bCs/>
          <w:color w:val="000000" w:themeColor="text1"/>
          <w:sz w:val="48"/>
          <w:szCs w:val="48"/>
          <w14:textFill>
            <w14:solidFill>
              <w14:schemeClr w14:val="tx1"/>
            </w14:solidFill>
          </w14:textFill>
        </w:rPr>
        <w:t>怀化市城市管理事务中心</w:t>
      </w:r>
    </w:p>
    <w:p>
      <w:pPr>
        <w:pStyle w:val="9"/>
        <w:jc w:val="center"/>
        <w:rPr>
          <w:rFonts w:hint="eastAsia" w:ascii="仿宋" w:hAnsi="仿宋" w:eastAsia="仿宋" w:cs="仿宋"/>
          <w:b/>
          <w:bCs/>
          <w:color w:val="000000" w:themeColor="text1"/>
          <w:sz w:val="48"/>
          <w:szCs w:val="48"/>
          <w14:textFill>
            <w14:solidFill>
              <w14:schemeClr w14:val="tx1"/>
            </w14:solidFill>
          </w14:textFill>
        </w:rPr>
      </w:pPr>
      <w:r>
        <w:rPr>
          <w:rFonts w:hint="eastAsia" w:ascii="仿宋" w:hAnsi="仿宋" w:eastAsia="仿宋" w:cs="仿宋"/>
          <w:b/>
          <w:bCs/>
          <w:color w:val="000000" w:themeColor="text1"/>
          <w:sz w:val="48"/>
          <w:szCs w:val="48"/>
          <w14:textFill>
            <w14:solidFill>
              <w14:schemeClr w14:val="tx1"/>
            </w14:solidFill>
          </w14:textFill>
        </w:rPr>
        <w:t>部门决算</w:t>
      </w:r>
    </w:p>
    <w:p>
      <w:pPr>
        <w:pStyle w:val="9"/>
        <w:jc w:val="center"/>
        <w:rPr>
          <w:rFonts w:hint="eastAsia" w:ascii="仿宋" w:hAnsi="仿宋" w:eastAsia="仿宋" w:cs="仿宋"/>
          <w:b/>
          <w:bCs/>
          <w:color w:val="000000" w:themeColor="text1"/>
          <w:sz w:val="48"/>
          <w:szCs w:val="48"/>
          <w14:textFill>
            <w14:solidFill>
              <w14:schemeClr w14:val="tx1"/>
            </w14:solidFill>
          </w14:textFill>
        </w:rPr>
      </w:pPr>
    </w:p>
    <w:p>
      <w:pPr>
        <w:pStyle w:val="9"/>
        <w:spacing w:line="500" w:lineRule="exact"/>
        <w:jc w:val="center"/>
        <w:rPr>
          <w:rFonts w:hint="eastAsia"/>
          <w:b w:val="0"/>
          <w:bCs/>
          <w:color w:val="000000" w:themeColor="text1"/>
          <w:sz w:val="32"/>
          <w:szCs w:val="32"/>
          <w14:textFill>
            <w14:solidFill>
              <w14:schemeClr w14:val="tx1"/>
            </w14:solidFill>
          </w14:textFill>
        </w:rPr>
      </w:pPr>
      <w:r>
        <w:rPr>
          <w:rFonts w:hint="eastAsia"/>
          <w:b w:val="0"/>
          <w:bCs/>
          <w:color w:val="000000" w:themeColor="text1"/>
          <w:sz w:val="32"/>
          <w:szCs w:val="32"/>
          <w14:textFill>
            <w14:solidFill>
              <w14:schemeClr w14:val="tx1"/>
            </w14:solidFill>
          </w14:textFill>
        </w:rPr>
        <w:t>目</w:t>
      </w:r>
      <w:r>
        <w:rPr>
          <w:rFonts w:hint="eastAsia"/>
          <w:b w:val="0"/>
          <w:bCs/>
          <w:color w:val="000000" w:themeColor="text1"/>
          <w:sz w:val="32"/>
          <w:szCs w:val="32"/>
          <w:lang w:val="en-US" w:eastAsia="zh-CN"/>
          <w14:textFill>
            <w14:solidFill>
              <w14:schemeClr w14:val="tx1"/>
            </w14:solidFill>
          </w14:textFill>
        </w:rPr>
        <w:t xml:space="preserve"> </w:t>
      </w:r>
      <w:r>
        <w:rPr>
          <w:rFonts w:hint="eastAsia"/>
          <w:b w:val="0"/>
          <w:bCs/>
          <w:color w:val="000000" w:themeColor="text1"/>
          <w:sz w:val="32"/>
          <w:szCs w:val="32"/>
          <w14:textFill>
            <w14:solidFill>
              <w14:schemeClr w14:val="tx1"/>
            </w14:solidFill>
          </w14:textFill>
        </w:rPr>
        <w:t>录</w:t>
      </w:r>
    </w:p>
    <w:p>
      <w:pPr>
        <w:pStyle w:val="9"/>
        <w:spacing w:line="500" w:lineRule="exact"/>
        <w:jc w:val="center"/>
        <w:rPr>
          <w:rFonts w:hint="eastAsia"/>
          <w:b w:val="0"/>
          <w:bCs/>
          <w:color w:val="000000" w:themeColor="text1"/>
          <w:sz w:val="32"/>
          <w:szCs w:val="32"/>
          <w14:textFill>
            <w14:solidFill>
              <w14:schemeClr w14:val="tx1"/>
            </w14:solidFill>
          </w14:textFill>
        </w:rPr>
      </w:pPr>
    </w:p>
    <w:p>
      <w:pPr>
        <w:pStyle w:val="9"/>
        <w:spacing w:line="500" w:lineRule="exact"/>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第一部分</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怀化市城市管理事务中心部门概况</w:t>
      </w:r>
    </w:p>
    <w:p>
      <w:pPr>
        <w:pStyle w:val="9"/>
        <w:spacing w:line="50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一、部门职责</w:t>
      </w:r>
    </w:p>
    <w:p>
      <w:pPr>
        <w:pStyle w:val="9"/>
        <w:spacing w:line="50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二、机构设置</w:t>
      </w:r>
    </w:p>
    <w:p>
      <w:pPr>
        <w:pStyle w:val="9"/>
        <w:spacing w:line="500" w:lineRule="exact"/>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第二部分</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2021年度部门决算表</w:t>
      </w:r>
    </w:p>
    <w:p>
      <w:pPr>
        <w:pStyle w:val="9"/>
        <w:spacing w:line="50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一、收入支出决算总表</w:t>
      </w:r>
    </w:p>
    <w:p>
      <w:pPr>
        <w:pStyle w:val="9"/>
        <w:spacing w:line="50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二、收入决算表</w:t>
      </w:r>
    </w:p>
    <w:p>
      <w:pPr>
        <w:pStyle w:val="9"/>
        <w:spacing w:line="50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三、支出决算表</w:t>
      </w:r>
    </w:p>
    <w:p>
      <w:pPr>
        <w:pStyle w:val="9"/>
        <w:spacing w:line="50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四、财政拨款收入支出决算总表</w:t>
      </w:r>
    </w:p>
    <w:p>
      <w:pPr>
        <w:pStyle w:val="9"/>
        <w:spacing w:line="50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五、一般公共预算财政拨款支出决算表</w:t>
      </w:r>
    </w:p>
    <w:p>
      <w:pPr>
        <w:pStyle w:val="9"/>
        <w:spacing w:line="50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六、一般公共预算财政拨款基本支出决算明细表</w:t>
      </w:r>
    </w:p>
    <w:p>
      <w:pPr>
        <w:pStyle w:val="9"/>
        <w:spacing w:line="50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七、一般公共预算财政拨款“三公”经费支出决算表</w:t>
      </w:r>
    </w:p>
    <w:p>
      <w:pPr>
        <w:pStyle w:val="9"/>
        <w:spacing w:line="50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八、政府性基金预算财政拨款收入支出决算表</w:t>
      </w:r>
    </w:p>
    <w:p>
      <w:pPr>
        <w:pStyle w:val="9"/>
        <w:spacing w:line="50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九、国有资本经营预算财政拨款支出决算表</w:t>
      </w:r>
    </w:p>
    <w:p>
      <w:pPr>
        <w:pStyle w:val="9"/>
        <w:spacing w:line="500" w:lineRule="exact"/>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第三部分</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2021年度部门决算情况说明</w:t>
      </w:r>
    </w:p>
    <w:p>
      <w:pPr>
        <w:pStyle w:val="9"/>
        <w:spacing w:line="50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一、收入支出决算总体情况说明</w:t>
      </w:r>
    </w:p>
    <w:p>
      <w:pPr>
        <w:spacing w:line="500" w:lineRule="exact"/>
        <w:ind w:firstLine="800" w:firstLineChars="25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二、收入决算情况说明</w:t>
      </w:r>
    </w:p>
    <w:p>
      <w:pPr>
        <w:autoSpaceDE w:val="0"/>
        <w:autoSpaceDN w:val="0"/>
        <w:adjustRightInd w:val="0"/>
        <w:spacing w:line="500" w:lineRule="exact"/>
        <w:ind w:firstLine="800" w:firstLineChars="25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三、支出决算情况说明</w:t>
      </w:r>
    </w:p>
    <w:p>
      <w:pPr>
        <w:autoSpaceDE w:val="0"/>
        <w:autoSpaceDN w:val="0"/>
        <w:adjustRightInd w:val="0"/>
        <w:spacing w:line="500" w:lineRule="exact"/>
        <w:ind w:firstLine="800" w:firstLineChars="25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四、财政拨款收入支出决算总体情况说明</w:t>
      </w:r>
    </w:p>
    <w:p>
      <w:pPr>
        <w:autoSpaceDE w:val="0"/>
        <w:autoSpaceDN w:val="0"/>
        <w:adjustRightInd w:val="0"/>
        <w:spacing w:line="500" w:lineRule="exact"/>
        <w:ind w:firstLine="800" w:firstLineChars="25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五、一般公共预算财政拨款支出决算情况说明</w:t>
      </w:r>
    </w:p>
    <w:p>
      <w:pPr>
        <w:autoSpaceDE w:val="0"/>
        <w:autoSpaceDN w:val="0"/>
        <w:adjustRightInd w:val="0"/>
        <w:spacing w:line="500" w:lineRule="exact"/>
        <w:ind w:firstLine="800" w:firstLineChars="25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六、一般公共预算财政拨款基本支出决算情况说明</w:t>
      </w:r>
    </w:p>
    <w:p>
      <w:pPr>
        <w:autoSpaceDE w:val="0"/>
        <w:autoSpaceDN w:val="0"/>
        <w:adjustRightInd w:val="0"/>
        <w:spacing w:line="500" w:lineRule="exact"/>
        <w:ind w:firstLine="800" w:firstLineChars="25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七、一般公共预算财政拨款“三公”经费支出决算情况说明</w:t>
      </w:r>
    </w:p>
    <w:p>
      <w:pPr>
        <w:autoSpaceDE w:val="0"/>
        <w:autoSpaceDN w:val="0"/>
        <w:adjustRightInd w:val="0"/>
        <w:spacing w:line="500" w:lineRule="exact"/>
        <w:ind w:firstLine="800" w:firstLineChars="25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八、政府性基金预算收入支出决算情况</w:t>
      </w:r>
    </w:p>
    <w:p>
      <w:pPr>
        <w:autoSpaceDE w:val="0"/>
        <w:autoSpaceDN w:val="0"/>
        <w:adjustRightInd w:val="0"/>
        <w:spacing w:line="500" w:lineRule="exact"/>
        <w:ind w:firstLine="800" w:firstLineChars="25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九、</w:t>
      </w:r>
      <w:r>
        <w:rPr>
          <w:rFonts w:hint="eastAsia" w:ascii="仿宋" w:hAnsi="仿宋" w:eastAsia="仿宋" w:cs="仿宋"/>
          <w:color w:val="000000" w:themeColor="text1"/>
          <w:sz w:val="32"/>
          <w:szCs w:val="32"/>
          <w14:textFill>
            <w14:solidFill>
              <w14:schemeClr w14:val="tx1"/>
            </w14:solidFill>
          </w14:textFill>
        </w:rPr>
        <w:t>国有资本经营预算财政拨款收支决算情况</w:t>
      </w:r>
    </w:p>
    <w:p>
      <w:pPr>
        <w:autoSpaceDE w:val="0"/>
        <w:autoSpaceDN w:val="0"/>
        <w:adjustRightInd w:val="0"/>
        <w:spacing w:line="500" w:lineRule="exact"/>
        <w:ind w:firstLine="800" w:firstLineChars="25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十、关于机关运行经费支出说明</w:t>
      </w:r>
    </w:p>
    <w:p>
      <w:pPr>
        <w:autoSpaceDE w:val="0"/>
        <w:autoSpaceDN w:val="0"/>
        <w:adjustRightInd w:val="0"/>
        <w:spacing w:line="500" w:lineRule="exact"/>
        <w:ind w:firstLine="800" w:firstLineChars="25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十一、一般性支出情况说明</w:t>
      </w:r>
    </w:p>
    <w:p>
      <w:pPr>
        <w:autoSpaceDE w:val="0"/>
        <w:autoSpaceDN w:val="0"/>
        <w:adjustRightInd w:val="0"/>
        <w:spacing w:line="500" w:lineRule="exact"/>
        <w:ind w:firstLine="800" w:firstLineChars="25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十二、关于政府采购支出说明</w:t>
      </w:r>
    </w:p>
    <w:p>
      <w:pPr>
        <w:pStyle w:val="9"/>
        <w:spacing w:line="50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十三、关于国有资产占用情况说明</w:t>
      </w:r>
    </w:p>
    <w:p>
      <w:pPr>
        <w:pStyle w:val="9"/>
        <w:spacing w:line="50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十四、关于2021年度预算绩效情况说明</w:t>
      </w:r>
    </w:p>
    <w:p>
      <w:pPr>
        <w:pStyle w:val="9"/>
        <w:spacing w:line="500" w:lineRule="exact"/>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第四部分</w:t>
      </w:r>
      <w:r>
        <w:rPr>
          <w:rFonts w:hint="eastAsia" w:hAnsi="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名词解释</w:t>
      </w:r>
    </w:p>
    <w:p>
      <w:pPr>
        <w:pStyle w:val="9"/>
        <w:spacing w:line="500" w:lineRule="exact"/>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第五部分</w:t>
      </w:r>
      <w:r>
        <w:rPr>
          <w:rFonts w:hint="eastAsia" w:hAnsi="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附件</w:t>
      </w:r>
    </w:p>
    <w:p>
      <w:pPr>
        <w:jc w:val="cente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pStyle w:val="9"/>
        <w:jc w:val="center"/>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第一部分</w:t>
      </w:r>
    </w:p>
    <w:p>
      <w:pPr>
        <w:pStyle w:val="9"/>
        <w:jc w:val="center"/>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怀化市城市管理事务中心</w:t>
      </w:r>
    </w:p>
    <w:p>
      <w:pPr>
        <w:pStyle w:val="9"/>
        <w:jc w:val="center"/>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单位概况</w:t>
      </w:r>
    </w:p>
    <w:p>
      <w:pPr>
        <w:pStyle w:val="10"/>
        <w:numPr>
          <w:ilvl w:val="0"/>
          <w:numId w:val="0"/>
        </w:numPr>
        <w:jc w:val="left"/>
        <w:rPr>
          <w:rFonts w:hint="eastAsia" w:ascii="黑体" w:hAnsi="黑体" w:eastAsia="黑体" w:cs="黑体"/>
          <w:color w:val="000000" w:themeColor="text1"/>
          <w:kern w:val="2"/>
          <w:sz w:val="32"/>
          <w:szCs w:val="32"/>
          <w:lang w:val="en-US" w:eastAsia="zh-CN" w:bidi="ar-SA"/>
          <w14:textFill>
            <w14:solidFill>
              <w14:schemeClr w14:val="tx1"/>
            </w14:solidFill>
          </w14:textFill>
        </w:rPr>
      </w:pPr>
    </w:p>
    <w:p>
      <w:pPr>
        <w:pStyle w:val="10"/>
        <w:numPr>
          <w:ilvl w:val="0"/>
          <w:numId w:val="0"/>
        </w:numPr>
        <w:ind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部门职责</w:t>
      </w:r>
    </w:p>
    <w:p>
      <w:pPr>
        <w:widowControl/>
        <w:spacing w:line="600" w:lineRule="exact"/>
        <w:ind w:firstLine="640" w:firstLineChars="200"/>
        <w:rPr>
          <w:rFonts w:hint="eastAsia" w:ascii="仿宋" w:hAnsi="仿宋" w:eastAsia="仿宋" w:cs="仿宋"/>
          <w:b/>
          <w:bCs w:val="0"/>
          <w:color w:val="000000" w:themeColor="text1"/>
          <w:kern w:val="0"/>
          <w:sz w:val="32"/>
          <w:szCs w:val="32"/>
          <w14:textFill>
            <w14:solidFill>
              <w14:schemeClr w14:val="tx1"/>
            </w14:solidFill>
          </w14:textFill>
        </w:rPr>
      </w:pPr>
      <w:r>
        <w:rPr>
          <w:rFonts w:hint="eastAsia" w:ascii="仿宋" w:hAnsi="仿宋" w:eastAsia="仿宋" w:cs="仿宋"/>
          <w:b/>
          <w:bCs w:val="0"/>
          <w:color w:val="000000" w:themeColor="text1"/>
          <w:kern w:val="0"/>
          <w:sz w:val="32"/>
          <w:szCs w:val="32"/>
          <w14:textFill>
            <w14:solidFill>
              <w14:schemeClr w14:val="tx1"/>
            </w14:solidFill>
          </w14:textFill>
        </w:rPr>
        <w:t>（一）怀化市城市管理事务中心是全额拨款事业单位。</w:t>
      </w:r>
    </w:p>
    <w:p>
      <w:pPr>
        <w:widowControl/>
        <w:spacing w:line="600" w:lineRule="exact"/>
        <w:ind w:firstLine="640" w:firstLineChars="200"/>
        <w:rPr>
          <w:rFonts w:hint="eastAsia" w:ascii="仿宋" w:hAnsi="仿宋" w:eastAsia="仿宋" w:cs="仿宋"/>
          <w:b/>
          <w:bCs w:val="0"/>
          <w:color w:val="000000" w:themeColor="text1"/>
          <w:kern w:val="0"/>
          <w:sz w:val="32"/>
          <w:szCs w:val="32"/>
          <w14:textFill>
            <w14:solidFill>
              <w14:schemeClr w14:val="tx1"/>
            </w14:solidFill>
          </w14:textFill>
        </w:rPr>
      </w:pPr>
      <w:r>
        <w:rPr>
          <w:rFonts w:hint="eastAsia" w:ascii="仿宋" w:hAnsi="仿宋" w:eastAsia="仿宋" w:cs="仿宋"/>
          <w:b/>
          <w:bCs w:val="0"/>
          <w:color w:val="000000" w:themeColor="text1"/>
          <w:kern w:val="0"/>
          <w:sz w:val="32"/>
          <w:szCs w:val="32"/>
          <w14:textFill>
            <w14:solidFill>
              <w14:schemeClr w14:val="tx1"/>
            </w14:solidFill>
          </w14:textFill>
        </w:rPr>
        <w:t>（二）主要工作职责：</w:t>
      </w:r>
    </w:p>
    <w:p>
      <w:pPr>
        <w:widowControl/>
        <w:spacing w:line="600" w:lineRule="exact"/>
        <w:ind w:firstLine="640" w:firstLineChars="200"/>
        <w:rPr>
          <w:rFonts w:hint="eastAsia"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1.宣传和贯彻落实国家、省有关城市管理的方针政策和法律法规，为建设城市、经营城市、管理城市提供服务保障。</w:t>
      </w:r>
    </w:p>
    <w:p>
      <w:pPr>
        <w:widowControl/>
        <w:spacing w:line="600" w:lineRule="exact"/>
        <w:ind w:firstLine="640" w:firstLineChars="200"/>
        <w:rPr>
          <w:rFonts w:hint="eastAsia"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2.负责拟定市本级环境卫生行业中长期规划、年度计划和怀化市环境卫生行业作业规范及标准，并指导实施；负责拟定市本级城区环境卫生基础设施建设方案，并对环境卫生基础设施建设、改造提供技术指导服务；负责环境卫生行业基础数据采集及先进技术的引进和推广运用。</w:t>
      </w:r>
    </w:p>
    <w:p>
      <w:pPr>
        <w:widowControl/>
        <w:spacing w:line="600" w:lineRule="exact"/>
        <w:ind w:firstLine="640" w:firstLineChars="200"/>
        <w:rPr>
          <w:rFonts w:hint="eastAsia"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3.负责宣传普及城市环境卫生法律法规和环境卫生科学知识；指导全市环境卫生工作的开展和环境卫生作业社会化、市场化服务工作；负责全市环境卫生从业人员技能培训等工作。</w:t>
      </w:r>
    </w:p>
    <w:p>
      <w:pPr>
        <w:widowControl/>
        <w:spacing w:line="600" w:lineRule="exact"/>
        <w:ind w:firstLine="640" w:firstLineChars="200"/>
        <w:rPr>
          <w:rFonts w:hint="eastAsia"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4.负责市本级生活垃圾填埋处理日常事务工作；负责生活垃圾焚烧发电、餐厨垃圾处理的服务工作；负责指导各县市区开展生活垃圾、餐厨垃圾无害化处理工作。</w:t>
      </w:r>
    </w:p>
    <w:p>
      <w:pPr>
        <w:widowControl/>
        <w:spacing w:line="600" w:lineRule="exact"/>
        <w:ind w:firstLine="640" w:firstLineChars="200"/>
        <w:rPr>
          <w:rFonts w:hint="eastAsia"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5.负责跨区域生活垃圾、餐厨垃圾运输处理的指导服务工作;负责生活垃圾收集、清运、处置等许可的服务工作。</w:t>
      </w:r>
    </w:p>
    <w:p>
      <w:pPr>
        <w:widowControl/>
        <w:spacing w:line="600" w:lineRule="exact"/>
        <w:ind w:firstLine="640" w:firstLineChars="200"/>
        <w:rPr>
          <w:rFonts w:hint="eastAsia"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6.负责生活垃圾分类指导服务工作，协助主管部门指导、协调、监督建筑垃圾的处置工作。</w:t>
      </w:r>
    </w:p>
    <w:p>
      <w:pPr>
        <w:widowControl/>
        <w:spacing w:line="600" w:lineRule="exact"/>
        <w:ind w:firstLine="640" w:firstLineChars="200"/>
        <w:rPr>
          <w:rFonts w:hint="eastAsia"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7.指导怀化环境卫生协会工作。</w:t>
      </w:r>
    </w:p>
    <w:p>
      <w:pPr>
        <w:widowControl/>
        <w:spacing w:line="600" w:lineRule="exact"/>
        <w:ind w:firstLine="640" w:firstLineChars="200"/>
        <w:rPr>
          <w:rFonts w:hint="eastAsia"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8.承办市城市管理和综合执法局交办的其他事项。</w:t>
      </w:r>
    </w:p>
    <w:p>
      <w:pPr>
        <w:widowControl/>
        <w:spacing w:line="600" w:lineRule="exact"/>
        <w:ind w:firstLine="640" w:firstLineChars="200"/>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二、机构设置及决算单位构成</w:t>
      </w:r>
    </w:p>
    <w:p>
      <w:pPr>
        <w:widowControl/>
        <w:spacing w:line="600" w:lineRule="exact"/>
        <w:ind w:firstLine="640" w:firstLineChars="200"/>
        <w:rPr>
          <w:rFonts w:hint="eastAsia"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一）内设机构设置。怀化市城市管理事务中心作为怀化市城市管理和综合执法局的二级部门预算单位，内设机构包括：办公室、人事教育培训部、财务部、环卫业务服务部、垃圾处理服务部、环卫基础设施建设服务部、环卫科技推广服务部、生活垃圾处理部。</w:t>
      </w:r>
    </w:p>
    <w:p>
      <w:pPr>
        <w:widowControl/>
        <w:spacing w:line="600" w:lineRule="exact"/>
        <w:ind w:firstLine="640" w:firstLineChars="200"/>
        <w:rPr>
          <w:rFonts w:hint="eastAsia"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（二）决算单位构成。怀化市城市管理事务中心2021年部门决算汇总公开单位构成包括：怀化市城市管理事务中心。</w:t>
      </w:r>
    </w:p>
    <w:p>
      <w:pPr>
        <w:jc w:val="center"/>
        <w:rPr>
          <w:rFonts w:hint="eastAsia" w:ascii="仿宋" w:hAnsi="仿宋" w:eastAsia="仿宋" w:cs="仿宋"/>
          <w:color w:val="000000" w:themeColor="text1"/>
          <w:sz w:val="32"/>
          <w:szCs w:val="32"/>
          <w14:textFill>
            <w14:solidFill>
              <w14:schemeClr w14:val="tx1"/>
            </w14:solidFill>
          </w14:textFill>
        </w:rPr>
      </w:pPr>
    </w:p>
    <w:p>
      <w:pPr>
        <w:pStyle w:val="9"/>
        <w:jc w:val="center"/>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第二部分</w:t>
      </w:r>
      <w:r>
        <w:rPr>
          <w:rFonts w:hint="eastAsia" w:ascii="黑体" w:hAnsi="黑体" w:eastAsia="黑体" w:cs="黑体"/>
          <w:b/>
          <w:bCs/>
          <w:color w:val="000000" w:themeColor="text1"/>
          <w:sz w:val="44"/>
          <w:szCs w:val="44"/>
          <w:lang w:val="en-US" w:eastAsia="zh-CN"/>
          <w14:textFill>
            <w14:solidFill>
              <w14:schemeClr w14:val="tx1"/>
            </w14:solidFill>
          </w14:textFill>
        </w:rPr>
        <w:t xml:space="preserve"> </w:t>
      </w:r>
      <w:r>
        <w:rPr>
          <w:rFonts w:hint="eastAsia" w:ascii="黑体" w:hAnsi="黑体" w:eastAsia="黑体" w:cs="黑体"/>
          <w:b/>
          <w:bCs/>
          <w:color w:val="000000" w:themeColor="text1"/>
          <w:sz w:val="44"/>
          <w:szCs w:val="44"/>
          <w14:textFill>
            <w14:solidFill>
              <w14:schemeClr w14:val="tx1"/>
            </w14:solidFill>
          </w14:textFill>
        </w:rPr>
        <w:t>部门决算表</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（表格见附件）</w:t>
      </w:r>
    </w:p>
    <w:p>
      <w:pPr>
        <w:pStyle w:val="9"/>
        <w:jc w:val="center"/>
        <w:rPr>
          <w:rFonts w:hint="eastAsia" w:ascii="仿宋" w:hAnsi="仿宋" w:eastAsia="仿宋" w:cs="仿宋"/>
          <w:color w:val="000000" w:themeColor="text1"/>
          <w:sz w:val="32"/>
          <w:szCs w:val="32"/>
          <w14:textFill>
            <w14:solidFill>
              <w14:schemeClr w14:val="tx1"/>
            </w14:solidFill>
          </w14:textFill>
        </w:rPr>
      </w:pPr>
    </w:p>
    <w:p>
      <w:pPr>
        <w:pStyle w:val="9"/>
        <w:jc w:val="center"/>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第三部分</w:t>
      </w:r>
      <w:r>
        <w:rPr>
          <w:rFonts w:hint="eastAsia" w:ascii="黑体" w:hAnsi="黑体" w:eastAsia="黑体" w:cs="黑体"/>
          <w:b/>
          <w:bCs/>
          <w:color w:val="000000" w:themeColor="text1"/>
          <w:sz w:val="44"/>
          <w:szCs w:val="44"/>
          <w:lang w:val="en-US" w:eastAsia="zh-CN"/>
          <w14:textFill>
            <w14:solidFill>
              <w14:schemeClr w14:val="tx1"/>
            </w14:solidFill>
          </w14:textFill>
        </w:rPr>
        <w:t xml:space="preserve"> </w:t>
      </w:r>
      <w:r>
        <w:rPr>
          <w:rFonts w:hint="eastAsia" w:ascii="黑体" w:hAnsi="黑体" w:eastAsia="黑体" w:cs="黑体"/>
          <w:b/>
          <w:bCs/>
          <w:color w:val="000000" w:themeColor="text1"/>
          <w:sz w:val="44"/>
          <w:szCs w:val="44"/>
          <w14:textFill>
            <w14:solidFill>
              <w14:schemeClr w14:val="tx1"/>
            </w14:solidFill>
          </w14:textFill>
        </w:rPr>
        <w:t>2021年度部门决算情况说明</w:t>
      </w:r>
    </w:p>
    <w:p>
      <w:pPr>
        <w:widowControl/>
        <w:jc w:val="left"/>
        <w:rPr>
          <w:rFonts w:hint="eastAsia" w:ascii="仿宋" w:hAnsi="仿宋" w:eastAsia="仿宋" w:cs="仿宋"/>
          <w:color w:val="000000" w:themeColor="text1"/>
          <w:sz w:val="32"/>
          <w:szCs w:val="32"/>
          <w14:textFill>
            <w14:solidFill>
              <w14:schemeClr w14:val="tx1"/>
            </w14:solidFill>
          </w14:textFill>
        </w:rPr>
      </w:pPr>
    </w:p>
    <w:p>
      <w:pPr>
        <w:pStyle w:val="9"/>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一、收入支出决算总体情况说明</w:t>
      </w:r>
    </w:p>
    <w:p>
      <w:pPr>
        <w:pStyle w:val="9"/>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2021年度收入合计2,718.81万元。与上年相比，增加44.18万元，增长1.62%，主要是因为政府性基金预算财政拨款收入和其他收入增加。</w:t>
      </w:r>
    </w:p>
    <w:p>
      <w:pPr>
        <w:pStyle w:val="9"/>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2021年度支出合计3,294.16万元。与上年相比，增加822.88万元，增长24.98%，主要是因为本年度二垃圾厂运行经费，消化债务。</w:t>
      </w:r>
    </w:p>
    <w:p>
      <w:pPr>
        <w:pStyle w:val="9"/>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二、收入决算情况说明</w:t>
      </w:r>
    </w:p>
    <w:p>
      <w:pPr>
        <w:pStyle w:val="9"/>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2021年度收入合计2,718.81万元，其中：财政拨款收入2,673.39万元，占98.33%；上级补助收入0万元，占0%；事业收入0万元，占0%；经营收入0万</w:t>
      </w:r>
      <w:r>
        <w:rPr>
          <w:rFonts w:hint="eastAsia" w:ascii="仿宋" w:hAnsi="仿宋" w:eastAsia="仿宋" w:cs="仿宋"/>
          <w:color w:val="000000" w:themeColor="text1"/>
          <w:sz w:val="32"/>
          <w:szCs w:val="32"/>
          <w14:textFill>
            <w14:solidFill>
              <w14:schemeClr w14:val="tx1"/>
            </w14:solidFill>
          </w14:textFill>
        </w:rPr>
        <w:t>元，占0%；附属单位上缴收入0万元，占0%；其他收入45.43万元，占1.67%。</w:t>
      </w:r>
    </w:p>
    <w:p>
      <w:pPr>
        <w:pStyle w:val="9"/>
        <w:ind w:firstLine="640" w:firstLineChars="200"/>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hAnsi="黑体" w:cs="黑体"/>
          <w:b w:val="0"/>
          <w:bCs/>
          <w:color w:val="000000" w:themeColor="text1"/>
          <w:sz w:val="32"/>
          <w:szCs w:val="32"/>
          <w:lang w:val="en-US" w:eastAsia="zh-CN"/>
          <w14:textFill>
            <w14:solidFill>
              <w14:schemeClr w14:val="tx1"/>
            </w14:solidFill>
          </w14:textFill>
        </w:rPr>
        <w:t>三</w:t>
      </w:r>
      <w:r>
        <w:rPr>
          <w:rFonts w:hint="eastAsia" w:ascii="黑体" w:hAnsi="黑体" w:eastAsia="黑体" w:cs="黑体"/>
          <w:b w:val="0"/>
          <w:bCs/>
          <w:color w:val="000000" w:themeColor="text1"/>
          <w:sz w:val="32"/>
          <w:szCs w:val="32"/>
          <w14:textFill>
            <w14:solidFill>
              <w14:schemeClr w14:val="tx1"/>
            </w14:solidFill>
          </w14:textFill>
        </w:rPr>
        <w:t>、</w:t>
      </w:r>
      <w:r>
        <w:rPr>
          <w:rFonts w:hint="eastAsia" w:ascii="黑体" w:hAnsi="黑体" w:eastAsia="黑体" w:cs="黑体"/>
          <w:b w:val="0"/>
          <w:bCs/>
          <w:color w:val="000000" w:themeColor="text1"/>
          <w:sz w:val="32"/>
          <w:szCs w:val="32"/>
          <w:lang w:val="en-US" w:eastAsia="zh-CN"/>
          <w14:textFill>
            <w14:solidFill>
              <w14:schemeClr w14:val="tx1"/>
            </w14:solidFill>
          </w14:textFill>
        </w:rPr>
        <w:t>支出</w:t>
      </w:r>
      <w:r>
        <w:rPr>
          <w:rFonts w:hint="eastAsia" w:ascii="黑体" w:hAnsi="黑体" w:eastAsia="黑体" w:cs="黑体"/>
          <w:b w:val="0"/>
          <w:bCs/>
          <w:color w:val="000000" w:themeColor="text1"/>
          <w:sz w:val="32"/>
          <w:szCs w:val="32"/>
          <w14:textFill>
            <w14:solidFill>
              <w14:schemeClr w14:val="tx1"/>
            </w14:solidFill>
          </w14:textFill>
        </w:rPr>
        <w:t>决算情况说明</w:t>
      </w:r>
    </w:p>
    <w:p>
      <w:pPr>
        <w:pStyle w:val="9"/>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2021年度支出合计3,294.16万元，其中：基本支出1,167.33万元，占35.44%；项目支出2,126.83万元，占64.56%；上缴上级支出0万元，占0%；经营支出0万元，占0%；对附属单位补助支出0万元，占0%。</w:t>
      </w:r>
    </w:p>
    <w:p>
      <w:pPr>
        <w:pStyle w:val="9"/>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四、财政拨款收入支出决算总体情况说明</w:t>
      </w:r>
    </w:p>
    <w:p>
      <w:pPr>
        <w:pStyle w:val="9"/>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2021年度财政拨款收入合计2,673.38万元。与上年相比，增加24.93万元，增长0.94%；主要是因为政府性</w:t>
      </w:r>
      <w:r>
        <w:rPr>
          <w:rFonts w:hint="eastAsia" w:ascii="仿宋" w:hAnsi="仿宋" w:eastAsia="仿宋" w:cs="仿宋"/>
          <w:color w:val="000000" w:themeColor="text1"/>
          <w:sz w:val="32"/>
          <w:szCs w:val="32"/>
          <w14:textFill>
            <w14:solidFill>
              <w14:schemeClr w14:val="tx1"/>
            </w14:solidFill>
          </w14:textFill>
        </w:rPr>
        <w:t>基金预算财政拨款收入增加。</w:t>
      </w:r>
    </w:p>
    <w:p>
      <w:pPr>
        <w:pStyle w:val="9"/>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2021年度财政拨款支出合计3,248.73万元。与上年相比，增加803.63万元，增长32.87%，主要是因为本年度二垃圾厂运行经费，消化债务。</w:t>
      </w:r>
    </w:p>
    <w:p>
      <w:pPr>
        <w:pStyle w:val="9"/>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五、一般公共预算财政拨款支出决算情况说明</w:t>
      </w:r>
    </w:p>
    <w:p>
      <w:pPr>
        <w:pStyle w:val="9"/>
        <w:ind w:firstLine="64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（一）财政拨款支出决算总体情况</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2021年度财政拨款支出1,821.82万元，占本年支出合计的56.08%，与上年相比，财政拨款支出减少264.28万元，减少12.67%，主要是城乡社区支出减少。</w:t>
      </w:r>
    </w:p>
    <w:p>
      <w:pPr>
        <w:pStyle w:val="9"/>
        <w:ind w:firstLine="480" w:firstLineChars="15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（二）财政拨款支出决算结构情况</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2021年度财政拨款支出1,821.82万元，主要用于以下方面：一般公共服务（类）支出223.06万元，占12.24%；社会保障和就业（类）支出337.72万元，占18.54%;卫生健康（类）支出37.53万元，占2.06%;节能环保（类）支出95.5</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万元，占5.24%;城乡社区（类）支出1,128.00万元，占61.92%。</w:t>
      </w:r>
    </w:p>
    <w:p>
      <w:pPr>
        <w:pStyle w:val="9"/>
        <w:ind w:firstLine="800" w:firstLineChars="25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（三）财政拨款支出决算具体情况</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2021年度财政拨款支出年初预算数为1,017.72万元，支出决算数为1,821.82万元，完成年初预算的179.01%，其中：</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1、一般公共服务支出（类）组织事务（款）其他组织事务支出（项）。</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年初预算为0万元，支出决算为8.8万元，</w:t>
      </w:r>
      <w:r>
        <w:rPr>
          <w:rFonts w:hint="eastAsia" w:ascii="仿宋" w:hAnsi="仿宋" w:eastAsia="仿宋" w:cs="仿宋"/>
          <w:color w:val="000000" w:themeColor="text1"/>
          <w:sz w:val="32"/>
          <w:szCs w:val="32"/>
          <w:lang w:val="en-US" w:eastAsia="zh-CN"/>
          <w14:textFill>
            <w14:solidFill>
              <w14:schemeClr w14:val="tx1"/>
            </w14:solidFill>
          </w14:textFill>
        </w:rPr>
        <w:t>无法计算完成比例,</w:t>
      </w:r>
      <w:r>
        <w:rPr>
          <w:rFonts w:hint="eastAsia" w:ascii="仿宋" w:hAnsi="仿宋" w:eastAsia="仿宋" w:cs="仿宋"/>
          <w:color w:val="000000" w:themeColor="text1"/>
          <w:sz w:val="32"/>
          <w:szCs w:val="32"/>
          <w14:textFill>
            <w14:solidFill>
              <w14:schemeClr w14:val="tx1"/>
            </w14:solidFill>
          </w14:textFill>
        </w:rPr>
        <w:t>决算数大于年初预算数的主要原因是：本年度发生了其他组织事务支出，年初未纳入预算。</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2、一般公共服务支出（类）其他一般公共服务支出（款）其他一般公共服务支出（项）。</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年初预算为0万元，支出决算为214.26万元，</w:t>
      </w:r>
      <w:r>
        <w:rPr>
          <w:rFonts w:hint="eastAsia" w:ascii="仿宋" w:hAnsi="仿宋" w:eastAsia="仿宋" w:cs="仿宋"/>
          <w:color w:val="000000" w:themeColor="text1"/>
          <w:sz w:val="32"/>
          <w:szCs w:val="32"/>
          <w:lang w:val="en-US" w:eastAsia="zh-CN"/>
          <w14:textFill>
            <w14:solidFill>
              <w14:schemeClr w14:val="tx1"/>
            </w14:solidFill>
          </w14:textFill>
        </w:rPr>
        <w:t>无法计算完成比例,</w:t>
      </w:r>
      <w:r>
        <w:rPr>
          <w:rFonts w:hint="eastAsia" w:ascii="仿宋" w:hAnsi="仿宋" w:eastAsia="仿宋" w:cs="仿宋"/>
          <w:color w:val="000000" w:themeColor="text1"/>
          <w:sz w:val="32"/>
          <w:szCs w:val="32"/>
          <w14:textFill>
            <w14:solidFill>
              <w14:schemeClr w14:val="tx1"/>
            </w14:solidFill>
          </w14:textFill>
        </w:rPr>
        <w:t>决算数大于年初预算数的主要原因是：本年度发生了其他一般公共服务支出，年初未纳入预算。</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3、社会保障和就业支出（类）行政事业单位养老支出（款）其事业单位离退休（项）。</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年初预算为15.17万元，支出决算为15.17万元，完成年初预算的100%决算数等于年初预算数</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主要原因是按预算执行。</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4、社会保障和就业支出（类）行政事业单位养老支出（款）机关事业单位基本养老保险缴费支出（项）。</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年初预算为0万元，支出决算为74.74万元，</w:t>
      </w:r>
      <w:r>
        <w:rPr>
          <w:rFonts w:hint="eastAsia" w:ascii="仿宋" w:hAnsi="仿宋" w:eastAsia="仿宋" w:cs="仿宋"/>
          <w:color w:val="000000" w:themeColor="text1"/>
          <w:sz w:val="32"/>
          <w:szCs w:val="32"/>
          <w:lang w:val="en-US" w:eastAsia="zh-CN"/>
          <w14:textFill>
            <w14:solidFill>
              <w14:schemeClr w14:val="tx1"/>
            </w14:solidFill>
          </w14:textFill>
        </w:rPr>
        <w:t>无法计算完成比例,</w:t>
      </w:r>
      <w:r>
        <w:rPr>
          <w:rFonts w:hint="eastAsia" w:ascii="仿宋" w:hAnsi="仿宋" w:eastAsia="仿宋" w:cs="仿宋"/>
          <w:color w:val="000000" w:themeColor="text1"/>
          <w:sz w:val="32"/>
          <w:szCs w:val="32"/>
          <w14:textFill>
            <w14:solidFill>
              <w14:schemeClr w14:val="tx1"/>
            </w14:solidFill>
          </w14:textFill>
        </w:rPr>
        <w:t>决算数大于年初预算数的主要原因是：本年度发生了机关事业单位基本养老保险缴费支出，年初未纳入预算。</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5、社会保障和就业支出（类）行政事业单位养老支出（款）其他行政事业单位养老支出（项）。</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年初预算为0万元，支出决算为247.81万元，</w:t>
      </w:r>
      <w:r>
        <w:rPr>
          <w:rFonts w:hint="eastAsia" w:ascii="仿宋" w:hAnsi="仿宋" w:eastAsia="仿宋" w:cs="仿宋"/>
          <w:color w:val="000000" w:themeColor="text1"/>
          <w:sz w:val="32"/>
          <w:szCs w:val="32"/>
          <w:lang w:val="en-US" w:eastAsia="zh-CN"/>
          <w14:textFill>
            <w14:solidFill>
              <w14:schemeClr w14:val="tx1"/>
            </w14:solidFill>
          </w14:textFill>
        </w:rPr>
        <w:t>无法计算完成比例,</w:t>
      </w:r>
      <w:r>
        <w:rPr>
          <w:rFonts w:hint="eastAsia" w:ascii="仿宋" w:hAnsi="仿宋" w:eastAsia="仿宋" w:cs="仿宋"/>
          <w:color w:val="000000" w:themeColor="text1"/>
          <w:sz w:val="32"/>
          <w:szCs w:val="32"/>
          <w14:textFill>
            <w14:solidFill>
              <w14:schemeClr w14:val="tx1"/>
            </w14:solidFill>
          </w14:textFill>
        </w:rPr>
        <w:t>决算数大于年初预算数的主要原因是：本年度发生了其他行政事业单位养老支出，年初未纳入预算。</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6、卫生健康支出（类）行政事业单位医疗（款）行政单位医疗（项）。</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年初预算为0万元，支出决算为36.5万元，</w:t>
      </w:r>
      <w:r>
        <w:rPr>
          <w:rFonts w:hint="eastAsia" w:ascii="仿宋" w:hAnsi="仿宋" w:eastAsia="仿宋" w:cs="仿宋"/>
          <w:color w:val="000000" w:themeColor="text1"/>
          <w:sz w:val="32"/>
          <w:szCs w:val="32"/>
          <w:lang w:val="en-US" w:eastAsia="zh-CN"/>
          <w14:textFill>
            <w14:solidFill>
              <w14:schemeClr w14:val="tx1"/>
            </w14:solidFill>
          </w14:textFill>
        </w:rPr>
        <w:t>无法计算完成比例,</w:t>
      </w:r>
      <w:r>
        <w:rPr>
          <w:rFonts w:hint="eastAsia" w:ascii="仿宋" w:hAnsi="仿宋" w:eastAsia="仿宋" w:cs="仿宋"/>
          <w:color w:val="000000" w:themeColor="text1"/>
          <w:sz w:val="32"/>
          <w:szCs w:val="32"/>
          <w14:textFill>
            <w14:solidFill>
              <w14:schemeClr w14:val="tx1"/>
            </w14:solidFill>
          </w14:textFill>
        </w:rPr>
        <w:t>决算数大于年初预算数的主要原因是：本年度发生了行政单位医疗支出，年初未纳入预算。</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7、卫生健康支出（类）行政事业单位医疗（款）其他行政事业单位医疗支出（项）。</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年初预算为0万元，支出决算为1.03万元，</w:t>
      </w:r>
      <w:r>
        <w:rPr>
          <w:rFonts w:hint="eastAsia" w:ascii="仿宋" w:hAnsi="仿宋" w:eastAsia="仿宋" w:cs="仿宋"/>
          <w:color w:val="000000" w:themeColor="text1"/>
          <w:sz w:val="32"/>
          <w:szCs w:val="32"/>
          <w:lang w:val="en-US" w:eastAsia="zh-CN"/>
          <w14:textFill>
            <w14:solidFill>
              <w14:schemeClr w14:val="tx1"/>
            </w14:solidFill>
          </w14:textFill>
        </w:rPr>
        <w:t>无法计算完成比例,</w:t>
      </w:r>
      <w:r>
        <w:rPr>
          <w:rFonts w:hint="eastAsia" w:ascii="仿宋" w:hAnsi="仿宋" w:eastAsia="仿宋" w:cs="仿宋"/>
          <w:color w:val="000000" w:themeColor="text1"/>
          <w:sz w:val="32"/>
          <w:szCs w:val="32"/>
          <w14:textFill>
            <w14:solidFill>
              <w14:schemeClr w14:val="tx1"/>
            </w14:solidFill>
          </w14:textFill>
        </w:rPr>
        <w:t>决算数大于年初预算数的主要原因是：本年度发生了其他行政事业单位医疗支出，年初未纳入预算。</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8、节能环保支出（类）污染防治（款）其他污染防治支出（项）。</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年初预算为0万元，支出决算为95.50万元，</w:t>
      </w:r>
      <w:r>
        <w:rPr>
          <w:rFonts w:hint="eastAsia" w:ascii="仿宋" w:hAnsi="仿宋" w:eastAsia="仿宋" w:cs="仿宋"/>
          <w:color w:val="000000" w:themeColor="text1"/>
          <w:sz w:val="32"/>
          <w:szCs w:val="32"/>
          <w:lang w:val="en-US" w:eastAsia="zh-CN"/>
          <w14:textFill>
            <w14:solidFill>
              <w14:schemeClr w14:val="tx1"/>
            </w14:solidFill>
          </w14:textFill>
        </w:rPr>
        <w:t>无法计算完成比例,</w:t>
      </w:r>
      <w:r>
        <w:rPr>
          <w:rFonts w:hint="eastAsia" w:ascii="仿宋" w:hAnsi="仿宋" w:eastAsia="仿宋" w:cs="仿宋"/>
          <w:color w:val="000000" w:themeColor="text1"/>
          <w:sz w:val="32"/>
          <w:szCs w:val="32"/>
          <w14:textFill>
            <w14:solidFill>
              <w14:schemeClr w14:val="tx1"/>
            </w14:solidFill>
          </w14:textFill>
        </w:rPr>
        <w:t>决算数大于年初预算数的主要原因是：本年度发生了其他污染防治支出，年初未纳入预算。</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9、城乡社区支出（类）城乡社区管理事务（款）行政运行（项）。</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年初预算为568.98万元，支出决算为732.35万元，完成年初预算的128.71%，决算数大于年初预算数的主要原因是：本年度财政拨款收入大于年初预算金额。</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10、城乡社区支出（类）城乡社区管理事务（款）一般行政管理事务（项）。</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年初预算为10.57万元，支出决算为10.57万元，决算数等于年初预算数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主要原因是按预算执行。</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11、城乡社区支出（类）城乡社区公共设施（款）其他城乡社区公共设施支出（项）。</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年初预算为0万元，支出决算为16.00万元，</w:t>
      </w:r>
      <w:r>
        <w:rPr>
          <w:rFonts w:hint="eastAsia" w:ascii="仿宋" w:hAnsi="仿宋" w:eastAsia="仿宋" w:cs="仿宋"/>
          <w:color w:val="000000" w:themeColor="text1"/>
          <w:sz w:val="32"/>
          <w:szCs w:val="32"/>
          <w:lang w:val="en-US" w:eastAsia="zh-CN"/>
          <w14:textFill>
            <w14:solidFill>
              <w14:schemeClr w14:val="tx1"/>
            </w14:solidFill>
          </w14:textFill>
        </w:rPr>
        <w:t>无法计算完成比例,</w:t>
      </w:r>
      <w:r>
        <w:rPr>
          <w:rFonts w:hint="eastAsia" w:ascii="仿宋" w:hAnsi="仿宋" w:eastAsia="仿宋" w:cs="仿宋"/>
          <w:color w:val="000000" w:themeColor="text1"/>
          <w:sz w:val="32"/>
          <w:szCs w:val="32"/>
          <w14:textFill>
            <w14:solidFill>
              <w14:schemeClr w14:val="tx1"/>
            </w14:solidFill>
          </w14:textFill>
        </w:rPr>
        <w:t>决算数大于年初预算数的主要原因是：本年度发生了其他城乡社区公共设施支出，年初未纳入预算。</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12、城乡社区支出（类）城乡社区环境卫生（款）城乡社区环境卫生（项）。</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年初预算为423.00万元，支出决算为351.82万元，完成年初预算的83.17%，决算数小于年初预算数的主要原因是：本年度财政拨款收入减少，使用上年度结转资金。</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13、城乡社区支出（类）其他城乡社区支出（款）其他城乡社区支出（项）。</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年初预算为0万元，支出决算为17.27万元，</w:t>
      </w:r>
      <w:r>
        <w:rPr>
          <w:rFonts w:hint="eastAsia" w:ascii="仿宋" w:hAnsi="仿宋" w:eastAsia="仿宋" w:cs="仿宋"/>
          <w:color w:val="000000" w:themeColor="text1"/>
          <w:sz w:val="32"/>
          <w:szCs w:val="32"/>
          <w:lang w:val="en-US" w:eastAsia="zh-CN"/>
          <w14:textFill>
            <w14:solidFill>
              <w14:schemeClr w14:val="tx1"/>
            </w14:solidFill>
          </w14:textFill>
        </w:rPr>
        <w:t>无法计算完成比例,</w:t>
      </w:r>
      <w:r>
        <w:rPr>
          <w:rFonts w:hint="eastAsia" w:ascii="仿宋" w:hAnsi="仿宋" w:eastAsia="仿宋" w:cs="仿宋"/>
          <w:color w:val="000000" w:themeColor="text1"/>
          <w:sz w:val="32"/>
          <w:szCs w:val="32"/>
          <w14:textFill>
            <w14:solidFill>
              <w14:schemeClr w14:val="tx1"/>
            </w14:solidFill>
          </w14:textFill>
        </w:rPr>
        <w:t>决算数大于年初预算数的主要原因是：本年度发生了其他城乡社区支出，使用上年度结转资金，年初未纳入预算。</w:t>
      </w:r>
    </w:p>
    <w:p>
      <w:pPr>
        <w:pStyle w:val="9"/>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六、一般公共预算财政拨款基本支出决算情况说明</w:t>
      </w:r>
    </w:p>
    <w:p>
      <w:pPr>
        <w:pStyle w:val="9"/>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2021年度财政拨款基本支出1,121.9</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其中：人员经费1,034.45万元，占基本支出的92.21%,主要包括基本工资、津贴补贴、奖金、机关事业单位基本养老保险缴费、职工基本医疗保险缴费、其他社会保障缴费、其他工资福利支出、抚恤金、生活补助、奖励金、其他对个人和家庭的补助；公用经费87.45万元，占基本支出的7.79%，主要包括办公费、印刷费、咨询费、水费、电费、邮电费、差旅费、维修（护）费、培训费、公务接待费、劳务费、工会经费、福利费、公务用车运行维护费、税金及附加费用、其他商品和服务支出、办公设备购置。</w:t>
      </w:r>
    </w:p>
    <w:p>
      <w:pPr>
        <w:pStyle w:val="9"/>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七、一般公共预算财政拨款“三公”经费支出决算情况说明</w:t>
      </w:r>
    </w:p>
    <w:p>
      <w:pPr>
        <w:pStyle w:val="9"/>
        <w:ind w:firstLine="64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（一）“三公”经费财政拨款支出决算总体情况说明</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2021年度“三公”经费财政拨款支出预算为43.34万元，支出决算为6.18万元，完成预算的14.26%，其中：</w:t>
      </w:r>
      <w:bookmarkStart w:id="0" w:name="_GoBack"/>
      <w:bookmarkEnd w:id="0"/>
    </w:p>
    <w:p>
      <w:pPr>
        <w:pStyle w:val="9"/>
        <w:numPr>
          <w:ilvl w:val="0"/>
          <w:numId w:val="0"/>
        </w:numPr>
        <w:ind w:firstLine="800" w:firstLineChars="25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bidi="ar-SA"/>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因公出国（境）费支出预算为0万元，支出决算为0万元</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决算数与年初预算数持平，主要原因按预算执行，与上年数持平，主要原因本年度未安排因公出国(境)。</w:t>
      </w:r>
    </w:p>
    <w:p>
      <w:pPr>
        <w:pStyle w:val="9"/>
        <w:numPr>
          <w:ilvl w:val="0"/>
          <w:numId w:val="0"/>
        </w:numPr>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bidi="ar-SA"/>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公务接待费支出预算为25.70万元，支出决算为0.06万元，完成预算的0.23%，决算数小于预算数的主要原因是本年度严格控制公务接待费开支，与上年相比减少0.09万元，减少60%,减少的主要原因是本年度严格控制公务接待费开支。</w:t>
      </w:r>
    </w:p>
    <w:p>
      <w:pPr>
        <w:pStyle w:val="9"/>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公务用车购置费支出预算为0万元，支出决算为0万元，</w:t>
      </w:r>
      <w:r>
        <w:rPr>
          <w:rFonts w:hint="eastAsia" w:ascii="仿宋" w:hAnsi="仿宋" w:eastAsia="仿宋" w:cs="仿宋"/>
          <w:color w:val="000000" w:themeColor="text1"/>
          <w:sz w:val="32"/>
          <w:szCs w:val="32"/>
          <w14:textFill>
            <w14:solidFill>
              <w14:schemeClr w14:val="tx1"/>
            </w14:solidFill>
          </w14:textFill>
        </w:rPr>
        <w:t>决算数与年初预算数持平主要原因按预算执行，与上年数持平，</w:t>
      </w:r>
      <w:r>
        <w:rPr>
          <w:rFonts w:hint="eastAsia" w:ascii="仿宋" w:hAnsi="仿宋" w:eastAsia="仿宋" w:cs="仿宋"/>
          <w:color w:val="000000" w:themeColor="text1"/>
          <w:sz w:val="32"/>
          <w:szCs w:val="32"/>
          <w:lang w:val="en-US" w:eastAsia="zh-CN"/>
          <w14:textFill>
            <w14:solidFill>
              <w14:schemeClr w14:val="tx1"/>
            </w14:solidFill>
          </w14:textFill>
        </w:rPr>
        <w:t>主要原因是厉行节约，</w:t>
      </w:r>
      <w:r>
        <w:rPr>
          <w:rFonts w:hint="eastAsia" w:ascii="仿宋" w:hAnsi="仿宋" w:eastAsia="仿宋" w:cs="仿宋"/>
          <w:color w:val="000000" w:themeColor="text1"/>
          <w:sz w:val="32"/>
          <w:szCs w:val="32"/>
          <w14:textFill>
            <w14:solidFill>
              <w14:schemeClr w14:val="tx1"/>
            </w14:solidFill>
          </w14:textFill>
        </w:rPr>
        <w:t>减少开支</w:t>
      </w:r>
      <w:r>
        <w:rPr>
          <w:rFonts w:hint="eastAsia" w:ascii="仿宋" w:hAnsi="仿宋" w:eastAsia="仿宋" w:cs="仿宋"/>
          <w:color w:val="000000" w:themeColor="text1"/>
          <w:sz w:val="32"/>
          <w:szCs w:val="32"/>
          <w:lang w:eastAsia="zh-CN"/>
          <w14:textFill>
            <w14:solidFill>
              <w14:schemeClr w14:val="tx1"/>
            </w14:solidFill>
          </w14:textFill>
        </w:rPr>
        <w:t>。</w:t>
      </w:r>
    </w:p>
    <w:p>
      <w:pPr>
        <w:pStyle w:val="9"/>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公务用车运行维护费支出预算为17.64万元，支出决算为6.11万元，完成预算的34.64%，决算数小于预算数的主要原因是公务用车用油用积分消费，油料费大幅减少，与上年相比减少5.72万元，减少48.35%,减少的主要原因是公务用车用油用积分消费，油料费大幅减少。</w:t>
      </w:r>
    </w:p>
    <w:p>
      <w:pPr>
        <w:pStyle w:val="9"/>
        <w:ind w:firstLine="64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（二）“三公”经费财政拨款支出决算具体情况说明</w:t>
      </w:r>
    </w:p>
    <w:p>
      <w:pPr>
        <w:pStyle w:val="9"/>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2021年度“三公”经费财政拨款支出决算中，公务接待费支出决算0.06万元，占0.97%,因公出国（境）费支出决算0万元，占0%,公务用车购置费及运行维护费支出决算6.11万元，占98.87%。其中：</w:t>
      </w:r>
    </w:p>
    <w:p>
      <w:pPr>
        <w:pStyle w:val="9"/>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1、因公出国（境）费支出决算为0万元，全年未安排因公出国（境）。</w:t>
      </w:r>
    </w:p>
    <w:p>
      <w:pPr>
        <w:pStyle w:val="9"/>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2、公务接待费支出决算为0.06万元，全年共接待来访团组1个、来宾6人次，主要是会同县城市管理事务中心到我处学习交流环卫工作管理经验发生的接待支出。</w:t>
      </w:r>
    </w:p>
    <w:p>
      <w:pPr>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3、公务用车购置费及运行维护费支出决算为6.11万元，其中：公务用车购置费0万元，单位未更新公务用车</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公务用车运行维护费6.11万元，主要是过路费、保险费等支出，截止2021年12月31日，我单位开支财政拨款的公务用车保有量为8辆。</w:t>
      </w:r>
    </w:p>
    <w:p>
      <w:pPr>
        <w:pStyle w:val="9"/>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八、政府性基金预算收入支出决算情况</w:t>
      </w:r>
    </w:p>
    <w:p>
      <w:pPr>
        <w:pStyle w:val="9"/>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2021年度政府性基金预算财政拨款收入1,060.67万元；年初结转和结余366.25万元；支出1,426.92万元，其中基本支出0万元，项目支出1,426.92万元；年末结转和结余0万元。</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1、城乡社区支出（类）国有土地使用权出让收入安排的支出（款）其他国有土地使用权出让收入安排的支出（项）。</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年初预算为0万元，支出决算为297.00万元，</w:t>
      </w:r>
      <w:r>
        <w:rPr>
          <w:rFonts w:hint="eastAsia" w:ascii="仿宋" w:hAnsi="仿宋" w:eastAsia="仿宋" w:cs="仿宋"/>
          <w:color w:val="000000" w:themeColor="text1"/>
          <w:sz w:val="32"/>
          <w:szCs w:val="32"/>
          <w:lang w:val="en-US" w:eastAsia="zh-CN"/>
          <w14:textFill>
            <w14:solidFill>
              <w14:schemeClr w14:val="tx1"/>
            </w14:solidFill>
          </w14:textFill>
        </w:rPr>
        <w:t>无法计算完成比例,</w:t>
      </w:r>
      <w:r>
        <w:rPr>
          <w:rFonts w:hint="eastAsia" w:ascii="仿宋" w:hAnsi="仿宋" w:eastAsia="仿宋" w:cs="仿宋"/>
          <w:color w:val="000000" w:themeColor="text1"/>
          <w:sz w:val="32"/>
          <w:szCs w:val="32"/>
          <w14:textFill>
            <w14:solidFill>
              <w14:schemeClr w14:val="tx1"/>
            </w14:solidFill>
          </w14:textFill>
        </w:rPr>
        <w:t>决算数大于年初预算数的主要原因是：本年度发生了其他国有土地使用权出让收入安排的支出，年初未纳入预算。</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2、城乡社区支出（类）城市基础设施配套费安排的支出（款）其他城市基础设施配套费安排的支出（项）。</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年初预算为0万元，支出决算为999.22万元，</w:t>
      </w:r>
      <w:r>
        <w:rPr>
          <w:rFonts w:hint="eastAsia" w:ascii="仿宋" w:hAnsi="仿宋" w:eastAsia="仿宋" w:cs="仿宋"/>
          <w:color w:val="000000" w:themeColor="text1"/>
          <w:sz w:val="32"/>
          <w:szCs w:val="32"/>
          <w:lang w:val="en-US" w:eastAsia="zh-CN"/>
          <w14:textFill>
            <w14:solidFill>
              <w14:schemeClr w14:val="tx1"/>
            </w14:solidFill>
          </w14:textFill>
        </w:rPr>
        <w:t>无法计算完成比例,</w:t>
      </w:r>
      <w:r>
        <w:rPr>
          <w:rFonts w:hint="eastAsia" w:ascii="仿宋" w:hAnsi="仿宋" w:eastAsia="仿宋" w:cs="仿宋"/>
          <w:color w:val="000000" w:themeColor="text1"/>
          <w:sz w:val="32"/>
          <w:szCs w:val="32"/>
          <w14:textFill>
            <w14:solidFill>
              <w14:schemeClr w14:val="tx1"/>
            </w14:solidFill>
          </w14:textFill>
        </w:rPr>
        <w:t>决算数大于年初预算数的主要原因是：本年度发生了其他城市基础设施配套费安排的支出，年初未纳入预算。</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3、城乡社区支出（类）城市基础设施配套费对应专项债务收入安排的支出（款）城市环境卫生（项）。</w:t>
      </w:r>
    </w:p>
    <w:p>
      <w:pPr>
        <w:pStyle w:val="9"/>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年初预算为0万元，支出决算为130.7万元，</w:t>
      </w:r>
      <w:r>
        <w:rPr>
          <w:rFonts w:hint="eastAsia" w:ascii="仿宋" w:hAnsi="仿宋" w:eastAsia="仿宋" w:cs="仿宋"/>
          <w:color w:val="000000" w:themeColor="text1"/>
          <w:sz w:val="32"/>
          <w:szCs w:val="32"/>
          <w:lang w:val="en-US" w:eastAsia="zh-CN"/>
          <w14:textFill>
            <w14:solidFill>
              <w14:schemeClr w14:val="tx1"/>
            </w14:solidFill>
          </w14:textFill>
        </w:rPr>
        <w:t>无法计算完成比例,</w:t>
      </w:r>
      <w:r>
        <w:rPr>
          <w:rFonts w:hint="eastAsia" w:ascii="仿宋" w:hAnsi="仿宋" w:eastAsia="仿宋" w:cs="仿宋"/>
          <w:color w:val="000000" w:themeColor="text1"/>
          <w:sz w:val="32"/>
          <w:szCs w:val="32"/>
          <w14:textFill>
            <w14:solidFill>
              <w14:schemeClr w14:val="tx1"/>
            </w14:solidFill>
          </w14:textFill>
        </w:rPr>
        <w:t>决算数大于年初预算数的主要原因是：本年度发生了城市环境卫生支出，年初未纳入预算。</w:t>
      </w:r>
    </w:p>
    <w:p>
      <w:pPr>
        <w:pStyle w:val="9"/>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九、国有资本经营预算财政拨款支出情况</w:t>
      </w:r>
    </w:p>
    <w:p>
      <w:pPr>
        <w:pStyle w:val="9"/>
        <w:ind w:firstLine="640" w:firstLineChars="200"/>
        <w:rPr>
          <w:rFonts w:hint="eastAsia" w:ascii="仿宋" w:hAnsi="仿宋" w:eastAsia="仿宋" w:cs="仿宋"/>
          <w:i/>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本单位2021年度无国有资本经营预算财政拨款</w:t>
      </w:r>
      <w:r>
        <w:rPr>
          <w:rFonts w:hint="eastAsia" w:ascii="仿宋" w:hAnsi="仿宋" w:eastAsia="仿宋" w:cs="仿宋"/>
          <w:color w:val="000000" w:themeColor="text1"/>
          <w:sz w:val="32"/>
          <w:szCs w:val="32"/>
          <w:lang w:val="en-US" w:eastAsia="zh-CN"/>
          <w14:textFill>
            <w14:solidFill>
              <w14:schemeClr w14:val="tx1"/>
            </w14:solidFill>
          </w14:textFill>
        </w:rPr>
        <w:t>支出</w:t>
      </w:r>
      <w:r>
        <w:rPr>
          <w:rFonts w:hint="eastAsia" w:ascii="仿宋" w:hAnsi="仿宋" w:eastAsia="仿宋" w:cs="仿宋"/>
          <w:color w:val="000000" w:themeColor="text1"/>
          <w:sz w:val="32"/>
          <w:szCs w:val="32"/>
          <w14:textFill>
            <w14:solidFill>
              <w14:schemeClr w14:val="tx1"/>
            </w14:solidFill>
          </w14:textFill>
        </w:rPr>
        <w:t>。</w:t>
      </w:r>
    </w:p>
    <w:p>
      <w:pPr>
        <w:pStyle w:val="9"/>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十、机关运行经费支出说明</w:t>
      </w:r>
    </w:p>
    <w:p>
      <w:pPr>
        <w:pStyle w:val="9"/>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本部门2021年度机关运行经费支出0万元，与年初预算数一致。主要原因是：</w:t>
      </w:r>
      <w:r>
        <w:rPr>
          <w:rFonts w:hint="eastAsia" w:ascii="仿宋" w:hAnsi="仿宋" w:eastAsia="仿宋" w:cs="仿宋"/>
          <w:color w:val="000000" w:themeColor="text1"/>
          <w:sz w:val="32"/>
          <w:szCs w:val="32"/>
          <w:lang w:val="en-US" w:eastAsia="zh-CN"/>
          <w14:textFill>
            <w14:solidFill>
              <w14:schemeClr w14:val="tx1"/>
            </w14:solidFill>
          </w14:textFill>
        </w:rPr>
        <w:t>本部门属非参公事业单位</w:t>
      </w:r>
      <w:r>
        <w:rPr>
          <w:rFonts w:hint="eastAsia" w:ascii="仿宋" w:hAnsi="仿宋" w:eastAsia="仿宋" w:cs="仿宋"/>
          <w:color w:val="000000" w:themeColor="text1"/>
          <w:sz w:val="32"/>
          <w:szCs w:val="32"/>
          <w14:textFill>
            <w14:solidFill>
              <w14:schemeClr w14:val="tx1"/>
            </w14:solidFill>
          </w14:textFill>
        </w:rPr>
        <w:t>。</w:t>
      </w:r>
    </w:p>
    <w:p>
      <w:pPr>
        <w:pStyle w:val="9"/>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十一、一般性支出情况说明</w:t>
      </w:r>
    </w:p>
    <w:p>
      <w:pPr>
        <w:pStyle w:val="9"/>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本部门开支会议费0万元，单位未召开会议；开支培训费0.27万元，用于开展湖南省生活垃圾填埋场雨污分流系统及膜材料施工技能培训，人数1人，开支培训费0.1万元；开展《污许可管理条例》框架下企业守法暨证后执行技术专题培训，人数2人，开支培训费0.14万元；开展省各级各类事业单位在编在册在岗人员培训，人数1人，开支培训费0.03万元；未办节庆、晚会、论坛、赛事活动，开支0元。</w:t>
      </w:r>
    </w:p>
    <w:p>
      <w:pPr>
        <w:pStyle w:val="9"/>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十二、政府采购支出说明</w:t>
      </w:r>
    </w:p>
    <w:p>
      <w:pPr>
        <w:pStyle w:val="9"/>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部门2021年度政府采购支出总额1,707.80万元，其中：政府采购货物支出96.15万元、政府采购工程支出96.15万元、政府采购服务支出1,369.62万元。授予中小企业合同金额0万元，占政府采购支出总额的0%，其中：授予小微企业合同金额0万元，占授予中小企业合同金额的0%。</w:t>
      </w:r>
    </w:p>
    <w:p>
      <w:pPr>
        <w:pStyle w:val="9"/>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十三、国有资产占用情况说明</w:t>
      </w:r>
    </w:p>
    <w:p>
      <w:pPr>
        <w:pStyle w:val="9"/>
        <w:ind w:firstLine="640" w:firstLineChars="200"/>
        <w:rPr>
          <w:rFonts w:hint="eastAsia" w:ascii="仿宋" w:hAnsi="仿宋" w:eastAsia="仿宋" w:cs="仿宋"/>
          <w:color w:val="000000" w:themeColor="text1"/>
          <w:sz w:val="32"/>
          <w:szCs w:val="32"/>
          <w:highlight w:val="yellow"/>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截至2021年12月31日，部门（单位）共有车辆13辆，其中，主要领导干部用车0辆，机要通信用车0辆、应急保障用车0辆、执法执勤用车0辆、特种专业技术用车0辆、其他用车13辆，其他用车主要是一般业务用车；单位价值50万元以上通用设备1台（套）；单位价值100万元以上专用设备0台（套）。</w:t>
      </w:r>
    </w:p>
    <w:p>
      <w:pPr>
        <w:pStyle w:val="9"/>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十四、2021年度预算绩效情况说明</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（1）绩效管理评价工作开展情况</w:t>
      </w:r>
      <w:r>
        <w:rPr>
          <w:rFonts w:hint="eastAsia" w:ascii="仿宋" w:hAnsi="仿宋" w:eastAsia="仿宋" w:cs="仿宋"/>
          <w:color w:val="000000" w:themeColor="text1"/>
          <w:kern w:val="0"/>
          <w:sz w:val="32"/>
          <w:szCs w:val="32"/>
          <w14:textFill>
            <w14:solidFill>
              <w14:schemeClr w14:val="tx1"/>
            </w14:solidFill>
          </w14:textFill>
        </w:rPr>
        <w:t>。</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根据预算绩效管理要求，我部门组织对2021 年度一般公共预算项目支出全面开展绩效自评，其中，一级项目1个，二级项目2个，共涉及资金266.00万元，占一般公共预算项目支出总额的38.00%。组织对2021年二垃圾处理厂运行经费1个政府性基金预算项目支出开展绩效自评，共涉及资金763.67万元，占政府性基金预算项目支出总额的53.52%。本单位2021年度无国有资本经营预算项目支出，故未开展绩效自评。</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组织对“二垃圾场日常运行经费”1个项目开展了部门评价，涉及一般公共预算支出266.00万元，政府性基金预算支出763.67万元，国有资本经营预算支出0万元。从评价情况来看，本单位按照规定对项目支出进行绩效管理，对项目支出进行有效控制，确保项目资金的使用效益。</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组织对“市城市管理事务中心”1个单位开展整体支出绩效评价，涉及一般公共预算支出1,821.82万元，政府性基金预算支出1,426.92万元。从评价情况来看，本单位按照规定开展整体支出绩效评价，对资金支出进行有效控制，确保资金的使用效益。（2021年整体支出绩效评价详见附件）</w:t>
      </w:r>
    </w:p>
    <w:p>
      <w:pPr>
        <w:autoSpaceDE w:val="0"/>
        <w:autoSpaceDN w:val="0"/>
        <w:adjustRightInd w:val="0"/>
        <w:ind w:firstLine="640" w:firstLineChars="200"/>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（2）部门决算中项目绩效自评结果。</w:t>
      </w:r>
    </w:p>
    <w:p>
      <w:pPr>
        <w:pStyle w:val="12"/>
        <w:spacing w:line="360" w:lineRule="auto"/>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二垃圾场日常运行经费项目绩效自评综述：根据年初设定的绩效目标，项目绩效自评得分为95分。项目全年预算数为</w:t>
      </w:r>
      <w:r>
        <w:rPr>
          <w:rFonts w:hint="eastAsia" w:ascii="仿宋" w:hAnsi="仿宋" w:eastAsia="仿宋" w:cs="仿宋"/>
          <w:color w:val="000000" w:themeColor="text1"/>
          <w:sz w:val="32"/>
          <w:szCs w:val="32"/>
          <w14:textFill>
            <w14:solidFill>
              <w14:schemeClr w14:val="tx1"/>
            </w14:solidFill>
          </w14:textFill>
        </w:rPr>
        <w:t>1,407.00</w:t>
      </w:r>
      <w:r>
        <w:rPr>
          <w:rFonts w:hint="eastAsia" w:ascii="仿宋" w:hAnsi="仿宋" w:eastAsia="仿宋" w:cs="仿宋"/>
          <w:color w:val="000000" w:themeColor="text1"/>
          <w:kern w:val="0"/>
          <w:sz w:val="32"/>
          <w:szCs w:val="32"/>
          <w14:textFill>
            <w14:solidFill>
              <w14:schemeClr w14:val="tx1"/>
            </w14:solidFill>
          </w14:textFill>
        </w:rPr>
        <w:t>万元，执行数为</w:t>
      </w:r>
      <w:r>
        <w:rPr>
          <w:rFonts w:hint="eastAsia" w:ascii="仿宋" w:hAnsi="仿宋" w:eastAsia="仿宋" w:cs="仿宋"/>
          <w:color w:val="000000" w:themeColor="text1"/>
          <w:sz w:val="32"/>
          <w:szCs w:val="32"/>
          <w14:textFill>
            <w14:solidFill>
              <w14:schemeClr w14:val="tx1"/>
            </w14:solidFill>
          </w14:textFill>
        </w:rPr>
        <w:t>1,029.67</w:t>
      </w:r>
      <w:r>
        <w:rPr>
          <w:rFonts w:hint="eastAsia" w:ascii="仿宋" w:hAnsi="仿宋" w:eastAsia="仿宋" w:cs="仿宋"/>
          <w:color w:val="000000" w:themeColor="text1"/>
          <w:kern w:val="0"/>
          <w:sz w:val="32"/>
          <w:szCs w:val="32"/>
          <w14:textFill>
            <w14:solidFill>
              <w14:schemeClr w14:val="tx1"/>
            </w14:solidFill>
          </w14:textFill>
        </w:rPr>
        <w:t>万元，完成预算的</w:t>
      </w:r>
      <w:r>
        <w:rPr>
          <w:rFonts w:hint="eastAsia" w:ascii="仿宋" w:hAnsi="仿宋" w:eastAsia="仿宋" w:cs="仿宋"/>
          <w:color w:val="000000" w:themeColor="text1"/>
          <w:sz w:val="32"/>
          <w:szCs w:val="32"/>
          <w14:textFill>
            <w14:solidFill>
              <w14:schemeClr w14:val="tx1"/>
            </w14:solidFill>
          </w14:textFill>
        </w:rPr>
        <w:t>73.18</w:t>
      </w:r>
      <w:r>
        <w:rPr>
          <w:rFonts w:hint="eastAsia" w:ascii="仿宋" w:hAnsi="仿宋" w:eastAsia="仿宋" w:cs="仿宋"/>
          <w:color w:val="000000" w:themeColor="text1"/>
          <w:kern w:val="0"/>
          <w:sz w:val="32"/>
          <w:szCs w:val="32"/>
          <w14:textFill>
            <w14:solidFill>
              <w14:schemeClr w14:val="tx1"/>
            </w14:solidFill>
          </w14:textFill>
        </w:rPr>
        <w:t>%。项目绩效目标完成情况：一是2021年度垃圾进场量27万吨；渗滤液处理18万立方米，达标排放量16万吨，出水率85%；雨污分流膜面积万6平方米；二是沼气发电1800万度，发电排放量达环保标准，其中二氧化碳减排量123546吨，二氧化硫减排量597吨，碳氧化物减排量298.9吨，碳粉尘减排量5420吨。</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二垃圾场日常运行经费项目绩效自评综述：</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1、项目立项规范。由市人大审批通过，项目的申请、设立过程符合相关要求，绩效目标合理，绩效指标明确。</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2、资金落实及时。实际到位资金</w:t>
      </w:r>
      <w:r>
        <w:rPr>
          <w:rFonts w:hint="eastAsia" w:ascii="仿宋" w:hAnsi="仿宋" w:eastAsia="仿宋" w:cs="仿宋"/>
          <w:color w:val="000000" w:themeColor="text1"/>
          <w:kern w:val="0"/>
          <w:sz w:val="32"/>
          <w:szCs w:val="32"/>
          <w:lang w:eastAsia="zh-CN"/>
          <w14:textFill>
            <w14:solidFill>
              <w14:schemeClr w14:val="tx1"/>
            </w14:solidFill>
          </w14:textFill>
        </w:rPr>
        <w:t>1,029.</w:t>
      </w:r>
      <w:r>
        <w:rPr>
          <w:rFonts w:hint="eastAsia" w:ascii="仿宋" w:hAnsi="仿宋" w:eastAsia="仿宋" w:cs="仿宋"/>
          <w:color w:val="000000" w:themeColor="text1"/>
          <w:kern w:val="0"/>
          <w:sz w:val="32"/>
          <w:szCs w:val="32"/>
          <w14:textFill>
            <w14:solidFill>
              <w14:schemeClr w14:val="tx1"/>
            </w14:solidFill>
          </w14:textFill>
        </w:rPr>
        <w:t>67万元；资金的支付根据实际业务发生时按制度规范支付。</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3、业务管理制度健全，执行有效，业务管理有效。</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财务管理制度健全，资金使用合规，财务监控有效。市财政局负责市财政性资金投资的“二垃圾场日常运行经费”项目建设资金预算评审、资金计划下达、资金使用管理和政府采购工作的监督管理；市审计局负责“二垃圾场日常运行经费”项目资金结算的审计；怀化市城市管理和综合执法局负责监督检查。</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5、项目按时间和任务进度绩效阶段性目标已达到。</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6、可持续性。2021年“二垃圾场日常运行经费”专项</w:t>
      </w:r>
      <w:r>
        <w:rPr>
          <w:rFonts w:hint="eastAsia" w:ascii="仿宋" w:hAnsi="仿宋" w:eastAsia="仿宋" w:cs="仿宋"/>
          <w:color w:val="000000" w:themeColor="text1"/>
          <w:sz w:val="32"/>
          <w:szCs w:val="32"/>
          <w14:textFill>
            <w14:solidFill>
              <w14:schemeClr w14:val="tx1"/>
            </w14:solidFill>
          </w14:textFill>
        </w:rPr>
        <w:t>1,029.67</w:t>
      </w:r>
      <w:r>
        <w:rPr>
          <w:rFonts w:hint="eastAsia" w:ascii="仿宋" w:hAnsi="仿宋" w:eastAsia="仿宋" w:cs="仿宋"/>
          <w:color w:val="000000" w:themeColor="text1"/>
          <w:kern w:val="0"/>
          <w:sz w:val="32"/>
          <w:szCs w:val="32"/>
          <w14:textFill>
            <w14:solidFill>
              <w14:schemeClr w14:val="tx1"/>
            </w14:solidFill>
          </w14:textFill>
        </w:rPr>
        <w:t>万元，解决我市生活垃圾、生活垃圾填埋沼气发电等问题。</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（3）部门评价项目绩效评价结果。</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2021年度二垃圾场日常运行经费专项资金已进行绩效自评并编制了绩效自评报告和相关表格。</w:t>
      </w:r>
    </w:p>
    <w:p>
      <w:pPr>
        <w:pStyle w:val="9"/>
        <w:jc w:val="center"/>
        <w:rPr>
          <w:rFonts w:hint="eastAsia" w:ascii="仿宋" w:hAnsi="仿宋" w:eastAsia="仿宋" w:cs="仿宋"/>
          <w:color w:val="000000" w:themeColor="text1"/>
          <w:sz w:val="32"/>
          <w:szCs w:val="32"/>
          <w14:textFill>
            <w14:solidFill>
              <w14:schemeClr w14:val="tx1"/>
            </w14:solidFill>
          </w14:textFill>
        </w:rPr>
      </w:pPr>
    </w:p>
    <w:p>
      <w:pPr>
        <w:pStyle w:val="9"/>
        <w:jc w:val="center"/>
        <w:rPr>
          <w:rFonts w:hint="eastAsia" w:ascii="黑体" w:hAnsi="黑体" w:eastAsia="黑体" w:cs="黑体"/>
          <w:color w:val="000000" w:themeColor="text1"/>
          <w:kern w:val="0"/>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第四部分</w:t>
      </w:r>
      <w:r>
        <w:rPr>
          <w:rFonts w:hint="eastAsia" w:ascii="黑体" w:hAnsi="黑体" w:eastAsia="黑体" w:cs="黑体"/>
          <w:color w:val="000000" w:themeColor="text1"/>
          <w:sz w:val="44"/>
          <w:szCs w:val="44"/>
          <w:lang w:val="en-US" w:eastAsia="zh-CN"/>
          <w14:textFill>
            <w14:solidFill>
              <w14:schemeClr w14:val="tx1"/>
            </w14:solidFill>
          </w14:textFill>
        </w:rPr>
        <w:t xml:space="preserve"> </w:t>
      </w:r>
      <w:r>
        <w:rPr>
          <w:rFonts w:hint="eastAsia" w:ascii="黑体" w:hAnsi="黑体" w:eastAsia="黑体" w:cs="黑体"/>
          <w:color w:val="000000" w:themeColor="text1"/>
          <w:kern w:val="0"/>
          <w:sz w:val="44"/>
          <w:szCs w:val="44"/>
          <w14:textFill>
            <w14:solidFill>
              <w14:schemeClr w14:val="tx1"/>
            </w14:solidFill>
          </w14:textFill>
        </w:rPr>
        <w:t>名词解释</w:t>
      </w:r>
    </w:p>
    <w:p>
      <w:pPr>
        <w:widowControl/>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一、财政拨款收入：</w:t>
      </w:r>
      <w:r>
        <w:rPr>
          <w:rFonts w:hint="eastAsia" w:ascii="仿宋" w:hAnsi="仿宋" w:eastAsia="仿宋" w:cs="仿宋"/>
          <w:color w:val="000000" w:themeColor="text1"/>
          <w:kern w:val="0"/>
          <w:sz w:val="32"/>
          <w:szCs w:val="32"/>
          <w14:textFill>
            <w14:solidFill>
              <w14:schemeClr w14:val="tx1"/>
            </w14:solidFill>
          </w14:textFill>
        </w:rPr>
        <w:t>指财政当年拨付的资金。</w:t>
      </w:r>
    </w:p>
    <w:p>
      <w:pPr>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二、事业收入：</w:t>
      </w:r>
      <w:r>
        <w:rPr>
          <w:rFonts w:hint="eastAsia" w:ascii="仿宋" w:hAnsi="仿宋" w:eastAsia="仿宋" w:cs="仿宋"/>
          <w:color w:val="000000" w:themeColor="text1"/>
          <w:kern w:val="0"/>
          <w:sz w:val="32"/>
          <w:szCs w:val="32"/>
          <w14:textFill>
            <w14:solidFill>
              <w14:schemeClr w14:val="tx1"/>
            </w14:solidFill>
          </w14:textFill>
        </w:rPr>
        <w:t>指事业单位开展专业业务活动及辅助活动所取得的收入。如：中国财政杂志社的刊物发行收入，中国注册会计师协会、中国资产评估协会、中国国债协会、中国会计学会收取的会费收入等。</w:t>
      </w:r>
    </w:p>
    <w:p>
      <w:pPr>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三、经营收入：</w:t>
      </w:r>
      <w:r>
        <w:rPr>
          <w:rFonts w:hint="eastAsia" w:ascii="仿宋" w:hAnsi="仿宋" w:eastAsia="仿宋" w:cs="仿宋"/>
          <w:color w:val="000000" w:themeColor="text1"/>
          <w:kern w:val="0"/>
          <w:sz w:val="32"/>
          <w:szCs w:val="32"/>
          <w14:textFill>
            <w14:solidFill>
              <w14:schemeClr w14:val="tx1"/>
            </w14:solidFill>
          </w14:textFill>
        </w:rPr>
        <w:t>指事业单位在专业业务活动及其辅助活动之外开展非独立核算经营活动取得的收入。如：中国财政杂志社广告收入等。</w:t>
      </w:r>
    </w:p>
    <w:p>
      <w:pPr>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四、其他收入：</w:t>
      </w:r>
      <w:r>
        <w:rPr>
          <w:rFonts w:hint="eastAsia" w:ascii="仿宋" w:hAnsi="仿宋" w:eastAsia="仿宋" w:cs="仿宋"/>
          <w:color w:val="000000" w:themeColor="text1"/>
          <w:kern w:val="0"/>
          <w:sz w:val="32"/>
          <w:szCs w:val="32"/>
          <w14:textFill>
            <w14:solidFill>
              <w14:schemeClr w14:val="tx1"/>
            </w14:solidFill>
          </w14:textFill>
        </w:rPr>
        <w:t>指除上述“财政拨款收入”、“事业收入”、“经营收入”等以外的收入。主要是按规定动用的售房收入、存款利息收入等。</w:t>
      </w:r>
    </w:p>
    <w:p>
      <w:pPr>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五、用事业基金弥补收支差额：</w:t>
      </w:r>
      <w:r>
        <w:rPr>
          <w:rFonts w:hint="eastAsia" w:ascii="仿宋" w:hAnsi="仿宋" w:eastAsia="仿宋" w:cs="仿宋"/>
          <w:color w:val="000000" w:themeColor="text1"/>
          <w:kern w:val="0"/>
          <w:sz w:val="32"/>
          <w:szCs w:val="32"/>
          <w14:textFill>
            <w14:solidFill>
              <w14:schemeClr w14:val="tx1"/>
            </w14:solidFill>
          </w14:textFill>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六、年初结转和结余：</w:t>
      </w:r>
      <w:r>
        <w:rPr>
          <w:rFonts w:hint="eastAsia" w:ascii="仿宋" w:hAnsi="仿宋" w:eastAsia="仿宋" w:cs="仿宋"/>
          <w:color w:val="000000" w:themeColor="text1"/>
          <w:kern w:val="0"/>
          <w:sz w:val="32"/>
          <w:szCs w:val="32"/>
          <w14:textFill>
            <w14:solidFill>
              <w14:schemeClr w14:val="tx1"/>
            </w14:solidFill>
          </w14:textFill>
        </w:rPr>
        <w:t>指以前年度尚未完成、结转到本年按有关规定继续使用的资金。</w:t>
      </w:r>
    </w:p>
    <w:p>
      <w:pPr>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七、结余分配：</w:t>
      </w:r>
      <w:r>
        <w:rPr>
          <w:rFonts w:hint="eastAsia" w:ascii="仿宋" w:hAnsi="仿宋" w:eastAsia="仿宋" w:cs="仿宋"/>
          <w:color w:val="000000" w:themeColor="text1"/>
          <w:kern w:val="0"/>
          <w:sz w:val="32"/>
          <w:szCs w:val="32"/>
          <w14:textFill>
            <w14:solidFill>
              <w14:schemeClr w14:val="tx1"/>
            </w14:solidFill>
          </w14:textFill>
        </w:rPr>
        <w:t>指事业单位按规定提取的职工福利基金、事业基金和缴纳的所得税，以及建设单位按规定应交回的基本建设竣工项目结余资金。</w:t>
      </w:r>
    </w:p>
    <w:p>
      <w:pPr>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八、年末结转和结余：</w:t>
      </w:r>
      <w:r>
        <w:rPr>
          <w:rFonts w:hint="eastAsia" w:ascii="仿宋" w:hAnsi="仿宋" w:eastAsia="仿宋" w:cs="仿宋"/>
          <w:color w:val="000000" w:themeColor="text1"/>
          <w:kern w:val="0"/>
          <w:sz w:val="32"/>
          <w:szCs w:val="32"/>
          <w14:textFill>
            <w14:solidFill>
              <w14:schemeClr w14:val="tx1"/>
            </w14:solidFill>
          </w14:textFill>
        </w:rPr>
        <w:t>指本年度或以前年度预算安排、因客观条件发生变化无法按原计划实施，需要延迟到以后年度按有关规定继续使用的资金。</w:t>
      </w:r>
    </w:p>
    <w:p>
      <w:pPr>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九、基本支出：</w:t>
      </w:r>
      <w:r>
        <w:rPr>
          <w:rFonts w:hint="eastAsia" w:ascii="仿宋" w:hAnsi="仿宋" w:eastAsia="仿宋" w:cs="仿宋"/>
          <w:color w:val="000000" w:themeColor="text1"/>
          <w:kern w:val="0"/>
          <w:sz w:val="32"/>
          <w:szCs w:val="32"/>
          <w14:textFill>
            <w14:solidFill>
              <w14:schemeClr w14:val="tx1"/>
            </w14:solidFill>
          </w14:textFill>
        </w:rPr>
        <w:t>指为保障机构正常运转、完成日常工作任务而发生的人员支出和公用支出。</w:t>
      </w:r>
    </w:p>
    <w:p>
      <w:pPr>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十、项目支出：</w:t>
      </w:r>
      <w:r>
        <w:rPr>
          <w:rFonts w:hint="eastAsia" w:ascii="仿宋" w:hAnsi="仿宋" w:eastAsia="仿宋" w:cs="仿宋"/>
          <w:color w:val="000000" w:themeColor="text1"/>
          <w:kern w:val="0"/>
          <w:sz w:val="32"/>
          <w:szCs w:val="32"/>
          <w14:textFill>
            <w14:solidFill>
              <w14:schemeClr w14:val="tx1"/>
            </w14:solidFill>
          </w14:textFill>
        </w:rPr>
        <w:t>指在基本支出之外为完成特定行政任务和事业发展目标所发生的支出。</w:t>
      </w:r>
    </w:p>
    <w:p>
      <w:pPr>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十一、经营支出：</w:t>
      </w:r>
      <w:r>
        <w:rPr>
          <w:rFonts w:hint="eastAsia" w:ascii="仿宋" w:hAnsi="仿宋" w:eastAsia="仿宋" w:cs="仿宋"/>
          <w:color w:val="000000" w:themeColor="text1"/>
          <w:kern w:val="0"/>
          <w:sz w:val="32"/>
          <w:szCs w:val="32"/>
          <w14:textFill>
            <w14:solidFill>
              <w14:schemeClr w14:val="tx1"/>
            </w14:solidFill>
          </w14:textFill>
        </w:rPr>
        <w:t>指事业单位在专业业务活动及其辅助活动之外开展非独立核算经营活动发生的支出。</w:t>
      </w:r>
    </w:p>
    <w:p>
      <w:pPr>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十二、“三公”经费：</w:t>
      </w:r>
      <w:r>
        <w:rPr>
          <w:rFonts w:hint="eastAsia" w:ascii="仿宋" w:hAnsi="仿宋" w:eastAsia="仿宋" w:cs="仿宋"/>
          <w:color w:val="000000" w:themeColor="text1"/>
          <w:kern w:val="0"/>
          <w:sz w:val="32"/>
          <w:szCs w:val="32"/>
          <w14:textFill>
            <w14:solidFill>
              <w14:schemeClr w14:val="tx1"/>
            </w14:solidFill>
          </w14:textFill>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十三、机关运行经费：</w:t>
      </w:r>
      <w:r>
        <w:rPr>
          <w:rFonts w:hint="eastAsia" w:ascii="仿宋" w:hAnsi="仿宋" w:eastAsia="仿宋" w:cs="仿宋"/>
          <w:color w:val="000000" w:themeColor="text1"/>
          <w:kern w:val="0"/>
          <w:sz w:val="32"/>
          <w:szCs w:val="32"/>
          <w14:textFill>
            <w14:solidFill>
              <w14:schemeClr w14:val="tx1"/>
            </w14:solidFill>
          </w14:textFill>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仿宋"/>
          <w:color w:val="000000" w:themeColor="text1"/>
          <w:kern w:val="0"/>
          <w:sz w:val="32"/>
          <w:szCs w:val="32"/>
          <w:lang w:eastAsia="zh-CN"/>
          <w14:textFill>
            <w14:solidFill>
              <w14:schemeClr w14:val="tx1"/>
            </w14:solidFill>
          </w14:textFill>
        </w:rPr>
        <w:t>。</w:t>
      </w:r>
    </w:p>
    <w:p>
      <w:pPr>
        <w:pStyle w:val="9"/>
        <w:jc w:val="center"/>
        <w:rPr>
          <w:rFonts w:hint="eastAsia" w:ascii="仿宋" w:hAnsi="仿宋" w:eastAsia="仿宋" w:cs="仿宋"/>
          <w:color w:val="000000" w:themeColor="text1"/>
          <w:sz w:val="32"/>
          <w:szCs w:val="32"/>
          <w14:textFill>
            <w14:solidFill>
              <w14:schemeClr w14:val="tx1"/>
            </w14:solidFill>
          </w14:textFill>
        </w:rPr>
      </w:pPr>
    </w:p>
    <w:p>
      <w:pPr>
        <w:pStyle w:val="9"/>
        <w:jc w:val="center"/>
        <w:rPr>
          <w:rFonts w:hint="eastAsia" w:ascii="黑体" w:hAnsi="黑体" w:eastAsia="黑体" w:cs="黑体"/>
          <w:b/>
          <w:bCs/>
          <w:color w:val="000000" w:themeColor="text1"/>
          <w:kern w:val="0"/>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第五部分</w:t>
      </w:r>
      <w:r>
        <w:rPr>
          <w:rFonts w:hint="eastAsia" w:ascii="黑体" w:hAnsi="黑体" w:eastAsia="黑体" w:cs="黑体"/>
          <w:b/>
          <w:bCs/>
          <w:color w:val="000000" w:themeColor="text1"/>
          <w:sz w:val="44"/>
          <w:szCs w:val="44"/>
          <w:lang w:val="en-US" w:eastAsia="zh-CN"/>
          <w14:textFill>
            <w14:solidFill>
              <w14:schemeClr w14:val="tx1"/>
            </w14:solidFill>
          </w14:textFill>
        </w:rPr>
        <w:t xml:space="preserve"> </w:t>
      </w:r>
      <w:r>
        <w:rPr>
          <w:rFonts w:hint="eastAsia" w:ascii="黑体" w:hAnsi="黑体" w:eastAsia="黑体" w:cs="黑体"/>
          <w:b/>
          <w:bCs/>
          <w:color w:val="000000" w:themeColor="text1"/>
          <w:kern w:val="0"/>
          <w:sz w:val="44"/>
          <w:szCs w:val="44"/>
          <w14:textFill>
            <w14:solidFill>
              <w14:schemeClr w14:val="tx1"/>
            </w14:solidFill>
          </w14:textFill>
        </w:rPr>
        <w:t>附件</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cyZWQzYTE3NzMyMTk0MzQ2YmUyMTdhYmY3OWMxMDYifQ=="/>
  </w:docVars>
  <w:rsids>
    <w:rsidRoot w:val="004506F9"/>
    <w:rsid w:val="0002229B"/>
    <w:rsid w:val="000273BD"/>
    <w:rsid w:val="000415B7"/>
    <w:rsid w:val="00041E3F"/>
    <w:rsid w:val="00055DAA"/>
    <w:rsid w:val="00061F7B"/>
    <w:rsid w:val="000658A3"/>
    <w:rsid w:val="00074155"/>
    <w:rsid w:val="00081AF1"/>
    <w:rsid w:val="000873EF"/>
    <w:rsid w:val="00087526"/>
    <w:rsid w:val="000A3F69"/>
    <w:rsid w:val="00103957"/>
    <w:rsid w:val="00124A1F"/>
    <w:rsid w:val="00152C6D"/>
    <w:rsid w:val="00162D39"/>
    <w:rsid w:val="001678BD"/>
    <w:rsid w:val="00182373"/>
    <w:rsid w:val="00182B50"/>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816B8"/>
    <w:rsid w:val="002E0A30"/>
    <w:rsid w:val="002F53BB"/>
    <w:rsid w:val="003130C4"/>
    <w:rsid w:val="00316C4B"/>
    <w:rsid w:val="0032192B"/>
    <w:rsid w:val="00327FFA"/>
    <w:rsid w:val="003479BD"/>
    <w:rsid w:val="0037197D"/>
    <w:rsid w:val="003768D5"/>
    <w:rsid w:val="003C4197"/>
    <w:rsid w:val="003C47E6"/>
    <w:rsid w:val="003C4FC2"/>
    <w:rsid w:val="003E2331"/>
    <w:rsid w:val="003F09E1"/>
    <w:rsid w:val="003F3B90"/>
    <w:rsid w:val="00416E61"/>
    <w:rsid w:val="0042790C"/>
    <w:rsid w:val="004506F9"/>
    <w:rsid w:val="004717A2"/>
    <w:rsid w:val="00473DF3"/>
    <w:rsid w:val="00487911"/>
    <w:rsid w:val="00491741"/>
    <w:rsid w:val="00497300"/>
    <w:rsid w:val="004B0CEE"/>
    <w:rsid w:val="004E71CA"/>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0317E"/>
    <w:rsid w:val="00611D0C"/>
    <w:rsid w:val="0062378F"/>
    <w:rsid w:val="00641842"/>
    <w:rsid w:val="00651EEC"/>
    <w:rsid w:val="00683D5A"/>
    <w:rsid w:val="00686673"/>
    <w:rsid w:val="00691E8C"/>
    <w:rsid w:val="006A22C4"/>
    <w:rsid w:val="006A348B"/>
    <w:rsid w:val="006A351B"/>
    <w:rsid w:val="006B0422"/>
    <w:rsid w:val="006B0ECC"/>
    <w:rsid w:val="006C1B53"/>
    <w:rsid w:val="006D7730"/>
    <w:rsid w:val="006E5284"/>
    <w:rsid w:val="006F3EB5"/>
    <w:rsid w:val="006F6E93"/>
    <w:rsid w:val="00702E34"/>
    <w:rsid w:val="00704395"/>
    <w:rsid w:val="00710FE7"/>
    <w:rsid w:val="00717621"/>
    <w:rsid w:val="00720FF1"/>
    <w:rsid w:val="00727A53"/>
    <w:rsid w:val="0076627B"/>
    <w:rsid w:val="00767FBF"/>
    <w:rsid w:val="00787B42"/>
    <w:rsid w:val="007C4539"/>
    <w:rsid w:val="007F3657"/>
    <w:rsid w:val="00812ED5"/>
    <w:rsid w:val="008277D9"/>
    <w:rsid w:val="0084478C"/>
    <w:rsid w:val="008553E0"/>
    <w:rsid w:val="0086638C"/>
    <w:rsid w:val="00896B37"/>
    <w:rsid w:val="008A3E8D"/>
    <w:rsid w:val="009237C4"/>
    <w:rsid w:val="00944C48"/>
    <w:rsid w:val="00950252"/>
    <w:rsid w:val="00967F5D"/>
    <w:rsid w:val="009A0F95"/>
    <w:rsid w:val="009B3ADF"/>
    <w:rsid w:val="009C3B52"/>
    <w:rsid w:val="009D55F1"/>
    <w:rsid w:val="009E6817"/>
    <w:rsid w:val="009E6E9A"/>
    <w:rsid w:val="00A01D2B"/>
    <w:rsid w:val="00A326E5"/>
    <w:rsid w:val="00A37EC9"/>
    <w:rsid w:val="00A42218"/>
    <w:rsid w:val="00A70249"/>
    <w:rsid w:val="00A70B02"/>
    <w:rsid w:val="00A71D9F"/>
    <w:rsid w:val="00A92E9F"/>
    <w:rsid w:val="00AE7442"/>
    <w:rsid w:val="00B33BEA"/>
    <w:rsid w:val="00B42C25"/>
    <w:rsid w:val="00B43F86"/>
    <w:rsid w:val="00B57C9F"/>
    <w:rsid w:val="00B63572"/>
    <w:rsid w:val="00B845B3"/>
    <w:rsid w:val="00B85D8B"/>
    <w:rsid w:val="00BB4A40"/>
    <w:rsid w:val="00BD6C3E"/>
    <w:rsid w:val="00BE3674"/>
    <w:rsid w:val="00C10681"/>
    <w:rsid w:val="00C3049A"/>
    <w:rsid w:val="00C31B1E"/>
    <w:rsid w:val="00C65EFF"/>
    <w:rsid w:val="00C77645"/>
    <w:rsid w:val="00CE04C3"/>
    <w:rsid w:val="00CE76A0"/>
    <w:rsid w:val="00D148C6"/>
    <w:rsid w:val="00D17A8A"/>
    <w:rsid w:val="00D204AD"/>
    <w:rsid w:val="00D205B4"/>
    <w:rsid w:val="00D415BA"/>
    <w:rsid w:val="00D63780"/>
    <w:rsid w:val="00D644EE"/>
    <w:rsid w:val="00D75489"/>
    <w:rsid w:val="00DD06FF"/>
    <w:rsid w:val="00DD3A35"/>
    <w:rsid w:val="00DD5FE9"/>
    <w:rsid w:val="00E00C7A"/>
    <w:rsid w:val="00E05694"/>
    <w:rsid w:val="00E209CF"/>
    <w:rsid w:val="00E37D6C"/>
    <w:rsid w:val="00E443D2"/>
    <w:rsid w:val="00E55B68"/>
    <w:rsid w:val="00E67BE6"/>
    <w:rsid w:val="00E8683C"/>
    <w:rsid w:val="00EA2B72"/>
    <w:rsid w:val="00F74360"/>
    <w:rsid w:val="00FB462F"/>
    <w:rsid w:val="00FE16FA"/>
    <w:rsid w:val="00FE328A"/>
    <w:rsid w:val="00FE6269"/>
    <w:rsid w:val="00FF5CD6"/>
    <w:rsid w:val="079E4475"/>
    <w:rsid w:val="0FAD1102"/>
    <w:rsid w:val="19200545"/>
    <w:rsid w:val="1E1F3199"/>
    <w:rsid w:val="1E716E8A"/>
    <w:rsid w:val="27150B5D"/>
    <w:rsid w:val="29D06745"/>
    <w:rsid w:val="2EA9254F"/>
    <w:rsid w:val="2F5411F2"/>
    <w:rsid w:val="311E343E"/>
    <w:rsid w:val="43722BF5"/>
    <w:rsid w:val="44B146E2"/>
    <w:rsid w:val="4A154BE4"/>
    <w:rsid w:val="4DBF014B"/>
    <w:rsid w:val="4F600A37"/>
    <w:rsid w:val="565B167F"/>
    <w:rsid w:val="598D5FE7"/>
    <w:rsid w:val="5F71031C"/>
    <w:rsid w:val="620C78C7"/>
    <w:rsid w:val="623460E6"/>
    <w:rsid w:val="631F5E93"/>
    <w:rsid w:val="69FF347E"/>
    <w:rsid w:val="6CBE13CE"/>
    <w:rsid w:val="70E60DAA"/>
    <w:rsid w:val="71B91CAC"/>
    <w:rsid w:val="75F95225"/>
    <w:rsid w:val="7A4A5996"/>
    <w:rsid w:val="7BB40937"/>
    <w:rsid w:val="7C347EDD"/>
    <w:rsid w:val="7FCA55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08310-6542-4B70-9C2B-5AB9E933A5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7117</Words>
  <Characters>7827</Characters>
  <Lines>57</Lines>
  <Paragraphs>16</Paragraphs>
  <TotalTime>11</TotalTime>
  <ScaleCrop>false</ScaleCrop>
  <LinksUpToDate>false</LinksUpToDate>
  <CharactersWithSpaces>7859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2023-09-01T03:31:00Z</dcterms:created>
  <dc:creator>李航 null</dc:creator>
  <cp:lastModifiedBy>熊湘斌</cp:lastModifiedBy>
  <cp:lastPrinted>2022-07-27T12:55:00Z</cp:lastPrinted>
  <dcterms:modified xsi:type="dcterms:W3CDTF">2023-10-09T09:00:58Z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DB496A07021043BB9F3BC9E6BB313EC0</vt:lpwstr>
  </property>
</Properties>
</file>